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东莞市利源有机资源</w:t>
      </w:r>
      <w:bookmarkStart w:id="818" w:name="_GoBack"/>
      <w:bookmarkEnd w:id="818"/>
      <w:r>
        <w:rPr>
          <w:rFonts w:hint="eastAsia" w:ascii="宋体" w:hAnsi="宋体" w:eastAsia="宋体" w:cs="宋体"/>
          <w:b/>
          <w:bCs/>
          <w:color w:val="auto"/>
          <w:kern w:val="0"/>
          <w:sz w:val="60"/>
          <w:szCs w:val="60"/>
          <w:highlight w:val="none"/>
          <w:lang w:val="zh-CN"/>
        </w:rPr>
        <w:t>再生利用有限公司2024-2025年餐厨垃圾收运服务采购项目</w:t>
      </w:r>
    </w:p>
    <w:p>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号：0832-SFCX24DG024C</w:t>
      </w:r>
    </w:p>
    <w:p>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人：东莞市利源有机资源再生利用有限公司</w:t>
      </w:r>
    </w:p>
    <w:p>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招标代理机构：三方诚信招标有限公司</w:t>
      </w:r>
    </w:p>
    <w:p>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zh-CN"/>
        </w:rPr>
        <w:t>日</w:t>
      </w:r>
    </w:p>
    <w:p>
      <w:pPr>
        <w:keepNext w:val="0"/>
        <w:keepLines w:val="0"/>
        <w:pageBreakBefore w:val="0"/>
        <w:widowControl w:val="0"/>
        <w:tabs>
          <w:tab w:val="left" w:pos="9923"/>
          <w:tab w:val="left" w:pos="10206"/>
        </w:tabs>
        <w:kinsoku/>
        <w:wordWrap/>
        <w:overflowPunct/>
        <w:topLinePunct w:val="0"/>
        <w:autoSpaceDE w:val="0"/>
        <w:autoSpaceDN w:val="0"/>
        <w:bidi w:val="0"/>
        <w:adjustRightInd w:val="0"/>
        <w:snapToGrid/>
        <w:spacing w:line="360" w:lineRule="auto"/>
        <w:ind w:firstLine="422" w:firstLineChars="200"/>
        <w:jc w:val="center"/>
        <w:textAlignment w:val="auto"/>
        <w:rPr>
          <w:rFonts w:hint="eastAsia" w:ascii="宋体" w:hAnsi="宋体" w:eastAsia="宋体" w:cs="宋体"/>
          <w:b/>
          <w:color w:val="auto"/>
          <w:kern w:val="0"/>
          <w:szCs w:val="21"/>
          <w:highlight w:val="none"/>
        </w:rPr>
      </w:pPr>
      <w:bookmarkStart w:id="0" w:name="_Toc29891_WPSOffice_Type3"/>
      <w:r>
        <w:rPr>
          <w:rFonts w:hint="eastAsia" w:ascii="宋体" w:hAnsi="宋体" w:eastAsia="宋体" w:cs="宋体"/>
          <w:b/>
          <w:color w:val="auto"/>
          <w:kern w:val="0"/>
          <w:szCs w:val="21"/>
          <w:highlight w:val="none"/>
        </w:rPr>
        <w:br w:type="page"/>
      </w:r>
      <w:r>
        <w:rPr>
          <w:rFonts w:hint="eastAsia" w:ascii="宋体" w:hAnsi="宋体" w:eastAsia="宋体" w:cs="宋体"/>
          <w:b/>
          <w:color w:val="auto"/>
          <w:kern w:val="0"/>
          <w:sz w:val="24"/>
          <w:szCs w:val="24"/>
          <w:highlight w:val="none"/>
        </w:rPr>
        <w:t>目</w:t>
      </w:r>
      <w:r>
        <w:rPr>
          <w:rFonts w:hint="eastAsia" w:ascii="宋体" w:hAnsi="宋体" w:eastAsia="宋体" w:cs="宋体"/>
          <w:b/>
          <w:color w:val="auto"/>
          <w:kern w:val="0"/>
          <w:sz w:val="24"/>
          <w:szCs w:val="24"/>
          <w:highlight w:val="none"/>
          <w:lang w:val="en-US" w:eastAsia="zh-CN"/>
        </w:rPr>
        <w:t xml:space="preserve">  </w:t>
      </w:r>
      <w:r>
        <w:rPr>
          <w:rFonts w:hint="eastAsia" w:ascii="宋体" w:hAnsi="宋体" w:eastAsia="宋体" w:cs="宋体"/>
          <w:b/>
          <w:color w:val="auto"/>
          <w:kern w:val="0"/>
          <w:sz w:val="24"/>
          <w:szCs w:val="24"/>
          <w:highlight w:val="none"/>
        </w:rPr>
        <w:t>录</w:t>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TOC \o "1-3" \h \u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_Toc20361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_Toc10529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_Toc10529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_Toc4110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_Toc7131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_Toc9121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_Toc9121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_Toc1018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_Toc20576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_Toc25995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二、</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44"/>
          <w:szCs w:val="21"/>
          <w:highlight w:val="none"/>
          <w:lang w:val="zh-CN"/>
        </w:rPr>
        <w:t>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_Toc25995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_Toc12003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_Toc4227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_Toc27165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_Toc27165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_Toc31630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_Toc31630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_Toc24427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_Toc21110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_Toc21110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_Toc10212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_Toc10212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_Toc15514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_Toc15514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_Toc7530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_Toc17487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_Toc17487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_Toc16657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_Toc16657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_Toc20006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_Toc20006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_Toc21964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_Toc21964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_Toc18270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_Toc18270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_Toc22919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_Toc11550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_Toc11550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_Toc6168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_Toc23067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_Toc23067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_Toc11949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_Toc14042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_Toc14042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_Toc19352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_Toc2233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_Toc5558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_Toc5558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_Toc15953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_Toc15953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_Toc16315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_Toc19454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_Toc12070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_Toc394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_Toc7095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_Toc19025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_Toc29585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六、</w:t>
      </w:r>
      <w:r>
        <w:rPr>
          <w:rFonts w:hint="eastAsia" w:ascii="宋体" w:hAnsi="宋体" w:eastAsia="宋体" w:cs="宋体"/>
          <w:bCs/>
          <w:color w:val="auto"/>
          <w:szCs w:val="21"/>
          <w:highlight w:val="none"/>
          <w:lang w:val="zh-CN"/>
        </w:rPr>
        <w:t>授予</w:t>
      </w:r>
      <w:r>
        <w:rPr>
          <w:rFonts w:hint="eastAsia" w:ascii="宋体" w:hAnsi="宋体" w:eastAsia="宋体" w:cs="宋体"/>
          <w:bCs/>
          <w:color w:val="auto"/>
          <w:kern w:val="44"/>
          <w:szCs w:val="21"/>
          <w:highlight w:val="none"/>
          <w:lang w:val="zh-CN"/>
        </w:rPr>
        <w:t>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_Toc29585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_Toc4948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_Toc29042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_Toc29042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_Toc12053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_Toc32166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_Toc32166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_Toc3383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_Toc3383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_Toc30627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_Toc3125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_Toc13677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_Toc13677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_Toc7594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_Toc12084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_Toc31232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3</w:t>
      </w:r>
      <w:r>
        <w:rPr>
          <w:rFonts w:hint="eastAsia" w:ascii="宋体" w:hAnsi="宋体" w:eastAsia="宋体" w:cs="宋体"/>
          <w:bCs/>
          <w:color w:val="auto"/>
          <w:szCs w:val="21"/>
          <w:highlight w:val="none"/>
        </w:rPr>
        <w:fldChar w:fldCharType="end"/>
      </w:r>
      <w:r>
        <w:rPr>
          <w:rFonts w:hint="eastAsia" w:ascii="宋体" w:hAnsi="宋体" w:eastAsia="宋体" w:cs="宋体"/>
          <w:bCs/>
          <w:color w:val="auto"/>
          <w:szCs w:val="21"/>
          <w:highlight w:val="none"/>
          <w:lang w:val="en-US" w:eastAsia="zh-CN"/>
        </w:rPr>
        <w:t>5</w:t>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_Toc18054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5</w:t>
      </w:r>
      <w:r>
        <w:rPr>
          <w:rFonts w:hint="eastAsia" w:ascii="宋体" w:hAnsi="宋体" w:eastAsia="宋体" w:cs="宋体"/>
          <w:bCs/>
          <w:color w:val="auto"/>
          <w:szCs w:val="21"/>
          <w:highlight w:val="none"/>
        </w:rPr>
        <w:fldChar w:fldCharType="end"/>
      </w:r>
      <w:r>
        <w:rPr>
          <w:rFonts w:hint="eastAsia" w:ascii="宋体" w:hAnsi="宋体" w:eastAsia="宋体" w:cs="宋体"/>
          <w:bCs/>
          <w:color w:val="auto"/>
          <w:szCs w:val="21"/>
          <w:highlight w:val="none"/>
          <w:lang w:val="en-US" w:eastAsia="zh-CN"/>
        </w:rPr>
        <w:t>7</w:t>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_Toc30700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6</w:t>
      </w:r>
      <w:r>
        <w:rPr>
          <w:rFonts w:hint="eastAsia" w:ascii="宋体" w:hAnsi="宋体" w:eastAsia="宋体" w:cs="宋体"/>
          <w:bCs/>
          <w:color w:val="auto"/>
          <w:szCs w:val="21"/>
          <w:highlight w:val="none"/>
        </w:rPr>
        <w:fldChar w:fldCharType="end"/>
      </w:r>
      <w:r>
        <w:rPr>
          <w:rFonts w:hint="eastAsia" w:ascii="宋体" w:hAnsi="宋体" w:eastAsia="宋体" w:cs="宋体"/>
          <w:bCs/>
          <w:color w:val="auto"/>
          <w:szCs w:val="21"/>
          <w:highlight w:val="none"/>
          <w:lang w:val="en-US" w:eastAsia="zh-CN"/>
        </w:rPr>
        <w:t>0</w:t>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_Toc30605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9</w:t>
      </w:r>
      <w:r>
        <w:rPr>
          <w:rFonts w:hint="eastAsia" w:ascii="宋体" w:hAnsi="宋体" w:eastAsia="宋体" w:cs="宋体"/>
          <w:bCs/>
          <w:color w:val="auto"/>
          <w:szCs w:val="21"/>
          <w:highlight w:val="none"/>
        </w:rPr>
        <w:fldChar w:fldCharType="end"/>
      </w:r>
      <w:r>
        <w:rPr>
          <w:rFonts w:hint="eastAsia" w:ascii="宋体" w:hAnsi="宋体" w:eastAsia="宋体" w:cs="宋体"/>
          <w:bCs/>
          <w:color w:val="auto"/>
          <w:szCs w:val="21"/>
          <w:highlight w:val="none"/>
          <w:lang w:val="en-US" w:eastAsia="zh-CN"/>
        </w:rPr>
        <w:t>6</w:t>
      </w:r>
    </w:p>
    <w:p>
      <w:pPr>
        <w:keepNext w:val="0"/>
        <w:keepLines w:val="0"/>
        <w:pageBreakBefore w:val="0"/>
        <w:widowControl w:val="0"/>
        <w:tabs>
          <w:tab w:val="left" w:pos="851"/>
          <w:tab w:val="right" w:leader="dot" w:pos="102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fldChar w:fldCharType="end"/>
      </w:r>
    </w:p>
    <w:bookmarkEnd w:id="0"/>
    <w:p>
      <w:pPr>
        <w:keepNext/>
        <w:keepLines/>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44"/>
          <w:szCs w:val="44"/>
          <w:highlight w:val="none"/>
          <w:lang w:val="zh-CN"/>
        </w:rPr>
      </w:pPr>
      <w:bookmarkStart w:id="1" w:name="_Toc486167660"/>
      <w:bookmarkStart w:id="2" w:name="_Toc450662846"/>
      <w:bookmarkStart w:id="3" w:name="_Toc9185"/>
      <w:bookmarkStart w:id="4" w:name="_Toc142508310"/>
      <w:bookmarkStart w:id="5" w:name="_Toc17326"/>
      <w:bookmarkStart w:id="6" w:name="_Toc4869"/>
      <w:bookmarkStart w:id="7" w:name="_Toc20361"/>
      <w:bookmarkStart w:id="8" w:name="_Toc2723_WPSOffice_Level1"/>
      <w:bookmarkStart w:id="9" w:name="_Toc20249"/>
      <w:r>
        <w:rPr>
          <w:rFonts w:hint="eastAsia" w:ascii="宋体" w:hAnsi="宋体" w:eastAsia="宋体" w:cs="宋体"/>
          <w:b/>
          <w:bCs/>
          <w:color w:val="auto"/>
          <w:kern w:val="44"/>
          <w:sz w:val="32"/>
          <w:szCs w:val="32"/>
          <w:highlight w:val="none"/>
          <w:lang w:val="zh-CN"/>
        </w:rPr>
        <w:t>第一篇 招标公告</w:t>
      </w:r>
      <w:bookmarkEnd w:id="1"/>
      <w:bookmarkEnd w:id="2"/>
      <w:bookmarkEnd w:id="3"/>
      <w:bookmarkEnd w:id="4"/>
      <w:bookmarkEnd w:id="5"/>
      <w:bookmarkEnd w:id="6"/>
      <w:bookmarkEnd w:id="7"/>
      <w:bookmarkEnd w:id="8"/>
      <w:bookmarkEnd w:id="9"/>
    </w:p>
    <w:p>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三方诚信招标有限公司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lang w:eastAsia="zh-CN"/>
        </w:rPr>
        <w:t>东莞市利源有机资源再生利用有限公司</w:t>
      </w:r>
      <w:r>
        <w:rPr>
          <w:rFonts w:hint="eastAsia" w:ascii="宋体" w:hAnsi="宋体" w:eastAsia="宋体" w:cs="宋体"/>
          <w:color w:val="auto"/>
          <w:szCs w:val="21"/>
          <w:highlight w:val="none"/>
          <w:lang w:val="zh-CN"/>
        </w:rPr>
        <w:t>（以下简称“招标人”）的委托，对</w:t>
      </w:r>
      <w:bookmarkStart w:id="10" w:name="_Hlk41903390"/>
      <w:r>
        <w:rPr>
          <w:rFonts w:hint="eastAsia" w:ascii="宋体" w:hAnsi="宋体" w:eastAsia="宋体" w:cs="宋体"/>
          <w:color w:val="auto"/>
          <w:kern w:val="0"/>
          <w:szCs w:val="21"/>
          <w:highlight w:val="none"/>
          <w:lang w:eastAsia="zh-CN"/>
        </w:rPr>
        <w:t>东莞市利源有机资源再生利用有限公司2024-2025年餐厨垃圾收运服务采购项目</w:t>
      </w:r>
      <w:r>
        <w:rPr>
          <w:rFonts w:hint="eastAsia" w:ascii="宋体" w:hAnsi="宋体" w:eastAsia="宋体" w:cs="宋体"/>
          <w:color w:val="auto"/>
          <w:szCs w:val="21"/>
          <w:highlight w:val="none"/>
          <w:lang w:val="zh-CN"/>
        </w:rPr>
        <w:t>(招标编号：0832-SFCX24DG024C)</w:t>
      </w:r>
      <w:bookmarkEnd w:id="10"/>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w:t>
      </w:r>
      <w:r>
        <w:rPr>
          <w:rFonts w:hint="eastAsia" w:ascii="宋体" w:hAnsi="宋体" w:eastAsia="宋体" w:cs="宋体"/>
          <w:color w:val="auto"/>
          <w:kern w:val="0"/>
          <w:szCs w:val="21"/>
          <w:highlight w:val="none"/>
          <w:lang w:eastAsia="zh-CN"/>
        </w:rPr>
        <w:t>东莞市利源有机资源再生利用有限公司2024-2025年餐厨垃圾收运服务，</w:t>
      </w:r>
      <w:r>
        <w:rPr>
          <w:rFonts w:hint="eastAsia" w:ascii="宋体" w:hAnsi="宋体" w:eastAsia="宋体" w:cs="宋体"/>
          <w:color w:val="auto"/>
          <w:szCs w:val="21"/>
          <w:highlight w:val="none"/>
          <w:u w:val="none"/>
          <w:lang w:eastAsia="zh-CN"/>
        </w:rPr>
        <w:t>包括餐厨垃圾收运服务及</w:t>
      </w:r>
      <w:r>
        <w:rPr>
          <w:rFonts w:hint="eastAsia" w:ascii="宋体" w:hAnsi="宋体" w:eastAsia="宋体" w:cs="宋体"/>
          <w:color w:val="auto"/>
          <w:sz w:val="21"/>
          <w:szCs w:val="21"/>
          <w:highlight w:val="none"/>
          <w:lang w:val="en-US" w:eastAsia="zh-CN"/>
        </w:rPr>
        <w:t>餐厨垃圾</w:t>
      </w:r>
      <w:r>
        <w:rPr>
          <w:rFonts w:hint="default" w:ascii="宋体" w:hAnsi="宋体" w:eastAsia="宋体" w:cs="宋体"/>
          <w:color w:val="auto"/>
          <w:sz w:val="21"/>
          <w:szCs w:val="21"/>
          <w:highlight w:val="none"/>
          <w:lang w:val="en-US" w:eastAsia="zh-CN"/>
        </w:rPr>
        <w:t>预处理车间分拣</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u w:val="none"/>
          <w:lang w:eastAsia="zh-CN"/>
        </w:rPr>
        <w:t>生活垃圾收运服务</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部分镇街自行运送餐厨垃圾至招标人处处置的不在招标范围，</w:t>
      </w:r>
      <w:r>
        <w:rPr>
          <w:rFonts w:hint="eastAsia" w:ascii="宋体" w:hAnsi="宋体" w:eastAsia="宋体" w:cs="宋体"/>
          <w:color w:val="auto"/>
          <w:szCs w:val="21"/>
          <w:highlight w:val="none"/>
          <w:lang w:val="zh-CN"/>
        </w:rPr>
        <w:t>具体内容详见：第三篇用户需求书）。</w:t>
      </w:r>
    </w:p>
    <w:p>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pPr>
        <w:pStyle w:val="161"/>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pPr>
        <w:pStyle w:val="161"/>
        <w:spacing w:line="360" w:lineRule="auto"/>
        <w:ind w:right="-29" w:rightChars="-14" w:firstLine="0" w:firstLineChars="0"/>
        <w:jc w:val="both"/>
        <w:rPr>
          <w:rFonts w:hint="eastAsia" w:ascii="宋体" w:hAnsi="宋体" w:eastAsia="宋体" w:cs="宋体"/>
          <w:b/>
          <w:color w:val="auto"/>
          <w:sz w:val="21"/>
          <w:szCs w:val="21"/>
          <w:highlight w:val="none"/>
          <w:lang w:val="en-US" w:eastAsia="zh-CN"/>
        </w:rPr>
      </w:pPr>
      <w:bookmarkStart w:id="11" w:name="_Toc25819"/>
      <w:r>
        <w:rPr>
          <w:rFonts w:hint="eastAsia" w:ascii="宋体" w:hAnsi="宋体" w:eastAsia="宋体" w:cs="宋体"/>
          <w:b/>
          <w:bCs w:val="0"/>
          <w:color w:val="auto"/>
          <w:sz w:val="21"/>
          <w:szCs w:val="21"/>
          <w:highlight w:val="none"/>
          <w:lang w:val="zh-CN"/>
        </w:rPr>
        <w:t>2.2 投标人</w:t>
      </w:r>
      <w:r>
        <w:rPr>
          <w:rFonts w:hint="eastAsia" w:ascii="宋体" w:hAnsi="宋体" w:eastAsia="宋体" w:cs="宋体"/>
          <w:b/>
          <w:bCs w:val="0"/>
          <w:color w:val="auto"/>
          <w:sz w:val="21"/>
          <w:szCs w:val="21"/>
          <w:highlight w:val="none"/>
          <w:lang w:val="en-US" w:eastAsia="zh-CN"/>
        </w:rPr>
        <w:t>2021</w:t>
      </w:r>
      <w:r>
        <w:rPr>
          <w:rFonts w:hint="eastAsia" w:ascii="宋体" w:hAnsi="宋体" w:eastAsia="宋体" w:cs="宋体"/>
          <w:b/>
          <w:bCs w:val="0"/>
          <w:color w:val="auto"/>
          <w:sz w:val="21"/>
          <w:szCs w:val="21"/>
          <w:highlight w:val="none"/>
          <w:lang w:val="zh-CN"/>
        </w:rPr>
        <w:t>年</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val="zh-CN"/>
        </w:rPr>
        <w:t>月</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val="zh-CN"/>
        </w:rPr>
        <w:t>日以来具有一份餐厨废弃物或生活垃圾收运服务业绩（合同签订日期为</w:t>
      </w:r>
      <w:r>
        <w:rPr>
          <w:rFonts w:hint="eastAsia" w:ascii="宋体" w:hAnsi="宋体" w:eastAsia="宋体" w:cs="宋体"/>
          <w:b/>
          <w:bCs w:val="0"/>
          <w:color w:val="auto"/>
          <w:sz w:val="21"/>
          <w:szCs w:val="21"/>
          <w:highlight w:val="none"/>
          <w:lang w:val="en-US" w:eastAsia="zh-CN"/>
        </w:rPr>
        <w:t>2021</w:t>
      </w:r>
      <w:r>
        <w:rPr>
          <w:rFonts w:hint="eastAsia" w:ascii="宋体" w:hAnsi="宋体" w:eastAsia="宋体" w:cs="宋体"/>
          <w:b/>
          <w:bCs w:val="0"/>
          <w:color w:val="auto"/>
          <w:sz w:val="21"/>
          <w:szCs w:val="21"/>
          <w:highlight w:val="none"/>
          <w:lang w:val="zh-CN"/>
        </w:rPr>
        <w:t>年</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val="zh-CN"/>
        </w:rPr>
        <w:t>月</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val="zh-CN"/>
        </w:rPr>
        <w:t>日或以后）；</w:t>
      </w:r>
    </w:p>
    <w:p>
      <w:pPr>
        <w:pStyle w:val="161"/>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color w:val="auto"/>
          <w:sz w:val="21"/>
          <w:szCs w:val="21"/>
          <w:highlight w:val="none"/>
          <w:lang w:val="zh-CN"/>
        </w:rPr>
        <w:t>本项目不接受联合体投标。</w:t>
      </w:r>
      <w:bookmarkEnd w:id="11"/>
    </w:p>
    <w:p>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pPr>
        <w:pStyle w:val="179"/>
        <w:numPr>
          <w:ilvl w:val="0"/>
          <w:numId w:val="1"/>
        </w:numPr>
        <w:spacing w:line="360" w:lineRule="auto"/>
        <w:ind w:left="426" w:right="-34" w:hanging="426" w:firstLineChars="0"/>
        <w:jc w:val="both"/>
        <w:rPr>
          <w:rFonts w:hint="eastAsia" w:ascii="宋体" w:hAnsi="宋体" w:eastAsia="宋体" w:cs="宋体"/>
          <w:color w:val="auto"/>
          <w:sz w:val="21"/>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下载招标文件【本招标公告第7点媒介发布招标文件不一致时,以东莞市水务集团有限公司网(www,dgswjt.cn)发布的招标文件为准】。</w:t>
      </w:r>
    </w:p>
    <w:p>
      <w:pPr>
        <w:autoSpaceDE w:val="0"/>
        <w:autoSpaceDN w:val="0"/>
        <w:adjustRightInd w:val="0"/>
        <w:spacing w:line="360" w:lineRule="auto"/>
        <w:ind w:left="0" w:leftChars="0" w:right="-29" w:rightChars="-14" w:firstLine="420" w:firstLineChars="200"/>
        <w:rPr>
          <w:rFonts w:hint="eastAsia"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pPr>
        <w:autoSpaceDE w:val="0"/>
        <w:autoSpaceDN w:val="0"/>
        <w:adjustRightInd w:val="0"/>
        <w:spacing w:line="360" w:lineRule="auto"/>
        <w:ind w:right="-29" w:rightChars="-14" w:firstLine="420"/>
        <w:rPr>
          <w:rFonts w:hint="eastAsia"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4</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23</w:t>
      </w:r>
      <w:r>
        <w:rPr>
          <w:rFonts w:hint="eastAsia" w:ascii="宋体" w:hAnsi="宋体" w:eastAsia="宋体" w:cs="宋体"/>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宋体"/>
          <w:bCs/>
          <w:color w:val="auto"/>
          <w:kern w:val="0"/>
          <w:szCs w:val="21"/>
          <w:highlight w:val="none"/>
        </w:rPr>
        <w:t>；</w:t>
      </w:r>
    </w:p>
    <w:p>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4</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23</w:t>
      </w:r>
      <w:r>
        <w:rPr>
          <w:rFonts w:hint="eastAsia" w:ascii="宋体" w:hAnsi="宋体" w:eastAsia="宋体" w:cs="宋体"/>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宋体"/>
          <w:bCs/>
          <w:color w:val="auto"/>
          <w:kern w:val="0"/>
          <w:szCs w:val="21"/>
          <w:highlight w:val="none"/>
        </w:rPr>
        <w:t>；</w:t>
      </w:r>
    </w:p>
    <w:p>
      <w:pPr>
        <w:autoSpaceDE w:val="0"/>
        <w:autoSpaceDN w:val="0"/>
        <w:adjustRightInd w:val="0"/>
        <w:spacing w:line="360" w:lineRule="auto"/>
        <w:ind w:right="-29" w:rightChars="-14"/>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w:t>
      </w:r>
      <w:r>
        <w:rPr>
          <w:rFonts w:hint="eastAsia" w:ascii="宋体" w:hAnsi="宋体" w:eastAsia="宋体" w:cs="宋体"/>
          <w:color w:val="auto"/>
          <w:kern w:val="0"/>
          <w:szCs w:val="21"/>
          <w:highlight w:val="none"/>
          <w:u w:val="none"/>
        </w:rPr>
        <w:t>东莞市南城街道鸿福西路81号国际商会大厦</w:t>
      </w:r>
      <w:r>
        <w:rPr>
          <w:rFonts w:hint="eastAsia" w:ascii="宋体" w:hAnsi="宋体" w:eastAsia="宋体" w:cs="宋体"/>
          <w:color w:val="auto"/>
          <w:kern w:val="0"/>
          <w:szCs w:val="21"/>
          <w:highlight w:val="none"/>
          <w:u w:val="none"/>
          <w:lang w:val="en-US" w:eastAsia="zh-CN"/>
        </w:rPr>
        <w:t>601</w:t>
      </w:r>
      <w:r>
        <w:rPr>
          <w:rFonts w:hint="eastAsia" w:ascii="宋体" w:hAnsi="宋体" w:eastAsia="宋体" w:cs="宋体"/>
          <w:color w:val="auto"/>
          <w:kern w:val="0"/>
          <w:szCs w:val="21"/>
          <w:highlight w:val="none"/>
          <w:u w:val="none"/>
        </w:rPr>
        <w:t>室</w:t>
      </w:r>
      <w:r>
        <w:rPr>
          <w:rFonts w:hint="eastAsia" w:ascii="宋体" w:hAnsi="宋体" w:eastAsia="宋体" w:cs="宋体"/>
          <w:color w:val="auto"/>
          <w:kern w:val="0"/>
          <w:szCs w:val="21"/>
          <w:highlight w:val="none"/>
        </w:rPr>
        <w:t>。</w:t>
      </w:r>
    </w:p>
    <w:p>
      <w:pPr>
        <w:autoSpaceDE w:val="0"/>
        <w:autoSpaceDN w:val="0"/>
        <w:adjustRightInd w:val="0"/>
        <w:spacing w:line="360" w:lineRule="auto"/>
        <w:ind w:right="-29" w:rightChars="-14" w:firstLine="210" w:firstLineChars="100"/>
        <w:rPr>
          <w:rFonts w:hint="eastAsia" w:ascii="宋体" w:hAnsi="宋体" w:eastAsia="宋体" w:cs="宋体"/>
          <w:color w:val="auto"/>
          <w:kern w:val="0"/>
          <w:szCs w:val="21"/>
          <w:highlight w:val="none"/>
        </w:rPr>
      </w:pPr>
    </w:p>
    <w:p>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hint="eastAsia"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bCs/>
          <w:color w:val="auto"/>
          <w:szCs w:val="21"/>
          <w:highlight w:val="none"/>
        </w:rPr>
        <w:t>中国招标投标公共服务平台（www.cebpubservice.com）、东莞市水务集团有限公司网（www.dgswjt.cn）、招标代理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网站（www.sfcx.cn）</w:t>
      </w:r>
      <w:r>
        <w:rPr>
          <w:rFonts w:hint="eastAsia" w:ascii="宋体" w:hAnsi="宋体" w:eastAsia="宋体" w:cs="宋体"/>
          <w:color w:val="auto"/>
          <w:szCs w:val="21"/>
          <w:highlight w:val="none"/>
          <w:lang w:val="zh-CN"/>
        </w:rPr>
        <w:t>。</w:t>
      </w:r>
    </w:p>
    <w:p>
      <w:pPr>
        <w:numPr>
          <w:ilvl w:val="0"/>
          <w:numId w:val="0"/>
        </w:numPr>
        <w:autoSpaceDE w:val="0"/>
        <w:autoSpaceDN w:val="0"/>
        <w:adjustRightInd w:val="0"/>
        <w:snapToGrid w:val="0"/>
        <w:spacing w:line="360" w:lineRule="auto"/>
        <w:ind w:leftChars="0" w:right="-34" w:rightChars="0"/>
        <w:jc w:val="left"/>
        <w:rPr>
          <w:rFonts w:hint="eastAsia" w:ascii="宋体" w:hAnsi="宋体" w:eastAsia="宋体" w:cs="宋体"/>
          <w:bCs/>
          <w:color w:val="auto"/>
          <w:szCs w:val="21"/>
          <w:highlight w:val="none"/>
        </w:rPr>
      </w:pPr>
    </w:p>
    <w:p>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东莞市利源有机资源再生利用有限公司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址：东莞市南城街道滨河路100号二期（东莞市水务集团净水有限公司）新大门内3号楼3楼</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马卓越</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话：0769-22621996</w:t>
      </w:r>
    </w:p>
    <w:p>
      <w:pPr>
        <w:autoSpaceDE w:val="0"/>
        <w:autoSpaceDN w:val="0"/>
        <w:adjustRightInd w:val="0"/>
        <w:spacing w:line="360" w:lineRule="auto"/>
        <w:ind w:right="-29" w:rightChars="-14" w:firstLine="420"/>
        <w:rPr>
          <w:rFonts w:hint="eastAsia" w:ascii="宋体" w:hAnsi="宋体" w:eastAsia="宋体" w:cs="宋体"/>
          <w:color w:val="auto"/>
          <w:kern w:val="0"/>
          <w:szCs w:val="21"/>
          <w:highlight w:val="none"/>
        </w:rPr>
      </w:pPr>
    </w:p>
    <w:p>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bookmarkStart w:id="12" w:name="_Toc450662847"/>
      <w:bookmarkStart w:id="13" w:name="_Toc486167661"/>
      <w:bookmarkStart w:id="14" w:name="_Toc31764_WPSOffice_Level1"/>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Cs w:val="21"/>
          <w:highlight w:val="none"/>
          <w:lang w:eastAsia="zh-CN"/>
        </w:rPr>
        <w:t>三方诚信招标有限公司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址：东莞市南城街道鸿福西路81号国际商会大厦706室</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eastAsia="zh-CN"/>
        </w:rPr>
        <w:t>王佳涛</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话：0769-21682660</w:t>
      </w:r>
    </w:p>
    <w:p>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15" w:name="_Toc1931"/>
      <w:bookmarkStart w:id="16" w:name="_Toc10529"/>
      <w:bookmarkStart w:id="17" w:name="_Toc18212"/>
      <w:bookmarkStart w:id="18" w:name="_Toc15111"/>
      <w:bookmarkStart w:id="19" w:name="_Toc142508311"/>
      <w:bookmarkStart w:id="20" w:name="_Toc31498"/>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2"/>
      <w:bookmarkEnd w:id="13"/>
      <w:bookmarkEnd w:id="14"/>
      <w:bookmarkEnd w:id="15"/>
      <w:bookmarkEnd w:id="16"/>
      <w:bookmarkEnd w:id="17"/>
      <w:bookmarkEnd w:id="18"/>
      <w:bookmarkEnd w:id="19"/>
      <w:bookmarkEnd w:id="20"/>
    </w:p>
    <w:p>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1" w:name="_Toc4110"/>
      <w:bookmarkStart w:id="22" w:name="_Toc24479"/>
      <w:bookmarkStart w:id="23" w:name="_Toc9555"/>
      <w:bookmarkStart w:id="24" w:name="_Toc14889"/>
      <w:bookmarkStart w:id="25" w:name="_Toc450662848"/>
      <w:bookmarkStart w:id="26" w:name="_Toc11520"/>
      <w:bookmarkStart w:id="27" w:name="_Toc486167662"/>
      <w:bookmarkStart w:id="28" w:name="_Toc15366_WPSOffice_Level2"/>
      <w:bookmarkStart w:id="29" w:name="_Toc142508312"/>
      <w:bookmarkStart w:id="30" w:name="_Toc140596871"/>
      <w:r>
        <w:rPr>
          <w:rFonts w:hint="eastAsia" w:ascii="宋体" w:hAnsi="宋体" w:eastAsia="宋体" w:cs="宋体"/>
          <w:b/>
          <w:bCs/>
          <w:color w:val="auto"/>
          <w:kern w:val="44"/>
          <w:szCs w:val="21"/>
          <w:highlight w:val="none"/>
          <w:lang w:val="zh-CN"/>
        </w:rPr>
        <w:t>一、总则</w:t>
      </w:r>
      <w:bookmarkEnd w:id="21"/>
      <w:bookmarkEnd w:id="22"/>
      <w:bookmarkEnd w:id="23"/>
      <w:bookmarkEnd w:id="24"/>
      <w:bookmarkEnd w:id="25"/>
      <w:bookmarkEnd w:id="26"/>
      <w:bookmarkEnd w:id="27"/>
      <w:bookmarkEnd w:id="28"/>
      <w:bookmarkEnd w:id="29"/>
      <w:bookmarkEnd w:id="30"/>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1" w:name="_Toc486167663"/>
      <w:bookmarkStart w:id="32" w:name="_Toc142508313"/>
      <w:bookmarkStart w:id="33" w:name="_Toc23333"/>
      <w:bookmarkStart w:id="34" w:name="_Toc9608"/>
      <w:bookmarkStart w:id="35" w:name="_Toc1646"/>
      <w:bookmarkStart w:id="36" w:name="_Toc16303"/>
      <w:bookmarkStart w:id="37" w:name="_Toc21710_WPSOffice_Level3"/>
      <w:bookmarkStart w:id="38" w:name="_Toc450662849"/>
      <w:bookmarkStart w:id="39" w:name="_Toc7131"/>
      <w:r>
        <w:rPr>
          <w:rFonts w:hint="eastAsia" w:ascii="宋体" w:hAnsi="宋体" w:eastAsia="宋体" w:cs="宋体"/>
          <w:color w:val="auto"/>
          <w:szCs w:val="21"/>
          <w:highlight w:val="none"/>
          <w:lang w:val="zh-CN"/>
        </w:rPr>
        <w:t>1 资金来源：企业自筹资金。</w:t>
      </w:r>
      <w:bookmarkEnd w:id="31"/>
      <w:bookmarkEnd w:id="32"/>
      <w:bookmarkEnd w:id="33"/>
      <w:bookmarkEnd w:id="34"/>
      <w:bookmarkEnd w:id="35"/>
      <w:bookmarkEnd w:id="36"/>
      <w:bookmarkEnd w:id="37"/>
      <w:bookmarkEnd w:id="38"/>
      <w:bookmarkEnd w:id="39"/>
    </w:p>
    <w:p>
      <w:pPr>
        <w:autoSpaceDE w:val="0"/>
        <w:autoSpaceDN w:val="0"/>
        <w:adjustRightInd w:val="0"/>
        <w:jc w:val="left"/>
        <w:rPr>
          <w:rFonts w:hint="eastAsia"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40" w:name="_Toc18557"/>
      <w:bookmarkStart w:id="41" w:name="_Toc142508314"/>
      <w:bookmarkStart w:id="42" w:name="_Toc28698"/>
      <w:bookmarkStart w:id="43" w:name="_Toc15982"/>
      <w:bookmarkStart w:id="44" w:name="_Toc450662850"/>
      <w:bookmarkStart w:id="45" w:name="_Toc32244"/>
      <w:bookmarkStart w:id="46" w:name="_Toc80_WPSOffice_Level3"/>
      <w:bookmarkStart w:id="47" w:name="_Toc486167664"/>
      <w:bookmarkStart w:id="48" w:name="_Toc9121"/>
      <w:r>
        <w:rPr>
          <w:rFonts w:hint="eastAsia" w:ascii="宋体" w:hAnsi="宋体" w:eastAsia="宋体" w:cs="宋体"/>
          <w:b/>
          <w:color w:val="auto"/>
          <w:szCs w:val="21"/>
          <w:highlight w:val="none"/>
          <w:lang w:val="zh-CN"/>
        </w:rPr>
        <w:t>2 合格的投标人</w:t>
      </w:r>
      <w:bookmarkEnd w:id="40"/>
      <w:bookmarkEnd w:id="41"/>
      <w:bookmarkEnd w:id="42"/>
      <w:bookmarkEnd w:id="43"/>
      <w:bookmarkEnd w:id="44"/>
      <w:bookmarkEnd w:id="45"/>
      <w:bookmarkEnd w:id="46"/>
      <w:bookmarkEnd w:id="47"/>
      <w:bookmarkEnd w:id="48"/>
    </w:p>
    <w:p>
      <w:pPr>
        <w:autoSpaceDE w:val="0"/>
        <w:autoSpaceDN w:val="0"/>
        <w:adjustRightInd w:val="0"/>
        <w:spacing w:line="360" w:lineRule="auto"/>
        <w:ind w:left="212" w:leftChars="-100" w:hanging="422" w:hangingChars="20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2.1 </w:t>
      </w:r>
      <w:r>
        <w:rPr>
          <w:rFonts w:hint="eastAsia" w:ascii="宋体" w:hAnsi="宋体" w:eastAsia="宋体" w:cs="宋体"/>
          <w:b/>
          <w:color w:val="auto"/>
          <w:szCs w:val="21"/>
          <w:highlight w:val="none"/>
          <w:u w:val="single"/>
          <w:lang w:val="zh-CN"/>
        </w:rPr>
        <w:t>合格的投标人条件见第一篇《招标公告》中第2条的“合格投标人资格要求”及本条以下2.2款至</w:t>
      </w:r>
      <w:r>
        <w:rPr>
          <w:rFonts w:hint="eastAsia" w:ascii="宋体" w:hAnsi="宋体" w:eastAsia="宋体" w:cs="宋体"/>
          <w:b/>
          <w:color w:val="auto"/>
          <w:szCs w:val="21"/>
          <w:highlight w:val="none"/>
          <w:u w:val="single"/>
          <w:lang w:val="en-US" w:eastAsia="zh-CN"/>
        </w:rPr>
        <w:t>2.5</w:t>
      </w:r>
      <w:r>
        <w:rPr>
          <w:rFonts w:hint="eastAsia" w:ascii="宋体" w:hAnsi="宋体" w:eastAsia="宋体" w:cs="宋体"/>
          <w:b/>
          <w:color w:val="auto"/>
          <w:szCs w:val="21"/>
          <w:highlight w:val="none"/>
          <w:u w:val="single"/>
          <w:lang w:val="zh-CN"/>
        </w:rPr>
        <w:t>款的通用要求。</w:t>
      </w:r>
    </w:p>
    <w:p>
      <w:pPr>
        <w:autoSpaceDE w:val="0"/>
        <w:autoSpaceDN w:val="0"/>
        <w:adjustRightInd w:val="0"/>
        <w:spacing w:line="360" w:lineRule="auto"/>
        <w:ind w:left="212" w:leftChars="-100" w:hanging="422" w:hangingChars="2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u w:val="singl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u w:val="single"/>
          <w:lang w:val="zh-CN"/>
        </w:rPr>
        <w:t>处罚说明</w:t>
      </w:r>
      <w:r>
        <w:rPr>
          <w:rFonts w:hint="eastAsia" w:ascii="宋体" w:hAnsi="宋体" w:eastAsia="宋体" w:cs="宋体"/>
          <w:b/>
          <w:color w:val="auto"/>
          <w:kern w:val="0"/>
          <w:szCs w:val="21"/>
          <w:highlight w:val="none"/>
          <w:u w:val="single"/>
        </w:rPr>
        <w:t>”，如果不主动填报而被事后发现的，将取消其投标（中标）资格，并按有关规定从重处理。</w:t>
      </w:r>
    </w:p>
    <w:p>
      <w:pPr>
        <w:autoSpaceDE w:val="0"/>
        <w:autoSpaceDN w:val="0"/>
        <w:adjustRightInd w:val="0"/>
        <w:spacing w:line="360" w:lineRule="auto"/>
        <w:ind w:left="212" w:leftChars="-100" w:hanging="422" w:hangingChars="200"/>
        <w:rPr>
          <w:rFonts w:hint="eastAsia" w:ascii="宋体" w:hAnsi="宋体" w:eastAsia="宋体" w:cs="宋体"/>
          <w:b/>
          <w:color w:val="auto"/>
          <w:szCs w:val="21"/>
          <w:highlight w:val="none"/>
          <w:u w:val="single"/>
          <w:lang w:val="zh-CN"/>
        </w:rPr>
      </w:pPr>
      <w:r>
        <w:rPr>
          <w:rFonts w:hint="eastAsia" w:ascii="宋体" w:hAnsi="宋体" w:eastAsia="宋体" w:cs="宋体"/>
          <w:b/>
          <w:color w:val="auto"/>
          <w:kern w:val="0"/>
          <w:szCs w:val="21"/>
          <w:highlight w:val="none"/>
          <w:lang w:val="zh-CN"/>
        </w:rPr>
        <w:t xml:space="preserve">2.3 </w:t>
      </w:r>
      <w:r>
        <w:rPr>
          <w:rFonts w:hint="eastAsia" w:ascii="宋体" w:hAnsi="宋体" w:eastAsia="宋体" w:cs="宋体"/>
          <w:b/>
          <w:color w:val="auto"/>
          <w:kern w:val="0"/>
          <w:szCs w:val="21"/>
          <w:highlight w:val="none"/>
          <w:u w:val="single"/>
          <w:lang w:val="zh-CN"/>
        </w:rPr>
        <w:t>投标人</w:t>
      </w:r>
      <w:r>
        <w:rPr>
          <w:rFonts w:hint="eastAsia" w:ascii="宋体" w:hAnsi="宋体" w:eastAsia="宋体" w:cs="宋体"/>
          <w:b/>
          <w:color w:val="auto"/>
          <w:szCs w:val="21"/>
          <w:highlight w:val="none"/>
          <w:u w:val="single"/>
          <w:lang w:val="zh-CN"/>
        </w:rPr>
        <w:t>符合《中华人民共和国招标投标法》第二十六条规定。</w:t>
      </w:r>
    </w:p>
    <w:p>
      <w:pPr>
        <w:autoSpaceDE w:val="0"/>
        <w:autoSpaceDN w:val="0"/>
        <w:adjustRightInd w:val="0"/>
        <w:spacing w:line="360" w:lineRule="auto"/>
        <w:ind w:left="214" w:leftChars="-99" w:hanging="422" w:hanging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2.4 </w:t>
      </w:r>
      <w:r>
        <w:rPr>
          <w:rFonts w:hint="eastAsia" w:ascii="宋体" w:hAnsi="宋体" w:eastAsia="宋体" w:cs="宋体"/>
          <w:b/>
          <w:color w:val="auto"/>
          <w:kern w:val="0"/>
          <w:szCs w:val="21"/>
          <w:highlight w:val="none"/>
          <w:u w:val="single"/>
        </w:rPr>
        <w:t>投标人（含其不具有独立法人资格的分支机构）未被列入“信用中国”网站（ www.creditchina.gov.cn）失信被执行人、重大税收违法失信主体、</w:t>
      </w:r>
      <w:r>
        <w:rPr>
          <w:rFonts w:hint="eastAsia" w:ascii="宋体" w:hAnsi="宋体" w:eastAsia="宋体" w:cs="宋体"/>
          <w:b/>
          <w:color w:val="auto"/>
          <w:kern w:val="0"/>
          <w:szCs w:val="21"/>
          <w:highlight w:val="none"/>
          <w:u w:val="single"/>
          <w:lang w:val="en-US" w:eastAsia="zh-CN"/>
        </w:rPr>
        <w:t>政府采购</w:t>
      </w:r>
      <w:r>
        <w:rPr>
          <w:rFonts w:hint="eastAsia" w:ascii="宋体" w:hAnsi="宋体" w:eastAsia="宋体" w:cs="宋体"/>
          <w:b/>
          <w:color w:val="auto"/>
          <w:kern w:val="0"/>
          <w:szCs w:val="21"/>
          <w:highlight w:val="none"/>
          <w:u w:val="single"/>
        </w:rPr>
        <w:t>严重违法失信行为记录名单（处罚期限届满的除外）。</w:t>
      </w:r>
    </w:p>
    <w:p>
      <w:pPr>
        <w:autoSpaceDE w:val="0"/>
        <w:autoSpaceDN w:val="0"/>
        <w:adjustRightInd w:val="0"/>
        <w:spacing w:line="360" w:lineRule="auto"/>
        <w:ind w:left="212" w:leftChars="-100" w:hanging="422" w:hangingChars="200"/>
        <w:rPr>
          <w:rFonts w:hint="eastAsia" w:ascii="宋体" w:hAnsi="宋体" w:eastAsia="宋体" w:cs="宋体"/>
          <w:b/>
          <w:color w:val="auto"/>
          <w:kern w:val="0"/>
          <w:szCs w:val="21"/>
          <w:highlight w:val="none"/>
          <w:u w:val="singl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u w:val="singl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u w:val="single"/>
          <w:lang w:val="zh-CN"/>
        </w:rPr>
        <w:t>。</w:t>
      </w:r>
    </w:p>
    <w:p>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49" w:name="_Toc142508315"/>
      <w:bookmarkStart w:id="50" w:name="_Toc23847_WPSOffice_Level3"/>
      <w:bookmarkStart w:id="51" w:name="_Toc19774"/>
      <w:bookmarkStart w:id="52" w:name="_Toc9331"/>
      <w:bookmarkStart w:id="53" w:name="_Toc1018"/>
      <w:bookmarkStart w:id="54" w:name="_Toc16100"/>
      <w:bookmarkStart w:id="55" w:name="_Toc11689"/>
      <w:bookmarkStart w:id="56" w:name="_Toc450662851"/>
      <w:bookmarkStart w:id="57" w:name="_Toc486167665"/>
      <w:r>
        <w:rPr>
          <w:rFonts w:hint="eastAsia" w:ascii="宋体" w:hAnsi="宋体" w:eastAsia="宋体" w:cs="宋体"/>
          <w:b/>
          <w:color w:val="auto"/>
          <w:szCs w:val="21"/>
          <w:highlight w:val="none"/>
          <w:lang w:val="zh-CN"/>
        </w:rPr>
        <w:t>3 合格的</w:t>
      </w:r>
      <w:bookmarkEnd w:id="49"/>
      <w:bookmarkEnd w:id="50"/>
      <w:r>
        <w:rPr>
          <w:rFonts w:hint="eastAsia" w:ascii="宋体" w:hAnsi="宋体" w:eastAsia="宋体" w:cs="宋体"/>
          <w:b/>
          <w:color w:val="auto"/>
          <w:szCs w:val="21"/>
          <w:highlight w:val="none"/>
          <w:lang w:val="en-US" w:eastAsia="zh-CN"/>
        </w:rPr>
        <w:t>服务</w:t>
      </w:r>
      <w:bookmarkEnd w:id="51"/>
      <w:bookmarkEnd w:id="52"/>
      <w:bookmarkEnd w:id="53"/>
      <w:bookmarkEnd w:id="54"/>
      <w:bookmarkEnd w:id="55"/>
    </w:p>
    <w:p>
      <w:pPr>
        <w:autoSpaceDE w:val="0"/>
        <w:autoSpaceDN w:val="0"/>
        <w:adjustRightInd w:val="0"/>
        <w:spacing w:line="360" w:lineRule="auto"/>
        <w:ind w:left="210" w:leftChars="-10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“服务”是指投标人按招标文件规定完成的全部服务内容，其中包括完成服务所需的货物和工程，及须承担的技术支持、培训和其它伴随服务。</w:t>
      </w:r>
    </w:p>
    <w:p>
      <w:pPr>
        <w:autoSpaceDE w:val="0"/>
        <w:autoSpaceDN w:val="0"/>
        <w:adjustRightInd w:val="0"/>
        <w:spacing w:line="360" w:lineRule="auto"/>
        <w:ind w:left="210" w:leftChars="-100" w:hanging="420" w:hangingChars="200"/>
        <w:rPr>
          <w:rFonts w:hint="eastAsia" w:ascii="宋体" w:hAnsi="宋体" w:eastAsia="宋体" w:cs="宋体"/>
          <w:color w:val="auto"/>
          <w:szCs w:val="21"/>
          <w:highlight w:val="none"/>
          <w:lang w:val="zh-CN"/>
        </w:rPr>
      </w:pPr>
      <w:bookmarkStart w:id="58" w:name="_Toc533708063"/>
      <w:bookmarkStart w:id="59" w:name="_Toc1977663"/>
      <w:r>
        <w:rPr>
          <w:rFonts w:hint="eastAsia" w:ascii="宋体" w:hAnsi="宋体" w:eastAsia="宋体" w:cs="宋体"/>
          <w:color w:val="auto"/>
          <w:szCs w:val="21"/>
          <w:highlight w:val="none"/>
          <w:lang w:val="zh-CN"/>
        </w:rPr>
        <w:t xml:space="preserve">3.2 </w:t>
      </w:r>
      <w:bookmarkEnd w:id="58"/>
      <w:bookmarkEnd w:id="59"/>
      <w:bookmarkStart w:id="60" w:name="_Toc1977665"/>
      <w:bookmarkStart w:id="61" w:name="_Toc5337080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60"/>
      <w:bookmarkEnd w:id="61"/>
    </w:p>
    <w:p>
      <w:pPr>
        <w:autoSpaceDE w:val="0"/>
        <w:autoSpaceDN w:val="0"/>
        <w:adjustRightInd w:val="0"/>
        <w:spacing w:line="360" w:lineRule="auto"/>
        <w:ind w:left="210" w:leftChars="-100" w:hanging="420" w:hangingChars="200"/>
        <w:rPr>
          <w:rFonts w:hint="eastAsia" w:ascii="宋体" w:hAnsi="宋体" w:eastAsia="宋体" w:cs="宋体"/>
          <w:color w:val="auto"/>
          <w:szCs w:val="21"/>
          <w:highlight w:val="none"/>
          <w:lang w:val="zh-CN"/>
        </w:rPr>
      </w:pPr>
      <w:bookmarkStart w:id="62" w:name="_Toc533708066"/>
      <w:bookmarkStart w:id="63"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62"/>
      <w:bookmarkEnd w:id="63"/>
      <w:bookmarkStart w:id="64" w:name="_Toc1977667"/>
      <w:bookmarkStart w:id="65" w:name="_Toc5337080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64"/>
      <w:bookmarkEnd w:id="65"/>
    </w:p>
    <w:p>
      <w:pPr>
        <w:autoSpaceDE w:val="0"/>
        <w:autoSpaceDN w:val="0"/>
        <w:adjustRightInd w:val="0"/>
        <w:spacing w:line="360" w:lineRule="auto"/>
        <w:ind w:left="210" w:leftChars="-100" w:hanging="420" w:hangingChars="200"/>
        <w:rPr>
          <w:rFonts w:hint="eastAsia" w:ascii="宋体" w:hAnsi="宋体" w:eastAsia="宋体" w:cs="宋体"/>
          <w:color w:val="auto"/>
          <w:szCs w:val="21"/>
          <w:highlight w:val="none"/>
          <w:lang w:val="zh-CN"/>
        </w:rPr>
      </w:pPr>
      <w:bookmarkStart w:id="66" w:name="_Toc533708068"/>
      <w:bookmarkStart w:id="67"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66"/>
      <w:bookmarkEnd w:id="67"/>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pPr>
        <w:autoSpaceDE w:val="0"/>
        <w:autoSpaceDN w:val="0"/>
        <w:adjustRightInd w:val="0"/>
        <w:spacing w:line="360" w:lineRule="auto"/>
        <w:jc w:val="left"/>
        <w:rPr>
          <w:rFonts w:hint="eastAsia"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68" w:name="_Toc20576"/>
      <w:bookmarkStart w:id="69" w:name="_Toc11533"/>
      <w:bookmarkStart w:id="70" w:name="_Toc3404"/>
      <w:bookmarkStart w:id="71" w:name="_Toc9658_WPSOffice_Level3"/>
      <w:bookmarkStart w:id="72" w:name="_Toc9753"/>
      <w:bookmarkStart w:id="73" w:name="_Toc142508316"/>
      <w:bookmarkStart w:id="74" w:name="_Toc23302"/>
      <w:r>
        <w:rPr>
          <w:rFonts w:hint="eastAsia" w:ascii="宋体" w:hAnsi="宋体" w:eastAsia="宋体" w:cs="宋体"/>
          <w:color w:val="auto"/>
          <w:szCs w:val="21"/>
          <w:highlight w:val="none"/>
          <w:lang w:val="zh-CN"/>
        </w:rPr>
        <w:t>4 其它说明</w:t>
      </w:r>
      <w:bookmarkEnd w:id="68"/>
      <w:bookmarkEnd w:id="69"/>
      <w:bookmarkEnd w:id="70"/>
      <w:bookmarkEnd w:id="71"/>
      <w:bookmarkEnd w:id="72"/>
      <w:bookmarkEnd w:id="73"/>
      <w:bookmarkEnd w:id="74"/>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5" w:name="_Toc533708070"/>
      <w:bookmarkStart w:id="76" w:name="_Toc1977670"/>
      <w:r>
        <w:rPr>
          <w:rFonts w:hint="eastAsia" w:ascii="宋体" w:hAnsi="宋体" w:eastAsia="宋体" w:cs="宋体"/>
          <w:color w:val="auto"/>
          <w:szCs w:val="21"/>
          <w:highlight w:val="none"/>
          <w:lang w:val="zh-CN"/>
        </w:rPr>
        <w:t>4.1 投标费用</w:t>
      </w:r>
      <w:bookmarkEnd w:id="75"/>
      <w:bookmarkEnd w:id="76"/>
    </w:p>
    <w:p>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77" w:name="_Toc533708072"/>
      <w:bookmarkStart w:id="78"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77"/>
      <w:bookmarkEnd w:id="78"/>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9" w:name="_Toc1977673"/>
      <w:bookmarkStart w:id="80" w:name="_Toc533708073"/>
      <w:r>
        <w:rPr>
          <w:rFonts w:hint="eastAsia" w:ascii="宋体" w:hAnsi="宋体" w:eastAsia="宋体" w:cs="宋体"/>
          <w:color w:val="auto"/>
          <w:szCs w:val="21"/>
          <w:highlight w:val="none"/>
          <w:lang w:val="zh-CN"/>
        </w:rPr>
        <w:t>4.2 踏勘现场</w:t>
      </w:r>
      <w:bookmarkEnd w:id="79"/>
      <w:bookmarkEnd w:id="80"/>
    </w:p>
    <w:p>
      <w:pPr>
        <w:autoSpaceDE w:val="0"/>
        <w:autoSpaceDN w:val="0"/>
        <w:adjustRightInd w:val="0"/>
        <w:spacing w:line="360" w:lineRule="auto"/>
        <w:ind w:left="399" w:leftChars="-60" w:hanging="525" w:hangingChars="250"/>
        <w:jc w:val="left"/>
        <w:rPr>
          <w:rFonts w:hint="eastAsia" w:ascii="宋体" w:hAnsi="宋体" w:eastAsia="宋体" w:cs="宋体"/>
          <w:color w:val="auto"/>
          <w:kern w:val="0"/>
          <w:szCs w:val="21"/>
          <w:highlight w:val="none"/>
        </w:rPr>
      </w:pPr>
      <w:bookmarkStart w:id="81" w:name="_Toc533708076"/>
      <w:bookmarkStart w:id="82" w:name="_Toc1977676"/>
      <w:r>
        <w:rPr>
          <w:rFonts w:hint="eastAsia" w:ascii="宋体" w:hAnsi="宋体" w:eastAsia="宋体" w:cs="宋体"/>
          <w:color w:val="auto"/>
          <w:kern w:val="0"/>
          <w:szCs w:val="21"/>
          <w:highlight w:val="none"/>
        </w:rPr>
        <w:t>（1）本项目不组织集中踏勘现场和答疑，投标人应自行到实地踏勘考察。</w:t>
      </w:r>
    </w:p>
    <w:p>
      <w:pPr>
        <w:autoSpaceDE w:val="0"/>
        <w:autoSpaceDN w:val="0"/>
        <w:adjustRightInd w:val="0"/>
        <w:spacing w:line="360" w:lineRule="auto"/>
        <w:ind w:left="399" w:leftChars="-6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pPr>
        <w:spacing w:line="360" w:lineRule="auto"/>
        <w:ind w:left="399" w:leftChars="-60" w:hanging="525" w:hanging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99" w:leftChars="-60" w:hanging="525" w:hanging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纪律与保密事项</w:t>
      </w:r>
      <w:bookmarkEnd w:id="56"/>
      <w:bookmarkEnd w:id="57"/>
      <w:bookmarkEnd w:id="81"/>
      <w:bookmarkEnd w:id="82"/>
    </w:p>
    <w:p>
      <w:pPr>
        <w:autoSpaceDE w:val="0"/>
        <w:autoSpaceDN w:val="0"/>
        <w:adjustRightInd w:val="0"/>
        <w:spacing w:line="360" w:lineRule="auto"/>
        <w:ind w:left="399" w:leftChars="-6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pPr>
        <w:autoSpaceDE w:val="0"/>
        <w:autoSpaceDN w:val="0"/>
        <w:adjustRightInd w:val="0"/>
        <w:spacing w:line="360" w:lineRule="auto"/>
        <w:ind w:left="399" w:leftChars="-6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399" w:leftChars="-6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399" w:leftChars="-6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399" w:leftChars="-6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83" w:name="_Toc140596876"/>
      <w:bookmarkStart w:id="84" w:name="_Toc23213"/>
      <w:bookmarkStart w:id="85" w:name="_Toc1370"/>
      <w:bookmarkStart w:id="86" w:name="_Toc1565"/>
      <w:bookmarkStart w:id="87" w:name="_Toc25995"/>
      <w:bookmarkStart w:id="88" w:name="_Toc142508317"/>
      <w:bookmarkStart w:id="89" w:name="_Toc450662853"/>
      <w:bookmarkStart w:id="90" w:name="_Toc5395"/>
      <w:bookmarkStart w:id="91" w:name="_Toc486167667"/>
      <w:bookmarkStart w:id="92" w:name="_Toc30507_WPSOffice_Level2"/>
      <w:r>
        <w:rPr>
          <w:rFonts w:hint="eastAsia" w:ascii="宋体" w:hAnsi="宋体" w:eastAsia="宋体" w:cs="宋体"/>
          <w:b/>
          <w:bCs/>
          <w:color w:val="auto"/>
          <w:kern w:val="44"/>
          <w:szCs w:val="21"/>
          <w:highlight w:val="none"/>
          <w:lang w:val="zh-CN"/>
        </w:rPr>
        <w:t>二、招标文件</w:t>
      </w:r>
      <w:bookmarkEnd w:id="83"/>
      <w:bookmarkEnd w:id="84"/>
      <w:bookmarkEnd w:id="85"/>
      <w:bookmarkEnd w:id="86"/>
      <w:bookmarkEnd w:id="87"/>
      <w:bookmarkEnd w:id="88"/>
      <w:bookmarkEnd w:id="89"/>
      <w:bookmarkEnd w:id="90"/>
      <w:bookmarkEnd w:id="91"/>
      <w:bookmarkEnd w:id="92"/>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3" w:name="_Toc12003"/>
      <w:bookmarkStart w:id="94" w:name="_Toc2406"/>
      <w:bookmarkStart w:id="95" w:name="_Toc3978"/>
      <w:bookmarkStart w:id="96" w:name="_Toc17512"/>
      <w:bookmarkStart w:id="97" w:name="_Toc142508318"/>
      <w:bookmarkStart w:id="98" w:name="_Toc450662854"/>
      <w:bookmarkStart w:id="99" w:name="_Toc26635_WPSOffice_Level3"/>
      <w:bookmarkStart w:id="100" w:name="_Toc486167668"/>
      <w:bookmarkStart w:id="101" w:name="_Toc28893"/>
      <w:r>
        <w:rPr>
          <w:rFonts w:hint="eastAsia" w:ascii="宋体" w:hAnsi="宋体" w:eastAsia="宋体" w:cs="宋体"/>
          <w:color w:val="auto"/>
          <w:szCs w:val="21"/>
          <w:highlight w:val="none"/>
          <w:lang w:val="zh-CN"/>
        </w:rPr>
        <w:t>5 招标文件的构成</w:t>
      </w:r>
      <w:bookmarkEnd w:id="93"/>
      <w:bookmarkEnd w:id="94"/>
      <w:bookmarkEnd w:id="95"/>
      <w:bookmarkEnd w:id="96"/>
      <w:bookmarkEnd w:id="97"/>
      <w:bookmarkEnd w:id="98"/>
      <w:bookmarkEnd w:id="99"/>
      <w:bookmarkEnd w:id="100"/>
      <w:bookmarkEnd w:id="101"/>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210" w:firstLineChars="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pPr>
        <w:tabs>
          <w:tab w:val="left" w:pos="1890"/>
        </w:tabs>
        <w:autoSpaceDE w:val="0"/>
        <w:autoSpaceDN w:val="0"/>
        <w:adjustRightInd w:val="0"/>
        <w:spacing w:line="360" w:lineRule="auto"/>
        <w:ind w:firstLine="210" w:firstLineChars="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pPr>
        <w:tabs>
          <w:tab w:val="left" w:pos="1890"/>
        </w:tabs>
        <w:autoSpaceDE w:val="0"/>
        <w:autoSpaceDN w:val="0"/>
        <w:adjustRightInd w:val="0"/>
        <w:spacing w:line="360" w:lineRule="auto"/>
        <w:ind w:firstLine="210" w:firstLineChars="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pPr>
        <w:tabs>
          <w:tab w:val="left" w:pos="1890"/>
        </w:tabs>
        <w:autoSpaceDE w:val="0"/>
        <w:autoSpaceDN w:val="0"/>
        <w:adjustRightInd w:val="0"/>
        <w:spacing w:line="360" w:lineRule="auto"/>
        <w:ind w:firstLine="210" w:firstLineChars="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pPr>
        <w:tabs>
          <w:tab w:val="left" w:pos="1890"/>
        </w:tabs>
        <w:autoSpaceDE w:val="0"/>
        <w:autoSpaceDN w:val="0"/>
        <w:adjustRightInd w:val="0"/>
        <w:spacing w:line="360" w:lineRule="auto"/>
        <w:ind w:firstLine="210" w:firstLineChars="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pPr>
        <w:tabs>
          <w:tab w:val="left" w:pos="1890"/>
        </w:tabs>
        <w:autoSpaceDE w:val="0"/>
        <w:autoSpaceDN w:val="0"/>
        <w:adjustRightInd w:val="0"/>
        <w:spacing w:line="360" w:lineRule="auto"/>
        <w:ind w:firstLine="210" w:firstLineChars="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pPr>
        <w:tabs>
          <w:tab w:val="left" w:pos="1890"/>
        </w:tabs>
        <w:autoSpaceDE w:val="0"/>
        <w:autoSpaceDN w:val="0"/>
        <w:adjustRightInd w:val="0"/>
        <w:spacing w:line="360" w:lineRule="auto"/>
        <w:ind w:firstLine="210" w:firstLineChars="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autoSpaceDN/>
        <w:adjustRightInd w:val="0"/>
        <w:spacing w:line="360" w:lineRule="auto"/>
        <w:ind w:left="212" w:leftChars="-99" w:hanging="420" w:hangingChars="200"/>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kern w:val="0"/>
          <w:szCs w:val="21"/>
          <w:highlight w:val="none"/>
          <w:lang w:eastAsia="zh-CN"/>
        </w:rPr>
        <w:t>东莞市利源有机资源再生利用有限公司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kern w:val="0"/>
          <w:szCs w:val="21"/>
          <w:highlight w:val="none"/>
          <w:lang w:eastAsia="zh-CN"/>
        </w:rPr>
        <w:t>三方诚信招标有限公司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left="399" w:leftChars="-6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（3）“投标人”指在参加</w:t>
      </w:r>
      <w:r>
        <w:rPr>
          <w:rFonts w:hint="eastAsia" w:ascii="宋体" w:hAnsi="宋体" w:eastAsia="宋体" w:cs="宋体"/>
          <w:color w:val="auto"/>
          <w:kern w:val="0"/>
          <w:szCs w:val="21"/>
          <w:highlight w:val="none"/>
          <w:lang w:eastAsia="zh-CN"/>
        </w:rPr>
        <w:t>东莞市利源有机资源再生利用有限公司2024-2025年餐厨垃圾收运服务采购项目</w:t>
      </w:r>
      <w:r>
        <w:rPr>
          <w:rFonts w:hint="eastAsia" w:ascii="宋体" w:hAnsi="宋体" w:eastAsia="宋体" w:cs="宋体"/>
          <w:color w:val="auto"/>
          <w:kern w:val="0"/>
          <w:szCs w:val="21"/>
          <w:highlight w:val="none"/>
        </w:rPr>
        <w:t>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w:t>
      </w:r>
      <w:r>
        <w:rPr>
          <w:rFonts w:hint="eastAsia" w:ascii="宋体" w:hAnsi="宋体" w:eastAsia="宋体" w:cs="宋体"/>
          <w:color w:val="auto"/>
          <w:kern w:val="0"/>
          <w:szCs w:val="21"/>
          <w:highlight w:val="none"/>
          <w:lang w:eastAsia="zh-CN"/>
        </w:rPr>
        <w:t>东莞市利源有机资源再生利用有限公司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（8）“招标文件”指由招标代理机构发出的本招标文件，包括全部章节和附件；</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pPr>
        <w:autoSpaceDE/>
        <w:autoSpaceDN/>
        <w:adjustRightInd w:val="0"/>
        <w:spacing w:line="360" w:lineRule="auto"/>
        <w:ind w:left="504" w:leftChars="-6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2" w:name="_Toc11346"/>
      <w:bookmarkStart w:id="103" w:name="_Toc450662855"/>
      <w:bookmarkStart w:id="104" w:name="_Toc29125_WPSOffice_Level3"/>
      <w:bookmarkStart w:id="105" w:name="_Toc1433"/>
      <w:bookmarkStart w:id="106" w:name="_Toc5261"/>
      <w:bookmarkStart w:id="107" w:name="_Toc3727"/>
      <w:bookmarkStart w:id="108" w:name="_Toc486167669"/>
      <w:bookmarkStart w:id="109" w:name="_Toc142508319"/>
      <w:bookmarkStart w:id="110" w:name="_Toc4227"/>
      <w:r>
        <w:rPr>
          <w:rFonts w:hint="eastAsia" w:ascii="宋体" w:hAnsi="宋体" w:eastAsia="宋体" w:cs="宋体"/>
          <w:color w:val="auto"/>
          <w:szCs w:val="21"/>
          <w:highlight w:val="none"/>
          <w:lang w:val="zh-CN"/>
        </w:rPr>
        <w:t>6 招标文件的异议</w:t>
      </w:r>
      <w:bookmarkEnd w:id="102"/>
      <w:bookmarkEnd w:id="103"/>
      <w:bookmarkEnd w:id="104"/>
      <w:bookmarkEnd w:id="105"/>
      <w:bookmarkEnd w:id="106"/>
      <w:bookmarkEnd w:id="107"/>
      <w:bookmarkEnd w:id="108"/>
      <w:bookmarkEnd w:id="109"/>
      <w:bookmarkEnd w:id="110"/>
    </w:p>
    <w:p>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1" w:name="_Toc29864"/>
      <w:bookmarkStart w:id="112" w:name="_Toc142508320"/>
      <w:bookmarkStart w:id="113" w:name="_Toc26081"/>
      <w:bookmarkStart w:id="114" w:name="_Toc486167670"/>
      <w:bookmarkStart w:id="115" w:name="_Toc450662856"/>
      <w:bookmarkStart w:id="116" w:name="_Toc39"/>
      <w:bookmarkStart w:id="117" w:name="_Toc27165"/>
      <w:bookmarkStart w:id="118" w:name="_Toc17145"/>
      <w:bookmarkStart w:id="119" w:name="_Toc23483_WPSOffice_Level3"/>
      <w:r>
        <w:rPr>
          <w:rFonts w:hint="eastAsia" w:ascii="宋体" w:hAnsi="宋体" w:eastAsia="宋体" w:cs="宋体"/>
          <w:color w:val="auto"/>
          <w:szCs w:val="21"/>
          <w:highlight w:val="none"/>
          <w:lang w:val="zh-CN"/>
        </w:rPr>
        <w:t>7 招标文件的澄清及修改</w:t>
      </w:r>
      <w:bookmarkEnd w:id="111"/>
      <w:bookmarkEnd w:id="112"/>
      <w:bookmarkEnd w:id="113"/>
      <w:bookmarkEnd w:id="114"/>
      <w:bookmarkEnd w:id="115"/>
      <w:bookmarkEnd w:id="116"/>
      <w:bookmarkEnd w:id="117"/>
      <w:bookmarkEnd w:id="118"/>
      <w:bookmarkEnd w:id="119"/>
    </w:p>
    <w:p>
      <w:pPr>
        <w:tabs>
          <w:tab w:val="left" w:pos="567"/>
        </w:tabs>
        <w:autoSpaceDE/>
        <w:autoSpaceDN/>
        <w:adjustRightInd w:val="0"/>
        <w:spacing w:line="360" w:lineRule="auto"/>
        <w:ind w:left="210" w:leftChars="-10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pPr>
        <w:autoSpaceDE/>
        <w:autoSpaceDN/>
        <w:adjustRightInd w:val="0"/>
        <w:spacing w:line="360" w:lineRule="auto"/>
        <w:ind w:left="210" w:leftChars="-10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autoSpaceDN/>
        <w:adjustRightInd w:val="0"/>
        <w:spacing w:line="360" w:lineRule="auto"/>
        <w:ind w:left="210" w:leftChars="-10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color w:val="auto"/>
          <w:szCs w:val="21"/>
          <w:highlight w:val="none"/>
          <w:lang w:val="zh-CN"/>
        </w:rPr>
        <w:t>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4"/>
          <w:rFonts w:hint="eastAsia" w:ascii="宋体" w:hAnsi="宋体" w:eastAsia="宋体" w:cs="宋体"/>
          <w:color w:val="auto"/>
          <w:sz w:val="21"/>
          <w:szCs w:val="21"/>
          <w:highlight w:val="none"/>
        </w:rPr>
        <w:t>www.dgswjt.cn）</w:t>
      </w:r>
      <w:r>
        <w:rPr>
          <w:rStyle w:val="44"/>
          <w:rFonts w:hint="eastAsia" w:ascii="宋体" w:hAnsi="宋体" w:eastAsia="宋体" w:cs="宋体"/>
          <w:color w:val="auto"/>
          <w:sz w:val="21"/>
          <w:szCs w:val="21"/>
          <w:highlight w:val="none"/>
          <w:lang w:val="zh-CN"/>
        </w:rPr>
        <w:t>、</w:t>
      </w:r>
      <w:r>
        <w:rPr>
          <w:rStyle w:val="44"/>
          <w:rFonts w:hint="eastAsia" w:ascii="宋体" w:hAnsi="宋体" w:eastAsia="宋体" w:cs="宋体"/>
          <w:bCs/>
          <w:color w:val="auto"/>
          <w:kern w:val="0"/>
          <w:sz w:val="21"/>
          <w:szCs w:val="21"/>
          <w:highlight w:val="none"/>
        </w:rPr>
        <w:t>招标代理</w:t>
      </w:r>
      <w:r>
        <w:rPr>
          <w:rStyle w:val="44"/>
          <w:rFonts w:hint="eastAsia" w:ascii="宋体" w:hAnsi="宋体" w:eastAsia="宋体" w:cs="宋体"/>
          <w:bCs/>
          <w:color w:val="auto"/>
          <w:kern w:val="0"/>
          <w:sz w:val="21"/>
          <w:szCs w:val="21"/>
          <w:highlight w:val="none"/>
          <w:lang w:val="en-US" w:eastAsia="zh-CN"/>
        </w:rPr>
        <w:t>机构</w:t>
      </w:r>
      <w:r>
        <w:rPr>
          <w:rStyle w:val="44"/>
          <w:rFonts w:hint="eastAsia" w:ascii="宋体" w:hAnsi="宋体" w:eastAsia="宋体" w:cs="宋体"/>
          <w:bCs/>
          <w:color w:val="auto"/>
          <w:kern w:val="0"/>
          <w:sz w:val="21"/>
          <w:szCs w:val="21"/>
          <w:highlight w:val="none"/>
        </w:rPr>
        <w:t>网站（</w:t>
      </w:r>
      <w:r>
        <w:rPr>
          <w:rFonts w:hint="eastAsia" w:ascii="宋体" w:hAnsi="宋体" w:eastAsia="宋体" w:cs="宋体"/>
          <w:bCs/>
          <w:color w:val="auto"/>
          <w:szCs w:val="21"/>
          <w:highlight w:val="none"/>
        </w:rPr>
        <w:t>www.sfcx.cn</w:t>
      </w:r>
      <w:r>
        <w:rPr>
          <w:rStyle w:val="44"/>
          <w:rFonts w:hint="eastAsia" w:ascii="宋体" w:hAnsi="宋体" w:eastAsia="宋体" w:cs="宋体"/>
          <w:bCs/>
          <w:color w:val="auto"/>
          <w:kern w:val="0"/>
          <w:sz w:val="21"/>
          <w:szCs w:val="21"/>
          <w:highlight w:val="none"/>
        </w:rPr>
        <w:t>）</w:t>
      </w:r>
      <w:r>
        <w:rPr>
          <w:rStyle w:val="44"/>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20" w:name="_Toc23342"/>
      <w:bookmarkStart w:id="121" w:name="_Toc450662857"/>
      <w:bookmarkStart w:id="122" w:name="_Toc12169"/>
      <w:bookmarkStart w:id="123" w:name="_Toc486167671"/>
      <w:bookmarkStart w:id="124" w:name="_Toc140596880"/>
      <w:bookmarkStart w:id="125" w:name="_Toc27196"/>
      <w:bookmarkStart w:id="126" w:name="_Toc31630"/>
      <w:bookmarkStart w:id="127" w:name="_Toc8711"/>
      <w:bookmarkStart w:id="128" w:name="_Toc142508321"/>
      <w:bookmarkStart w:id="129" w:name="_Toc29659_WPSOffice_Level2"/>
      <w:r>
        <w:rPr>
          <w:rFonts w:hint="eastAsia" w:ascii="宋体" w:hAnsi="宋体" w:eastAsia="宋体" w:cs="宋体"/>
          <w:b/>
          <w:bCs/>
          <w:color w:val="auto"/>
          <w:kern w:val="44"/>
          <w:szCs w:val="21"/>
          <w:highlight w:val="none"/>
          <w:lang w:val="zh-CN"/>
        </w:rPr>
        <w:t>三、投标文件的编制</w:t>
      </w:r>
      <w:bookmarkEnd w:id="120"/>
      <w:bookmarkEnd w:id="121"/>
      <w:bookmarkEnd w:id="122"/>
      <w:bookmarkEnd w:id="123"/>
      <w:bookmarkEnd w:id="124"/>
      <w:bookmarkEnd w:id="125"/>
      <w:bookmarkEnd w:id="126"/>
      <w:bookmarkEnd w:id="127"/>
      <w:bookmarkEnd w:id="128"/>
      <w:bookmarkEnd w:id="129"/>
    </w:p>
    <w:p>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0" w:name="_Toc24427"/>
      <w:bookmarkStart w:id="131" w:name="_Toc6244"/>
      <w:bookmarkStart w:id="132" w:name="_Toc486167672"/>
      <w:bookmarkStart w:id="133" w:name="_Toc450662858"/>
      <w:bookmarkStart w:id="134" w:name="_Toc31162"/>
      <w:bookmarkStart w:id="135" w:name="_Toc20694"/>
      <w:bookmarkStart w:id="136" w:name="_Toc142508322"/>
      <w:bookmarkStart w:id="137" w:name="_Toc10015_WPSOffice_Level3"/>
      <w:bookmarkStart w:id="138" w:name="_Toc3827"/>
      <w:r>
        <w:rPr>
          <w:rFonts w:hint="eastAsia" w:ascii="宋体" w:hAnsi="宋体" w:eastAsia="宋体" w:cs="宋体"/>
          <w:color w:val="auto"/>
          <w:szCs w:val="21"/>
          <w:highlight w:val="none"/>
          <w:lang w:val="zh-CN"/>
        </w:rPr>
        <w:t>8 投标使用的文字及度量衡单位</w:t>
      </w:r>
      <w:bookmarkEnd w:id="130"/>
      <w:bookmarkEnd w:id="131"/>
      <w:bookmarkEnd w:id="132"/>
      <w:bookmarkEnd w:id="133"/>
      <w:bookmarkEnd w:id="134"/>
      <w:bookmarkEnd w:id="135"/>
      <w:bookmarkEnd w:id="136"/>
      <w:bookmarkEnd w:id="137"/>
      <w:bookmarkEnd w:id="138"/>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hint="eastAsia"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39" w:name="_Toc26462"/>
      <w:bookmarkStart w:id="140" w:name="_Toc3220"/>
      <w:bookmarkStart w:id="141" w:name="_Toc450662859"/>
      <w:bookmarkStart w:id="142" w:name="_Toc14943"/>
      <w:bookmarkStart w:id="143" w:name="_Toc24916_WPSOffice_Level3"/>
      <w:bookmarkStart w:id="144" w:name="_Toc142508323"/>
      <w:bookmarkStart w:id="145" w:name="_Toc486167673"/>
      <w:bookmarkStart w:id="146" w:name="_Toc21110"/>
      <w:bookmarkStart w:id="147" w:name="_Toc7348"/>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39"/>
      <w:bookmarkEnd w:id="140"/>
      <w:bookmarkEnd w:id="141"/>
      <w:bookmarkEnd w:id="142"/>
      <w:bookmarkEnd w:id="143"/>
      <w:bookmarkEnd w:id="144"/>
      <w:bookmarkEnd w:id="145"/>
      <w:bookmarkEnd w:id="146"/>
      <w:bookmarkEnd w:id="147"/>
    </w:p>
    <w:p>
      <w:pPr>
        <w:autoSpaceDE w:val="0"/>
        <w:autoSpaceDN w:val="0"/>
        <w:adjustRightInd w:val="0"/>
        <w:spacing w:line="360" w:lineRule="auto"/>
        <w:ind w:left="212" w:leftChars="-100" w:hanging="422" w:hanging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）资格业绩【投标人提供一份</w:t>
      </w:r>
      <w:r>
        <w:rPr>
          <w:rFonts w:hint="eastAsia" w:ascii="宋体" w:hAnsi="宋体" w:eastAsia="宋体" w:cs="宋体"/>
          <w:color w:val="auto"/>
          <w:szCs w:val="21"/>
          <w:highlight w:val="none"/>
          <w:lang w:val="en-US" w:eastAsia="zh-CN"/>
        </w:rPr>
        <w:t>2021</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日以来</w:t>
      </w:r>
      <w:r>
        <w:rPr>
          <w:rFonts w:hint="eastAsia" w:ascii="宋体" w:hAnsi="宋体" w:eastAsia="宋体" w:cs="宋体"/>
          <w:color w:val="auto"/>
          <w:szCs w:val="21"/>
          <w:highlight w:val="none"/>
          <w:lang w:val="en-US" w:eastAsia="zh-CN"/>
        </w:rPr>
        <w:t>具有</w:t>
      </w:r>
      <w:r>
        <w:rPr>
          <w:rFonts w:hint="eastAsia" w:ascii="宋体" w:hAnsi="宋体" w:eastAsia="宋体" w:cs="宋体"/>
          <w:b/>
          <w:bCs w:val="0"/>
          <w:color w:val="auto"/>
          <w:sz w:val="21"/>
          <w:szCs w:val="21"/>
          <w:highlight w:val="none"/>
          <w:lang w:val="zh-CN"/>
        </w:rPr>
        <w:t>餐厨废弃物或生活垃圾收运服务</w:t>
      </w:r>
      <w:r>
        <w:rPr>
          <w:rFonts w:hint="eastAsia" w:ascii="宋体" w:hAnsi="宋体" w:eastAsia="宋体" w:cs="宋体"/>
          <w:b/>
          <w:color w:val="auto"/>
          <w:szCs w:val="21"/>
          <w:highlight w:val="none"/>
        </w:rPr>
        <w:t>业绩</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val="en-US" w:eastAsia="zh-CN"/>
        </w:rPr>
        <w:t>2021</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日或以后），资格业绩证明材料提交要求详见招标文件第六篇投标文件格式</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lang w:val="zh-CN"/>
        </w:rPr>
        <w:t>标准化体系认证；</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总体服务方案</w:t>
      </w:r>
      <w:r>
        <w:rPr>
          <w:rFonts w:hint="eastAsia" w:ascii="宋体" w:hAnsi="宋体" w:eastAsia="宋体" w:cs="宋体"/>
          <w:color w:val="auto"/>
          <w:kern w:val="0"/>
          <w:szCs w:val="21"/>
          <w:highlight w:val="none"/>
          <w:lang w:val="zh-CN"/>
        </w:rPr>
        <w:t>；</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拟投入的人员情况；</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安全管理方案；</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）应急预案和保障措施</w:t>
      </w:r>
      <w:r>
        <w:rPr>
          <w:rFonts w:hint="eastAsia" w:ascii="宋体" w:hAnsi="宋体" w:eastAsia="宋体" w:cs="宋体"/>
          <w:color w:val="auto"/>
          <w:kern w:val="0"/>
          <w:szCs w:val="21"/>
          <w:highlight w:val="none"/>
          <w:lang w:eastAsia="zh-CN"/>
        </w:rPr>
        <w:t>；</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pPr>
        <w:autoSpaceDE w:val="0"/>
        <w:autoSpaceDN w:val="0"/>
        <w:adjustRightInd w:val="0"/>
        <w:spacing w:line="360" w:lineRule="auto"/>
        <w:ind w:left="422" w:leftChars="-100" w:hanging="632" w:hangingChars="300"/>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pPr>
        <w:autoSpaceDE w:val="0"/>
        <w:autoSpaceDN w:val="0"/>
        <w:adjustRightInd w:val="0"/>
        <w:spacing w:line="360" w:lineRule="auto"/>
        <w:ind w:left="35" w:leftChars="-118" w:hanging="283" w:hangingChars="1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210" w:leftChars="-10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210" w:leftChars="-10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8" w:name="_Toc486167674"/>
      <w:bookmarkStart w:id="149" w:name="_Toc450662860"/>
      <w:bookmarkStart w:id="150" w:name="_Toc27421"/>
      <w:bookmarkStart w:id="151" w:name="_Toc11170"/>
      <w:bookmarkStart w:id="152" w:name="_Toc13214"/>
      <w:bookmarkStart w:id="153" w:name="_Toc142508324"/>
      <w:bookmarkStart w:id="154" w:name="_Toc10212"/>
      <w:bookmarkStart w:id="155" w:name="_Toc8675_WPSOffice_Level3"/>
      <w:bookmarkStart w:id="156" w:name="_Toc31771"/>
      <w:r>
        <w:rPr>
          <w:rFonts w:hint="eastAsia" w:ascii="宋体" w:hAnsi="宋体" w:eastAsia="宋体" w:cs="宋体"/>
          <w:color w:val="auto"/>
          <w:szCs w:val="21"/>
          <w:highlight w:val="none"/>
          <w:lang w:val="zh-CN"/>
        </w:rPr>
        <w:t>10 投标函</w:t>
      </w:r>
      <w:bookmarkEnd w:id="148"/>
      <w:bookmarkEnd w:id="149"/>
      <w:bookmarkEnd w:id="150"/>
      <w:bookmarkEnd w:id="151"/>
      <w:bookmarkEnd w:id="152"/>
      <w:bookmarkEnd w:id="153"/>
      <w:bookmarkEnd w:id="154"/>
      <w:bookmarkEnd w:id="155"/>
      <w:bookmarkEnd w:id="156"/>
    </w:p>
    <w:p>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57" w:name="_Toc450662861"/>
      <w:bookmarkStart w:id="158" w:name="_Toc142508325"/>
      <w:bookmarkStart w:id="159" w:name="_Toc15514"/>
      <w:bookmarkStart w:id="160" w:name="_Toc486167675"/>
      <w:bookmarkStart w:id="161" w:name="_Toc20186"/>
      <w:bookmarkStart w:id="162" w:name="_Toc15427"/>
      <w:bookmarkStart w:id="163" w:name="_Toc2088"/>
      <w:bookmarkStart w:id="164" w:name="_Toc4385_WPSOffice_Level3"/>
      <w:bookmarkStart w:id="165" w:name="_Toc24311"/>
      <w:r>
        <w:rPr>
          <w:rFonts w:hint="eastAsia" w:ascii="宋体" w:hAnsi="宋体" w:eastAsia="宋体" w:cs="宋体"/>
          <w:color w:val="auto"/>
          <w:szCs w:val="21"/>
          <w:highlight w:val="none"/>
          <w:lang w:val="zh-CN"/>
        </w:rPr>
        <w:t>11 投标报价</w:t>
      </w:r>
      <w:bookmarkEnd w:id="157"/>
      <w:bookmarkEnd w:id="158"/>
      <w:bookmarkEnd w:id="159"/>
      <w:bookmarkEnd w:id="160"/>
      <w:bookmarkEnd w:id="161"/>
      <w:bookmarkEnd w:id="162"/>
      <w:bookmarkEnd w:id="163"/>
      <w:bookmarkEnd w:id="164"/>
      <w:bookmarkEnd w:id="165"/>
    </w:p>
    <w:p>
      <w:pPr>
        <w:tabs>
          <w:tab w:val="left" w:pos="567"/>
        </w:tabs>
        <w:autoSpaceDE/>
        <w:autoSpaceDN/>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color w:val="auto"/>
          <w:szCs w:val="21"/>
          <w:highlight w:val="none"/>
          <w:u w:val="single"/>
          <w:lang w:val="zh-CN"/>
        </w:rPr>
        <w:t>本项目只允许有一个报价价格，任何有选择的或</w:t>
      </w:r>
      <w:r>
        <w:rPr>
          <w:rFonts w:hint="eastAsia" w:ascii="宋体" w:hAnsi="宋体" w:eastAsia="宋体" w:cs="宋体"/>
          <w:b/>
          <w:color w:val="auto"/>
          <w:kern w:val="0"/>
          <w:szCs w:val="21"/>
          <w:highlight w:val="none"/>
          <w:u w:val="single"/>
          <w:lang w:val="zh-CN"/>
        </w:rPr>
        <w:t>不是固定价的</w:t>
      </w:r>
      <w:r>
        <w:rPr>
          <w:rFonts w:hint="eastAsia" w:ascii="宋体" w:hAnsi="宋体" w:eastAsia="宋体" w:cs="宋体"/>
          <w:b/>
          <w:color w:val="auto"/>
          <w:szCs w:val="21"/>
          <w:highlight w:val="none"/>
          <w:u w:val="single"/>
          <w:lang w:val="zh-CN"/>
        </w:rPr>
        <w:t>投标报价将不予接受，</w:t>
      </w:r>
      <w:r>
        <w:rPr>
          <w:rFonts w:hint="eastAsia" w:ascii="宋体" w:hAnsi="宋体" w:eastAsia="宋体" w:cs="宋体"/>
          <w:b/>
          <w:color w:val="auto"/>
          <w:kern w:val="0"/>
          <w:szCs w:val="21"/>
          <w:highlight w:val="none"/>
          <w:u w:val="single"/>
          <w:lang w:val="zh-CN"/>
        </w:rPr>
        <w:t>作为非实质性响应投标而予以拒绝。</w:t>
      </w:r>
      <w:r>
        <w:rPr>
          <w:rFonts w:hint="eastAsia" w:ascii="宋体" w:hAnsi="宋体" w:eastAsia="宋体" w:cs="宋体"/>
          <w:b/>
          <w:color w:val="auto"/>
          <w:kern w:val="0"/>
          <w:szCs w:val="21"/>
          <w:highlight w:val="none"/>
          <w:u w:val="single"/>
        </w:rPr>
        <w:t>投标人不得以低于企业自身成本的价格竞投</w:t>
      </w:r>
      <w:r>
        <w:rPr>
          <w:rFonts w:hint="eastAsia" w:ascii="宋体" w:hAnsi="宋体" w:eastAsia="宋体" w:cs="宋体"/>
          <w:b/>
          <w:color w:val="auto"/>
          <w:szCs w:val="21"/>
          <w:highlight w:val="none"/>
          <w:u w:val="single"/>
          <w:lang w:val="zh-CN"/>
        </w:rPr>
        <w:t>。</w:t>
      </w:r>
    </w:p>
    <w:p>
      <w:pPr>
        <w:tabs>
          <w:tab w:val="left" w:pos="567"/>
        </w:tabs>
        <w:autoSpaceDE/>
        <w:autoSpaceDN/>
        <w:adjustRightInd w:val="0"/>
        <w:spacing w:line="360" w:lineRule="auto"/>
        <w:ind w:left="420" w:leftChars="200" w:firstLine="422" w:firstLineChars="200"/>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autoSpaceDN/>
        <w:adjustRightInd w:val="0"/>
        <w:spacing w:line="360" w:lineRule="auto"/>
        <w:ind w:left="420" w:leftChars="200" w:firstLine="422" w:firstLineChars="200"/>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对是否低于企业成本价报价的事宜有争议的投标文件，评标委员会成员将以记名方式表决，</w:t>
      </w:r>
      <w:r>
        <w:rPr>
          <w:rFonts w:hint="eastAsia" w:ascii="宋体" w:hAnsi="宋体" w:eastAsia="宋体" w:cs="宋体"/>
          <w:b/>
          <w:color w:val="auto"/>
          <w:szCs w:val="21"/>
          <w:highlight w:val="none"/>
          <w:u w:val="single"/>
          <w:lang w:val="zh-CN" w:eastAsia="zh-CN"/>
        </w:rPr>
        <w:t>根据少数服从多数的原则，获多数表决通过</w:t>
      </w:r>
      <w:r>
        <w:rPr>
          <w:rFonts w:hint="eastAsia" w:ascii="宋体" w:hAnsi="宋体" w:eastAsia="宋体" w:cs="宋体"/>
          <w:b/>
          <w:color w:val="auto"/>
          <w:szCs w:val="21"/>
          <w:highlight w:val="none"/>
          <w:u w:val="single"/>
          <w:lang w:val="zh-CN"/>
        </w:rPr>
        <w:t>的投标人才有资格进入下一阶段的评审，否则将按无效投标处理。</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本项目投标报价餐厨垃圾收运服务综合单价为不含税价，即为《中华人民共和国增值税暂行条例》（国务院令第691号修订版）规定的销售额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（1）餐厨垃圾收运服务</w:t>
      </w:r>
      <w:r>
        <w:rPr>
          <w:rFonts w:hint="eastAsia" w:ascii="宋体" w:hAnsi="宋体" w:eastAsia="宋体" w:cs="宋体"/>
          <w:color w:val="auto"/>
          <w:kern w:val="0"/>
          <w:sz w:val="21"/>
          <w:szCs w:val="21"/>
          <w:highlight w:val="none"/>
          <w:lang w:val="en-US" w:eastAsia="zh-CN"/>
        </w:rPr>
        <w:t>全过程的人工费（工资及加班工资、福利、社保、住房公积金、节日补贴、高温津贴、市内交通补贴、膳食、住宿、体检、意外伤害保险、劳保、服装等）</w:t>
      </w:r>
      <w:r>
        <w:rPr>
          <w:rFonts w:hint="eastAsia" w:ascii="宋体" w:hAnsi="宋体" w:eastAsia="宋体" w:cs="宋体"/>
          <w:color w:val="auto"/>
          <w:szCs w:val="21"/>
          <w:highlight w:val="none"/>
          <w:lang w:val="zh-CN"/>
        </w:rPr>
        <w:t>、办公费、交通费、管理费、培训费、</w:t>
      </w:r>
      <w:r>
        <w:rPr>
          <w:rFonts w:hint="eastAsia" w:ascii="宋体" w:hAnsi="宋体" w:eastAsia="宋体" w:cs="宋体"/>
          <w:color w:val="auto"/>
          <w:sz w:val="21"/>
          <w:szCs w:val="21"/>
          <w:highlight w:val="none"/>
        </w:rPr>
        <w:t>现场</w:t>
      </w:r>
      <w:r>
        <w:rPr>
          <w:rFonts w:hint="eastAsia" w:ascii="宋体" w:hAnsi="宋体" w:eastAsia="宋体" w:cs="宋体"/>
          <w:color w:val="auto"/>
          <w:szCs w:val="21"/>
          <w:highlight w:val="none"/>
          <w:lang w:val="zh-CN"/>
        </w:rPr>
        <w:t>清</w:t>
      </w:r>
      <w:r>
        <w:rPr>
          <w:rFonts w:hint="eastAsia" w:ascii="宋体" w:hAnsi="宋体" w:eastAsia="宋体" w:cs="宋体"/>
          <w:color w:val="auto"/>
          <w:szCs w:val="21"/>
          <w:highlight w:val="none"/>
          <w:lang w:val="en-US" w:eastAsia="zh-CN"/>
        </w:rPr>
        <w:t>洁</w:t>
      </w:r>
      <w:r>
        <w:rPr>
          <w:rFonts w:hint="eastAsia" w:ascii="宋体" w:hAnsi="宋体" w:eastAsia="宋体" w:cs="宋体"/>
          <w:color w:val="auto"/>
          <w:szCs w:val="21"/>
          <w:highlight w:val="none"/>
          <w:lang w:val="zh-CN"/>
        </w:rPr>
        <w:t>费，招标人提供的收运车辆以外的</w:t>
      </w:r>
      <w:r>
        <w:rPr>
          <w:rFonts w:hint="eastAsia" w:ascii="宋体" w:hAnsi="宋体" w:eastAsia="宋体" w:cs="宋体"/>
          <w:color w:val="auto"/>
          <w:szCs w:val="21"/>
          <w:highlight w:val="none"/>
          <w:lang w:val="zh-CN" w:eastAsia="zh-CN"/>
        </w:rPr>
        <w:t>车辆</w:t>
      </w:r>
      <w:r>
        <w:rPr>
          <w:rFonts w:hint="eastAsia" w:ascii="宋体" w:hAnsi="宋体" w:eastAsia="宋体" w:cs="宋体"/>
          <w:color w:val="auto"/>
          <w:szCs w:val="21"/>
          <w:highlight w:val="none"/>
          <w:lang w:val="zh-CN"/>
        </w:rPr>
        <w:t>及工器具</w:t>
      </w:r>
      <w:r>
        <w:rPr>
          <w:rFonts w:hint="eastAsia" w:ascii="宋体" w:hAnsi="宋体" w:eastAsia="宋体" w:cs="宋体"/>
          <w:color w:val="auto"/>
          <w:szCs w:val="21"/>
          <w:highlight w:val="none"/>
          <w:lang w:val="zh-CN" w:eastAsia="zh-CN"/>
        </w:rPr>
        <w:t>使用费（如有）</w:t>
      </w:r>
      <w:r>
        <w:rPr>
          <w:rFonts w:hint="eastAsia" w:ascii="宋体" w:hAnsi="宋体" w:eastAsia="宋体" w:cs="宋体"/>
          <w:color w:val="auto"/>
          <w:szCs w:val="21"/>
          <w:highlight w:val="none"/>
          <w:lang w:val="zh-CN"/>
        </w:rPr>
        <w:t>等</w:t>
      </w:r>
      <w:r>
        <w:rPr>
          <w:rFonts w:hint="eastAsia" w:ascii="宋体" w:hAnsi="宋体" w:eastAsia="宋体" w:cs="宋体"/>
          <w:color w:val="auto"/>
          <w:szCs w:val="21"/>
          <w:highlight w:val="none"/>
          <w:lang w:val="zh-CN" w:eastAsia="zh-CN"/>
        </w:rPr>
        <w:t>；</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）收运车辆及相应车载信息化设备</w:t>
      </w:r>
      <w:r>
        <w:rPr>
          <w:rFonts w:hint="eastAsia" w:ascii="宋体" w:hAnsi="宋体" w:eastAsia="宋体" w:cs="宋体"/>
          <w:color w:val="auto"/>
          <w:szCs w:val="21"/>
          <w:highlight w:val="none"/>
          <w:lang w:val="zh-CN" w:eastAsia="zh-CN"/>
        </w:rPr>
        <w:t>的</w:t>
      </w:r>
      <w:r>
        <w:rPr>
          <w:rFonts w:hint="eastAsia" w:ascii="宋体" w:hAnsi="宋体" w:eastAsia="宋体" w:cs="宋体"/>
          <w:color w:val="auto"/>
          <w:szCs w:val="21"/>
          <w:highlight w:val="none"/>
          <w:lang w:val="zh-CN"/>
        </w:rPr>
        <w:t>保管、维护、清洁以及维修</w:t>
      </w:r>
      <w:r>
        <w:rPr>
          <w:rFonts w:hint="eastAsia" w:ascii="宋体" w:hAnsi="宋体" w:eastAsia="宋体" w:cs="宋体"/>
          <w:color w:val="auto"/>
          <w:szCs w:val="21"/>
          <w:highlight w:val="none"/>
          <w:lang w:val="zh-CN" w:eastAsia="zh-CN"/>
        </w:rPr>
        <w:t>费，收运车辆</w:t>
      </w:r>
      <w:r>
        <w:rPr>
          <w:rFonts w:hint="eastAsia" w:ascii="宋体" w:hAnsi="宋体" w:eastAsia="宋体" w:cs="宋体"/>
          <w:color w:val="auto"/>
          <w:szCs w:val="21"/>
          <w:highlight w:val="none"/>
          <w:lang w:val="zh-CN"/>
        </w:rPr>
        <w:t>的燃料费、拖车费、维修保养费</w:t>
      </w:r>
      <w:r>
        <w:rPr>
          <w:rFonts w:hint="eastAsia" w:ascii="宋体" w:hAnsi="宋体" w:eastAsia="宋体" w:cs="宋体"/>
          <w:color w:val="auto"/>
          <w:szCs w:val="21"/>
          <w:highlight w:val="none"/>
          <w:lang w:val="zh-CN" w:eastAsia="zh-CN"/>
        </w:rPr>
        <w:t>、年审费、交通违章罚款、</w:t>
      </w:r>
      <w:r>
        <w:rPr>
          <w:rFonts w:hint="eastAsia" w:ascii="宋体" w:hAnsi="宋体" w:eastAsia="宋体" w:cs="宋体"/>
          <w:color w:val="auto"/>
          <w:szCs w:val="21"/>
          <w:highlight w:val="none"/>
          <w:lang w:val="zh-CN"/>
        </w:rPr>
        <w:t>交通事故产生的费用等；</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）合理利润、投标人销项税额以外的税费等；</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）法律法规、商业公认、招标文件规定由投标人承担的其他直接及间接费用。未经招标人书面同意，投标人（包括但不限于投标人制定的第三方）不得要求招标人另行支付其他任何费用。</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u w:val="single"/>
          <w:lang w:val="zh-CN"/>
        </w:rPr>
        <w:t>合同项下，招标人需要的</w:t>
      </w:r>
      <w:r>
        <w:rPr>
          <w:rFonts w:hint="eastAsia" w:ascii="宋体" w:hAnsi="宋体" w:eastAsia="宋体" w:cs="宋体"/>
          <w:b/>
          <w:bCs/>
          <w:color w:val="auto"/>
          <w:szCs w:val="21"/>
          <w:highlight w:val="none"/>
          <w:u w:val="single"/>
          <w:lang w:val="en-US" w:eastAsia="zh-CN"/>
        </w:rPr>
        <w:t>相关</w:t>
      </w:r>
      <w:r>
        <w:rPr>
          <w:rFonts w:hint="eastAsia" w:ascii="宋体" w:hAnsi="宋体" w:eastAsia="宋体" w:cs="宋体"/>
          <w:b/>
          <w:bCs/>
          <w:color w:val="auto"/>
          <w:szCs w:val="21"/>
          <w:highlight w:val="none"/>
          <w:u w:val="single"/>
          <w:lang w:val="zh-CN"/>
        </w:rPr>
        <w:t>服务所需的费用，投标人都应计入投标报价总价。</w:t>
      </w:r>
    </w:p>
    <w:p>
      <w:pPr>
        <w:autoSpaceDE/>
        <w:autoSpaceDN/>
        <w:adjustRightInd w:val="0"/>
        <w:spacing w:line="360" w:lineRule="auto"/>
        <w:ind w:left="315" w:leftChars="-100" w:hanging="525" w:hangingChars="250"/>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none"/>
        </w:rPr>
        <w:t xml:space="preserve"> </w:t>
      </w:r>
      <w:r>
        <w:rPr>
          <w:rFonts w:hint="eastAsia" w:ascii="宋体" w:hAnsi="宋体" w:eastAsia="宋体" w:cs="宋体"/>
          <w:b/>
          <w:color w:val="auto"/>
          <w:szCs w:val="21"/>
          <w:highlight w:val="none"/>
          <w:u w:val="single"/>
          <w:lang w:val="zh-CN"/>
        </w:rPr>
        <w:t>投标人的投标报价高于最高投标限价的，该投标人的投标文件将被视为无效投标。本项目餐厨垃圾收运服务综合单价不含税</w:t>
      </w:r>
      <w:r>
        <w:rPr>
          <w:rFonts w:hint="eastAsia" w:ascii="宋体" w:hAnsi="宋体" w:eastAsia="宋体" w:cs="宋体"/>
          <w:b/>
          <w:color w:val="auto"/>
          <w:szCs w:val="21"/>
          <w:highlight w:val="none"/>
          <w:u w:val="single"/>
          <w:lang w:val="en-US" w:eastAsia="zh-CN"/>
        </w:rPr>
        <w:t>的</w:t>
      </w:r>
      <w:r>
        <w:rPr>
          <w:rFonts w:hint="eastAsia" w:ascii="宋体" w:hAnsi="宋体" w:eastAsia="宋体" w:cs="宋体"/>
          <w:b/>
          <w:color w:val="auto"/>
          <w:szCs w:val="21"/>
          <w:highlight w:val="none"/>
          <w:u w:val="single"/>
        </w:rPr>
        <w:t>最高投标限价</w:t>
      </w:r>
      <w:r>
        <w:rPr>
          <w:rFonts w:hint="eastAsia" w:ascii="宋体" w:hAnsi="宋体" w:eastAsia="宋体" w:cs="宋体"/>
          <w:b/>
          <w:color w:val="auto"/>
          <w:szCs w:val="21"/>
          <w:highlight w:val="none"/>
          <w:u w:val="single"/>
          <w:lang w:val="zh-CN"/>
        </w:rPr>
        <w:t>为</w:t>
      </w:r>
      <w:r>
        <w:rPr>
          <w:rFonts w:hint="eastAsia" w:ascii="宋体" w:hAnsi="宋体" w:eastAsia="宋体" w:cs="宋体"/>
          <w:b/>
          <w:color w:val="auto"/>
          <w:szCs w:val="21"/>
          <w:highlight w:val="none"/>
          <w:u w:val="single"/>
          <w:lang w:val="en-US" w:eastAsia="zh-CN"/>
        </w:rPr>
        <w:t>130.14</w:t>
      </w:r>
      <w:r>
        <w:rPr>
          <w:rFonts w:hint="eastAsia" w:ascii="宋体" w:hAnsi="宋体" w:eastAsia="宋体" w:cs="宋体"/>
          <w:b/>
          <w:color w:val="auto"/>
          <w:szCs w:val="21"/>
          <w:highlight w:val="none"/>
          <w:u w:val="single"/>
          <w:lang w:val="zh-CN"/>
        </w:rPr>
        <w:t>元</w:t>
      </w:r>
      <w:r>
        <w:rPr>
          <w:rFonts w:hint="eastAsia" w:ascii="宋体" w:hAnsi="宋体" w:eastAsia="宋体" w:cs="宋体"/>
          <w:b/>
          <w:color w:val="auto"/>
          <w:szCs w:val="21"/>
          <w:highlight w:val="none"/>
          <w:u w:val="single"/>
          <w:lang w:val="en-US" w:eastAsia="zh-CN"/>
        </w:rPr>
        <w:t>/吨</w:t>
      </w:r>
      <w:r>
        <w:rPr>
          <w:rFonts w:hint="eastAsia" w:ascii="宋体" w:hAnsi="宋体" w:eastAsia="宋体" w:cs="宋体"/>
          <w:b/>
          <w:color w:val="auto"/>
          <w:szCs w:val="21"/>
          <w:highlight w:val="none"/>
          <w:u w:val="single"/>
          <w:lang w:val="zh-CN"/>
        </w:rPr>
        <w:t>（大写：每吨壹佰叁拾元壹角肆分）。</w:t>
      </w:r>
    </w:p>
    <w:p>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66" w:name="_Toc7530"/>
      <w:bookmarkStart w:id="167" w:name="_Toc20312"/>
      <w:bookmarkStart w:id="168" w:name="_Toc450662862"/>
      <w:bookmarkStart w:id="169" w:name="_Toc30042_WPSOffice_Level3"/>
      <w:bookmarkStart w:id="170" w:name="_Toc486167676"/>
      <w:bookmarkStart w:id="171" w:name="_Toc32064"/>
      <w:bookmarkStart w:id="172" w:name="_Toc142508326"/>
      <w:bookmarkStart w:id="173" w:name="_Toc3469"/>
      <w:bookmarkStart w:id="174" w:name="_Toc8937"/>
      <w:r>
        <w:rPr>
          <w:rFonts w:hint="eastAsia" w:ascii="宋体" w:hAnsi="宋体" w:eastAsia="宋体" w:cs="宋体"/>
          <w:b/>
          <w:color w:val="auto"/>
          <w:szCs w:val="21"/>
          <w:highlight w:val="none"/>
          <w:lang w:val="zh-CN"/>
        </w:rPr>
        <w:t>12 投标报价货币</w:t>
      </w:r>
      <w:bookmarkEnd w:id="166"/>
      <w:bookmarkEnd w:id="167"/>
      <w:bookmarkEnd w:id="168"/>
      <w:bookmarkEnd w:id="169"/>
      <w:bookmarkEnd w:id="170"/>
      <w:bookmarkEnd w:id="171"/>
      <w:bookmarkEnd w:id="172"/>
      <w:bookmarkEnd w:id="173"/>
      <w:bookmarkEnd w:id="174"/>
    </w:p>
    <w:p>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投标报价表上的价格须以人民币报价，以其</w:t>
      </w:r>
      <w:r>
        <w:rPr>
          <w:rFonts w:hint="eastAsia" w:ascii="宋体" w:hAnsi="宋体" w:eastAsia="宋体" w:cs="宋体"/>
          <w:b/>
          <w:color w:val="auto"/>
          <w:szCs w:val="21"/>
          <w:highlight w:val="none"/>
          <w:u w:val="single"/>
          <w:lang w:val="en-US" w:eastAsia="zh-CN"/>
        </w:rPr>
        <w:t>他</w:t>
      </w:r>
      <w:r>
        <w:rPr>
          <w:rFonts w:hint="eastAsia" w:ascii="宋体" w:hAnsi="宋体" w:eastAsia="宋体" w:cs="宋体"/>
          <w:b/>
          <w:color w:val="auto"/>
          <w:szCs w:val="21"/>
          <w:highlight w:val="none"/>
          <w:u w:val="singl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5" w:name="_Toc9411_WPSOffice_Level3"/>
      <w:bookmarkStart w:id="176" w:name="_Toc20031"/>
      <w:bookmarkStart w:id="177" w:name="_Toc486167677"/>
      <w:bookmarkStart w:id="178" w:name="_Toc1091"/>
      <w:bookmarkStart w:id="179" w:name="_Toc3961"/>
      <w:bookmarkStart w:id="180" w:name="_Toc450662863"/>
      <w:bookmarkStart w:id="181" w:name="_Toc5824"/>
      <w:bookmarkStart w:id="182" w:name="_Toc17487"/>
      <w:bookmarkStart w:id="183" w:name="_Toc142508327"/>
      <w:r>
        <w:rPr>
          <w:rFonts w:hint="eastAsia" w:ascii="宋体" w:hAnsi="宋体" w:eastAsia="宋体" w:cs="宋体"/>
          <w:color w:val="auto"/>
          <w:szCs w:val="21"/>
          <w:highlight w:val="none"/>
          <w:lang w:val="zh-CN"/>
        </w:rPr>
        <w:t>13 证明投标人的合格性和资格的声明文件</w:t>
      </w:r>
      <w:bookmarkEnd w:id="175"/>
      <w:bookmarkEnd w:id="176"/>
      <w:bookmarkEnd w:id="177"/>
      <w:bookmarkEnd w:id="178"/>
      <w:bookmarkEnd w:id="179"/>
      <w:bookmarkEnd w:id="180"/>
      <w:bookmarkEnd w:id="181"/>
      <w:bookmarkEnd w:id="182"/>
      <w:bookmarkEnd w:id="183"/>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4" w:name="_Toc8615"/>
      <w:bookmarkStart w:id="185" w:name="_Toc29754"/>
      <w:bookmarkStart w:id="186" w:name="_Toc450662864"/>
      <w:bookmarkStart w:id="187" w:name="_Toc16467"/>
      <w:bookmarkStart w:id="188" w:name="_Toc27771_WPSOffice_Level3"/>
      <w:bookmarkStart w:id="189" w:name="_Toc142508328"/>
      <w:bookmarkStart w:id="190" w:name="_Toc16657"/>
      <w:bookmarkStart w:id="191" w:name="_Toc486167678"/>
      <w:bookmarkStart w:id="192" w:name="_Toc1948"/>
      <w:r>
        <w:rPr>
          <w:rFonts w:hint="eastAsia" w:ascii="宋体" w:hAnsi="宋体" w:eastAsia="宋体" w:cs="宋体"/>
          <w:color w:val="auto"/>
          <w:szCs w:val="21"/>
          <w:highlight w:val="none"/>
          <w:lang w:val="zh-CN"/>
        </w:rPr>
        <w:t>14 证明服务的合格性并符合招标文件规定的声明文件</w:t>
      </w:r>
      <w:bookmarkEnd w:id="184"/>
      <w:bookmarkEnd w:id="185"/>
      <w:bookmarkEnd w:id="186"/>
      <w:bookmarkEnd w:id="187"/>
      <w:bookmarkEnd w:id="188"/>
      <w:bookmarkEnd w:id="189"/>
      <w:bookmarkEnd w:id="190"/>
      <w:bookmarkEnd w:id="191"/>
      <w:bookmarkEnd w:id="192"/>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u w:val="single"/>
          <w:lang w:val="zh-CN"/>
        </w:rPr>
        <w:t>为说明第14.2款的规定，投标人应注意本招标文件在《用户需求书》中对服务要求</w:t>
      </w:r>
      <w:r>
        <w:rPr>
          <w:rFonts w:hint="eastAsia" w:ascii="宋体" w:hAnsi="宋体" w:eastAsia="宋体" w:cs="宋体"/>
          <w:b/>
          <w:color w:val="auto"/>
          <w:szCs w:val="21"/>
          <w:highlight w:val="none"/>
          <w:u w:val="single"/>
          <w:lang w:val="en-US" w:eastAsia="zh-CN"/>
        </w:rPr>
        <w:t>的</w:t>
      </w:r>
      <w:r>
        <w:rPr>
          <w:rFonts w:hint="eastAsia" w:ascii="宋体" w:hAnsi="宋体" w:eastAsia="宋体" w:cs="宋体"/>
          <w:b/>
          <w:color w:val="auto"/>
          <w:szCs w:val="21"/>
          <w:highlight w:val="none"/>
          <w:u w:val="singl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pPr>
        <w:autoSpaceDE w:val="0"/>
        <w:autoSpaceDN w:val="0"/>
        <w:adjustRightInd w:val="0"/>
        <w:spacing w:line="360" w:lineRule="auto"/>
        <w:rPr>
          <w:rFonts w:hint="eastAsia"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3" w:name="_Toc8644"/>
      <w:bookmarkStart w:id="194" w:name="_Toc142508329"/>
      <w:bookmarkStart w:id="195" w:name="_Toc5356_WPSOffice_Level3"/>
      <w:bookmarkStart w:id="196" w:name="_Toc16828"/>
      <w:bookmarkStart w:id="197" w:name="_Toc486167679"/>
      <w:bookmarkStart w:id="198" w:name="_Toc17887"/>
      <w:bookmarkStart w:id="199" w:name="_Toc20006"/>
      <w:bookmarkStart w:id="200" w:name="_Toc30555"/>
      <w:r>
        <w:rPr>
          <w:rFonts w:hint="eastAsia" w:ascii="宋体" w:hAnsi="宋体" w:eastAsia="宋体" w:cs="宋体"/>
          <w:color w:val="auto"/>
          <w:szCs w:val="21"/>
          <w:highlight w:val="none"/>
          <w:lang w:val="zh-CN"/>
        </w:rPr>
        <w:t>15 投标保证金</w:t>
      </w:r>
      <w:bookmarkEnd w:id="193"/>
      <w:bookmarkEnd w:id="194"/>
      <w:bookmarkEnd w:id="195"/>
      <w:bookmarkEnd w:id="196"/>
      <w:bookmarkEnd w:id="197"/>
      <w:bookmarkEnd w:id="198"/>
      <w:bookmarkEnd w:id="199"/>
      <w:bookmarkEnd w:id="200"/>
    </w:p>
    <w:p>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64,000.00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eastAsia="zh-CN"/>
        </w:rPr>
        <w:t>陆万肆仟元整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p>
    <w:p>
      <w:pPr>
        <w:spacing w:line="360" w:lineRule="auto"/>
        <w:ind w:left="210" w:leftChars="100" w:firstLine="210" w:firstLineChars="1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开户名称：东莞市利源有机资源再生利用有限公司</w:t>
      </w:r>
    </w:p>
    <w:p>
      <w:pPr>
        <w:spacing w:line="360" w:lineRule="auto"/>
        <w:ind w:left="210" w:leftChars="100" w:firstLine="210" w:firstLineChars="1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银行账号：2010021309200578870</w:t>
      </w:r>
    </w:p>
    <w:p>
      <w:pPr>
        <w:spacing w:line="360" w:lineRule="auto"/>
        <w:ind w:left="210" w:leftChars="100" w:firstLine="210" w:firstLineChars="1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开户银行：中国工商银行股份有限公司东莞分行</w:t>
      </w:r>
    </w:p>
    <w:p>
      <w:pPr>
        <w:spacing w:line="360" w:lineRule="auto"/>
        <w:ind w:left="210" w:leftChars="100" w:firstLine="211" w:firstLineChars="1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tabs>
          <w:tab w:val="left" w:pos="567"/>
        </w:tabs>
        <w:autoSpaceDE w:val="0"/>
        <w:autoSpaceDN w:val="0"/>
        <w:adjustRightInd w:val="0"/>
        <w:spacing w:line="360" w:lineRule="auto"/>
        <w:ind w:left="315" w:leftChars="150" w:firstLine="0" w:firstLineChars="0"/>
        <w:jc w:val="left"/>
        <w:rPr>
          <w:rFonts w:hint="eastAsia" w:ascii="宋体" w:hAnsi="宋体" w:eastAsia="宋体" w:cs="宋体"/>
          <w:b/>
          <w:bCs/>
          <w:color w:val="auto"/>
          <w:kern w:val="0"/>
          <w:szCs w:val="21"/>
          <w:highlight w:val="none"/>
          <w:u w:val="single"/>
          <w:lang w:val="zh-CN" w:eastAsia="zh-CN"/>
        </w:rPr>
      </w:pPr>
      <w:r>
        <w:rPr>
          <w:rFonts w:hint="eastAsia" w:ascii="宋体" w:hAnsi="宋体" w:eastAsia="宋体" w:cs="宋体"/>
          <w:b/>
          <w:bCs/>
          <w:color w:val="auto"/>
          <w:kern w:val="0"/>
          <w:szCs w:val="21"/>
          <w:highlight w:val="none"/>
          <w:u w:val="single"/>
          <w:lang w:val="zh-CN" w:eastAsia="zh-CN"/>
        </w:rPr>
        <w:t>为更快捷将投标保证金关联到本项目，投标人应在转账时</w:t>
      </w:r>
      <w:r>
        <w:rPr>
          <w:rFonts w:hint="eastAsia" w:ascii="宋体" w:hAnsi="宋体" w:eastAsia="宋体" w:cs="宋体"/>
          <w:b/>
          <w:bCs/>
          <w:color w:val="auto"/>
          <w:kern w:val="0"/>
          <w:szCs w:val="21"/>
          <w:highlight w:val="none"/>
          <w:u w:val="single"/>
          <w:lang w:val="zh-CN"/>
        </w:rPr>
        <w:t>注明招标编号</w:t>
      </w:r>
      <w:r>
        <w:rPr>
          <w:rFonts w:hint="eastAsia" w:ascii="宋体" w:hAnsi="宋体" w:eastAsia="宋体" w:cs="宋体"/>
          <w:b/>
          <w:bCs/>
          <w:color w:val="auto"/>
          <w:kern w:val="0"/>
          <w:szCs w:val="21"/>
          <w:highlight w:val="none"/>
          <w:u w:val="single"/>
          <w:lang w:val="zh-CN" w:eastAsia="zh-CN"/>
        </w:rPr>
        <w:t>，否则</w:t>
      </w:r>
      <w:r>
        <w:rPr>
          <w:rFonts w:hint="eastAsia" w:ascii="宋体" w:hAnsi="宋体" w:eastAsia="宋体" w:cs="宋体"/>
          <w:b/>
          <w:bCs/>
          <w:color w:val="auto"/>
          <w:kern w:val="0"/>
          <w:szCs w:val="21"/>
          <w:highlight w:val="none"/>
          <w:u w:val="single"/>
          <w:lang w:val="en-US" w:eastAsia="zh-CN"/>
        </w:rPr>
        <w:t>因此</w:t>
      </w:r>
      <w:r>
        <w:rPr>
          <w:rFonts w:hint="eastAsia" w:ascii="宋体" w:hAnsi="宋体" w:eastAsia="宋体" w:cs="宋体"/>
          <w:b/>
          <w:bCs/>
          <w:color w:val="auto"/>
          <w:kern w:val="0"/>
          <w:szCs w:val="21"/>
          <w:highlight w:val="none"/>
          <w:u w:val="single"/>
          <w:lang w:val="zh-CN" w:eastAsia="zh-CN"/>
        </w:rPr>
        <w:t>导致</w:t>
      </w:r>
      <w:r>
        <w:rPr>
          <w:rFonts w:hint="eastAsia" w:ascii="宋体" w:hAnsi="宋体" w:eastAsia="宋体" w:cs="宋体"/>
          <w:b/>
          <w:bCs/>
          <w:color w:val="auto"/>
          <w:kern w:val="0"/>
          <w:szCs w:val="21"/>
          <w:highlight w:val="none"/>
          <w:u w:val="single"/>
          <w:lang w:val="en-US" w:eastAsia="zh-CN"/>
        </w:rPr>
        <w:t>的无法识别投标保证金对应项目等</w:t>
      </w:r>
      <w:r>
        <w:rPr>
          <w:rFonts w:hint="eastAsia" w:ascii="宋体" w:hAnsi="宋体" w:eastAsia="宋体" w:cs="宋体"/>
          <w:b/>
          <w:bCs/>
          <w:color w:val="auto"/>
          <w:kern w:val="0"/>
          <w:szCs w:val="21"/>
          <w:highlight w:val="none"/>
          <w:u w:val="single"/>
          <w:lang w:val="zh-CN" w:eastAsia="zh-CN"/>
        </w:rPr>
        <w:t>不利后果将由投标人承担。</w:t>
      </w:r>
    </w:p>
    <w:p>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的投标人的投标保证金，最迟应在本项目的书面合同签订后5日内，按照其投标保证金支付凭证上注明的收款人名称和账号予以退还，除非投标保证金有效期已延长。</w:t>
      </w:r>
    </w:p>
    <w:p>
      <w:pPr>
        <w:spacing w:line="360" w:lineRule="auto"/>
        <w:ind w:left="357" w:leftChars="-100" w:hanging="567" w:hangingChars="27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01" w:name="_Toc1458"/>
      <w:bookmarkStart w:id="202" w:name="_Toc486167680"/>
      <w:bookmarkStart w:id="203" w:name="_Toc15809"/>
      <w:bookmarkStart w:id="204" w:name="_Toc29607"/>
      <w:bookmarkStart w:id="205" w:name="_Toc23267"/>
      <w:bookmarkStart w:id="206" w:name="_Toc22649_WPSOffice_Level3"/>
      <w:bookmarkStart w:id="207" w:name="_Toc142508330"/>
      <w:bookmarkStart w:id="208" w:name="_Toc21964"/>
      <w:bookmarkStart w:id="209" w:name="_Toc450662865"/>
      <w:r>
        <w:rPr>
          <w:rFonts w:hint="eastAsia" w:ascii="宋体" w:hAnsi="宋体" w:eastAsia="宋体" w:cs="宋体"/>
          <w:color w:val="auto"/>
          <w:szCs w:val="21"/>
          <w:highlight w:val="none"/>
          <w:lang w:val="zh-CN"/>
        </w:rPr>
        <w:t>16 投标有效期</w:t>
      </w:r>
      <w:bookmarkEnd w:id="201"/>
      <w:bookmarkEnd w:id="202"/>
      <w:bookmarkEnd w:id="203"/>
      <w:bookmarkEnd w:id="204"/>
      <w:bookmarkEnd w:id="205"/>
      <w:bookmarkEnd w:id="206"/>
      <w:bookmarkEnd w:id="207"/>
      <w:bookmarkEnd w:id="208"/>
      <w:bookmarkEnd w:id="209"/>
    </w:p>
    <w:p>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中标人的投标文件作为合同附件，合同失效时同时失效。</w:t>
      </w:r>
    </w:p>
    <w:p>
      <w:pPr>
        <w:autoSpaceDE/>
        <w:autoSpaceDN/>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0" w:name="_Toc450662866"/>
      <w:bookmarkStart w:id="211" w:name="_Toc15544"/>
      <w:bookmarkStart w:id="212" w:name="_Toc20111"/>
      <w:bookmarkStart w:id="213" w:name="_Toc932"/>
      <w:bookmarkStart w:id="214" w:name="_Toc18270"/>
      <w:bookmarkStart w:id="215" w:name="_Toc142508331"/>
      <w:bookmarkStart w:id="216" w:name="_Toc25637_WPSOffice_Level3"/>
      <w:bookmarkStart w:id="217" w:name="_Toc486167681"/>
      <w:bookmarkStart w:id="218" w:name="_Toc20422"/>
      <w:r>
        <w:rPr>
          <w:rFonts w:hint="eastAsia" w:ascii="宋体" w:hAnsi="宋体" w:eastAsia="宋体" w:cs="宋体"/>
          <w:color w:val="auto"/>
          <w:szCs w:val="21"/>
          <w:highlight w:val="none"/>
          <w:lang w:val="zh-CN"/>
        </w:rPr>
        <w:t>17 投标文件的式样和签署</w:t>
      </w:r>
      <w:bookmarkEnd w:id="210"/>
      <w:bookmarkEnd w:id="211"/>
      <w:bookmarkEnd w:id="212"/>
      <w:bookmarkEnd w:id="213"/>
      <w:bookmarkEnd w:id="214"/>
      <w:bookmarkEnd w:id="215"/>
      <w:bookmarkEnd w:id="216"/>
      <w:bookmarkEnd w:id="217"/>
      <w:bookmarkEnd w:id="218"/>
    </w:p>
    <w:p>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人授权委托证明书”以书面形式附在投标文件中。</w:t>
      </w:r>
      <w:r>
        <w:rPr>
          <w:rFonts w:hint="eastAsia" w:ascii="宋体" w:hAnsi="宋体" w:eastAsia="宋体" w:cs="宋体"/>
          <w:color w:val="auto"/>
          <w:szCs w:val="21"/>
          <w:highlight w:val="none"/>
          <w:lang w:val="zh-CN"/>
        </w:rPr>
        <w:t>副本文件可由正本文件复印而成。</w:t>
      </w:r>
    </w:p>
    <w:p>
      <w:pPr>
        <w:autoSpaceDE w:val="0"/>
        <w:autoSpaceDN w:val="0"/>
        <w:adjustRightInd w:val="0"/>
        <w:spacing w:line="360" w:lineRule="auto"/>
        <w:ind w:left="315" w:leftChars="-100" w:hanging="525" w:hangingChars="25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pPr>
        <w:autoSpaceDE w:val="0"/>
        <w:autoSpaceDN w:val="0"/>
        <w:adjustRightInd w:val="0"/>
        <w:spacing w:line="360" w:lineRule="auto"/>
        <w:ind w:left="315" w:leftChars="-100" w:hanging="525" w:hangingChars="250"/>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pPr>
        <w:autoSpaceDE w:val="0"/>
        <w:autoSpaceDN w:val="0"/>
        <w:adjustRightInd w:val="0"/>
        <w:spacing w:line="360" w:lineRule="auto"/>
        <w:ind w:left="315" w:leftChars="-100" w:hanging="525" w:hangingChars="250"/>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hint="eastAsia" w:ascii="宋体" w:hAnsi="宋体" w:eastAsia="宋体" w:cs="宋体"/>
          <w:color w:val="auto"/>
          <w:kern w:val="0"/>
          <w:sz w:val="24"/>
          <w:szCs w:val="24"/>
          <w:highlight w:val="none"/>
        </w:rPr>
      </w:pPr>
      <w:bookmarkStart w:id="219" w:name="_Toc450662867"/>
    </w:p>
    <w:p>
      <w:pPr>
        <w:keepNext/>
        <w:keepLines/>
        <w:tabs>
          <w:tab w:val="left" w:pos="509"/>
        </w:tabs>
        <w:autoSpaceDE w:val="0"/>
        <w:autoSpaceDN w:val="0"/>
        <w:adjustRightInd w:val="0"/>
        <w:spacing w:line="360" w:lineRule="auto"/>
        <w:jc w:val="left"/>
        <w:outlineLvl w:val="0"/>
        <w:rPr>
          <w:rFonts w:hint="eastAsia" w:ascii="宋体" w:hAnsi="宋体" w:eastAsia="宋体" w:cs="宋体"/>
          <w:color w:val="auto"/>
          <w:kern w:val="0"/>
          <w:sz w:val="24"/>
          <w:szCs w:val="24"/>
          <w:highlight w:val="none"/>
        </w:rPr>
      </w:pPr>
      <w:bookmarkStart w:id="220" w:name="_Toc22356_WPSOffice_Level2"/>
      <w:bookmarkStart w:id="221" w:name="_Toc16145"/>
      <w:bookmarkStart w:id="222" w:name="_Toc26605"/>
      <w:bookmarkStart w:id="223" w:name="_Toc16760"/>
      <w:bookmarkStart w:id="224" w:name="_Toc486167682"/>
      <w:bookmarkStart w:id="225" w:name="_Toc17199"/>
      <w:bookmarkStart w:id="226" w:name="_Toc22919"/>
      <w:bookmarkStart w:id="227" w:name="_Toc142508332"/>
      <w:bookmarkStart w:id="228" w:name="_Toc140596891"/>
      <w:r>
        <w:rPr>
          <w:rFonts w:hint="eastAsia" w:ascii="宋体" w:hAnsi="宋体" w:eastAsia="宋体" w:cs="宋体"/>
          <w:b/>
          <w:bCs/>
          <w:color w:val="auto"/>
          <w:kern w:val="44"/>
          <w:szCs w:val="21"/>
          <w:highlight w:val="none"/>
          <w:lang w:val="zh-CN"/>
        </w:rPr>
        <w:t>四、投标文件的递交</w:t>
      </w:r>
      <w:bookmarkEnd w:id="219"/>
      <w:bookmarkEnd w:id="220"/>
      <w:bookmarkEnd w:id="221"/>
      <w:bookmarkEnd w:id="222"/>
      <w:bookmarkEnd w:id="223"/>
      <w:bookmarkEnd w:id="224"/>
      <w:bookmarkEnd w:id="225"/>
      <w:bookmarkEnd w:id="226"/>
      <w:bookmarkEnd w:id="227"/>
      <w:bookmarkEnd w:id="228"/>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9" w:name="_Toc11550"/>
      <w:bookmarkStart w:id="230" w:name="_Toc29038"/>
      <w:bookmarkStart w:id="231" w:name="_Toc12192_WPSOffice_Level3"/>
      <w:bookmarkStart w:id="232" w:name="_Toc486167683"/>
      <w:bookmarkStart w:id="233" w:name="_Toc29885"/>
      <w:bookmarkStart w:id="234" w:name="_Toc450662868"/>
      <w:bookmarkStart w:id="235" w:name="_Toc142508333"/>
      <w:bookmarkStart w:id="236" w:name="_Toc3248"/>
      <w:bookmarkStart w:id="237" w:name="_Toc31551"/>
      <w:r>
        <w:rPr>
          <w:rFonts w:hint="eastAsia" w:ascii="宋体" w:hAnsi="宋体" w:eastAsia="宋体" w:cs="宋体"/>
          <w:color w:val="auto"/>
          <w:szCs w:val="21"/>
          <w:highlight w:val="none"/>
          <w:lang w:val="zh-CN"/>
        </w:rPr>
        <w:t>18 投标文件的密封和标记</w:t>
      </w:r>
      <w:bookmarkEnd w:id="229"/>
      <w:bookmarkEnd w:id="230"/>
      <w:bookmarkEnd w:id="231"/>
      <w:bookmarkEnd w:id="232"/>
      <w:bookmarkEnd w:id="233"/>
      <w:bookmarkEnd w:id="234"/>
      <w:bookmarkEnd w:id="235"/>
      <w:bookmarkEnd w:id="236"/>
      <w:bookmarkEnd w:id="237"/>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唱标信封应单独密封，与18.1款的投标文件一同提交</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17" w:leftChars="-100" w:right="15" w:rightChars="7"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u w:val="single"/>
          <w:lang w:val="zh-CN"/>
        </w:rPr>
        <w:t>如果密封封装未按本款规定密封和标记，招标代理机构对投标文件的误投或提前拆封不负责任。对由此造成提前开封的投标文件，招标代理机构予以拒绝，并退回投标人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8" w:name="_Toc29665_WPSOffice_Level3"/>
      <w:bookmarkStart w:id="239" w:name="_Toc4979"/>
      <w:bookmarkStart w:id="240" w:name="_Toc142508334"/>
      <w:bookmarkStart w:id="241" w:name="_Toc23369"/>
      <w:bookmarkStart w:id="242" w:name="_Toc450662869"/>
      <w:bookmarkStart w:id="243" w:name="_Toc17245"/>
      <w:bookmarkStart w:id="244" w:name="_Toc486167684"/>
      <w:bookmarkStart w:id="245" w:name="_Toc6168"/>
      <w:bookmarkStart w:id="246" w:name="_Toc12582"/>
      <w:r>
        <w:rPr>
          <w:rFonts w:hint="eastAsia" w:ascii="宋体" w:hAnsi="宋体" w:eastAsia="宋体" w:cs="宋体"/>
          <w:color w:val="auto"/>
          <w:szCs w:val="21"/>
          <w:highlight w:val="none"/>
          <w:lang w:val="zh-CN"/>
        </w:rPr>
        <w:t>19 递交投标文件的截止日期</w:t>
      </w:r>
      <w:bookmarkEnd w:id="238"/>
      <w:bookmarkEnd w:id="239"/>
      <w:bookmarkEnd w:id="240"/>
      <w:bookmarkEnd w:id="241"/>
      <w:bookmarkEnd w:id="242"/>
      <w:bookmarkEnd w:id="243"/>
      <w:bookmarkEnd w:id="244"/>
      <w:bookmarkEnd w:id="245"/>
      <w:bookmarkEnd w:id="246"/>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招标代理机构收到投标文件的时间不得迟于第一篇“招标公告”中规定的截止时间。</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kern w:val="0"/>
          <w:sz w:val="24"/>
          <w:szCs w:val="24"/>
          <w:highlight w:val="none"/>
        </w:rPr>
      </w:pPr>
      <w:bookmarkStart w:id="247" w:name="_Toc23067"/>
      <w:bookmarkStart w:id="248" w:name="_Toc22431_WPSOffice_Level3"/>
      <w:bookmarkStart w:id="249" w:name="_Toc30287"/>
      <w:bookmarkStart w:id="250" w:name="_Toc2501"/>
      <w:bookmarkStart w:id="251" w:name="_Toc142508335"/>
      <w:bookmarkStart w:id="252" w:name="_Toc20835"/>
      <w:bookmarkStart w:id="253" w:name="_Toc450662870"/>
      <w:bookmarkStart w:id="254" w:name="_Toc486167685"/>
      <w:bookmarkStart w:id="255" w:name="_Toc21327"/>
      <w:r>
        <w:rPr>
          <w:rFonts w:hint="eastAsia" w:ascii="宋体" w:hAnsi="宋体" w:eastAsia="宋体" w:cs="宋体"/>
          <w:color w:val="auto"/>
          <w:szCs w:val="21"/>
          <w:highlight w:val="none"/>
          <w:lang w:val="zh-CN"/>
        </w:rPr>
        <w:t>20 迟交的投标文件</w:t>
      </w:r>
      <w:bookmarkEnd w:id="247"/>
      <w:bookmarkEnd w:id="248"/>
      <w:bookmarkEnd w:id="249"/>
      <w:bookmarkEnd w:id="250"/>
      <w:bookmarkEnd w:id="251"/>
      <w:bookmarkEnd w:id="252"/>
      <w:bookmarkEnd w:id="253"/>
      <w:bookmarkEnd w:id="254"/>
      <w:bookmarkEnd w:id="255"/>
    </w:p>
    <w:p>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hint="eastAsia"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6" w:name="_Toc450662871"/>
      <w:bookmarkStart w:id="257" w:name="_Toc142508336"/>
      <w:bookmarkStart w:id="258" w:name="_Toc11949"/>
      <w:bookmarkStart w:id="259" w:name="_Toc3814"/>
      <w:bookmarkStart w:id="260" w:name="_Toc4883_WPSOffice_Level3"/>
      <w:bookmarkStart w:id="261" w:name="_Toc24876"/>
      <w:bookmarkStart w:id="262" w:name="_Toc27851"/>
      <w:bookmarkStart w:id="263" w:name="_Toc486167686"/>
      <w:bookmarkStart w:id="264" w:name="_Toc7412"/>
      <w:r>
        <w:rPr>
          <w:rFonts w:hint="eastAsia" w:ascii="宋体" w:hAnsi="宋体" w:eastAsia="宋体" w:cs="宋体"/>
          <w:color w:val="auto"/>
          <w:szCs w:val="21"/>
          <w:highlight w:val="none"/>
          <w:lang w:val="zh-CN"/>
        </w:rPr>
        <w:t>21 投标文件的修改和撤回</w:t>
      </w:r>
      <w:bookmarkEnd w:id="256"/>
      <w:bookmarkEnd w:id="257"/>
      <w:bookmarkEnd w:id="258"/>
      <w:bookmarkEnd w:id="259"/>
      <w:bookmarkEnd w:id="260"/>
      <w:bookmarkEnd w:id="261"/>
      <w:bookmarkEnd w:id="262"/>
      <w:bookmarkEnd w:id="263"/>
      <w:bookmarkEnd w:id="264"/>
    </w:p>
    <w:p>
      <w:pPr>
        <w:tabs>
          <w:tab w:val="left" w:pos="567"/>
        </w:tabs>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pPr>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65" w:name="_Toc1049_WPSOffice_Level2"/>
      <w:bookmarkStart w:id="266" w:name="_Toc140596896"/>
      <w:bookmarkStart w:id="267" w:name="_Toc486167687"/>
      <w:bookmarkStart w:id="268" w:name="_Toc28824"/>
      <w:bookmarkStart w:id="269" w:name="_Toc14042"/>
      <w:bookmarkStart w:id="270" w:name="_Toc142508337"/>
      <w:bookmarkStart w:id="271" w:name="_Toc450662872"/>
      <w:bookmarkStart w:id="272" w:name="_Toc30428"/>
      <w:bookmarkStart w:id="273" w:name="_Toc32547"/>
      <w:bookmarkStart w:id="274" w:name="_Toc20923"/>
      <w:r>
        <w:rPr>
          <w:rFonts w:hint="eastAsia" w:ascii="宋体" w:hAnsi="宋体" w:eastAsia="宋体" w:cs="宋体"/>
          <w:b/>
          <w:bCs/>
          <w:color w:val="auto"/>
          <w:kern w:val="44"/>
          <w:szCs w:val="21"/>
          <w:highlight w:val="none"/>
          <w:lang w:val="zh-CN"/>
        </w:rPr>
        <w:t>五、开标与评标</w:t>
      </w:r>
      <w:bookmarkEnd w:id="265"/>
      <w:bookmarkEnd w:id="266"/>
      <w:bookmarkEnd w:id="267"/>
      <w:bookmarkEnd w:id="268"/>
      <w:bookmarkEnd w:id="269"/>
      <w:bookmarkEnd w:id="270"/>
      <w:bookmarkEnd w:id="271"/>
      <w:bookmarkEnd w:id="272"/>
      <w:bookmarkEnd w:id="273"/>
      <w:bookmarkEnd w:id="274"/>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5" w:name="_Toc22677"/>
      <w:bookmarkStart w:id="276" w:name="_Toc450662873"/>
      <w:bookmarkStart w:id="277" w:name="_Toc19352"/>
      <w:bookmarkStart w:id="278" w:name="_Toc486167688"/>
      <w:bookmarkStart w:id="279" w:name="_Toc8728"/>
      <w:bookmarkStart w:id="280" w:name="_Toc142508338"/>
      <w:bookmarkStart w:id="281" w:name="_Toc11256"/>
      <w:bookmarkStart w:id="282" w:name="_Toc144_WPSOffice_Level3"/>
      <w:bookmarkStart w:id="283" w:name="_Toc32206"/>
      <w:r>
        <w:rPr>
          <w:rFonts w:hint="eastAsia" w:ascii="宋体" w:hAnsi="宋体" w:eastAsia="宋体" w:cs="宋体"/>
          <w:color w:val="auto"/>
          <w:szCs w:val="21"/>
          <w:highlight w:val="none"/>
          <w:lang w:val="zh-CN"/>
        </w:rPr>
        <w:t>22 开标</w:t>
      </w:r>
      <w:bookmarkEnd w:id="275"/>
      <w:bookmarkEnd w:id="276"/>
      <w:bookmarkEnd w:id="277"/>
      <w:bookmarkEnd w:id="278"/>
      <w:bookmarkEnd w:id="279"/>
      <w:bookmarkEnd w:id="280"/>
      <w:bookmarkEnd w:id="281"/>
      <w:bookmarkEnd w:id="282"/>
      <w:bookmarkEnd w:id="283"/>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pPr>
        <w:tabs>
          <w:tab w:val="left" w:pos="567"/>
        </w:tabs>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4" w:name="_Toc486167689"/>
      <w:bookmarkStart w:id="285" w:name="_Toc450662874"/>
      <w:bookmarkStart w:id="286" w:name="_Toc2233"/>
      <w:bookmarkStart w:id="287" w:name="_Toc12165_WPSOffice_Level3"/>
      <w:bookmarkStart w:id="288" w:name="_Toc4785"/>
      <w:bookmarkStart w:id="289" w:name="_Toc23059"/>
      <w:bookmarkStart w:id="290" w:name="_Toc32534"/>
      <w:bookmarkStart w:id="291" w:name="_Toc23491"/>
      <w:bookmarkStart w:id="292" w:name="_Toc142508339"/>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284"/>
      <w:bookmarkEnd w:id="285"/>
      <w:bookmarkEnd w:id="286"/>
      <w:bookmarkEnd w:id="287"/>
      <w:bookmarkEnd w:id="288"/>
      <w:bookmarkEnd w:id="289"/>
      <w:bookmarkEnd w:id="290"/>
      <w:bookmarkEnd w:id="291"/>
      <w:bookmarkEnd w:id="292"/>
    </w:p>
    <w:p>
      <w:pPr>
        <w:tabs>
          <w:tab w:val="left" w:pos="567"/>
        </w:tabs>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pPr>
        <w:tabs>
          <w:tab w:val="left" w:pos="567"/>
        </w:tabs>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3" w:name="_Toc16920"/>
      <w:bookmarkStart w:id="294" w:name="_Toc450662875"/>
      <w:bookmarkStart w:id="295" w:name="_Toc15565_WPSOffice_Level3"/>
      <w:bookmarkStart w:id="296" w:name="_Toc5558"/>
      <w:bookmarkStart w:id="297" w:name="_Toc800"/>
      <w:bookmarkStart w:id="298" w:name="_Toc32178"/>
      <w:bookmarkStart w:id="299" w:name="_Toc18693"/>
      <w:bookmarkStart w:id="300" w:name="_Toc486167690"/>
      <w:bookmarkStart w:id="301" w:name="_Toc142508340"/>
      <w:r>
        <w:rPr>
          <w:rFonts w:hint="eastAsia" w:ascii="宋体" w:hAnsi="宋体" w:eastAsia="宋体" w:cs="宋体"/>
          <w:color w:val="auto"/>
          <w:szCs w:val="21"/>
          <w:highlight w:val="none"/>
          <w:lang w:val="zh-CN"/>
        </w:rPr>
        <w:t>24 评标委员会</w:t>
      </w:r>
      <w:bookmarkEnd w:id="293"/>
      <w:bookmarkEnd w:id="294"/>
      <w:bookmarkEnd w:id="295"/>
      <w:bookmarkEnd w:id="296"/>
      <w:bookmarkEnd w:id="297"/>
      <w:bookmarkEnd w:id="298"/>
      <w:bookmarkEnd w:id="299"/>
      <w:bookmarkEnd w:id="300"/>
      <w:bookmarkEnd w:id="301"/>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302" w:name="_Toc142508341"/>
      <w:bookmarkStart w:id="303" w:name="_Toc28910_WPSOffice_Level3"/>
      <w:bookmarkStart w:id="304" w:name="_Toc27296"/>
      <w:bookmarkStart w:id="305" w:name="_Toc12715"/>
      <w:bookmarkStart w:id="306" w:name="_Toc18668"/>
      <w:bookmarkStart w:id="307" w:name="_Toc486167691"/>
      <w:bookmarkStart w:id="308" w:name="_Toc8908"/>
      <w:bookmarkStart w:id="309" w:name="_Toc450662876"/>
      <w:bookmarkStart w:id="310" w:name="_Toc15953"/>
      <w:r>
        <w:rPr>
          <w:rFonts w:hint="eastAsia" w:ascii="宋体" w:hAnsi="宋体" w:eastAsia="宋体" w:cs="宋体"/>
          <w:b/>
          <w:color w:val="auto"/>
          <w:szCs w:val="21"/>
          <w:highlight w:val="none"/>
          <w:lang w:val="zh-CN"/>
        </w:rPr>
        <w:t>25 投标文件的初审</w:t>
      </w:r>
      <w:bookmarkEnd w:id="302"/>
      <w:bookmarkEnd w:id="303"/>
      <w:bookmarkEnd w:id="304"/>
      <w:bookmarkEnd w:id="305"/>
      <w:bookmarkEnd w:id="306"/>
      <w:bookmarkEnd w:id="307"/>
      <w:bookmarkEnd w:id="308"/>
      <w:bookmarkEnd w:id="309"/>
      <w:bookmarkEnd w:id="310"/>
    </w:p>
    <w:p>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 xml:space="preserve">25.1 </w:t>
      </w:r>
      <w:r>
        <w:rPr>
          <w:rFonts w:hint="eastAsia" w:ascii="宋体" w:hAnsi="宋体" w:eastAsia="宋体" w:cs="宋体"/>
          <w:b/>
          <w:color w:val="auto"/>
          <w:szCs w:val="21"/>
          <w:highlight w:val="none"/>
          <w:u w:val="single"/>
          <w:lang w:val="zh-CN"/>
        </w:rPr>
        <w:t>资格性检查：依据法律法规和招标文件的规定，对投标文件中的资格证明、投标保证金等进行审查，以确定投标人是否具备投标资格</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25.2 </w:t>
      </w:r>
      <w:r>
        <w:rPr>
          <w:rFonts w:hint="eastAsia" w:ascii="宋体" w:hAnsi="宋体" w:eastAsia="宋体" w:cs="宋体"/>
          <w:b/>
          <w:color w:val="auto"/>
          <w:szCs w:val="21"/>
          <w:highlight w:val="none"/>
          <w:u w:val="single"/>
          <w:lang w:val="zh-CN"/>
        </w:rPr>
        <w:t>符合性检查：依据招标文件的规定，从投标文件的有效性、完整性和对招标文件的响应程度进行审查，以确定是否对招标文件的实质性要求作出响应</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11" w:name="_Toc4837"/>
      <w:bookmarkStart w:id="312" w:name="_Toc338_WPSOffice_Level3"/>
      <w:bookmarkStart w:id="313" w:name="_Toc142508342"/>
      <w:bookmarkStart w:id="314" w:name="_Toc486167692"/>
      <w:bookmarkStart w:id="315" w:name="_Toc19456"/>
      <w:bookmarkStart w:id="316" w:name="_Toc27705"/>
      <w:bookmarkStart w:id="317" w:name="_Toc30225"/>
      <w:bookmarkStart w:id="318" w:name="_Toc450662877"/>
      <w:bookmarkStart w:id="319" w:name="_Toc16315"/>
      <w:r>
        <w:rPr>
          <w:rFonts w:hint="eastAsia" w:ascii="宋体" w:hAnsi="宋体" w:eastAsia="宋体" w:cs="宋体"/>
          <w:color w:val="auto"/>
          <w:szCs w:val="21"/>
          <w:highlight w:val="none"/>
          <w:lang w:val="zh-CN"/>
        </w:rPr>
        <w:t>26 投标文件的澄清</w:t>
      </w:r>
      <w:bookmarkEnd w:id="311"/>
      <w:bookmarkEnd w:id="312"/>
      <w:bookmarkEnd w:id="313"/>
      <w:bookmarkEnd w:id="314"/>
      <w:bookmarkEnd w:id="315"/>
      <w:bookmarkEnd w:id="316"/>
      <w:bookmarkEnd w:id="317"/>
      <w:bookmarkEnd w:id="318"/>
      <w:bookmarkEnd w:id="319"/>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320"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320"/>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21" w:name="_Toc22451"/>
      <w:bookmarkStart w:id="322" w:name="_Toc18368_WPSOffice_Level3"/>
      <w:bookmarkStart w:id="323" w:name="_Toc22065"/>
      <w:bookmarkStart w:id="324" w:name="_Toc521918096"/>
      <w:bookmarkStart w:id="325" w:name="_Toc10967"/>
      <w:bookmarkStart w:id="326" w:name="_Toc522047355"/>
      <w:bookmarkStart w:id="327" w:name="_Toc142508343"/>
      <w:bookmarkStart w:id="328" w:name="_Toc19454"/>
      <w:bookmarkStart w:id="329" w:name="_Toc6970"/>
      <w:r>
        <w:rPr>
          <w:rFonts w:hint="eastAsia" w:ascii="宋体" w:hAnsi="宋体" w:eastAsia="宋体" w:cs="宋体"/>
          <w:color w:val="auto"/>
          <w:szCs w:val="21"/>
          <w:highlight w:val="none"/>
          <w:lang w:val="zh-CN"/>
        </w:rPr>
        <w:t>27 对投标文件的比较和评价</w:t>
      </w:r>
      <w:bookmarkEnd w:id="321"/>
      <w:bookmarkEnd w:id="322"/>
      <w:bookmarkEnd w:id="323"/>
      <w:bookmarkEnd w:id="324"/>
      <w:bookmarkEnd w:id="325"/>
      <w:bookmarkEnd w:id="326"/>
      <w:bookmarkEnd w:id="327"/>
      <w:bookmarkEnd w:id="328"/>
      <w:bookmarkEnd w:id="329"/>
    </w:p>
    <w:p>
      <w:pPr>
        <w:tabs>
          <w:tab w:val="left" w:pos="540"/>
        </w:tabs>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330" w:name="_Toc521918097"/>
      <w:bookmarkStart w:id="331" w:name="_Toc522047356"/>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32" w:name="_Toc14804"/>
      <w:bookmarkStart w:id="333" w:name="_Toc16829"/>
      <w:bookmarkStart w:id="334" w:name="_Toc12070"/>
      <w:bookmarkStart w:id="335" w:name="_Toc142508344"/>
      <w:bookmarkStart w:id="336" w:name="_Toc21460_WPSOffice_Level3"/>
      <w:bookmarkStart w:id="337" w:name="_Toc27026"/>
      <w:bookmarkStart w:id="338" w:name="_Toc10278"/>
      <w:r>
        <w:rPr>
          <w:rFonts w:hint="eastAsia" w:ascii="宋体" w:hAnsi="宋体" w:eastAsia="宋体" w:cs="宋体"/>
          <w:color w:val="auto"/>
          <w:szCs w:val="21"/>
          <w:highlight w:val="none"/>
          <w:lang w:val="zh-CN"/>
        </w:rPr>
        <w:t>28 评标原则及方法</w:t>
      </w:r>
      <w:bookmarkEnd w:id="330"/>
      <w:bookmarkEnd w:id="331"/>
      <w:bookmarkEnd w:id="332"/>
      <w:bookmarkEnd w:id="333"/>
      <w:bookmarkEnd w:id="334"/>
      <w:bookmarkEnd w:id="335"/>
      <w:bookmarkEnd w:id="336"/>
      <w:bookmarkEnd w:id="337"/>
      <w:bookmarkEnd w:id="338"/>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pPr>
        <w:autoSpaceDE w:val="0"/>
        <w:autoSpaceDN w:val="0"/>
        <w:adjustRightInd w:val="0"/>
        <w:spacing w:line="360" w:lineRule="auto"/>
        <w:ind w:left="357" w:leftChars="-100"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u w:val="single"/>
          <w:lang w:val="zh-CN"/>
        </w:rPr>
        <w:t>若</w:t>
      </w:r>
      <w:r>
        <w:rPr>
          <w:rFonts w:hint="eastAsia" w:ascii="宋体" w:hAnsi="宋体" w:eastAsia="宋体" w:cs="宋体"/>
          <w:b/>
          <w:bCs/>
          <w:color w:val="auto"/>
          <w:szCs w:val="21"/>
          <w:highlight w:val="none"/>
          <w:u w:val="single"/>
        </w:rPr>
        <w:t>本次招标过程中有效投标人不足三个时，公开招标失败</w:t>
      </w:r>
      <w:r>
        <w:rPr>
          <w:rFonts w:hint="eastAsia" w:ascii="宋体" w:hAnsi="宋体" w:eastAsia="宋体" w:cs="宋体"/>
          <w:b/>
          <w:bCs/>
          <w:color w:val="auto"/>
          <w:szCs w:val="21"/>
          <w:highlight w:val="none"/>
        </w:rPr>
        <w:t>。</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39" w:name="_Toc142508345"/>
      <w:bookmarkStart w:id="340" w:name="_Toc4892"/>
      <w:bookmarkStart w:id="341" w:name="_Toc394"/>
      <w:bookmarkStart w:id="342" w:name="_Toc29588"/>
      <w:bookmarkStart w:id="343" w:name="_Toc465358969"/>
      <w:bookmarkStart w:id="344" w:name="_Toc32498_WPSOffice_Level3"/>
      <w:bookmarkStart w:id="345" w:name="_Toc4819"/>
      <w:bookmarkStart w:id="346" w:name="_Toc466882017"/>
      <w:bookmarkStart w:id="347" w:name="_Toc486167694"/>
      <w:bookmarkStart w:id="348" w:name="_Toc1161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339"/>
      <w:bookmarkEnd w:id="340"/>
      <w:bookmarkEnd w:id="341"/>
      <w:bookmarkEnd w:id="342"/>
      <w:bookmarkEnd w:id="343"/>
      <w:bookmarkEnd w:id="344"/>
      <w:bookmarkEnd w:id="345"/>
      <w:bookmarkEnd w:id="346"/>
      <w:bookmarkEnd w:id="347"/>
      <w:bookmarkEnd w:id="348"/>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招标代理机构在招标公告发布媒介公示中标候选人，公示期为3日。投标人或者其他利害关系人对评标结果有异议的，应当在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pPr>
        <w:autoSpaceDE/>
        <w:autoSpaceDN/>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u w:val="singl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r>
        <w:rPr>
          <w:rFonts w:hint="eastAsia" w:ascii="宋体" w:hAnsi="宋体" w:eastAsia="宋体" w:cs="宋体"/>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u w:val="singl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u w:val="single"/>
          <w:lang w:val="zh-CN"/>
        </w:rPr>
        <w:t>，视为其无法提供真实的资料，招标人有权取消其中标候选人资格</w:t>
      </w:r>
      <w:r>
        <w:rPr>
          <w:rFonts w:hint="eastAsia" w:ascii="宋体" w:hAnsi="宋体" w:eastAsia="宋体" w:cs="宋体"/>
          <w:b/>
          <w:color w:val="auto"/>
          <w:szCs w:val="21"/>
          <w:highlight w:val="none"/>
          <w:lang w:val="zh-CN"/>
        </w:rPr>
        <w:t>。</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349" w:name="_Toc15998"/>
      <w:bookmarkStart w:id="350" w:name="_Toc7095"/>
      <w:bookmarkStart w:id="351" w:name="_Toc1848_WPSOffice_Level3"/>
      <w:bookmarkStart w:id="352" w:name="_Toc3154"/>
      <w:bookmarkStart w:id="353" w:name="_Toc486167695"/>
      <w:bookmarkStart w:id="354" w:name="_Toc2077"/>
      <w:bookmarkStart w:id="355" w:name="_Toc26354"/>
      <w:bookmarkStart w:id="356" w:name="_Toc465358970"/>
      <w:bookmarkStart w:id="357" w:name="_Toc466882018"/>
      <w:bookmarkStart w:id="358" w:name="_Toc142508346"/>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49"/>
      <w:bookmarkEnd w:id="350"/>
      <w:bookmarkEnd w:id="351"/>
      <w:bookmarkEnd w:id="352"/>
      <w:bookmarkEnd w:id="353"/>
      <w:bookmarkEnd w:id="354"/>
      <w:bookmarkEnd w:id="355"/>
      <w:bookmarkEnd w:id="356"/>
      <w:bookmarkEnd w:id="357"/>
      <w:bookmarkEnd w:id="358"/>
    </w:p>
    <w:p>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30.1 </w:t>
      </w:r>
      <w:r>
        <w:rPr>
          <w:rFonts w:hint="eastAsia" w:ascii="宋体" w:hAnsi="宋体" w:eastAsia="宋体" w:cs="宋体"/>
          <w:b/>
          <w:color w:val="auto"/>
          <w:szCs w:val="21"/>
          <w:highlight w:val="none"/>
          <w:u w:val="single"/>
        </w:rPr>
        <w:t>在</w:t>
      </w:r>
      <w:r>
        <w:rPr>
          <w:rFonts w:hint="eastAsia" w:ascii="宋体" w:hAnsi="宋体" w:eastAsia="宋体" w:cs="宋体"/>
          <w:b/>
          <w:color w:val="auto"/>
          <w:kern w:val="0"/>
          <w:szCs w:val="21"/>
          <w:highlight w:val="none"/>
          <w:u w:val="singl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u w:val="singl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u w:val="singl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30.2 </w:t>
      </w:r>
      <w:r>
        <w:rPr>
          <w:rFonts w:hint="eastAsia" w:ascii="宋体" w:hAnsi="宋体" w:eastAsia="宋体" w:cs="宋体"/>
          <w:b/>
          <w:color w:val="auto"/>
          <w:szCs w:val="21"/>
          <w:highlight w:val="none"/>
          <w:u w:val="single"/>
        </w:rPr>
        <w:t>投标人</w:t>
      </w:r>
      <w:r>
        <w:rPr>
          <w:rFonts w:hint="eastAsia" w:ascii="宋体" w:hAnsi="宋体" w:eastAsia="宋体" w:cs="宋体"/>
          <w:b/>
          <w:color w:val="auto"/>
          <w:kern w:val="0"/>
          <w:szCs w:val="21"/>
          <w:highlight w:val="none"/>
          <w:u w:val="single"/>
        </w:rPr>
        <w:t>在招标人（或其委托的招标代理机构）、或评标委员会通知其提供</w:t>
      </w:r>
      <w:r>
        <w:rPr>
          <w:rFonts w:hint="eastAsia" w:ascii="宋体" w:hAnsi="宋体" w:eastAsia="宋体" w:cs="宋体"/>
          <w:b/>
          <w:color w:val="auto"/>
          <w:szCs w:val="21"/>
          <w:highlight w:val="none"/>
          <w:u w:val="singl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u w:val="singl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30.3 </w:t>
      </w:r>
      <w:r>
        <w:rPr>
          <w:rFonts w:hint="eastAsia" w:ascii="宋体" w:hAnsi="宋体" w:eastAsia="宋体" w:cs="宋体"/>
          <w:b/>
          <w:color w:val="auto"/>
          <w:szCs w:val="21"/>
          <w:highlight w:val="none"/>
          <w:u w:val="single"/>
        </w:rPr>
        <w:t>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r>
        <w:rPr>
          <w:rFonts w:hint="eastAsia" w:ascii="宋体" w:hAnsi="宋体" w:eastAsia="宋体" w:cs="宋体"/>
          <w:b/>
          <w:color w:val="auto"/>
          <w:szCs w:val="21"/>
          <w:highlight w:val="none"/>
        </w:rPr>
        <w:t>。</w:t>
      </w:r>
    </w:p>
    <w:p>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359" w:name="_Toc466882019"/>
      <w:bookmarkStart w:id="360" w:name="_Toc465358971"/>
    </w:p>
    <w:p>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361" w:name="_Toc19025"/>
      <w:bookmarkStart w:id="362" w:name="_Toc8654"/>
      <w:bookmarkStart w:id="363" w:name="_Toc10867_WPSOffice_Level3"/>
      <w:bookmarkStart w:id="364" w:name="_Toc486167696"/>
      <w:bookmarkStart w:id="365" w:name="_Toc15815"/>
      <w:bookmarkStart w:id="366" w:name="_Toc13307"/>
      <w:bookmarkStart w:id="367" w:name="_Toc23672"/>
      <w:bookmarkStart w:id="368"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59"/>
      <w:bookmarkEnd w:id="360"/>
      <w:bookmarkEnd w:id="361"/>
      <w:bookmarkEnd w:id="362"/>
      <w:bookmarkEnd w:id="363"/>
      <w:bookmarkEnd w:id="364"/>
      <w:bookmarkEnd w:id="365"/>
      <w:bookmarkEnd w:id="366"/>
      <w:bookmarkEnd w:id="367"/>
      <w:bookmarkEnd w:id="368"/>
    </w:p>
    <w:p>
      <w:pPr>
        <w:autoSpaceDE w:val="0"/>
        <w:autoSpaceDN w:val="0"/>
        <w:adjustRightInd w:val="0"/>
        <w:spacing w:line="360" w:lineRule="auto"/>
        <w:ind w:left="248" w:leftChars="118"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369" w:name="_Toc450662880"/>
    </w:p>
    <w:p>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370" w:name="_Toc142508348"/>
      <w:bookmarkStart w:id="371" w:name="_Toc29585"/>
      <w:bookmarkStart w:id="372" w:name="_Toc27936"/>
      <w:bookmarkStart w:id="373" w:name="_Toc16789"/>
      <w:bookmarkStart w:id="374" w:name="_Toc30538"/>
      <w:bookmarkStart w:id="375" w:name="_Toc11941"/>
      <w:bookmarkStart w:id="376" w:name="_Toc140596907"/>
      <w:bookmarkStart w:id="377" w:name="_Toc486167697"/>
      <w:bookmarkStart w:id="378" w:name="_Toc16848_WPSOffice_Level2"/>
      <w:r>
        <w:rPr>
          <w:rFonts w:hint="eastAsia" w:ascii="宋体" w:hAnsi="宋体" w:eastAsia="宋体" w:cs="宋体"/>
          <w:b/>
          <w:bCs/>
          <w:color w:val="auto"/>
          <w:kern w:val="44"/>
          <w:szCs w:val="21"/>
          <w:highlight w:val="none"/>
          <w:lang w:val="zh-CN"/>
        </w:rPr>
        <w:t>六、授予合同</w:t>
      </w:r>
      <w:bookmarkEnd w:id="369"/>
      <w:bookmarkEnd w:id="370"/>
      <w:bookmarkEnd w:id="371"/>
      <w:bookmarkEnd w:id="372"/>
      <w:bookmarkEnd w:id="373"/>
      <w:bookmarkEnd w:id="374"/>
      <w:bookmarkEnd w:id="375"/>
      <w:bookmarkEnd w:id="376"/>
      <w:bookmarkEnd w:id="377"/>
      <w:bookmarkEnd w:id="378"/>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79" w:name="_Toc6401_WPSOffice_Level3"/>
      <w:bookmarkStart w:id="380" w:name="_Toc29383"/>
      <w:bookmarkStart w:id="381" w:name="_Toc142508349"/>
      <w:bookmarkStart w:id="382" w:name="_Toc25080"/>
      <w:bookmarkStart w:id="383" w:name="_Toc31713"/>
      <w:bookmarkStart w:id="384" w:name="_Toc486167698"/>
      <w:bookmarkStart w:id="385" w:name="_Toc450662881"/>
      <w:bookmarkStart w:id="386" w:name="_Toc4948"/>
      <w:bookmarkStart w:id="387" w:name="_Toc9067"/>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379"/>
      <w:bookmarkEnd w:id="380"/>
      <w:bookmarkEnd w:id="381"/>
      <w:bookmarkEnd w:id="382"/>
      <w:bookmarkEnd w:id="383"/>
      <w:bookmarkEnd w:id="384"/>
      <w:bookmarkEnd w:id="385"/>
      <w:bookmarkEnd w:id="386"/>
      <w:bookmarkEnd w:id="387"/>
    </w:p>
    <w:p>
      <w:pPr>
        <w:tabs>
          <w:tab w:val="left" w:pos="645"/>
        </w:tabs>
        <w:autoSpaceDE w:val="0"/>
        <w:autoSpaceDN w:val="0"/>
        <w:adjustRightInd w:val="0"/>
        <w:spacing w:line="360" w:lineRule="auto"/>
        <w:ind w:left="315" w:leftChars="-100" w:right="44" w:rightChars="21"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88" w:name="_Toc450662885"/>
    </w:p>
    <w:p>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89" w:name="_Toc6726_WPSOffice_Level3"/>
      <w:bookmarkStart w:id="390" w:name="_Toc142508350"/>
      <w:bookmarkStart w:id="391" w:name="_Toc18984"/>
      <w:bookmarkStart w:id="392" w:name="_Toc29042"/>
      <w:bookmarkStart w:id="393" w:name="_Toc486167699"/>
      <w:bookmarkStart w:id="394" w:name="_Toc14377"/>
      <w:bookmarkStart w:id="395" w:name="_Toc8196"/>
      <w:bookmarkStart w:id="396" w:name="_Toc25680"/>
      <w:r>
        <w:rPr>
          <w:rFonts w:hint="eastAsia" w:ascii="宋体" w:hAnsi="宋体" w:eastAsia="宋体" w:cs="宋体"/>
          <w:color w:val="auto"/>
          <w:szCs w:val="21"/>
          <w:highlight w:val="none"/>
          <w:lang w:val="zh-CN"/>
        </w:rPr>
        <w:t>33 中标通知</w:t>
      </w:r>
      <w:bookmarkEnd w:id="388"/>
      <w:bookmarkEnd w:id="389"/>
      <w:bookmarkEnd w:id="390"/>
      <w:bookmarkEnd w:id="391"/>
      <w:bookmarkEnd w:id="392"/>
      <w:bookmarkEnd w:id="393"/>
      <w:bookmarkEnd w:id="394"/>
      <w:bookmarkEnd w:id="395"/>
      <w:bookmarkEnd w:id="396"/>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97"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98" w:name="_Toc142508351"/>
      <w:bookmarkStart w:id="399" w:name="_Toc12053"/>
      <w:bookmarkStart w:id="400" w:name="_Toc19127"/>
      <w:bookmarkStart w:id="401" w:name="_Toc1331"/>
      <w:bookmarkStart w:id="402" w:name="_Toc9694_WPSOffice_Level3"/>
      <w:bookmarkStart w:id="403" w:name="_Toc28020"/>
      <w:bookmarkStart w:id="404" w:name="_Toc486167700"/>
      <w:bookmarkStart w:id="405" w:name="_Toc13715"/>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397"/>
      <w:bookmarkEnd w:id="398"/>
      <w:bookmarkEnd w:id="399"/>
      <w:bookmarkEnd w:id="400"/>
      <w:bookmarkEnd w:id="401"/>
      <w:bookmarkEnd w:id="402"/>
      <w:bookmarkEnd w:id="403"/>
      <w:bookmarkEnd w:id="404"/>
      <w:bookmarkEnd w:id="405"/>
    </w:p>
    <w:p>
      <w:pPr>
        <w:tabs>
          <w:tab w:val="left" w:pos="540"/>
        </w:tabs>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pPr>
        <w:autoSpaceDE w:val="0"/>
        <w:autoSpaceDN w:val="0"/>
        <w:adjustRightInd w:val="0"/>
        <w:snapToGrid w:val="0"/>
        <w:spacing w:line="360" w:lineRule="auto"/>
        <w:ind w:left="296" w:leftChars="91"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（1）当以数字表示的金额与以文字表示的金额不一致时，以文字表示的金额为准；</w:t>
      </w:r>
    </w:p>
    <w:p>
      <w:pPr>
        <w:autoSpaceDE w:val="0"/>
        <w:autoSpaceDN w:val="0"/>
        <w:adjustRightInd w:val="0"/>
        <w:snapToGrid w:val="0"/>
        <w:spacing w:line="360" w:lineRule="auto"/>
        <w:ind w:left="296" w:leftChars="91"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（2）按前述修正原则排序依次进行修正至唯一值后的报价表经双方确认后，作为合同文件的组成部分。</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06" w:name="_Toc450662887"/>
      <w:bookmarkStart w:id="407" w:name="_Toc5304"/>
      <w:bookmarkStart w:id="408" w:name="_Toc486167701"/>
      <w:bookmarkStart w:id="409" w:name="_Toc32166"/>
      <w:bookmarkStart w:id="410" w:name="_Toc6803"/>
      <w:bookmarkStart w:id="411" w:name="_Toc10513_WPSOffice_Level3"/>
      <w:bookmarkStart w:id="412" w:name="_Toc3830"/>
      <w:bookmarkStart w:id="413" w:name="_Toc8181"/>
      <w:bookmarkStart w:id="414" w:name="_Toc142508352"/>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406"/>
      <w:bookmarkEnd w:id="407"/>
      <w:bookmarkEnd w:id="408"/>
      <w:bookmarkEnd w:id="409"/>
      <w:bookmarkEnd w:id="410"/>
      <w:bookmarkEnd w:id="411"/>
      <w:bookmarkEnd w:id="412"/>
      <w:bookmarkEnd w:id="413"/>
      <w:bookmarkEnd w:id="414"/>
    </w:p>
    <w:p>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bookmarkStart w:id="415" w:name="_Toc466882025"/>
      <w:bookmarkStart w:id="416"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其中，采用履约保证金（银行转账形式）的金额为暂定总合同价</w:t>
      </w:r>
      <w:r>
        <w:rPr>
          <w:rFonts w:hint="eastAsia" w:ascii="宋体" w:hAnsi="宋体" w:eastAsia="宋体" w:cs="宋体"/>
          <w:b/>
          <w:bCs/>
          <w:color w:val="auto"/>
          <w:szCs w:val="21"/>
          <w:highlight w:val="none"/>
          <w:u w:val="single"/>
          <w:lang w:val="en-US" w:eastAsia="zh-CN"/>
        </w:rPr>
        <w:t>税合计</w:t>
      </w:r>
      <w:r>
        <w:rPr>
          <w:rFonts w:hint="eastAsia" w:ascii="宋体" w:hAnsi="宋体" w:eastAsia="宋体" w:cs="宋体"/>
          <w:b/>
          <w:bCs/>
          <w:color w:val="auto"/>
          <w:szCs w:val="21"/>
          <w:highlight w:val="none"/>
          <w:u w:val="single"/>
          <w:lang w:val="zh-CN"/>
        </w:rPr>
        <w:t>的5%，采用不可撤销银行履约保函形式的金额为暂定总合同价</w:t>
      </w:r>
      <w:r>
        <w:rPr>
          <w:rFonts w:hint="eastAsia" w:ascii="宋体" w:hAnsi="宋体" w:eastAsia="宋体" w:cs="宋体"/>
          <w:b/>
          <w:bCs/>
          <w:color w:val="auto"/>
          <w:szCs w:val="21"/>
          <w:highlight w:val="none"/>
          <w:u w:val="single"/>
          <w:lang w:val="en-US" w:eastAsia="zh-CN"/>
        </w:rPr>
        <w:t>税合计</w:t>
      </w:r>
      <w:r>
        <w:rPr>
          <w:rFonts w:hint="eastAsia" w:ascii="宋体" w:hAnsi="宋体" w:eastAsia="宋体" w:cs="宋体"/>
          <w:b/>
          <w:bCs/>
          <w:color w:val="auto"/>
          <w:szCs w:val="21"/>
          <w:highlight w:val="none"/>
          <w:u w:val="single"/>
          <w:lang w:val="zh-CN"/>
        </w:rPr>
        <w:t>的8%，采用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形式的金额为暂定总合同价</w:t>
      </w:r>
      <w:r>
        <w:rPr>
          <w:rFonts w:hint="eastAsia" w:ascii="宋体" w:hAnsi="宋体" w:eastAsia="宋体" w:cs="宋体"/>
          <w:b/>
          <w:bCs/>
          <w:color w:val="auto"/>
          <w:szCs w:val="21"/>
          <w:highlight w:val="none"/>
          <w:u w:val="single"/>
          <w:lang w:val="en-US" w:eastAsia="zh-CN"/>
        </w:rPr>
        <w:t>税合计</w:t>
      </w:r>
      <w:r>
        <w:rPr>
          <w:rFonts w:hint="eastAsia" w:ascii="宋体" w:hAnsi="宋体" w:eastAsia="宋体" w:cs="宋体"/>
          <w:b/>
          <w:bCs/>
          <w:color w:val="auto"/>
          <w:szCs w:val="21"/>
          <w:highlight w:val="none"/>
          <w:u w:val="single"/>
          <w:lang w:val="zh-CN"/>
        </w:rPr>
        <w:t>的8%，采用担保公司履约担保书形式的金额为暂定总合同价</w:t>
      </w:r>
      <w:r>
        <w:rPr>
          <w:rFonts w:hint="eastAsia" w:ascii="宋体" w:hAnsi="宋体" w:eastAsia="宋体" w:cs="宋体"/>
          <w:b/>
          <w:bCs/>
          <w:color w:val="auto"/>
          <w:szCs w:val="21"/>
          <w:highlight w:val="none"/>
          <w:u w:val="single"/>
          <w:lang w:val="en-US" w:eastAsia="zh-CN"/>
        </w:rPr>
        <w:t>税合计</w:t>
      </w:r>
      <w:r>
        <w:rPr>
          <w:rFonts w:hint="eastAsia" w:ascii="宋体" w:hAnsi="宋体" w:eastAsia="宋体" w:cs="宋体"/>
          <w:b/>
          <w:bCs/>
          <w:color w:val="auto"/>
          <w:szCs w:val="21"/>
          <w:highlight w:val="none"/>
          <w:u w:val="single"/>
          <w:lang w:val="zh-CN"/>
        </w:rPr>
        <w:t>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（2）在合同履行期间，中标人怠于履行合同义务，经招标人通知或要求承担违约金后仍拒不改正的，招标人可依法没收或适当扣除其履约担保。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autoSpaceDN/>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pPr>
        <w:tabs>
          <w:tab w:val="left" w:pos="360"/>
          <w:tab w:val="left" w:pos="4725"/>
        </w:tabs>
        <w:autoSpaceDE/>
        <w:autoSpaceDN/>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履约担保书），须事先经招标人的书面同意。</w:t>
      </w:r>
    </w:p>
    <w:p>
      <w:pPr>
        <w:tabs>
          <w:tab w:val="left" w:pos="360"/>
          <w:tab w:val="left" w:pos="4725"/>
        </w:tabs>
        <w:autoSpaceDE/>
        <w:autoSpaceDN/>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pPr>
        <w:tabs>
          <w:tab w:val="left" w:pos="360"/>
          <w:tab w:val="left" w:pos="4725"/>
        </w:tabs>
        <w:autoSpaceDE/>
        <w:autoSpaceDN/>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到期后中标人未按招标人要求重新提供的，招标人有权要求中标人以履约担保金额为限承担违约金，违约金可直接从未付采购合同费用中扣除。</w:t>
      </w:r>
    </w:p>
    <w:p>
      <w:pPr>
        <w:tabs>
          <w:tab w:val="left" w:pos="360"/>
          <w:tab w:val="left" w:pos="4725"/>
        </w:tabs>
        <w:autoSpaceDE/>
        <w:autoSpaceDN/>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autoSpaceDN/>
        <w:adjustRightInd w:val="0"/>
        <w:spacing w:line="360" w:lineRule="auto"/>
        <w:ind w:left="357" w:leftChars="-100" w:hanging="567" w:hangingChars="27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（6）不可撤销银行履约保函（或履约保证保险或担保公司履约担保书）应自合同签订之日</w:t>
      </w:r>
      <w:r>
        <w:rPr>
          <w:rFonts w:hint="eastAsia" w:ascii="宋体" w:hAnsi="宋体" w:eastAsia="宋体" w:cs="Times New Roman"/>
          <w:color w:val="auto"/>
          <w:kern w:val="2"/>
          <w:sz w:val="21"/>
          <w:szCs w:val="21"/>
          <w:highlight w:val="none"/>
        </w:rPr>
        <w:t>起至合同期限届满并完成本合同的全部服务</w:t>
      </w:r>
      <w:r>
        <w:rPr>
          <w:rFonts w:hint="eastAsia" w:ascii="宋体" w:hAnsi="宋体" w:eastAsia="宋体" w:cs="Times New Roman"/>
          <w:color w:val="auto"/>
          <w:kern w:val="2"/>
          <w:sz w:val="21"/>
          <w:szCs w:val="21"/>
          <w:highlight w:val="none"/>
          <w:lang w:eastAsia="zh-CN"/>
        </w:rPr>
        <w:t>义务</w:t>
      </w:r>
      <w:r>
        <w:rPr>
          <w:rFonts w:hint="eastAsia" w:ascii="宋体" w:hAnsi="宋体" w:eastAsia="宋体" w:cs="宋体"/>
          <w:color w:val="auto"/>
          <w:kern w:val="0"/>
          <w:szCs w:val="21"/>
          <w:highlight w:val="none"/>
        </w:rPr>
        <w:t>后二十八（28）日内保持有效</w:t>
      </w:r>
      <w:r>
        <w:rPr>
          <w:rFonts w:hint="eastAsia" w:ascii="宋体" w:hAnsi="宋体" w:eastAsia="宋体" w:cs="宋体"/>
          <w:color w:val="auto"/>
          <w:kern w:val="0"/>
          <w:szCs w:val="21"/>
          <w:highlight w:val="none"/>
          <w:lang w:eastAsia="zh-CN"/>
        </w:rPr>
        <w:t>。</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开户名称：东莞市利源有机资源再生利用有限公司</w:t>
      </w:r>
    </w:p>
    <w:p>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银行账号：2010021309200578870</w:t>
      </w:r>
    </w:p>
    <w:p>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开户银行：中国工商银行股份有限公司东莞分行</w:t>
      </w:r>
    </w:p>
    <w:p>
      <w:pPr>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依法完成本项目的所有合同义务后，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17" w:name="_Toc27162"/>
      <w:bookmarkStart w:id="418" w:name="_Toc142508353"/>
      <w:bookmarkStart w:id="419" w:name="_Toc486167702"/>
      <w:bookmarkStart w:id="420" w:name="_Toc10548"/>
      <w:bookmarkStart w:id="421" w:name="_Toc3383"/>
      <w:bookmarkStart w:id="422" w:name="_Toc9976"/>
      <w:bookmarkStart w:id="423" w:name="_Toc31781"/>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15"/>
      <w:bookmarkEnd w:id="416"/>
      <w:bookmarkEnd w:id="417"/>
      <w:bookmarkEnd w:id="418"/>
      <w:bookmarkEnd w:id="419"/>
      <w:bookmarkEnd w:id="420"/>
      <w:bookmarkEnd w:id="421"/>
      <w:bookmarkEnd w:id="422"/>
      <w:bookmarkEnd w:id="423"/>
    </w:p>
    <w:p>
      <w:pPr>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24" w:name="_Toc450662888"/>
    </w:p>
    <w:p>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25" w:name="_Toc26429"/>
      <w:bookmarkStart w:id="426" w:name="_Toc23218"/>
      <w:bookmarkStart w:id="427" w:name="_Toc30627"/>
      <w:bookmarkStart w:id="428" w:name="_Toc142508354"/>
      <w:bookmarkStart w:id="429" w:name="_Toc28921_WPSOffice_Level3"/>
      <w:bookmarkStart w:id="430" w:name="_Toc5353"/>
      <w:bookmarkStart w:id="431" w:name="_Toc486167703"/>
      <w:bookmarkStart w:id="432" w:name="_Toc2401"/>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424"/>
      <w:bookmarkEnd w:id="425"/>
      <w:bookmarkEnd w:id="426"/>
      <w:bookmarkEnd w:id="427"/>
      <w:bookmarkEnd w:id="428"/>
      <w:bookmarkEnd w:id="429"/>
      <w:bookmarkEnd w:id="430"/>
      <w:bookmarkEnd w:id="431"/>
      <w:bookmarkEnd w:id="432"/>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33" w:name="_Toc450662889"/>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34" w:name="_Toc21757"/>
      <w:bookmarkStart w:id="435" w:name="_Toc6796"/>
      <w:bookmarkStart w:id="436" w:name="_Toc6764_WPSOffice_Level3"/>
      <w:bookmarkStart w:id="437" w:name="_Toc1184"/>
      <w:bookmarkStart w:id="438" w:name="_Toc21985"/>
      <w:bookmarkStart w:id="439" w:name="_Toc3125"/>
      <w:bookmarkStart w:id="440" w:name="_Toc142508355"/>
      <w:bookmarkStart w:id="441"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33"/>
      <w:bookmarkEnd w:id="434"/>
      <w:bookmarkEnd w:id="435"/>
      <w:bookmarkEnd w:id="436"/>
      <w:bookmarkEnd w:id="437"/>
      <w:bookmarkEnd w:id="438"/>
      <w:bookmarkEnd w:id="439"/>
      <w:bookmarkEnd w:id="440"/>
      <w:bookmarkEnd w:id="441"/>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442" w:name="_Toc486167705"/>
      <w:bookmarkStart w:id="443" w:name="_Toc31106_WPSOffice_Level3"/>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该项目获得中标的中标人在执行合同过程中，向招标人（或招标人的权属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公司）出具的发票类型为增值税专用发票。</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444" w:name="_Toc24547"/>
      <w:bookmarkStart w:id="445" w:name="_Toc8619"/>
      <w:bookmarkStart w:id="446" w:name="_Toc13677"/>
      <w:bookmarkStart w:id="447" w:name="_Toc27075"/>
      <w:bookmarkStart w:id="448" w:name="_Toc142508356"/>
      <w:bookmarkStart w:id="449" w:name="_Toc28708"/>
      <w:r>
        <w:rPr>
          <w:rFonts w:hint="eastAsia" w:ascii="宋体" w:hAnsi="宋体" w:eastAsia="宋体" w:cs="宋体"/>
          <w:b/>
          <w:color w:val="auto"/>
          <w:szCs w:val="21"/>
          <w:highlight w:val="none"/>
        </w:rPr>
        <w:t>39 招标相关补充约定</w:t>
      </w:r>
      <w:bookmarkEnd w:id="444"/>
      <w:bookmarkEnd w:id="445"/>
      <w:bookmarkEnd w:id="446"/>
      <w:bookmarkEnd w:id="447"/>
      <w:bookmarkEnd w:id="448"/>
      <w:bookmarkEnd w:id="449"/>
    </w:p>
    <w:p>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u w:val="single"/>
        </w:rPr>
        <w:t>本项目投标人须知第2条所述行政处罚信息，以开标</w:t>
      </w:r>
      <w:r>
        <w:rPr>
          <w:rFonts w:hint="eastAsia" w:ascii="宋体" w:hAnsi="宋体" w:eastAsia="宋体" w:cs="宋体"/>
          <w:b/>
          <w:color w:val="auto"/>
          <w:szCs w:val="21"/>
          <w:highlight w:val="none"/>
          <w:u w:val="single"/>
          <w:lang w:val="en-US" w:eastAsia="zh-CN"/>
        </w:rPr>
        <w:t>当天</w:t>
      </w:r>
      <w:r>
        <w:rPr>
          <w:rFonts w:hint="eastAsia" w:ascii="宋体" w:hAnsi="宋体" w:eastAsia="宋体" w:cs="宋体"/>
          <w:b/>
          <w:color w:val="auto"/>
          <w:szCs w:val="21"/>
          <w:highlight w:val="none"/>
          <w:u w:val="singl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u w:val="single"/>
          <w:lang w:val="en-US" w:eastAsia="zh-CN"/>
        </w:rPr>
        <w:t>开标当天查询</w:t>
      </w:r>
      <w:r>
        <w:rPr>
          <w:rFonts w:hint="eastAsia" w:ascii="宋体" w:hAnsi="宋体" w:eastAsia="宋体" w:cs="宋体"/>
          <w:b/>
          <w:color w:val="auto"/>
          <w:szCs w:val="21"/>
          <w:highlight w:val="none"/>
          <w:u w:val="single"/>
        </w:rPr>
        <w:t>结果为准；结果公示期间，如投标人对有关投标单位的行政处罚信息存在异议，但不涉及第一中标候选人的，视为对中标结果没有造成实质影响</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450" w:name="_Toc26594"/>
      <w:bookmarkStart w:id="451" w:name="_Toc909"/>
      <w:bookmarkStart w:id="452" w:name="_Toc142508357"/>
      <w:bookmarkStart w:id="453" w:name="_Toc7594"/>
      <w:bookmarkStart w:id="454" w:name="_Toc29758"/>
      <w:bookmarkStart w:id="455" w:name="_Toc5205"/>
      <w:r>
        <w:rPr>
          <w:rFonts w:hint="eastAsia" w:ascii="宋体" w:hAnsi="宋体" w:eastAsia="宋体" w:cs="宋体"/>
          <w:color w:val="auto"/>
          <w:szCs w:val="21"/>
          <w:highlight w:val="none"/>
        </w:rPr>
        <w:t>40 本次招标活动的最终解释权归招标代理机构及招标人所有。</w:t>
      </w:r>
      <w:bookmarkEnd w:id="442"/>
      <w:bookmarkEnd w:id="443"/>
      <w:bookmarkEnd w:id="450"/>
      <w:bookmarkEnd w:id="451"/>
      <w:bookmarkEnd w:id="452"/>
      <w:bookmarkEnd w:id="453"/>
      <w:bookmarkEnd w:id="454"/>
      <w:bookmarkEnd w:id="455"/>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56" w:name="_Toc450662891"/>
      <w:bookmarkStart w:id="457" w:name="_Toc142508358"/>
      <w:bookmarkStart w:id="458" w:name="_Toc12084"/>
      <w:bookmarkStart w:id="459" w:name="_Toc4386"/>
      <w:bookmarkStart w:id="460" w:name="_Toc486167706"/>
      <w:bookmarkStart w:id="461" w:name="_Toc14879"/>
      <w:bookmarkStart w:id="462" w:name="_Toc30115"/>
      <w:bookmarkStart w:id="463" w:name="_Toc21446"/>
      <w:bookmarkStart w:id="464" w:name="_Toc27939_WPSOffice_Level1"/>
      <w:r>
        <w:rPr>
          <w:rFonts w:hint="eastAsia" w:ascii="宋体" w:hAnsi="宋体" w:eastAsia="宋体" w:cs="宋体"/>
          <w:b/>
          <w:bCs/>
          <w:color w:val="auto"/>
          <w:kern w:val="44"/>
          <w:sz w:val="32"/>
          <w:szCs w:val="32"/>
          <w:highlight w:val="none"/>
          <w:lang w:val="zh-CN"/>
        </w:rPr>
        <w:t>第三篇 用户需求书</w:t>
      </w:r>
      <w:bookmarkEnd w:id="456"/>
      <w:bookmarkEnd w:id="457"/>
      <w:bookmarkEnd w:id="458"/>
      <w:bookmarkEnd w:id="459"/>
      <w:bookmarkEnd w:id="460"/>
      <w:bookmarkEnd w:id="461"/>
      <w:bookmarkEnd w:id="462"/>
      <w:bookmarkEnd w:id="463"/>
      <w:bookmarkEnd w:id="464"/>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outlineLvl w:val="0"/>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outlineLvl w:val="0"/>
        <w:rPr>
          <w:rFonts w:hint="eastAsia" w:ascii="宋体" w:hAnsi="宋体" w:eastAsia="宋体" w:cs="宋体"/>
          <w:b/>
          <w:bCs/>
          <w:color w:val="auto"/>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highlight w:val="none"/>
          <w:lang w:val="en-US" w:eastAsia="zh-CN"/>
        </w:rPr>
        <w:t>项目概况</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color w:val="auto"/>
          <w:sz w:val="21"/>
          <w:szCs w:val="21"/>
          <w:highlight w:val="none"/>
          <w:lang w:val="en-US" w:eastAsia="zh-CN"/>
        </w:rPr>
        <w:t>(一)东莞市利源有机资源再生利用有限公司（下称“利源公司”）位于东莞市南城街道石鼓黄洲一路18号，现时</w:t>
      </w:r>
      <w:r>
        <w:rPr>
          <w:rFonts w:ascii="宋体" w:hAnsi="宋体" w:eastAsia="宋体" w:cs="宋体"/>
          <w:color w:val="auto"/>
          <w:sz w:val="21"/>
          <w:szCs w:val="21"/>
          <w:highlight w:val="none"/>
        </w:rPr>
        <w:t>规模为日处理餐厨垃圾100吨，</w:t>
      </w:r>
      <w:r>
        <w:rPr>
          <w:rFonts w:hint="eastAsia" w:ascii="宋体" w:hAnsi="宋体" w:eastAsia="宋体" w:cs="宋体"/>
          <w:color w:val="auto"/>
          <w:sz w:val="21"/>
          <w:szCs w:val="21"/>
          <w:highlight w:val="none"/>
          <w:lang w:val="en-US" w:eastAsia="zh-CN"/>
        </w:rPr>
        <w:t>预计通过后期建设应急生产设备，将处理规模提高至</w:t>
      </w:r>
      <w:r>
        <w:rPr>
          <w:rFonts w:ascii="宋体" w:hAnsi="宋体" w:eastAsia="宋体" w:cs="宋体"/>
          <w:color w:val="auto"/>
          <w:sz w:val="21"/>
          <w:szCs w:val="21"/>
          <w:highlight w:val="none"/>
        </w:rPr>
        <w:t>日处理餐厨垃圾</w:t>
      </w:r>
      <w:r>
        <w:rPr>
          <w:rFonts w:hint="eastAsia" w:ascii="宋体" w:hAnsi="宋体" w:eastAsia="宋体" w:cs="宋体"/>
          <w:color w:val="auto"/>
          <w:sz w:val="21"/>
          <w:szCs w:val="21"/>
          <w:highlight w:val="none"/>
          <w:lang w:val="en-US" w:eastAsia="zh-CN"/>
        </w:rPr>
        <w:t>200吨。</w:t>
      </w:r>
      <w:r>
        <w:rPr>
          <w:rFonts w:hint="eastAsia" w:ascii="宋体" w:hAnsi="宋体" w:eastAsia="宋体" w:cs="宋体"/>
          <w:b w:val="0"/>
          <w:bCs w:val="0"/>
          <w:color w:val="auto"/>
          <w:highlight w:val="none"/>
          <w:lang w:val="en-US" w:eastAsia="zh-CN"/>
        </w:rPr>
        <w:t>主要业务为负责东莞市市区（东城、南城、莞城、万江镇街）的餐厨垃圾收运处理工作，现根据公司的生产需求，需要采购一个服务单位协助开展收运工作。项目收运工作采取“点对点”的服务方式开展，需要每天派出收运车辆对所有客户单位产生的餐厨垃圾进行一次及以上的收运工作，确保做到餐厨垃圾的日产日清。</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b w:val="0"/>
          <w:bCs w:val="0"/>
          <w:color w:val="auto"/>
          <w:sz w:val="21"/>
          <w:szCs w:val="21"/>
          <w:highlight w:val="none"/>
          <w:lang w:val="en-US" w:eastAsia="zh-CN"/>
        </w:rPr>
        <w:t>利源公司目前主要餐厨垃圾收运区域为南城、万江街道范围（其中东城、莞城街道由街道自行收运至利源公司进行处理，日处理量约为56吨），现阶段在南城、万江街道共有餐厨垃圾收运点约250个，日均餐厨垃圾收运量约为43吨，日总运输里程约为500公里，后续将继续增加收运点以提高收运量，预计服务期内总收运量约为20024吨。</w:t>
      </w:r>
    </w:p>
    <w:p>
      <w:pPr>
        <w:adjustRightInd w:val="0"/>
        <w:snapToGrid w:val="0"/>
        <w:spacing w:line="40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b w:val="0"/>
          <w:bCs w:val="0"/>
          <w:color w:val="auto"/>
          <w:sz w:val="21"/>
          <w:szCs w:val="21"/>
          <w:highlight w:val="none"/>
          <w:lang w:val="en-US" w:eastAsia="zh-CN"/>
        </w:rPr>
        <w:t>利源公司每天产生</w:t>
      </w:r>
      <w:r>
        <w:rPr>
          <w:rFonts w:hint="eastAsia" w:ascii="宋体" w:hAnsi="宋体" w:eastAsia="宋体" w:cs="宋体"/>
          <w:color w:val="auto"/>
          <w:sz w:val="21"/>
          <w:szCs w:val="21"/>
          <w:highlight w:val="none"/>
          <w:lang w:val="en-US" w:eastAsia="zh-CN"/>
        </w:rPr>
        <w:t>餐厨垃圾预处理车间分拣的生活垃圾需要由服务单位收运至东莞市新东元环保投资有限公司</w:t>
      </w:r>
      <w:r>
        <w:rPr>
          <w:rFonts w:hint="eastAsia" w:ascii="宋体" w:hAnsi="宋体" w:eastAsia="宋体" w:cs="宋体"/>
          <w:b w:val="0"/>
          <w:bCs w:val="0"/>
          <w:color w:val="auto"/>
          <w:sz w:val="21"/>
          <w:szCs w:val="21"/>
          <w:highlight w:val="none"/>
          <w:lang w:val="en-US" w:eastAsia="zh-CN"/>
        </w:rPr>
        <w:t>（地址：麻涌镇大步村海心沙岛内）</w:t>
      </w:r>
      <w:r>
        <w:rPr>
          <w:rFonts w:hint="eastAsia" w:ascii="宋体" w:hAnsi="宋体" w:eastAsia="宋体" w:cs="宋体"/>
          <w:color w:val="auto"/>
          <w:sz w:val="21"/>
          <w:szCs w:val="21"/>
          <w:highlight w:val="none"/>
          <w:lang w:val="en-US" w:eastAsia="zh-CN"/>
        </w:rPr>
        <w:t>进行处理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现阶段日均生活垃圾收运量约为11吨，</w:t>
      </w:r>
      <w:r>
        <w:rPr>
          <w:rFonts w:hint="eastAsia" w:ascii="宋体" w:hAnsi="宋体" w:eastAsia="宋体" w:cs="宋体"/>
          <w:b w:val="0"/>
          <w:bCs w:val="0"/>
          <w:color w:val="auto"/>
          <w:sz w:val="21"/>
          <w:szCs w:val="21"/>
          <w:highlight w:val="none"/>
          <w:lang w:val="en-US" w:eastAsia="zh-CN"/>
        </w:rPr>
        <w:t>日运输总里程约为72公里，后续根据餐厨垃圾收运量增加，分拣的生活垃圾也将同步增加，</w:t>
      </w:r>
      <w:r>
        <w:rPr>
          <w:rFonts w:hint="eastAsia" w:ascii="宋体" w:hAnsi="宋体" w:eastAsia="宋体" w:cs="宋体"/>
          <w:color w:val="auto"/>
          <w:sz w:val="21"/>
          <w:szCs w:val="21"/>
          <w:highlight w:val="none"/>
          <w:lang w:val="en-US" w:eastAsia="zh-CN"/>
        </w:rPr>
        <w:t>预计服务期内总收运量约为4647吨。</w:t>
      </w:r>
    </w:p>
    <w:p>
      <w:pPr>
        <w:snapToGrid w:val="0"/>
        <w:spacing w:line="40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b w:val="0"/>
          <w:bCs w:val="0"/>
          <w:color w:val="auto"/>
          <w:sz w:val="21"/>
          <w:szCs w:val="21"/>
          <w:highlight w:val="none"/>
          <w:lang w:val="en-US" w:eastAsia="zh-CN"/>
        </w:rPr>
        <w:t>利源公司已配备12辆5吨、3辆3吨型号餐厨垃圾收运车辆（国五柴油车辆，2019年上牌）、1辆18吨型号压缩式垃圾车辆（国六柴油车辆，2021年上牌）及相应车载信息化设备提供中标人使用。中标人在中标后需要自行对相关车辆进行验车，确保车辆所有功能正常后方可投入使用（如部分车辆存在功能缺失，可与招标人确认并进行备案，备案后在不影响正常使用的前提下可先投入使用），使用该过程中出现车辆故障问题（除已备案部分）均需要由中标人承担维修责任，服务期结束后，招标人将对所有车辆进行验车，中标人需要保证车辆功能恢复至服务期投入使用前的状态。</w:t>
      </w:r>
    </w:p>
    <w:p>
      <w:pPr>
        <w:keepNext w:val="0"/>
        <w:keepLines w:val="0"/>
        <w:pageBreakBefore w:val="0"/>
        <w:widowControl/>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color w:val="auto"/>
          <w:sz w:val="21"/>
          <w:szCs w:val="21"/>
          <w:highlight w:val="none"/>
          <w:lang w:val="en-US" w:eastAsia="zh-CN"/>
        </w:rPr>
        <w:t>注：项目概况中提及的餐厨垃圾、餐厨垃圾预处理车间分拣的生活垃圾收运量均为暂定量，仅为便于中标人了解项目情况使用，不作为招标人最终提供收运量的保证。最终按实际收运量结算，中标人不得因收运量的减少或增加而要求提供任何形式的补偿或赔偿，或要求招标人按本用户需求书提及的暂定量支付相应的收运服务费用。</w:t>
      </w: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、服务期</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自合同签订之日起</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年，服务期限为202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月1日至202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月3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日（以实际签订合同时间为准）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若招标人因政策原因导致合同需发生变更，则届时由招标人、变更单位及中标人共同协商，根据协商结果决定签订合同补充协议或终止合同。中标人不得对该事项判定招标人违约。</w:t>
      </w: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b/>
          <w:bCs/>
          <w:color w:val="auto"/>
          <w:sz w:val="21"/>
          <w:szCs w:val="21"/>
          <w:highlight w:val="none"/>
          <w:u w:val="single"/>
        </w:rPr>
      </w:pP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、服务内容</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（一）餐厨垃圾收运服务</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中标人使用招标人收运车辆及相应信息化设备，配合招标人餐厨业务拓展和路线编排，开展餐厨垃圾收运工作。中标人在收运过程中，必须遵守</w:t>
      </w:r>
      <w:r>
        <w:rPr>
          <w:rFonts w:hint="eastAsia" w:ascii="宋体" w:hAnsi="宋体" w:eastAsia="宋体" w:cs="宋体"/>
          <w:color w:val="auto"/>
          <w:sz w:val="21"/>
          <w:szCs w:val="21"/>
          <w:highlight w:val="none"/>
          <w:lang w:val="en-US" w:eastAsia="zh-CN"/>
        </w:rPr>
        <w:t>东莞</w:t>
      </w:r>
      <w:r>
        <w:rPr>
          <w:rFonts w:hint="eastAsia" w:ascii="宋体" w:hAnsi="宋体" w:eastAsia="宋体" w:cs="宋体"/>
          <w:color w:val="auto"/>
          <w:sz w:val="21"/>
          <w:szCs w:val="21"/>
          <w:highlight w:val="none"/>
        </w:rPr>
        <w:t>市相关法律法规及招标人相关规定，接受招标人监管，并对所使用车辆及设备承担保管、维护、清洁以及维修等责任。</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餐厨垃圾</w:t>
      </w:r>
      <w:r>
        <w:rPr>
          <w:rFonts w:hint="default" w:ascii="宋体" w:hAnsi="宋体" w:eastAsia="宋体" w:cs="宋体"/>
          <w:color w:val="auto"/>
          <w:sz w:val="21"/>
          <w:szCs w:val="21"/>
          <w:highlight w:val="none"/>
          <w:lang w:val="en-US" w:eastAsia="zh-CN"/>
        </w:rPr>
        <w:t>预处理车间分拣</w:t>
      </w:r>
      <w:r>
        <w:rPr>
          <w:rFonts w:hint="eastAsia" w:ascii="宋体" w:hAnsi="宋体" w:eastAsia="宋体" w:cs="宋体"/>
          <w:color w:val="auto"/>
          <w:sz w:val="21"/>
          <w:szCs w:val="21"/>
          <w:highlight w:val="none"/>
          <w:lang w:val="en-US" w:eastAsia="zh-CN"/>
        </w:rPr>
        <w:t>的生活垃圾收运服务</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中标人根据招标人要求开展</w:t>
      </w:r>
      <w:r>
        <w:rPr>
          <w:rFonts w:hint="eastAsia" w:ascii="宋体" w:hAnsi="宋体" w:eastAsia="宋体" w:cs="宋体"/>
          <w:color w:val="auto"/>
          <w:sz w:val="21"/>
          <w:szCs w:val="21"/>
          <w:highlight w:val="none"/>
          <w:lang w:val="en-US" w:eastAsia="zh-CN"/>
        </w:rPr>
        <w:t>餐厨垃圾</w:t>
      </w:r>
      <w:r>
        <w:rPr>
          <w:rFonts w:hint="default" w:ascii="宋体" w:hAnsi="宋体" w:eastAsia="宋体" w:cs="宋体"/>
          <w:color w:val="auto"/>
          <w:sz w:val="21"/>
          <w:szCs w:val="21"/>
          <w:highlight w:val="none"/>
          <w:lang w:val="en-US" w:eastAsia="zh-CN"/>
        </w:rPr>
        <w:t>预处理车间分拣</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生活垃圾</w:t>
      </w:r>
      <w:r>
        <w:rPr>
          <w:rFonts w:hint="eastAsia" w:ascii="宋体" w:hAnsi="宋体" w:eastAsia="宋体" w:cs="宋体"/>
          <w:color w:val="auto"/>
          <w:sz w:val="21"/>
          <w:szCs w:val="21"/>
          <w:highlight w:val="none"/>
          <w:lang w:val="en-US" w:eastAsia="zh-CN"/>
        </w:rPr>
        <w:t>收</w:t>
      </w:r>
      <w:r>
        <w:rPr>
          <w:rFonts w:hint="eastAsia" w:ascii="宋体" w:hAnsi="宋体" w:eastAsia="宋体" w:cs="宋体"/>
          <w:color w:val="auto"/>
          <w:sz w:val="21"/>
          <w:szCs w:val="21"/>
          <w:highlight w:val="none"/>
        </w:rPr>
        <w:t>运工作，运输过程中，必须遵守</w:t>
      </w:r>
      <w:r>
        <w:rPr>
          <w:rFonts w:hint="eastAsia" w:ascii="宋体" w:hAnsi="宋体" w:eastAsia="宋体" w:cs="宋体"/>
          <w:color w:val="auto"/>
          <w:sz w:val="21"/>
          <w:szCs w:val="21"/>
          <w:highlight w:val="none"/>
          <w:lang w:eastAsia="zh-CN"/>
        </w:rPr>
        <w:t>东莞</w:t>
      </w:r>
      <w:r>
        <w:rPr>
          <w:rFonts w:hint="eastAsia" w:ascii="宋体" w:hAnsi="宋体" w:eastAsia="宋体" w:cs="宋体"/>
          <w:color w:val="auto"/>
          <w:sz w:val="21"/>
          <w:szCs w:val="21"/>
          <w:highlight w:val="none"/>
        </w:rPr>
        <w:t>市相关法律法规及招标人相关规定，接受招标人监管，并对所使用车辆及设备承担保管、维护、清洁以及维修等责任。</w:t>
      </w: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、服务要求</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（一）餐厨垃圾收运服务</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1、餐厨垃圾收运服务收运对象为餐厨垃圾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在服务期内，中标人须为招标人提供全年不间断的</w:t>
      </w:r>
      <w:r>
        <w:rPr>
          <w:rFonts w:hint="eastAsia" w:ascii="宋体" w:hAnsi="宋体" w:eastAsia="宋体" w:cs="宋体"/>
          <w:color w:val="auto"/>
          <w:sz w:val="21"/>
          <w:szCs w:val="21"/>
          <w:highlight w:val="none"/>
        </w:rPr>
        <w:t>餐厨垃圾收运服务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kern w:val="0"/>
          <w:szCs w:val="21"/>
          <w:highlight w:val="none"/>
        </w:rPr>
        <w:t>应督促</w:t>
      </w:r>
      <w:r>
        <w:rPr>
          <w:rFonts w:hint="eastAsia" w:ascii="宋体" w:hAnsi="宋体" w:eastAsia="宋体" w:cs="宋体"/>
          <w:color w:val="auto"/>
          <w:sz w:val="21"/>
          <w:szCs w:val="21"/>
          <w:highlight w:val="none"/>
        </w:rPr>
        <w:t>餐厨垃圾收运司机及辅工根据招标人要求，对餐厨垃圾混装生活垃圾情况进行甄别，收运回厂的餐厨垃圾生活垃圾质量比例控制在20%以下，由招标人安排不定期检测，结合项目分选残渣出渣率进行综合判断</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3、如收运过程中对地面造成滴漏，收运人员需要对现场进行清洁工作</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4、收运人员</w:t>
      </w: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rPr>
        <w:t>驾驶和操作收运车辆开展餐厨</w:t>
      </w:r>
      <w:r>
        <w:rPr>
          <w:rFonts w:hint="eastAsia" w:ascii="宋体" w:hAnsi="宋体" w:eastAsia="宋体" w:cs="宋体"/>
          <w:color w:val="auto"/>
          <w:sz w:val="21"/>
          <w:szCs w:val="21"/>
          <w:highlight w:val="none"/>
          <w:lang w:val="en-US" w:eastAsia="zh-CN"/>
        </w:rPr>
        <w:t>垃圾收运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餐厨废弃物搬运及清洁车辆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5、收运过程需严格遵守</w:t>
      </w:r>
      <w:r>
        <w:rPr>
          <w:rFonts w:hint="eastAsia" w:ascii="宋体" w:hAnsi="宋体" w:eastAsia="宋体" w:cs="宋体"/>
          <w:color w:val="auto"/>
          <w:sz w:val="21"/>
          <w:szCs w:val="21"/>
          <w:highlight w:val="none"/>
          <w:lang w:eastAsia="zh-CN"/>
        </w:rPr>
        <w:t>东莞</w:t>
      </w:r>
      <w:r>
        <w:rPr>
          <w:rFonts w:hint="eastAsia" w:ascii="宋体" w:hAnsi="宋体" w:eastAsia="宋体" w:cs="宋体"/>
          <w:color w:val="auto"/>
          <w:sz w:val="21"/>
          <w:szCs w:val="21"/>
          <w:highlight w:val="none"/>
        </w:rPr>
        <w:t>市相关法律法规和招标人管理规定，该过程中因服务人员工作失误、违法违章或者交通事故而导致的后果和产生的费用，由中标人承担。</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6、收运过程中产生的燃料费、拖车费、维修保养费用以及相关人员费用均由中标人承担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7、中标人须对车辆进行常规</w:t>
      </w:r>
      <w:r>
        <w:rPr>
          <w:rFonts w:hint="eastAsia" w:ascii="宋体" w:hAnsi="宋体" w:eastAsia="宋体" w:cs="宋体"/>
          <w:color w:val="auto"/>
          <w:sz w:val="21"/>
          <w:szCs w:val="21"/>
          <w:highlight w:val="none"/>
          <w:lang w:val="en-US" w:eastAsia="zh-CN"/>
        </w:rPr>
        <w:t>维修</w:t>
      </w:r>
      <w:r>
        <w:rPr>
          <w:rFonts w:hint="eastAsia" w:ascii="宋体" w:hAnsi="宋体" w:eastAsia="宋体" w:cs="宋体"/>
          <w:color w:val="auto"/>
          <w:sz w:val="21"/>
          <w:szCs w:val="21"/>
          <w:highlight w:val="none"/>
        </w:rPr>
        <w:t>保养（包括机油、机滤、空滤、柴油滤芯的更换，刹车调试、轮胎保养等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保养里程不得大于8000公里</w:t>
      </w:r>
      <w:r>
        <w:rPr>
          <w:rFonts w:hint="eastAsia" w:ascii="宋体" w:hAnsi="宋体" w:eastAsia="宋体" w:cs="宋体"/>
          <w:color w:val="auto"/>
          <w:sz w:val="21"/>
          <w:szCs w:val="21"/>
          <w:highlight w:val="none"/>
        </w:rPr>
        <w:t>），并对</w:t>
      </w:r>
      <w:r>
        <w:rPr>
          <w:rFonts w:hint="eastAsia" w:ascii="宋体" w:hAnsi="宋体" w:eastAsia="宋体" w:cs="宋体"/>
          <w:color w:val="auto"/>
          <w:sz w:val="21"/>
          <w:szCs w:val="21"/>
          <w:highlight w:val="none"/>
          <w:lang w:val="en-US" w:eastAsia="zh-CN"/>
        </w:rPr>
        <w:t>维修</w:t>
      </w:r>
      <w:r>
        <w:rPr>
          <w:rFonts w:hint="eastAsia" w:ascii="宋体" w:hAnsi="宋体" w:eastAsia="宋体" w:cs="宋体"/>
          <w:color w:val="auto"/>
          <w:sz w:val="21"/>
          <w:szCs w:val="21"/>
          <w:highlight w:val="none"/>
        </w:rPr>
        <w:t>保养情况形成台账，每月提供招标人检查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并负责完成车辆的年审工作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车辆的维修、保养及年审费用均由中标人承担</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8、中标人须对车辆定期进行检查，发现车辆异常的需马上进行维修，若招标人在日常监督中发现车辆异常的，</w:t>
      </w:r>
      <w:r>
        <w:rPr>
          <w:rFonts w:hint="eastAsia" w:ascii="宋体" w:hAnsi="宋体" w:eastAsia="宋体" w:cs="宋体"/>
          <w:color w:val="auto"/>
          <w:szCs w:val="21"/>
          <w:highlight w:val="none"/>
        </w:rPr>
        <w:t>将</w:t>
      </w:r>
      <w:r>
        <w:rPr>
          <w:rFonts w:hint="eastAsia" w:ascii="宋体" w:hAnsi="宋体" w:eastAsia="宋体" w:cs="宋体"/>
          <w:color w:val="auto"/>
          <w:sz w:val="21"/>
          <w:szCs w:val="21"/>
          <w:highlight w:val="none"/>
        </w:rPr>
        <w:t>向中标人发出整改通知单，中标人需马上停用该车辆，并在三个自然日内启动维修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服务期内，因车辆机件故障导致出现交通事故的，</w:t>
      </w:r>
      <w:r>
        <w:rPr>
          <w:rFonts w:hint="eastAsia" w:ascii="宋体" w:hAnsi="宋体" w:eastAsia="宋体" w:cs="宋体"/>
          <w:color w:val="auto"/>
          <w:sz w:val="21"/>
          <w:szCs w:val="21"/>
          <w:highlight w:val="none"/>
        </w:rPr>
        <w:t>导致的后果和产生的费用由中标人承担。</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9、中标人负责日常清洗收运车辆以及回收的垃圾桶</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10、对于收运过程中的突发状况，中标人须在招标人指导下妥善处理。</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、收运过程中，中标人需要配合招标人在各产废单位提供的产废台账上签字确认收运</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、如招标人有需要进行数字化管控收运过程，中标人必须无条件配合。</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13、中标人需确保储备有机动收运司机及收运辅工，确保在突发情况下仍有足够的机动人员接替完成收运工作。</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14、中标人需要提前规划收运车使用数量，并将收运车使用情况每日上报招标人核查。</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15、中标人需要根据招标人要求派送或回收餐厨垃圾收集桶，相关餐厨垃圾收集桶的运输工作及产生的费用需由中标人承担；对在收运过程中出现损坏的餐厨垃圾收集桶，中标人需要进行维修。</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16、中标人在餐厨垃圾收运工作开展过程中需根据招标人要求实行专镇专车收运，禁止收运车辆跨镇开展收运工作。</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17、招标人将不定期采取跟车、咨询产废单位</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核对收运量</w:t>
      </w:r>
      <w:r>
        <w:rPr>
          <w:rFonts w:hint="eastAsia" w:ascii="宋体" w:hAnsi="宋体" w:eastAsia="宋体" w:cs="宋体"/>
          <w:color w:val="auto"/>
          <w:szCs w:val="21"/>
          <w:highlight w:val="none"/>
          <w:lang w:val="en-US" w:eastAsia="zh-CN"/>
        </w:rPr>
        <w:t>、检查在线视频监控</w:t>
      </w:r>
      <w:r>
        <w:rPr>
          <w:rFonts w:hint="eastAsia" w:ascii="宋体" w:hAnsi="宋体" w:eastAsia="宋体" w:cs="宋体"/>
          <w:color w:val="auto"/>
          <w:sz w:val="21"/>
          <w:szCs w:val="21"/>
          <w:highlight w:val="none"/>
          <w:lang w:val="en-US" w:eastAsia="zh-CN"/>
        </w:rPr>
        <w:t>等方式监管收运工作情况，中标人需要无条件配合，一旦发现收运工作人员在收运过程中存在弄虚作假等违规行为，中标人需要承担</w:t>
      </w:r>
      <w:r>
        <w:rPr>
          <w:rFonts w:hint="eastAsia" w:ascii="宋体" w:hAnsi="宋体" w:eastAsia="宋体" w:cs="宋体"/>
          <w:color w:val="auto"/>
          <w:kern w:val="2"/>
          <w:sz w:val="21"/>
          <w:szCs w:val="21"/>
          <w:highlight w:val="none"/>
          <w:lang w:val="en-US" w:eastAsia="zh-CN" w:bidi="ar-SA"/>
        </w:rPr>
        <w:t>违约及赔偿</w:t>
      </w:r>
      <w:r>
        <w:rPr>
          <w:rFonts w:hint="eastAsia" w:ascii="宋体" w:hAnsi="宋体" w:eastAsia="宋体" w:cs="宋体"/>
          <w:color w:val="auto"/>
          <w:sz w:val="21"/>
          <w:szCs w:val="21"/>
          <w:highlight w:val="none"/>
          <w:lang w:val="en-US" w:eastAsia="zh-CN"/>
        </w:rPr>
        <w:t>责任。</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18、如招标人生产设备出现问题等原因需要进行应急处置的，中标人需配合将餐厨垃圾按招标人要求收运至其他应急处理地点进行处置。</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（二）餐厨垃圾</w:t>
      </w:r>
      <w:r>
        <w:rPr>
          <w:rFonts w:hint="default" w:ascii="宋体" w:hAnsi="宋体" w:eastAsia="宋体" w:cs="宋体"/>
          <w:color w:val="auto"/>
          <w:sz w:val="21"/>
          <w:szCs w:val="21"/>
          <w:highlight w:val="none"/>
          <w:lang w:val="en-US" w:eastAsia="zh-CN"/>
        </w:rPr>
        <w:t>预处理车间分拣</w:t>
      </w:r>
      <w:r>
        <w:rPr>
          <w:rFonts w:hint="eastAsia" w:ascii="宋体" w:hAnsi="宋体" w:eastAsia="宋体" w:cs="宋体"/>
          <w:color w:val="auto"/>
          <w:sz w:val="21"/>
          <w:szCs w:val="21"/>
          <w:highlight w:val="none"/>
          <w:lang w:val="en-US" w:eastAsia="zh-CN"/>
        </w:rPr>
        <w:t>的生活垃圾收运服务</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生活垃圾收运</w:t>
      </w:r>
      <w:r>
        <w:rPr>
          <w:rFonts w:hint="eastAsia" w:ascii="宋体" w:hAnsi="宋体" w:eastAsia="宋体" w:cs="宋体"/>
          <w:color w:val="auto"/>
          <w:sz w:val="21"/>
          <w:szCs w:val="21"/>
          <w:highlight w:val="none"/>
        </w:rPr>
        <w:t>服务收运对象为</w:t>
      </w:r>
      <w:r>
        <w:rPr>
          <w:rFonts w:hint="eastAsia" w:ascii="宋体" w:hAnsi="宋体" w:eastAsia="宋体" w:cs="宋体"/>
          <w:color w:val="auto"/>
          <w:sz w:val="21"/>
          <w:szCs w:val="21"/>
          <w:highlight w:val="none"/>
          <w:lang w:val="en-US" w:eastAsia="zh-CN"/>
        </w:rPr>
        <w:t>餐厨垃圾</w:t>
      </w:r>
      <w:r>
        <w:rPr>
          <w:rFonts w:hint="default" w:ascii="宋体" w:hAnsi="宋体" w:eastAsia="宋体" w:cs="宋体"/>
          <w:color w:val="auto"/>
          <w:sz w:val="21"/>
          <w:szCs w:val="21"/>
          <w:highlight w:val="none"/>
          <w:lang w:val="en-US" w:eastAsia="zh-CN"/>
        </w:rPr>
        <w:t>预处理车间分拣</w:t>
      </w:r>
      <w:r>
        <w:rPr>
          <w:rFonts w:hint="eastAsia" w:ascii="宋体" w:hAnsi="宋体" w:eastAsia="宋体" w:cs="宋体"/>
          <w:color w:val="auto"/>
          <w:sz w:val="21"/>
          <w:szCs w:val="21"/>
          <w:highlight w:val="none"/>
          <w:lang w:val="en-US" w:eastAsia="zh-CN"/>
        </w:rPr>
        <w:t>的生活垃圾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在服务期内，中标人须为招标人提供全年不间断的生活垃圾</w:t>
      </w:r>
      <w:r>
        <w:rPr>
          <w:rFonts w:hint="eastAsia" w:ascii="宋体" w:hAnsi="宋体" w:eastAsia="宋体" w:cs="宋体"/>
          <w:color w:val="auto"/>
          <w:sz w:val="21"/>
          <w:szCs w:val="21"/>
          <w:highlight w:val="none"/>
        </w:rPr>
        <w:t>收运服务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生活垃圾收</w:t>
      </w:r>
      <w:r>
        <w:rPr>
          <w:rFonts w:hint="eastAsia" w:ascii="宋体" w:hAnsi="宋体" w:eastAsia="宋体" w:cs="宋体"/>
          <w:color w:val="auto"/>
          <w:sz w:val="21"/>
          <w:szCs w:val="21"/>
          <w:highlight w:val="none"/>
        </w:rPr>
        <w:t>运过程中对地面造成滴漏，收运人员需要对现场进行清洁工作</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、收运</w:t>
      </w:r>
      <w:r>
        <w:rPr>
          <w:rFonts w:hint="eastAsia" w:ascii="宋体" w:hAnsi="宋体" w:eastAsia="宋体" w:cs="宋体"/>
          <w:color w:val="auto"/>
          <w:sz w:val="21"/>
          <w:szCs w:val="21"/>
          <w:highlight w:val="none"/>
          <w:lang w:val="en-US" w:eastAsia="zh-CN"/>
        </w:rPr>
        <w:t>人员负责</w:t>
      </w:r>
      <w:r>
        <w:rPr>
          <w:rFonts w:hint="eastAsia" w:ascii="宋体" w:hAnsi="宋体" w:eastAsia="宋体" w:cs="宋体"/>
          <w:color w:val="auto"/>
          <w:sz w:val="21"/>
          <w:szCs w:val="21"/>
          <w:highlight w:val="none"/>
        </w:rPr>
        <w:t>驾驶和操作收运车辆开展生活垃圾</w:t>
      </w:r>
      <w:r>
        <w:rPr>
          <w:rFonts w:hint="eastAsia" w:ascii="宋体" w:hAnsi="宋体" w:eastAsia="宋体" w:cs="宋体"/>
          <w:color w:val="auto"/>
          <w:sz w:val="21"/>
          <w:szCs w:val="21"/>
          <w:highlight w:val="none"/>
          <w:lang w:val="en-US" w:eastAsia="zh-CN"/>
        </w:rPr>
        <w:t>收</w:t>
      </w:r>
      <w:r>
        <w:rPr>
          <w:rFonts w:hint="eastAsia" w:ascii="宋体" w:hAnsi="宋体" w:eastAsia="宋体" w:cs="宋体"/>
          <w:color w:val="auto"/>
          <w:sz w:val="21"/>
          <w:szCs w:val="21"/>
          <w:highlight w:val="none"/>
        </w:rPr>
        <w:t>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清理装卸过程中撒漏的生活垃圾</w:t>
      </w:r>
      <w:r>
        <w:rPr>
          <w:rFonts w:hint="eastAsia" w:ascii="宋体" w:hAnsi="宋体" w:eastAsia="宋体" w:cs="宋体"/>
          <w:color w:val="auto"/>
          <w:sz w:val="21"/>
          <w:szCs w:val="21"/>
          <w:highlight w:val="none"/>
        </w:rPr>
        <w:t>及清洁车辆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收</w:t>
      </w:r>
      <w:r>
        <w:rPr>
          <w:rFonts w:hint="eastAsia" w:ascii="宋体" w:hAnsi="宋体" w:eastAsia="宋体" w:cs="宋体"/>
          <w:color w:val="auto"/>
          <w:sz w:val="21"/>
          <w:szCs w:val="21"/>
          <w:highlight w:val="none"/>
        </w:rPr>
        <w:t>运过程需严格遵守</w:t>
      </w:r>
      <w:r>
        <w:rPr>
          <w:rFonts w:hint="eastAsia" w:ascii="宋体" w:hAnsi="宋体" w:eastAsia="宋体" w:cs="宋体"/>
          <w:color w:val="auto"/>
          <w:sz w:val="21"/>
          <w:szCs w:val="21"/>
          <w:highlight w:val="none"/>
          <w:lang w:val="en-US" w:eastAsia="zh-CN"/>
        </w:rPr>
        <w:t>东莞</w:t>
      </w:r>
      <w:r>
        <w:rPr>
          <w:rFonts w:hint="eastAsia" w:ascii="宋体" w:hAnsi="宋体" w:eastAsia="宋体" w:cs="宋体"/>
          <w:color w:val="auto"/>
          <w:sz w:val="21"/>
          <w:szCs w:val="21"/>
          <w:highlight w:val="none"/>
        </w:rPr>
        <w:t>市相关法律法规和招标人管理规定，该过程中因服务人员工作失误、违法违章或者交通事故而导致的后果和产生的费用，由中标人承担。</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转</w:t>
      </w:r>
      <w:r>
        <w:rPr>
          <w:rFonts w:hint="eastAsia" w:ascii="宋体" w:hAnsi="宋体" w:eastAsia="宋体" w:cs="宋体"/>
          <w:color w:val="auto"/>
          <w:sz w:val="21"/>
          <w:szCs w:val="21"/>
          <w:highlight w:val="none"/>
        </w:rPr>
        <w:t>运过程中产生的燃料费、拖车费、维修保养费用以及相关人员费用均由中标人承担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、中标人须对车辆进行常规</w:t>
      </w:r>
      <w:r>
        <w:rPr>
          <w:rFonts w:hint="eastAsia" w:ascii="宋体" w:hAnsi="宋体" w:eastAsia="宋体" w:cs="宋体"/>
          <w:color w:val="auto"/>
          <w:sz w:val="21"/>
          <w:szCs w:val="21"/>
          <w:highlight w:val="none"/>
          <w:lang w:val="en-US" w:eastAsia="zh-CN"/>
        </w:rPr>
        <w:t>维修</w:t>
      </w:r>
      <w:r>
        <w:rPr>
          <w:rFonts w:hint="eastAsia" w:ascii="宋体" w:hAnsi="宋体" w:eastAsia="宋体" w:cs="宋体"/>
          <w:color w:val="auto"/>
          <w:sz w:val="21"/>
          <w:szCs w:val="21"/>
          <w:highlight w:val="none"/>
        </w:rPr>
        <w:t>保养（包括机油、机滤、空滤、柴油滤芯的更换，刹车调试、轮胎保养等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保养里程不得大于8000公里</w:t>
      </w:r>
      <w:r>
        <w:rPr>
          <w:rFonts w:hint="eastAsia" w:ascii="宋体" w:hAnsi="宋体" w:eastAsia="宋体" w:cs="宋体"/>
          <w:color w:val="auto"/>
          <w:sz w:val="21"/>
          <w:szCs w:val="21"/>
          <w:highlight w:val="none"/>
        </w:rPr>
        <w:t>），并对</w:t>
      </w:r>
      <w:r>
        <w:rPr>
          <w:rFonts w:hint="eastAsia" w:ascii="宋体" w:hAnsi="宋体" w:eastAsia="宋体" w:cs="宋体"/>
          <w:color w:val="auto"/>
          <w:sz w:val="21"/>
          <w:szCs w:val="21"/>
          <w:highlight w:val="none"/>
          <w:lang w:val="en-US" w:eastAsia="zh-CN"/>
        </w:rPr>
        <w:t>维修</w:t>
      </w:r>
      <w:r>
        <w:rPr>
          <w:rFonts w:hint="eastAsia" w:ascii="宋体" w:hAnsi="宋体" w:eastAsia="宋体" w:cs="宋体"/>
          <w:color w:val="auto"/>
          <w:sz w:val="21"/>
          <w:szCs w:val="21"/>
          <w:highlight w:val="none"/>
        </w:rPr>
        <w:t>保养情况形成台账，每月提供招标人检查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并负责完成车辆的年审工作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车辆的维修、保养及年审费用均由中标人承担</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、中标人须对车辆定期进行检查，发现车辆异常的需马上进行维修，若招标人在日常监督中发现车辆异常的，</w:t>
      </w:r>
      <w:r>
        <w:rPr>
          <w:rFonts w:hint="eastAsia" w:ascii="宋体" w:hAnsi="宋体" w:eastAsia="宋体" w:cs="宋体"/>
          <w:color w:val="auto"/>
          <w:szCs w:val="21"/>
          <w:highlight w:val="none"/>
        </w:rPr>
        <w:t>将</w:t>
      </w:r>
      <w:r>
        <w:rPr>
          <w:rFonts w:hint="eastAsia" w:ascii="宋体" w:hAnsi="宋体" w:eastAsia="宋体" w:cs="宋体"/>
          <w:color w:val="auto"/>
          <w:sz w:val="21"/>
          <w:szCs w:val="21"/>
          <w:highlight w:val="none"/>
        </w:rPr>
        <w:t>向中标人发出整改通知单，中标人需马上停用该车辆，并在</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个自然日内启动维修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服务期内，因车辆机件故障导致出现交通事故的，</w:t>
      </w:r>
      <w:r>
        <w:rPr>
          <w:rFonts w:hint="eastAsia" w:ascii="宋体" w:hAnsi="宋体" w:eastAsia="宋体" w:cs="宋体"/>
          <w:color w:val="auto"/>
          <w:sz w:val="21"/>
          <w:szCs w:val="21"/>
          <w:highlight w:val="none"/>
        </w:rPr>
        <w:t>导致的后果和产生的费用由中标人承担。</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、中标人负责日常清洗收运车辆以及</w:t>
      </w:r>
      <w:r>
        <w:rPr>
          <w:rFonts w:hint="eastAsia" w:ascii="宋体" w:hAnsi="宋体" w:eastAsia="宋体" w:cs="宋体"/>
          <w:color w:val="auto"/>
          <w:sz w:val="21"/>
          <w:szCs w:val="21"/>
          <w:highlight w:val="none"/>
          <w:lang w:val="en-US" w:eastAsia="zh-CN"/>
        </w:rPr>
        <w:t>配套收集料斗</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、对于收运过程中的突发状况，中标人须在招标人指导下妥善处理。</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、收运过程中，中标人需要配合招标人在</w:t>
      </w:r>
      <w:r>
        <w:rPr>
          <w:rFonts w:hint="eastAsia" w:ascii="宋体" w:hAnsi="宋体" w:eastAsia="宋体" w:cs="宋体"/>
          <w:color w:val="auto"/>
          <w:sz w:val="21"/>
          <w:szCs w:val="21"/>
          <w:highlight w:val="none"/>
          <w:lang w:val="en-US" w:eastAsia="zh-CN"/>
        </w:rPr>
        <w:t>处置单位</w:t>
      </w:r>
      <w:r>
        <w:rPr>
          <w:rFonts w:hint="eastAsia" w:ascii="宋体" w:hAnsi="宋体" w:eastAsia="宋体" w:cs="宋体"/>
          <w:color w:val="auto"/>
          <w:sz w:val="21"/>
          <w:szCs w:val="21"/>
          <w:highlight w:val="none"/>
        </w:rPr>
        <w:t>提供的产废台账上签字确认收运</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、如招标人有需要进行数字化管控收运过程，中标人必须无条件配合。</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12、中标人需确保储备有机动收运司机及收运辅工，确保在突发情况下仍有足够的机动人员接替完成收运工作。</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13、招标人将不定期采取跟车、咨询产废单位、核对收运量</w:t>
      </w:r>
      <w:r>
        <w:rPr>
          <w:rFonts w:hint="eastAsia" w:ascii="宋体" w:hAnsi="宋体" w:eastAsia="宋体" w:cs="宋体"/>
          <w:color w:val="auto"/>
          <w:szCs w:val="21"/>
          <w:highlight w:val="none"/>
          <w:lang w:val="en-US" w:eastAsia="zh-CN"/>
        </w:rPr>
        <w:t>、检查在线视频监控</w:t>
      </w:r>
      <w:r>
        <w:rPr>
          <w:rFonts w:hint="eastAsia" w:ascii="宋体" w:hAnsi="宋体" w:eastAsia="宋体" w:cs="宋体"/>
          <w:color w:val="auto"/>
          <w:sz w:val="21"/>
          <w:szCs w:val="21"/>
          <w:highlight w:val="none"/>
          <w:lang w:val="en-US" w:eastAsia="zh-CN"/>
        </w:rPr>
        <w:t>等方式监管收运工作情况，中标人需要无条件配合，一旦发现收运工作人员在收运过程中存在弄虚作假等违规行为，中标人需要承担</w:t>
      </w:r>
      <w:r>
        <w:rPr>
          <w:rFonts w:hint="eastAsia" w:ascii="宋体" w:hAnsi="宋体" w:eastAsia="宋体" w:cs="宋体"/>
          <w:color w:val="auto"/>
          <w:kern w:val="2"/>
          <w:sz w:val="21"/>
          <w:szCs w:val="21"/>
          <w:highlight w:val="none"/>
          <w:lang w:val="en-US" w:eastAsia="zh-CN" w:bidi="ar-SA"/>
        </w:rPr>
        <w:t>违约及赔偿</w:t>
      </w:r>
      <w:r>
        <w:rPr>
          <w:rFonts w:hint="eastAsia" w:ascii="宋体" w:hAnsi="宋体" w:eastAsia="宋体" w:cs="宋体"/>
          <w:color w:val="auto"/>
          <w:sz w:val="21"/>
          <w:szCs w:val="21"/>
          <w:highlight w:val="none"/>
          <w:lang w:val="en-US" w:eastAsia="zh-CN"/>
        </w:rPr>
        <w:t>责任。</w:t>
      </w: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、服务人员要求</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根据招标人实际业务开展和服务需求，中标人</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安排符合招标人要求的服务人员提供相应的服务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中标人需保证招标人业务正常开展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须提供2名管理人员（包含1名管理人员，1名车队管理人员）进行驻点工作，负责日常工作对接和管理收运人员的工作。当收运量在40吨/天及以下时，中标人至少配备5名收运人员（车队管理人员可兼任收运人员，但不得因收运工作影响正常的管理工作）。</w:t>
      </w:r>
      <w:r>
        <w:rPr>
          <w:rFonts w:hint="eastAsia" w:ascii="宋体" w:hAnsi="宋体" w:eastAsia="宋体" w:cs="宋体"/>
          <w:color w:val="auto"/>
          <w:sz w:val="21"/>
          <w:szCs w:val="21"/>
          <w:highlight w:val="none"/>
        </w:rPr>
        <w:t>中标人需为工作人员提</w:t>
      </w:r>
      <w:r>
        <w:rPr>
          <w:rFonts w:hint="eastAsia" w:ascii="宋体" w:hAnsi="宋体" w:eastAsia="宋体" w:cs="宋体"/>
          <w:color w:val="auto"/>
          <w:sz w:val="21"/>
          <w:szCs w:val="21"/>
          <w:highlight w:val="none"/>
          <w:lang w:val="en-US" w:eastAsia="zh-CN"/>
        </w:rPr>
        <w:t>供</w:t>
      </w:r>
      <w:r>
        <w:rPr>
          <w:rFonts w:hint="eastAsia" w:ascii="宋体" w:hAnsi="宋体" w:eastAsia="宋体" w:cs="宋体"/>
          <w:color w:val="auto"/>
          <w:sz w:val="21"/>
          <w:szCs w:val="21"/>
          <w:highlight w:val="none"/>
        </w:rPr>
        <w:t xml:space="preserve">必要的安全保障，中标人所有劳务安排不得违反劳动法。  </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(一)收运作业人员要求</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中标人在提供餐厨垃圾、</w:t>
      </w:r>
      <w:r>
        <w:rPr>
          <w:rFonts w:hint="eastAsia" w:ascii="宋体" w:hAnsi="宋体" w:eastAsia="宋体" w:cs="宋体"/>
          <w:color w:val="auto"/>
          <w:sz w:val="21"/>
          <w:szCs w:val="21"/>
          <w:highlight w:val="none"/>
          <w:lang w:val="en-US" w:eastAsia="zh-CN"/>
        </w:rPr>
        <w:t>生活垃圾收运</w:t>
      </w:r>
      <w:r>
        <w:rPr>
          <w:rFonts w:hint="eastAsia" w:ascii="宋体" w:hAnsi="宋体" w:eastAsia="宋体" w:cs="宋体"/>
          <w:color w:val="auto"/>
          <w:sz w:val="21"/>
          <w:szCs w:val="21"/>
          <w:highlight w:val="none"/>
        </w:rPr>
        <w:t>服务过程中使用的人员，必须符合但不限于以下要求：</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1、收运司机须持有B2或</w:t>
      </w:r>
      <w:r>
        <w:rPr>
          <w:rFonts w:hint="eastAsia" w:ascii="宋体" w:hAnsi="宋体" w:eastAsia="宋体" w:cs="宋体"/>
          <w:color w:val="auto"/>
          <w:sz w:val="21"/>
          <w:szCs w:val="21"/>
          <w:highlight w:val="none"/>
          <w:lang w:val="en-US" w:eastAsia="zh-CN"/>
        </w:rPr>
        <w:t>A2或A1</w:t>
      </w:r>
      <w:r>
        <w:rPr>
          <w:rFonts w:hint="eastAsia" w:ascii="宋体" w:hAnsi="宋体" w:eastAsia="宋体" w:cs="宋体"/>
          <w:color w:val="auto"/>
          <w:sz w:val="21"/>
          <w:szCs w:val="21"/>
          <w:highlight w:val="none"/>
        </w:rPr>
        <w:t>资格驾驶执照，年龄原则上不超过</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周岁</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收运</w:t>
      </w:r>
      <w:r>
        <w:rPr>
          <w:rFonts w:hint="eastAsia" w:ascii="宋体" w:hAnsi="宋体" w:eastAsia="宋体" w:cs="宋体"/>
          <w:color w:val="auto"/>
          <w:sz w:val="21"/>
          <w:szCs w:val="21"/>
          <w:highlight w:val="none"/>
        </w:rPr>
        <w:t>辅工须为男性，年龄原则上不超过60周岁</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3、所有服务人员须身体健康，无患影响开展服务工作的疾病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4、所有服务人员必须具备良好的服务意识，能够耐心与人沟通。</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）管理人员要求</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中标人在提供餐厨垃圾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生活垃圾收运</w:t>
      </w:r>
      <w:r>
        <w:rPr>
          <w:rFonts w:hint="eastAsia" w:ascii="宋体" w:hAnsi="宋体" w:eastAsia="宋体" w:cs="宋体"/>
          <w:color w:val="auto"/>
          <w:sz w:val="21"/>
          <w:szCs w:val="21"/>
          <w:highlight w:val="none"/>
        </w:rPr>
        <w:t>业务管理人员，必须符合但不限于以下要求：</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管理人员须持有C2或以上资格驾驶执照，年龄原则上不超过50周岁。</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、管理人员须身体健康，无患影响开展工作的疾病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、管理人员须熟练使用Word、Excel、PowerPoint、百度地图等软件</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、管理人员须懂得分析财务报表、车队运行报表，并进行合理的成本控制</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、管理人员须掌握运输业突发情况处理方式，能顺畅沟通任何突发事情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车队管理人员须持有B2或以上资格驾驶执照，</w:t>
      </w:r>
      <w:r>
        <w:rPr>
          <w:rFonts w:hint="eastAsia" w:ascii="宋体" w:hAnsi="宋体" w:eastAsia="宋体" w:cs="宋体"/>
          <w:color w:val="auto"/>
          <w:sz w:val="21"/>
          <w:szCs w:val="21"/>
          <w:highlight w:val="none"/>
          <w:lang w:val="en-US" w:eastAsia="zh-CN"/>
        </w:rPr>
        <w:t>具有车队管理经验，熟悉车辆基本的设备结构，</w:t>
      </w:r>
      <w:r>
        <w:rPr>
          <w:rFonts w:hint="eastAsia" w:ascii="宋体" w:hAnsi="宋体" w:eastAsia="宋体" w:cs="宋体"/>
          <w:color w:val="auto"/>
          <w:sz w:val="21"/>
          <w:szCs w:val="21"/>
          <w:highlight w:val="none"/>
        </w:rPr>
        <w:t>年龄原则上不超过</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周岁</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）其它要求</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kern w:val="0"/>
          <w:szCs w:val="21"/>
          <w:highlight w:val="none"/>
        </w:rPr>
        <w:t>权对</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提供的服务人员的资质及能力进行核实，审核通过后</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方可指派该等服务人员提供服务。如</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经审核认为</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提供的服务人员资质或能力不能满足本合同项下服务要求的，</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应更换具有相应资质及能力的人员。</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2、在服务过程中，中标人应遵守有关安全生产管理规定，严格按相关安全标准组织人员提供服务，采取必要的安全防护措施，消除事故隐患。工作过程中必须佩戴好劳保用品，如安全帽、手套、口罩、工</w:t>
      </w:r>
      <w:r>
        <w:rPr>
          <w:rFonts w:hint="eastAsia" w:ascii="宋体" w:hAnsi="宋体" w:eastAsia="宋体" w:cs="宋体"/>
          <w:color w:val="auto"/>
          <w:sz w:val="21"/>
          <w:szCs w:val="21"/>
          <w:highlight w:val="none"/>
          <w:lang w:val="en-US" w:eastAsia="zh-CN"/>
        </w:rPr>
        <w:t>衣、反光衣</w:t>
      </w:r>
      <w:r>
        <w:rPr>
          <w:rFonts w:hint="eastAsia" w:ascii="宋体" w:hAnsi="宋体" w:eastAsia="宋体" w:cs="宋体"/>
          <w:color w:val="auto"/>
          <w:sz w:val="21"/>
          <w:szCs w:val="21"/>
          <w:highlight w:val="none"/>
        </w:rPr>
        <w:t>等（由中标人提供）。在服务期间，由于中标人安全措施不力造成事故的责任和因此发生的费用，由中标人承担全部责任。</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针对提供收运服务的服务人员（包括并不限于收运司机和辅工），中标人安排管理人员到招标人项目所在地驻点工作，工作场地由招标人提供。管理人员职责包括但不限于管理收运人员，需按照招标人企业作息时间，协助招标人开展一系列工作。</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4、招标人设定项目服务标准要求对中标人</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服务进行一定的工作指导和监督检查。招标人有权根据服务项目的工作需要制订相应的服务规范和相关的</w:t>
      </w:r>
      <w:r>
        <w:rPr>
          <w:rFonts w:hint="eastAsia" w:ascii="宋体" w:hAnsi="宋体" w:eastAsia="宋体" w:cs="宋体"/>
          <w:color w:val="auto"/>
          <w:sz w:val="21"/>
          <w:szCs w:val="21"/>
          <w:highlight w:val="none"/>
          <w:lang w:eastAsia="zh-CN"/>
        </w:rPr>
        <w:t>考核</w:t>
      </w:r>
      <w:r>
        <w:rPr>
          <w:rFonts w:hint="eastAsia" w:ascii="宋体" w:hAnsi="宋体" w:eastAsia="宋体" w:cs="宋体"/>
          <w:color w:val="auto"/>
          <w:sz w:val="21"/>
          <w:szCs w:val="21"/>
          <w:highlight w:val="none"/>
        </w:rPr>
        <w:t>办法；招标人有权要求中标人遵照招标人的服务规范和合同约定为招标人提供服务。</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服务人员服务质量达不到合同要求，</w:t>
      </w:r>
      <w:r>
        <w:rPr>
          <w:rFonts w:hint="eastAsia" w:ascii="宋体" w:hAnsi="宋体" w:eastAsia="宋体" w:cs="宋体"/>
          <w:color w:val="auto"/>
          <w:sz w:val="21"/>
          <w:szCs w:val="21"/>
          <w:highlight w:val="none"/>
        </w:rPr>
        <w:t>招标人</w:t>
      </w:r>
      <w:r>
        <w:rPr>
          <w:rFonts w:hint="eastAsia" w:ascii="宋体" w:hAnsi="宋体" w:eastAsia="宋体" w:cs="宋体"/>
          <w:color w:val="auto"/>
          <w:szCs w:val="21"/>
          <w:highlight w:val="none"/>
        </w:rPr>
        <w:t>有权要求</w:t>
      </w:r>
      <w:r>
        <w:rPr>
          <w:rFonts w:hint="eastAsia" w:ascii="宋体" w:hAnsi="宋体" w:eastAsia="宋体" w:cs="宋体"/>
          <w:color w:val="auto"/>
          <w:sz w:val="21"/>
          <w:szCs w:val="21"/>
          <w:highlight w:val="none"/>
        </w:rPr>
        <w:t>中标人</w:t>
      </w:r>
      <w:r>
        <w:rPr>
          <w:rFonts w:hint="eastAsia" w:ascii="宋体" w:hAnsi="宋体" w:eastAsia="宋体" w:cs="宋体"/>
          <w:color w:val="auto"/>
          <w:szCs w:val="21"/>
          <w:highlight w:val="none"/>
        </w:rPr>
        <w:t>更换</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val="en-US"/>
        </w:rPr>
        <w:t>人员</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中标人</w:t>
      </w:r>
      <w:r>
        <w:rPr>
          <w:rFonts w:hint="eastAsia" w:ascii="宋体" w:hAnsi="宋体" w:eastAsia="宋体" w:cs="宋体"/>
          <w:color w:val="auto"/>
          <w:szCs w:val="21"/>
          <w:highlight w:val="none"/>
        </w:rPr>
        <w:t>应立即</w:t>
      </w:r>
      <w:r>
        <w:rPr>
          <w:rFonts w:hint="eastAsia" w:ascii="宋体" w:hAnsi="宋体" w:eastAsia="宋体" w:cs="宋体"/>
          <w:color w:val="auto"/>
          <w:sz w:val="21"/>
          <w:szCs w:val="21"/>
          <w:highlight w:val="none"/>
        </w:rPr>
        <w:t>无条件的为招标人更换合格的服务人员。</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应按照国家现行法律法规的规定依法与服务人员签订劳动合同，并依法办理社保、公积金和个人所得税的代缴代扣等事宜，所产生的法律后果由</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自行承担，均与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无关。</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须按时发放其服务人员的工资、福利，自行处理与服务人员的各种劳资纠纷，处理相关的劳动仲裁、诉讼等事宜。如服务人员发生工伤、重大疾病、非因工死亡等事故，</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须依照法律法规规定进行调查赔偿等处理，因此导致服务人员不能满足服务要求的，</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还应在</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指定的期限内予以补足</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6、中标人及其选派的服务人员在服务期间应严格遵守国家现行的法律法规，包括但不限于《劳动法》、《劳动合同法》等相关法律法规。</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7、中标人须确保服务人员每天上岗工作时间合理，不得疲劳作业。</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8、中标人及其服务人员在服务期间须遵守中华人民共和国法律法规</w:t>
      </w: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、付款方式</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Cs w:val="21"/>
          <w:highlight w:val="none"/>
        </w:rPr>
        <w:t>服务费按月支付，</w:t>
      </w:r>
      <w:r>
        <w:rPr>
          <w:rFonts w:hint="eastAsia" w:ascii="宋体" w:hAnsi="宋体" w:eastAsia="宋体" w:cs="宋体"/>
          <w:bCs/>
          <w:color w:val="auto"/>
          <w:highlight w:val="none"/>
        </w:rPr>
        <w:t>每月</w:t>
      </w:r>
      <w:r>
        <w:rPr>
          <w:rFonts w:hint="eastAsia" w:ascii="宋体" w:hAnsi="宋体" w:eastAsia="宋体" w:cs="宋体"/>
          <w:bCs/>
          <w:color w:val="auto"/>
          <w:highlight w:val="none"/>
          <w:lang w:val="en-US" w:eastAsia="zh-CN"/>
        </w:rPr>
        <w:t>实际</w:t>
      </w:r>
      <w:r>
        <w:rPr>
          <w:rFonts w:hint="eastAsia" w:ascii="宋体" w:hAnsi="宋体" w:eastAsia="宋体" w:cs="宋体"/>
          <w:bCs/>
          <w:color w:val="auto"/>
          <w:highlight w:val="none"/>
        </w:rPr>
        <w:t>服务费用</w:t>
      </w:r>
      <w:r>
        <w:rPr>
          <w:rFonts w:hint="eastAsia" w:ascii="宋体" w:hAnsi="宋体" w:eastAsia="宋体" w:cs="宋体"/>
          <w:bCs/>
          <w:color w:val="auto"/>
          <w:highlight w:val="none"/>
          <w:lang w:val="en-US" w:eastAsia="zh-CN"/>
        </w:rPr>
        <w:t>根据考核结果</w:t>
      </w:r>
      <w:r>
        <w:rPr>
          <w:rFonts w:hint="eastAsia" w:ascii="宋体" w:hAnsi="宋体" w:eastAsia="宋体" w:cs="宋体"/>
          <w:bCs/>
          <w:color w:val="auto"/>
          <w:highlight w:val="none"/>
        </w:rPr>
        <w:t>支付。</w:t>
      </w:r>
      <w:r>
        <w:rPr>
          <w:rFonts w:hint="eastAsia" w:ascii="宋体" w:hAnsi="宋体" w:eastAsia="宋体" w:cs="宋体"/>
          <w:color w:val="auto"/>
          <w:sz w:val="21"/>
          <w:szCs w:val="21"/>
          <w:highlight w:val="none"/>
        </w:rPr>
        <w:t>招标人与中标人在</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前5</w:t>
      </w:r>
      <w:r>
        <w:rPr>
          <w:rFonts w:hint="eastAsia" w:ascii="宋体" w:hAnsi="宋体" w:eastAsia="宋体" w:cs="宋体"/>
          <w:color w:val="auto"/>
          <w:sz w:val="21"/>
          <w:szCs w:val="21"/>
          <w:highlight w:val="none"/>
        </w:rPr>
        <w:t>个工作日核对上月量及提供服务时间等数据材料，招标人与中标人核对无误后，中标人向招标人提供等额的增值税专用发票和请款报告，招标人</w:t>
      </w:r>
      <w:r>
        <w:rPr>
          <w:rFonts w:hint="eastAsia" w:ascii="宋体" w:hAnsi="宋体" w:eastAsia="宋体" w:cs="宋体"/>
          <w:color w:val="auto"/>
          <w:sz w:val="21"/>
          <w:szCs w:val="21"/>
          <w:highlight w:val="none"/>
          <w:lang w:val="en-US" w:eastAsia="zh-CN"/>
        </w:rPr>
        <w:t>收到请款资料审核无误后30日内</w:t>
      </w:r>
      <w:r>
        <w:rPr>
          <w:rFonts w:hint="eastAsia" w:ascii="宋体" w:hAnsi="宋体" w:eastAsia="宋体" w:cs="宋体"/>
          <w:color w:val="auto"/>
          <w:sz w:val="21"/>
          <w:szCs w:val="21"/>
          <w:highlight w:val="none"/>
        </w:rPr>
        <w:t>向中标人支付</w:t>
      </w:r>
      <w:r>
        <w:rPr>
          <w:rFonts w:hint="eastAsia" w:ascii="宋体" w:hAnsi="宋体" w:eastAsia="宋体" w:cs="宋体"/>
          <w:color w:val="auto"/>
          <w:sz w:val="21"/>
          <w:szCs w:val="21"/>
          <w:highlight w:val="none"/>
          <w:lang w:val="en-US" w:eastAsia="zh-CN"/>
        </w:rPr>
        <w:t>上</w:t>
      </w:r>
      <w:r>
        <w:rPr>
          <w:rFonts w:hint="eastAsia" w:ascii="宋体" w:hAnsi="宋体" w:eastAsia="宋体" w:cs="宋体"/>
          <w:color w:val="auto"/>
          <w:sz w:val="21"/>
          <w:szCs w:val="21"/>
          <w:highlight w:val="none"/>
        </w:rPr>
        <w:t>月度服务费用。</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服务费计算方式</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月度计量服务费=上月垃圾收运量×</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标价。</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月度</w:t>
      </w:r>
      <w:r>
        <w:rPr>
          <w:rFonts w:hint="eastAsia" w:ascii="宋体" w:hAnsi="宋体" w:eastAsia="宋体" w:cs="宋体"/>
          <w:color w:val="auto"/>
          <w:sz w:val="21"/>
          <w:szCs w:val="21"/>
          <w:highlight w:val="none"/>
          <w:lang w:val="en-US" w:eastAsia="zh-CN"/>
        </w:rPr>
        <w:t>结算</w:t>
      </w:r>
      <w:r>
        <w:rPr>
          <w:rFonts w:hint="eastAsia" w:ascii="宋体" w:hAnsi="宋体" w:eastAsia="宋体" w:cs="宋体"/>
          <w:color w:val="auto"/>
          <w:sz w:val="21"/>
          <w:szCs w:val="21"/>
          <w:highlight w:val="none"/>
        </w:rPr>
        <w:t>服务费=月度计量服务费</w:t>
      </w:r>
      <w:r>
        <w:rPr>
          <w:rFonts w:hint="eastAsia" w:ascii="宋体" w:hAnsi="宋体" w:eastAsia="宋体" w:cs="宋体"/>
          <w:color w:val="auto"/>
          <w:sz w:val="21"/>
          <w:szCs w:val="21"/>
          <w:highlight w:val="none"/>
          <w:lang w:val="en-US" w:eastAsia="zh-CN"/>
        </w:rPr>
        <w:t>-扣减</w:t>
      </w:r>
      <w:r>
        <w:rPr>
          <w:rStyle w:val="106"/>
          <w:rFonts w:hint="eastAsia" w:ascii="宋体" w:hAnsi="宋体" w:eastAsia="宋体" w:cs="宋体"/>
          <w:b w:val="0"/>
          <w:bCs w:val="0"/>
          <w:color w:val="auto"/>
          <w:sz w:val="21"/>
          <w:szCs w:val="21"/>
          <w:highlight w:val="none"/>
          <w:lang w:val="en-US" w:eastAsia="zh-CN" w:bidi="ar"/>
        </w:rPr>
        <w:t>当月服务费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rPr>
        <w:t>对应的增值税额</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垃圾收运量以招标人地磅或招标人指定地磅的实际过磅数为准。</w:t>
      </w:r>
    </w:p>
    <w:p>
      <w:pPr>
        <w:pStyle w:val="2"/>
        <w:spacing w:line="360" w:lineRule="auto"/>
        <w:ind w:firstLine="420" w:firstLineChars="200"/>
        <w:jc w:val="left"/>
        <w:rPr>
          <w:rStyle w:val="106"/>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完成上月的服务后，</w:t>
      </w:r>
      <w:r>
        <w:rPr>
          <w:rFonts w:hint="eastAsia" w:ascii="宋体" w:hAnsi="宋体" w:eastAsia="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rPr>
        <w:t>在次月</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个工作日内对</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上月的服务进行</w:t>
      </w:r>
      <w:r>
        <w:rPr>
          <w:rFonts w:hint="eastAsia" w:ascii="宋体" w:hAnsi="宋体" w:eastAsia="宋体" w:cs="宋体"/>
          <w:b w:val="0"/>
          <w:bCs w:val="0"/>
          <w:color w:val="auto"/>
          <w:sz w:val="21"/>
          <w:szCs w:val="21"/>
          <w:highlight w:val="none"/>
          <w:lang w:eastAsia="zh-CN"/>
        </w:rPr>
        <w:t>考核</w:t>
      </w:r>
      <w:r>
        <w:rPr>
          <w:rFonts w:hint="eastAsia" w:ascii="宋体" w:hAnsi="宋体" w:eastAsia="宋体" w:cs="宋体"/>
          <w:b w:val="0"/>
          <w:bCs w:val="0"/>
          <w:color w:val="auto"/>
          <w:sz w:val="21"/>
          <w:szCs w:val="21"/>
          <w:highlight w:val="none"/>
        </w:rPr>
        <w:t>，</w:t>
      </w:r>
      <w:r>
        <w:rPr>
          <w:rStyle w:val="106"/>
          <w:rFonts w:hint="eastAsia" w:ascii="宋体" w:hAnsi="宋体" w:eastAsia="宋体" w:cs="宋体"/>
          <w:b w:val="0"/>
          <w:bCs w:val="0"/>
          <w:color w:val="auto"/>
          <w:sz w:val="21"/>
          <w:szCs w:val="21"/>
          <w:highlight w:val="none"/>
          <w:lang w:val="en-US" w:eastAsia="zh-CN" w:bidi="ar"/>
        </w:rPr>
        <w:t>经考核取得90分及以上者为合格，招标人全额支付当月服务费；未达到90分者则为不合格，每低1分（不满1分按1分计算），招标人按当月</w:t>
      </w:r>
      <w:r>
        <w:rPr>
          <w:rFonts w:hint="eastAsia" w:ascii="宋体" w:hAnsi="宋体" w:eastAsia="宋体" w:cs="宋体"/>
          <w:b w:val="0"/>
          <w:bCs w:val="0"/>
          <w:color w:val="auto"/>
          <w:sz w:val="21"/>
          <w:szCs w:val="21"/>
          <w:highlight w:val="none"/>
        </w:rPr>
        <w:t>计量服务费</w:t>
      </w:r>
      <w:r>
        <w:rPr>
          <w:rStyle w:val="106"/>
          <w:rFonts w:hint="eastAsia" w:ascii="宋体" w:hAnsi="宋体" w:eastAsia="宋体" w:cs="宋体"/>
          <w:b w:val="0"/>
          <w:bCs w:val="0"/>
          <w:color w:val="auto"/>
          <w:sz w:val="21"/>
          <w:szCs w:val="21"/>
          <w:highlight w:val="none"/>
          <w:lang w:val="en-US" w:eastAsia="zh-CN" w:bidi="ar"/>
        </w:rPr>
        <w:t>总额1%的比例扣减当月服务费；低于80分，除按当月结算服务费总额1%的比例扣减当月服务费外，招标人有权单方面解除服务合同。</w:t>
      </w:r>
    </w:p>
    <w:p>
      <w:pPr>
        <w:ind w:firstLine="420" w:firstLineChars="200"/>
        <w:rPr>
          <w:rFonts w:hint="eastAsia" w:eastAsiaTheme="minorEastAsia"/>
          <w:color w:val="auto"/>
          <w:highlight w:val="none"/>
          <w:lang w:eastAsia="zh-CN"/>
        </w:rPr>
      </w:pP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、其他要求</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、中标人应对招标人委托的各项目的内容予以严格保密。</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、中标人应服从招标人的统筹安排，并严格按照招标人的要求保质保量地提供相应服务。</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、若中标人在服务期内出现拒绝接受服务情况或无法按时完成当天收运任务达3次以上（含3次）的，招标人可取消其从事服务资格。</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、未经招标人同意，中标人不得将承包项目发包或转包，否则视为中标人违约，招标人有权终止合同并对其追责。</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、禁止中标人使用招标人</w:t>
      </w:r>
      <w:r>
        <w:rPr>
          <w:rFonts w:hint="eastAsia" w:ascii="宋体" w:hAnsi="宋体" w:eastAsia="宋体" w:cs="宋体"/>
          <w:snapToGrid w:val="0"/>
          <w:color w:val="auto"/>
          <w:szCs w:val="21"/>
          <w:highlight w:val="none"/>
          <w:lang w:val="zh-CN"/>
        </w:rPr>
        <w:t>提供</w:t>
      </w:r>
      <w:r>
        <w:rPr>
          <w:rFonts w:hint="eastAsia" w:ascii="宋体" w:hAnsi="宋体" w:eastAsia="宋体" w:cs="宋体"/>
          <w:color w:val="auto"/>
          <w:sz w:val="21"/>
          <w:szCs w:val="21"/>
          <w:highlight w:val="none"/>
        </w:rPr>
        <w:t>的任何证照擅自拓展业务</w:t>
      </w:r>
      <w:r>
        <w:rPr>
          <w:rFonts w:hint="eastAsia" w:ascii="宋体" w:hAnsi="宋体" w:eastAsia="宋体" w:cs="宋体"/>
          <w:snapToGrid w:val="0"/>
          <w:color w:val="auto"/>
          <w:szCs w:val="21"/>
          <w:highlight w:val="none"/>
          <w:lang w:val="zh-CN"/>
        </w:rPr>
        <w:t>或用于本合同服务范围外的目的</w:t>
      </w:r>
      <w:r>
        <w:rPr>
          <w:rFonts w:hint="eastAsia" w:ascii="宋体" w:hAnsi="宋体" w:eastAsia="宋体" w:cs="宋体"/>
          <w:color w:val="auto"/>
          <w:sz w:val="21"/>
          <w:szCs w:val="21"/>
          <w:highlight w:val="none"/>
        </w:rPr>
        <w:t>，包括但不限于《营业执照》、《城市生活垃圾经营性清扫、收集、运输服务许可证收运处理许可证》、《城市生活垃圾经营性处置服务许可证》等。中标人违反本条约定达2次（含2次）以上的，招标人有权单方解除合同，并要求中标人支付违约金，并赔偿因此给招标人造成的损失。</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、中标人在合同</w:t>
      </w:r>
      <w:r>
        <w:rPr>
          <w:rFonts w:hint="eastAsia" w:ascii="宋体" w:hAnsi="宋体" w:eastAsia="宋体" w:cs="宋体"/>
          <w:snapToGrid w:val="0"/>
          <w:color w:val="auto"/>
          <w:szCs w:val="21"/>
          <w:highlight w:val="none"/>
          <w:lang w:val="zh-CN"/>
        </w:rPr>
        <w:t>履行</w:t>
      </w:r>
      <w:r>
        <w:rPr>
          <w:rFonts w:hint="eastAsia" w:ascii="宋体" w:hAnsi="宋体" w:eastAsia="宋体" w:cs="宋体"/>
          <w:color w:val="auto"/>
          <w:sz w:val="21"/>
          <w:szCs w:val="21"/>
          <w:highlight w:val="none"/>
          <w:lang w:val="en-US" w:eastAsia="zh-CN"/>
        </w:rPr>
        <w:t>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如需投入车辆等相关设备（包括用作派送餐厨垃圾收集桶的车辆等），</w:t>
      </w:r>
      <w:r>
        <w:rPr>
          <w:rFonts w:hint="eastAsia" w:ascii="宋体" w:hAnsi="宋体" w:eastAsia="宋体" w:cs="宋体"/>
          <w:color w:val="auto"/>
          <w:sz w:val="21"/>
          <w:szCs w:val="21"/>
          <w:highlight w:val="none"/>
        </w:rPr>
        <w:t>必须向招标人</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备案，合同</w:t>
      </w:r>
      <w:r>
        <w:rPr>
          <w:rFonts w:hint="eastAsia" w:ascii="宋体" w:hAnsi="宋体" w:eastAsia="宋体" w:cs="宋体"/>
          <w:snapToGrid w:val="0"/>
          <w:color w:val="auto"/>
          <w:szCs w:val="21"/>
          <w:highlight w:val="none"/>
          <w:lang w:val="zh-CN"/>
        </w:rPr>
        <w:t>履行期间</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(1)中标人不得使用已备案的车辆和设备开展合同约定</w:t>
      </w:r>
      <w:r>
        <w:rPr>
          <w:rFonts w:hint="eastAsia" w:ascii="宋体" w:hAnsi="宋体" w:eastAsia="宋体" w:cs="宋体"/>
          <w:snapToGrid w:val="0"/>
          <w:color w:val="auto"/>
          <w:szCs w:val="21"/>
          <w:highlight w:val="none"/>
          <w:lang w:val="zh-CN"/>
        </w:rPr>
        <w:t>服务</w:t>
      </w:r>
      <w:r>
        <w:rPr>
          <w:rFonts w:hint="eastAsia" w:ascii="宋体" w:hAnsi="宋体" w:eastAsia="宋体" w:cs="宋体"/>
          <w:color w:val="auto"/>
          <w:sz w:val="21"/>
          <w:szCs w:val="21"/>
          <w:highlight w:val="none"/>
        </w:rPr>
        <w:t>范围外活动；</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(2)中标人不得擅自使用其他车辆和设备开展合同约定</w:t>
      </w:r>
      <w:r>
        <w:rPr>
          <w:rFonts w:hint="eastAsia" w:ascii="宋体" w:hAnsi="宋体" w:eastAsia="宋体" w:cs="宋体"/>
          <w:snapToGrid w:val="0"/>
          <w:color w:val="auto"/>
          <w:szCs w:val="21"/>
          <w:highlight w:val="none"/>
          <w:lang w:val="zh-CN"/>
        </w:rPr>
        <w:t>服务</w:t>
      </w:r>
      <w:r>
        <w:rPr>
          <w:rFonts w:hint="eastAsia" w:ascii="宋体" w:hAnsi="宋体" w:eastAsia="宋体" w:cs="宋体"/>
          <w:color w:val="auto"/>
          <w:sz w:val="21"/>
          <w:szCs w:val="21"/>
          <w:highlight w:val="none"/>
        </w:rPr>
        <w:t>范围内工作；</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(3)严禁利用招标人名义，使用其他车辆和设备进行其他服务活动。</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中标人违反上述</w:t>
      </w:r>
      <w:r>
        <w:rPr>
          <w:rFonts w:hint="eastAsia" w:ascii="宋体" w:hAnsi="宋体" w:eastAsia="宋体" w:cs="宋体"/>
          <w:snapToGrid w:val="0"/>
          <w:color w:val="auto"/>
          <w:szCs w:val="21"/>
          <w:highlight w:val="none"/>
          <w:lang w:val="zh-CN"/>
        </w:rPr>
        <w:t>约</w:t>
      </w:r>
      <w:r>
        <w:rPr>
          <w:rFonts w:hint="eastAsia" w:ascii="宋体" w:hAnsi="宋体" w:eastAsia="宋体" w:cs="宋体"/>
          <w:color w:val="auto"/>
          <w:sz w:val="21"/>
          <w:szCs w:val="21"/>
          <w:highlight w:val="none"/>
        </w:rPr>
        <w:t>定达3次（含3次）以上的，招标人有权单方解除合同，并要求中标人支付违约金，并赔偿因此给招标人造成的名誉和经济损失。</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、招标人对中标人实行动态管理，对中标人进行考核，一旦发现中标人违反合同条款，要求其限期整改。</w:t>
      </w:r>
      <w:r>
        <w:rPr>
          <w:rFonts w:hint="eastAsia" w:ascii="宋体" w:hAnsi="宋体" w:eastAsia="宋体" w:cs="宋体"/>
          <w:color w:val="auto"/>
          <w:sz w:val="21"/>
          <w:szCs w:val="21"/>
          <w:highlight w:val="none"/>
          <w:lang w:val="en-US" w:eastAsia="zh-CN"/>
        </w:rPr>
        <w:t>中标人需要在限期内完成整改</w:t>
      </w:r>
      <w:r>
        <w:rPr>
          <w:rFonts w:hint="eastAsia" w:ascii="宋体" w:hAnsi="宋体" w:eastAsia="宋体" w:cs="宋体"/>
          <w:color w:val="auto"/>
          <w:sz w:val="21"/>
          <w:szCs w:val="21"/>
          <w:highlight w:val="none"/>
        </w:rPr>
        <w:t>，否则视为中标人违约，</w:t>
      </w:r>
      <w:r>
        <w:rPr>
          <w:rFonts w:hint="eastAsia" w:ascii="宋体" w:hAnsi="宋体" w:eastAsia="宋体" w:cs="宋体"/>
          <w:color w:val="auto"/>
          <w:sz w:val="21"/>
          <w:szCs w:val="21"/>
          <w:highlight w:val="none"/>
          <w:lang w:val="en-US" w:eastAsia="zh-CN"/>
        </w:rPr>
        <w:t>招标人有权</w:t>
      </w:r>
      <w:r>
        <w:rPr>
          <w:rFonts w:hint="eastAsia" w:ascii="宋体" w:hAnsi="宋体" w:eastAsia="宋体" w:cs="宋体"/>
          <w:snapToGrid w:val="0"/>
          <w:color w:val="auto"/>
          <w:szCs w:val="21"/>
          <w:highlight w:val="none"/>
          <w:lang w:val="zh-CN"/>
        </w:rPr>
        <w:t>单方解除合同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并要求中标人承担违约责任</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、收运运营服务人员体检要求如下</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(1)不接触职业健康危害因素人员</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根据工作内容不会接触到职业健康危害因素的人员，提交一般入职体检报告1份。</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(2)接触职业健康危害因素人员</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根据工作内容会接触到职业健康危害因素人员，包括收运司机、</w:t>
      </w:r>
      <w:r>
        <w:rPr>
          <w:rFonts w:hint="eastAsia" w:ascii="宋体" w:hAnsi="宋体" w:eastAsia="宋体" w:cs="宋体"/>
          <w:color w:val="auto"/>
          <w:sz w:val="21"/>
          <w:szCs w:val="21"/>
          <w:highlight w:val="none"/>
          <w:lang w:val="en-US" w:eastAsia="zh-CN"/>
        </w:rPr>
        <w:t>收运</w:t>
      </w:r>
      <w:r>
        <w:rPr>
          <w:rFonts w:hint="eastAsia" w:ascii="宋体" w:hAnsi="宋体" w:eastAsia="宋体" w:cs="宋体"/>
          <w:color w:val="auto"/>
          <w:sz w:val="21"/>
          <w:szCs w:val="21"/>
          <w:highlight w:val="none"/>
        </w:rPr>
        <w:t>辅工等，需按要求进行岗前、在岗及离岗职业健康检查，提交有资质机构出具的岗前、在岗及离岗职业健康检查报告。</w:t>
      </w:r>
    </w:p>
    <w:p>
      <w:pPr>
        <w:keepNext w:val="0"/>
        <w:keepLines w:val="0"/>
        <w:pageBreakBefore w:val="0"/>
        <w:widowControl w:val="0"/>
        <w:numPr>
          <w:ilvl w:val="-1"/>
          <w:numId w:val="0"/>
        </w:numPr>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服务质量考核附表详见下表：</w:t>
      </w:r>
    </w:p>
    <w:p>
      <w:pPr>
        <w:pStyle w:val="2"/>
        <w:numPr>
          <w:ilvl w:val="-1"/>
          <w:numId w:val="0"/>
        </w:numPr>
        <w:jc w:val="both"/>
        <w:rPr>
          <w:rFonts w:hint="eastAsia"/>
          <w:color w:val="auto"/>
          <w:sz w:val="21"/>
          <w:szCs w:val="21"/>
          <w:highlight w:val="none"/>
        </w:rPr>
      </w:pPr>
    </w:p>
    <w:p>
      <w:pPr>
        <w:tabs>
          <w:tab w:val="left" w:pos="1260"/>
        </w:tabs>
        <w:snapToGrid w:val="0"/>
        <w:spacing w:line="360" w:lineRule="auto"/>
        <w:ind w:firstLine="211" w:firstLineChars="100"/>
        <w:textAlignment w:val="baseline"/>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附件1：餐厨垃圾收运服务月度考核表</w:t>
      </w:r>
    </w:p>
    <w:tbl>
      <w:tblPr>
        <w:tblStyle w:val="38"/>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8"/>
        <w:gridCol w:w="638"/>
        <w:gridCol w:w="1786"/>
        <w:gridCol w:w="4050"/>
        <w:gridCol w:w="1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87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7400" w:hanging="7400" w:hangingChars="37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32"/>
                <w:szCs w:val="32"/>
                <w:highlight w:val="none"/>
                <w:u w:val="none"/>
                <w:lang w:val="en-US" w:eastAsia="zh-CN" w:bidi="ar"/>
              </w:rPr>
              <w:t xml:space="preserve">利源公司餐厨垃圾收运服务月度考核表 </w:t>
            </w:r>
            <w:r>
              <w:rPr>
                <w:rFonts w:hint="eastAsia" w:ascii="宋体" w:hAnsi="宋体" w:eastAsia="宋体" w:cs="宋体"/>
                <w:i w:val="0"/>
                <w:iCs w:val="0"/>
                <w:color w:val="auto"/>
                <w:kern w:val="0"/>
                <w:sz w:val="20"/>
                <w:szCs w:val="20"/>
                <w:highlight w:val="none"/>
                <w:u w:val="none"/>
                <w:lang w:val="en-US" w:eastAsia="zh-CN" w:bidi="ar"/>
              </w:rPr>
              <w:t xml:space="preserve">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jc w:val="center"/>
        </w:trPr>
        <w:tc>
          <w:tcPr>
            <w:tcW w:w="87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 xml:space="preserve">                         </w:t>
            </w:r>
            <w:r>
              <w:rPr>
                <w:rStyle w:val="207"/>
                <w:rFonts w:ascii="宋体" w:hAnsi="宋体" w:eastAsia="宋体" w:cs="宋体"/>
                <w:color w:val="auto"/>
                <w:sz w:val="21"/>
                <w:szCs w:val="21"/>
                <w:highlight w:val="none"/>
                <w:lang w:val="en-US" w:eastAsia="zh-CN" w:bidi="ar"/>
              </w:rPr>
              <w:t>餐厨垃圾收运服务考核评分须知</w:t>
            </w:r>
            <w:r>
              <w:rPr>
                <w:rStyle w:val="106"/>
                <w:rFonts w:ascii="宋体" w:hAnsi="宋体" w:eastAsia="宋体" w:cs="宋体"/>
                <w:color w:val="auto"/>
                <w:sz w:val="21"/>
                <w:szCs w:val="21"/>
                <w:highlight w:val="none"/>
                <w:lang w:val="en-US" w:eastAsia="zh-CN" w:bidi="ar"/>
              </w:rPr>
              <w:br w:type="textWrapping"/>
            </w:r>
            <w:r>
              <w:rPr>
                <w:rStyle w:val="106"/>
                <w:rFonts w:ascii="宋体" w:hAnsi="宋体" w:eastAsia="宋体" w:cs="宋体"/>
                <w:color w:val="auto"/>
                <w:sz w:val="21"/>
                <w:szCs w:val="21"/>
                <w:highlight w:val="none"/>
                <w:lang w:val="en-US" w:eastAsia="zh-CN" w:bidi="ar"/>
              </w:rPr>
              <w:t>1、招标人对餐厨垃圾收运服务每月出具一次考核结果，该结果与每月支付的服务费用直接挂钩，考核总分为100分。</w:t>
            </w:r>
            <w:r>
              <w:rPr>
                <w:rStyle w:val="106"/>
                <w:rFonts w:ascii="宋体" w:hAnsi="宋体" w:eastAsia="宋体" w:cs="宋体"/>
                <w:color w:val="auto"/>
                <w:sz w:val="21"/>
                <w:szCs w:val="21"/>
                <w:highlight w:val="none"/>
                <w:lang w:val="en-US" w:eastAsia="zh-CN" w:bidi="ar"/>
              </w:rPr>
              <w:br w:type="textWrapping"/>
            </w:r>
            <w:r>
              <w:rPr>
                <w:rStyle w:val="106"/>
                <w:rFonts w:ascii="宋体" w:hAnsi="宋体" w:eastAsia="宋体" w:cs="宋体"/>
                <w:color w:val="auto"/>
                <w:sz w:val="21"/>
                <w:szCs w:val="21"/>
                <w:highlight w:val="none"/>
                <w:lang w:val="en-US" w:eastAsia="zh-CN" w:bidi="ar"/>
              </w:rPr>
              <w:t>2、招标人将严格按照考核评分标准对服务单位进行月度检查、考核和验收。</w:t>
            </w:r>
            <w:r>
              <w:rPr>
                <w:rStyle w:val="106"/>
                <w:rFonts w:ascii="宋体" w:hAnsi="宋体" w:eastAsia="宋体" w:cs="宋体"/>
                <w:color w:val="auto"/>
                <w:sz w:val="21"/>
                <w:szCs w:val="21"/>
                <w:highlight w:val="none"/>
                <w:lang w:val="en-US" w:eastAsia="zh-CN" w:bidi="ar"/>
              </w:rPr>
              <w:br w:type="textWrapping"/>
            </w:r>
            <w:r>
              <w:rPr>
                <w:rStyle w:val="106"/>
                <w:rFonts w:ascii="宋体" w:hAnsi="宋体" w:eastAsia="宋体" w:cs="宋体"/>
                <w:color w:val="auto"/>
                <w:sz w:val="21"/>
                <w:szCs w:val="21"/>
                <w:highlight w:val="none"/>
                <w:lang w:val="en-US" w:eastAsia="zh-CN" w:bidi="ar"/>
              </w:rPr>
              <w:t>3、招标人的检查采用明检与暗检相结合的方式，以暗检为主。</w:t>
            </w:r>
            <w:r>
              <w:rPr>
                <w:rStyle w:val="106"/>
                <w:rFonts w:ascii="宋体" w:hAnsi="宋体" w:eastAsia="宋体" w:cs="宋体"/>
                <w:color w:val="auto"/>
                <w:sz w:val="21"/>
                <w:szCs w:val="21"/>
                <w:highlight w:val="none"/>
                <w:lang w:val="en-US" w:eastAsia="zh-CN" w:bidi="ar"/>
              </w:rPr>
              <w:br w:type="textWrapping"/>
            </w:r>
            <w:r>
              <w:rPr>
                <w:rStyle w:val="106"/>
                <w:rFonts w:ascii="宋体" w:hAnsi="宋体" w:eastAsia="宋体" w:cs="宋体"/>
                <w:color w:val="auto"/>
                <w:sz w:val="21"/>
                <w:szCs w:val="21"/>
                <w:highlight w:val="none"/>
                <w:lang w:val="en-US" w:eastAsia="zh-CN" w:bidi="ar"/>
              </w:rPr>
              <w:t>4、经考核取得</w:t>
            </w:r>
            <w:r>
              <w:rPr>
                <w:rStyle w:val="106"/>
                <w:rFonts w:hint="eastAsia" w:ascii="宋体" w:hAnsi="宋体" w:eastAsia="宋体" w:cs="宋体"/>
                <w:color w:val="auto"/>
                <w:sz w:val="21"/>
                <w:szCs w:val="21"/>
                <w:highlight w:val="none"/>
                <w:lang w:val="en-US" w:eastAsia="zh-CN" w:bidi="ar"/>
              </w:rPr>
              <w:t>90</w:t>
            </w:r>
            <w:r>
              <w:rPr>
                <w:rStyle w:val="106"/>
                <w:rFonts w:ascii="宋体" w:hAnsi="宋体" w:eastAsia="宋体" w:cs="宋体"/>
                <w:color w:val="auto"/>
                <w:sz w:val="21"/>
                <w:szCs w:val="21"/>
                <w:highlight w:val="none"/>
                <w:lang w:val="en-US" w:eastAsia="zh-CN" w:bidi="ar"/>
              </w:rPr>
              <w:t>分及以上者为合格，招标人全额支付当月服务费；未达到</w:t>
            </w:r>
            <w:r>
              <w:rPr>
                <w:rStyle w:val="106"/>
                <w:rFonts w:hint="eastAsia" w:ascii="宋体" w:hAnsi="宋体" w:eastAsia="宋体" w:cs="宋体"/>
                <w:color w:val="auto"/>
                <w:sz w:val="21"/>
                <w:szCs w:val="21"/>
                <w:highlight w:val="none"/>
                <w:lang w:val="en-US" w:eastAsia="zh-CN" w:bidi="ar"/>
              </w:rPr>
              <w:t>90</w:t>
            </w:r>
            <w:r>
              <w:rPr>
                <w:rStyle w:val="106"/>
                <w:rFonts w:ascii="宋体" w:hAnsi="宋体" w:eastAsia="宋体" w:cs="宋体"/>
                <w:color w:val="auto"/>
                <w:sz w:val="21"/>
                <w:szCs w:val="21"/>
                <w:highlight w:val="none"/>
                <w:lang w:val="en-US" w:eastAsia="zh-CN" w:bidi="ar"/>
              </w:rPr>
              <w:t>分者则为不合格，每低1分（不满1分按1分计算），招标人按当月</w:t>
            </w:r>
            <w:r>
              <w:rPr>
                <w:rFonts w:hint="eastAsia" w:ascii="宋体" w:hAnsi="宋体" w:eastAsia="宋体" w:cs="宋体"/>
                <w:b w:val="0"/>
                <w:bCs w:val="0"/>
                <w:color w:val="auto"/>
                <w:sz w:val="21"/>
                <w:szCs w:val="21"/>
                <w:highlight w:val="none"/>
              </w:rPr>
              <w:t>计量服务费</w:t>
            </w:r>
            <w:r>
              <w:rPr>
                <w:rStyle w:val="106"/>
                <w:rFonts w:ascii="宋体" w:hAnsi="宋体" w:eastAsia="宋体" w:cs="宋体"/>
                <w:color w:val="auto"/>
                <w:sz w:val="21"/>
                <w:szCs w:val="21"/>
                <w:highlight w:val="none"/>
                <w:lang w:val="en-US" w:eastAsia="zh-CN" w:bidi="ar"/>
              </w:rPr>
              <w:t>总额</w:t>
            </w:r>
            <w:r>
              <w:rPr>
                <w:rStyle w:val="106"/>
                <w:rFonts w:hint="eastAsia" w:ascii="宋体" w:hAnsi="宋体" w:eastAsia="宋体" w:cs="宋体"/>
                <w:color w:val="auto"/>
                <w:sz w:val="21"/>
                <w:szCs w:val="21"/>
                <w:highlight w:val="none"/>
                <w:lang w:val="en-US" w:eastAsia="zh-CN" w:bidi="ar"/>
              </w:rPr>
              <w:t>1</w:t>
            </w:r>
            <w:r>
              <w:rPr>
                <w:rStyle w:val="106"/>
                <w:rFonts w:ascii="宋体" w:hAnsi="宋体" w:eastAsia="宋体" w:cs="宋体"/>
                <w:color w:val="auto"/>
                <w:sz w:val="21"/>
                <w:szCs w:val="21"/>
                <w:highlight w:val="none"/>
                <w:lang w:val="en-US" w:eastAsia="zh-CN" w:bidi="ar"/>
              </w:rPr>
              <w:t>%的比例扣减当月服务费；低于</w:t>
            </w:r>
            <w:r>
              <w:rPr>
                <w:rStyle w:val="106"/>
                <w:rFonts w:hint="eastAsia" w:ascii="宋体" w:hAnsi="宋体" w:eastAsia="宋体" w:cs="宋体"/>
                <w:color w:val="auto"/>
                <w:sz w:val="21"/>
                <w:szCs w:val="21"/>
                <w:highlight w:val="none"/>
                <w:lang w:val="en-US" w:eastAsia="zh-CN" w:bidi="ar"/>
              </w:rPr>
              <w:t>80</w:t>
            </w:r>
            <w:r>
              <w:rPr>
                <w:rStyle w:val="106"/>
                <w:rFonts w:ascii="宋体" w:hAnsi="宋体" w:eastAsia="宋体" w:cs="宋体"/>
                <w:color w:val="auto"/>
                <w:sz w:val="21"/>
                <w:szCs w:val="21"/>
                <w:highlight w:val="none"/>
                <w:lang w:val="en-US" w:eastAsia="zh-CN" w:bidi="ar"/>
              </w:rPr>
              <w:t>分，</w:t>
            </w:r>
            <w:r>
              <w:rPr>
                <w:rStyle w:val="106"/>
                <w:rFonts w:hint="eastAsia" w:ascii="宋体" w:hAnsi="宋体" w:eastAsia="宋体" w:cs="宋体"/>
                <w:b w:val="0"/>
                <w:bCs w:val="0"/>
                <w:color w:val="auto"/>
                <w:sz w:val="21"/>
                <w:szCs w:val="21"/>
                <w:highlight w:val="none"/>
                <w:lang w:val="en-US" w:eastAsia="zh-CN" w:bidi="ar"/>
              </w:rPr>
              <w:t>除按当月结算服务费总额1%的比例扣减当月服务费外，</w:t>
            </w:r>
            <w:r>
              <w:rPr>
                <w:rStyle w:val="106"/>
                <w:rFonts w:ascii="宋体" w:hAnsi="宋体" w:eastAsia="宋体" w:cs="宋体"/>
                <w:color w:val="auto"/>
                <w:sz w:val="21"/>
                <w:szCs w:val="21"/>
                <w:highlight w:val="none"/>
                <w:lang w:val="en-US" w:eastAsia="zh-CN" w:bidi="ar"/>
              </w:rPr>
              <w:t>招标人有权单方面解除服务合同。</w:t>
            </w:r>
          </w:p>
          <w:p>
            <w:pPr>
              <w:pStyle w:val="2"/>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5、服务单位存在考核表内的扣分行为，招标人进行扣分外，若合同条款有设置违约责任和违约金的，服务单位还需向招标人支付违约金。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7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考核内容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类别</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4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考核内容</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本月度扣分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auto"/>
                <w:sz w:val="21"/>
                <w:szCs w:val="21"/>
                <w:highlight w:val="none"/>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auto"/>
                <w:sz w:val="21"/>
                <w:szCs w:val="21"/>
                <w:highlight w:val="none"/>
                <w:u w:val="none"/>
              </w:rPr>
            </w:pPr>
          </w:p>
        </w:tc>
        <w:tc>
          <w:tcPr>
            <w:tcW w:w="4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auto"/>
                <w:sz w:val="21"/>
                <w:szCs w:val="21"/>
                <w:highlight w:val="none"/>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人力管控</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社保购买情况</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服务单位必须为本项目的服务人员购买必须的社保，并每月在人员花名册上附上社保购买证明。每人每月缺少购买扣1分。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工资支付情况</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服务单位必须按时为服务人员发放工资，并每月将发放情况报送招标人。当有人举报存在工资拖欠问题，招标人查实后，每人每月拖欠扣2分。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人员管理情况</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服务单位必须每月将人员花名册报送招标人，期间出现的人员变动必须及时告知招标人。当月未及时更新信息，扣1分。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服务人员上岗情况</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服务单位必须提供足够服务人员开展工作，服务期内每出现人员缺岗情况的，则每人每天扣0.5分。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业务管控</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客户维护情况</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招标人定期检查服务单位对各个客户的服务情况，如发现因不收、漏收、态度恶劣的情况导致客户投诉的，每次扣0.5分；导致客户流失的，每次扣2分。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车辆维护情况</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服务单位必须对作业车辆进行定期保养和及时维修，避免车辆损坏和交通事故发生。服务单位在招标人发出维修通知书后3天内仍未开展维修工作的，每次逾期扣1分。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运量核查</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服务单位需确保收运量来源符合招标人要求，合规合法，如发现收运量存在弄虚作假等情况，每发现一次扣5分。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回访情况</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抽检服务质量</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招标人将不定期对各个服务镇街的某一机关单位、学校、企业进行服务情况抽检评分。评分不达80分，每个扣0.5分。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工作规范</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专车专镇</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餐厨垃圾收运工作应专镇专车，禁止跨镇运输。每发现跨镇运输一次，除需按照跨镇运输车辆过磅重量*收运处理补贴费用（399.7元/吨）进行赔偿招标人损失外，每次扣5分。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收运异常上报</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因实际情况造成线路调整、无法收运等情况，有无及时上报招标人。不上报一次扣1分。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服从工作情况</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在服务范围内，服务单位工作人员不服从招标人调度安排的，每次扣1分。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车辆违章情况</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业务车辆在工作过程中每产生一次违章扣分，扣1分。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造成车辆损坏或交通事故</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被判主要责任的情况下，经济损失三千元以内扣1分；三千元至一万元扣2分；一万至三万元元扣3分；三万元以上扣5分。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安全驾驶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人员驾驶车辆时严禁出现下列行为：吸烟、闲谈、开斗气车、不避让行人、使用手机、拐弯不打灯、在机动车道上停车未打危险灯或有其它妨碍安全行车的行为，每发现一次扣0.5分。发现有酒驾、醉驾行为的，每发现一次扣5分，且因此造成的所有损失由服务单位承担。</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驾驶记录</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服务人员每次驾驶餐厨收集车时须按要求做好收运点台账、加油和里程记录等工作。没有按照规范填写、漏填信息及未保存加油凭据的，每次扣0.5分。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按规划路线驾驶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必须按照预定的路线行驶，不得在未征得片区负责人的同意下随意切换路线。未有合理理由下随意更改路线，每次扣0.5分。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收集垃圾过程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在餐厨垃圾收集过程中需要按照规定操作。未按规范操作，造成严重地面污染或漏收，发现一次扣0.5分。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垃圾桶清洗工作</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在收运过程中需要按照规定对餐厨垃圾桶进行清洗。垃圾桶未按规定清洗的，发现一次扣0.2分。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卸料工作</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人员卸料需做好安全措施，佩戴好安全带和其他安全装备，并按规范操作卸料设施设备。未按安全要求和操作规范操作的或在卸料区以外误操作的，每次扣1分。造成环境污染和经济损失的，由服务单位全部负责。</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车载设备维护</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要爱护车载设备，发现设备故障需要及时通报。不能损坏车载设备。人为导致设备损坏，每次发现扣1分。为保证车辆正常运转，车辆需要到正规油站加油，并保存加油凭据备查，禁止加注私油、黑油，发现有加注私油、黑油问题的，每发现一台车扣3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车辆保洁</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需要保持车辆外观整洁，每次收运工作完成后需清洗车辆。发现车辆未按规定清洗的，每次扣0.2分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车辆保养</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应定期对车辆进行保养，未根据车辆维修保养里程定期进行保养的，每逾期一日扣0.2分。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着装要求</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人员在进行收运时必须按照规定穿着工衣（全套完整工衣，包括衣服和裤子）、佩戴厂牌（要能看到照片姓名等信息，不能得遮挡），同时穿戴好劳保用品（劳保鞋、安全帽、手套、反光衣）。未按规定着装，发现每人每次扣0.2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人员精神面貌</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服务人员应养成良好的生活习惯，自觉安排好休息时间，保证足够的休息，以较好的精力投入驾驶工作。因作息不定时导致精神不佳影响驾驶作业的，每发现一次扣0.5分。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分类情况</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服务人员注意不能在收运中混入中大型杂物或大量生活垃圾。每发现一次混入中大型杂物或大量生活垃圾的，未及时拍照取证并及时上报招标人管理人员，经核实无误后，每次扣0.5分。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安全培训</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服务人员无特殊情况下必须参与车队安全培训当中，若请假需得到车队长同意。发现无故缺席的，每人扣1分；因故不能参加的，且事后未自行申请进行补课的，每人扣1分。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c>
          <w:tcPr>
            <w:tcW w:w="7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bl>
    <w:p>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评分单位盖章：                                 服务单位：     </w:t>
      </w:r>
    </w:p>
    <w:p>
      <w:pPr>
        <w:keepNext w:val="0"/>
        <w:keepLines w:val="0"/>
        <w:pageBreakBefore w:val="0"/>
        <w:widowControl/>
        <w:kinsoku/>
        <w:wordWrap/>
        <w:overflowPunct/>
        <w:topLinePunct w:val="0"/>
        <w:bidi w:val="0"/>
        <w:adjustRightInd/>
        <w:snapToGrid/>
        <w:spacing w:line="360" w:lineRule="auto"/>
        <w:ind w:firstLine="0" w:firstLineChars="0"/>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评分人：</w:t>
      </w:r>
    </w:p>
    <w:p>
      <w:pPr>
        <w:keepNext w:val="0"/>
        <w:keepLines w:val="0"/>
        <w:pageBreakBefore w:val="0"/>
        <w:widowControl/>
        <w:kinsoku/>
        <w:wordWrap/>
        <w:overflowPunct/>
        <w:topLinePunct w:val="0"/>
        <w:bidi w:val="0"/>
        <w:adjustRightInd/>
        <w:snapToGrid/>
        <w:spacing w:line="360" w:lineRule="auto"/>
        <w:ind w:firstLine="0" w:firstLineChars="0"/>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复核人：</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附件2-1：上岗责任承诺书</w:t>
      </w:r>
    </w:p>
    <w:p>
      <w:pPr>
        <w:spacing w:line="360" w:lineRule="auto"/>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上岗责任承诺书</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上岗承诺内容如下：</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1、上岗后遵守规章制度，服从调度。坚持遵章守时，不迟到、不早退、不缺勤，忠于职守，勤奋务实，不怕吃苦。不私自出车，不外借车辆，不相互推诿，确保工作用车需要。</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2、遵守职业道德，做到文明行车。严格遵守交通安全法律法规，不急躁，不酒后驾车，不闯红灯，不超速行驶，不占道行车，不疲劳驾驶等。</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自觉爱护车辆，保证行车安全。始终把行车安全作为根本要求，加强车辆保养和检查，勤检查、勤维护、勤保养，发现故障及时报告、及时排除、及时维修，绝不心存侥幸，绝不带故障行驶，确保车况良好、行车安全。</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保持车容整洁，提升乘车环境。坚持服务与卫生同步改善、品位与形象同步提高，车辆外表不划不碰，车内不乱扔乱挂，不随地吐痰，不乱扔烟头，不乱丢垃圾，经常清理车内车外卫生，提供干净整洁的车容车貌。</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5、加强自身修养，增强服务意识。注重养成良好的工作、生活习惯，做到衣着端庄整洁、举止大方得体、讲话文明礼貌、待人谦虚随和、服务规范细致、驾驶小心谨慎。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坚持廉洁自律，树立良好形象。严格执行车辆管理制度，实行定点维修、定点加油，坚决杜绝公车私用，每天收班后统一停放在指定位置，坚持严于律己，绝不参与工作之便谋取私利，树立和维护公司良好形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同意以上规定请在下方签字，上岗后如违反制度的后果自负。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承诺人签名：            日期：</w:t>
      </w:r>
    </w:p>
    <w:p>
      <w:pPr>
        <w:spacing w:line="360" w:lineRule="auto"/>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附件2-2：试车考核项目</w:t>
      </w:r>
    </w:p>
    <w:p>
      <w:pPr>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试车考核项目</w:t>
      </w:r>
    </w:p>
    <w:p>
      <w:pPr>
        <w:spacing w:line="360" w:lineRule="auto"/>
        <w:ind w:left="279" w:leftChars="133" w:firstLine="420" w:firstLineChars="200"/>
        <w:jc w:val="left"/>
        <w:rPr>
          <w:rFonts w:hint="eastAsia" w:ascii="宋体" w:hAnsi="宋体" w:eastAsia="宋体" w:cs="宋体"/>
          <w:color w:val="auto"/>
          <w:sz w:val="21"/>
          <w:szCs w:val="21"/>
          <w:highlight w:val="none"/>
        </w:rPr>
      </w:pPr>
    </w:p>
    <w:p>
      <w:pPr>
        <w:spacing w:line="360" w:lineRule="auto"/>
        <w:ind w:left="279" w:leftChars="13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待入职试车前把个人身份证和驾驶证交给试车员查验，试车前应该保证个人精神状态清醒，没有不良症状，确保整个试车过程的顺利；在考核过程中，如有2项不通过，此司机不能</w:t>
      </w:r>
      <w:r>
        <w:rPr>
          <w:rFonts w:hint="eastAsia" w:ascii="宋体" w:hAnsi="宋体" w:eastAsia="宋体" w:cs="宋体"/>
          <w:color w:val="auto"/>
          <w:sz w:val="24"/>
          <w:szCs w:val="24"/>
          <w:highlight w:val="none"/>
          <w:lang w:val="en-US" w:eastAsia="zh-CN"/>
        </w:rPr>
        <w:t>上岗</w:t>
      </w:r>
      <w:r>
        <w:rPr>
          <w:rFonts w:hint="eastAsia" w:ascii="宋体" w:hAnsi="宋体" w:eastAsia="宋体" w:cs="宋体"/>
          <w:color w:val="auto"/>
          <w:sz w:val="24"/>
          <w:szCs w:val="24"/>
          <w:highlight w:val="none"/>
        </w:rPr>
        <w:t>，后面张贴司机的驾驶证和身份证复印件</w:t>
      </w:r>
    </w:p>
    <w:p>
      <w:pPr>
        <w:spacing w:line="360" w:lineRule="auto"/>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司机签名：</w:t>
      </w:r>
    </w:p>
    <w:tbl>
      <w:tblPr>
        <w:tblStyle w:val="38"/>
        <w:tblpPr w:leftFromText="180" w:rightFromText="180" w:vertAnchor="text" w:horzAnchor="page" w:tblpX="1347" w:tblpY="5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984"/>
        <w:gridCol w:w="1566"/>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84"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考核项目</w:t>
            </w:r>
          </w:p>
        </w:tc>
        <w:tc>
          <w:tcPr>
            <w:tcW w:w="1566"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是否通过</w:t>
            </w:r>
          </w:p>
        </w:tc>
        <w:tc>
          <w:tcPr>
            <w:tcW w:w="2917"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起动发动机前操作及检查</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起步前操作</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起步时离合和变速杆操作</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行车时操作状态</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停车后操作</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倒车操作</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对车辆的各功能询问</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对车辆日常维保询问</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4" w:type="dxa"/>
            <w:gridSpan w:val="2"/>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意见</w:t>
            </w:r>
          </w:p>
        </w:tc>
        <w:tc>
          <w:tcPr>
            <w:tcW w:w="4483" w:type="dxa"/>
            <w:gridSpan w:val="2"/>
            <w:noWrap w:val="0"/>
            <w:vAlign w:val="top"/>
          </w:tcPr>
          <w:p>
            <w:pPr>
              <w:rPr>
                <w:rFonts w:hint="eastAsia" w:ascii="宋体" w:hAnsi="宋体" w:eastAsia="宋体" w:cs="宋体"/>
                <w:color w:val="auto"/>
                <w:sz w:val="24"/>
                <w:szCs w:val="24"/>
                <w:highlight w:val="none"/>
              </w:rPr>
            </w:pPr>
          </w:p>
        </w:tc>
      </w:tr>
    </w:tbl>
    <w:p>
      <w:pPr>
        <w:tabs>
          <w:tab w:val="left" w:pos="1260"/>
        </w:tabs>
        <w:snapToGrid w:val="0"/>
        <w:spacing w:line="360" w:lineRule="auto"/>
        <w:textAlignment w:val="baseline"/>
        <w:rPr>
          <w:rFonts w:hint="eastAsia" w:ascii="宋体" w:hAnsi="宋体" w:eastAsia="宋体" w:cs="宋体"/>
          <w:b/>
          <w:bCs/>
          <w:color w:val="auto"/>
          <w:sz w:val="24"/>
          <w:szCs w:val="24"/>
          <w:highlight w:val="none"/>
        </w:rPr>
      </w:pPr>
    </w:p>
    <w:p>
      <w:pPr>
        <w:tabs>
          <w:tab w:val="left" w:pos="1260"/>
        </w:tabs>
        <w:snapToGrid w:val="0"/>
        <w:spacing w:line="360" w:lineRule="auto"/>
        <w:textAlignment w:val="baseline"/>
        <w:rPr>
          <w:rFonts w:hint="eastAsia" w:ascii="宋体" w:hAnsi="宋体" w:eastAsia="宋体" w:cs="宋体"/>
          <w:b/>
          <w:bCs/>
          <w:color w:val="auto"/>
          <w:sz w:val="24"/>
          <w:szCs w:val="24"/>
          <w:highlight w:val="none"/>
        </w:rPr>
      </w:pPr>
    </w:p>
    <w:p>
      <w:pPr>
        <w:spacing w:line="360" w:lineRule="auto"/>
        <w:ind w:left="279" w:leftChars="13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在考核过程中，如有2项不通过，此司机不能</w:t>
      </w:r>
      <w:r>
        <w:rPr>
          <w:rFonts w:hint="eastAsia" w:ascii="宋体" w:hAnsi="宋体" w:eastAsia="宋体" w:cs="宋体"/>
          <w:color w:val="auto"/>
          <w:sz w:val="24"/>
          <w:szCs w:val="24"/>
          <w:highlight w:val="none"/>
          <w:lang w:val="en-US" w:eastAsia="zh-CN"/>
        </w:rPr>
        <w:t>上岗</w:t>
      </w:r>
      <w:r>
        <w:rPr>
          <w:rFonts w:hint="eastAsia" w:ascii="宋体" w:hAnsi="宋体" w:eastAsia="宋体" w:cs="宋体"/>
          <w:color w:val="auto"/>
          <w:sz w:val="24"/>
          <w:szCs w:val="24"/>
          <w:highlight w:val="none"/>
        </w:rPr>
        <w:t>，后面张贴司机的驾驶证和身份证复印件</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试车员：</w:t>
      </w:r>
    </w:p>
    <w:p>
      <w:pPr>
        <w:ind w:firstLine="6000" w:firstLine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签名：</w:t>
      </w:r>
    </w:p>
    <w:p>
      <w:pPr>
        <w:tabs>
          <w:tab w:val="left" w:pos="1260"/>
        </w:tabs>
        <w:snapToGrid w:val="0"/>
        <w:spacing w:line="360" w:lineRule="auto"/>
        <w:textAlignment w:val="baseline"/>
        <w:rPr>
          <w:rFonts w:hint="eastAsia" w:ascii="宋体" w:hAnsi="宋体" w:eastAsia="宋体" w:cs="宋体"/>
          <w:b/>
          <w:bCs/>
          <w:color w:val="auto"/>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：餐厨垃圾收运服务人员体检要求</w:t>
      </w:r>
    </w:p>
    <w:p>
      <w:pPr>
        <w:spacing w:line="360" w:lineRule="auto"/>
        <w:rPr>
          <w:rFonts w:hint="eastAsia" w:ascii="宋体" w:hAnsi="宋体" w:eastAsia="宋体" w:cs="宋体"/>
          <w:color w:val="auto"/>
          <w:szCs w:val="21"/>
          <w:highlight w:val="none"/>
        </w:rPr>
      </w:pPr>
    </w:p>
    <w:p>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餐厨垃圾收运服务人员体检要求如下：</w:t>
      </w:r>
    </w:p>
    <w:p>
      <w:pPr>
        <w:spacing w:line="360" w:lineRule="auto"/>
        <w:ind w:firstLine="422" w:firstLineChars="200"/>
        <w:rPr>
          <w:rFonts w:hint="eastAsia" w:ascii="宋体" w:hAnsi="宋体" w:eastAsia="宋体" w:cs="宋体"/>
          <w:b/>
          <w:color w:val="auto"/>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一、不接触职业健康危害因素人员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根据工作内容不会接触到职业健康危害因素的人员，提交一般入职体检报告1份。</w:t>
      </w:r>
    </w:p>
    <w:p>
      <w:pPr>
        <w:spacing w:line="360" w:lineRule="auto"/>
        <w:rPr>
          <w:rFonts w:hint="eastAsia" w:ascii="宋体" w:hAnsi="宋体" w:eastAsia="宋体" w:cs="宋体"/>
          <w:b/>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二、接触职业健康危害因素人员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根据工作内容会接触到职业健康危害因素人员，包括收运司机、</w:t>
      </w:r>
      <w:r>
        <w:rPr>
          <w:rFonts w:hint="eastAsia" w:ascii="宋体" w:hAnsi="宋体" w:eastAsia="宋体" w:cs="宋体"/>
          <w:color w:val="auto"/>
          <w:sz w:val="21"/>
          <w:szCs w:val="21"/>
          <w:highlight w:val="none"/>
          <w:lang w:val="en-US" w:eastAsia="zh-CN"/>
        </w:rPr>
        <w:t>收运</w:t>
      </w:r>
      <w:r>
        <w:rPr>
          <w:rFonts w:hint="eastAsia" w:ascii="宋体" w:hAnsi="宋体" w:eastAsia="宋体" w:cs="宋体"/>
          <w:color w:val="auto"/>
          <w:sz w:val="21"/>
          <w:szCs w:val="21"/>
          <w:highlight w:val="none"/>
        </w:rPr>
        <w:t>辅工等，需按要求进行岗前、在岗及离岗职业健康检查，提交有资质机构出具的岗前、在岗及离岗职业健康检查报告。具体要求详见附件。</w:t>
      </w:r>
    </w:p>
    <w:p>
      <w:pPr>
        <w:spacing w:line="360" w:lineRule="auto"/>
        <w:ind w:firstLine="420" w:firstLineChars="200"/>
        <w:rPr>
          <w:rFonts w:hint="eastAsia" w:ascii="宋体" w:hAnsi="宋体" w:eastAsia="宋体" w:cs="宋体"/>
          <w:color w:val="auto"/>
          <w:szCs w:val="21"/>
          <w:highlight w:val="none"/>
        </w:rPr>
      </w:pP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-1：餐厨垃圾收运服务人员职业健康体检要求</w:t>
      </w:r>
    </w:p>
    <w:p>
      <w:pPr>
        <w:spacing w:line="360" w:lineRule="auto"/>
        <w:ind w:firstLine="422" w:firstLineChars="200"/>
        <w:rPr>
          <w:rFonts w:hint="eastAsia" w:ascii="宋体" w:hAnsi="宋体" w:eastAsia="宋体" w:cs="宋体"/>
          <w:b/>
          <w:color w:val="auto"/>
          <w:szCs w:val="21"/>
          <w:highlight w:val="none"/>
        </w:rPr>
      </w:pPr>
    </w:p>
    <w:p>
      <w:pPr>
        <w:spacing w:line="360" w:lineRule="auto"/>
        <w:ind w:firstLine="723" w:firstLineChars="200"/>
        <w:jc w:val="center"/>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餐厨垃圾收运服务人员职业健康体检要求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根据《中华人民共和国职业病防治法》、《职业健康监护技术规范》（GBZ188-2014），用人单位应组织接触职业病危害因素的劳动者进行上岗前、在岗期间及离岗前职业健康检查，相关具体情况介绍如下：</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一、参检人员</w:t>
      </w:r>
    </w:p>
    <w:p>
      <w:pPr>
        <w:pStyle w:val="131"/>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餐厨项目接触职业病危害因素的人员，包括餐厨项目收运司机岗、</w:t>
      </w:r>
      <w:r>
        <w:rPr>
          <w:rFonts w:hint="eastAsia" w:ascii="宋体" w:hAnsi="宋体" w:eastAsia="宋体" w:cs="宋体"/>
          <w:color w:val="auto"/>
          <w:sz w:val="21"/>
          <w:szCs w:val="21"/>
          <w:highlight w:val="none"/>
          <w:lang w:val="en-US" w:eastAsia="zh-CN"/>
        </w:rPr>
        <w:t>收运辅工</w:t>
      </w:r>
      <w:r>
        <w:rPr>
          <w:rFonts w:hint="eastAsia" w:ascii="宋体" w:hAnsi="宋体" w:eastAsia="宋体" w:cs="宋体"/>
          <w:color w:val="auto"/>
          <w:sz w:val="21"/>
          <w:szCs w:val="21"/>
          <w:highlight w:val="none"/>
        </w:rPr>
        <w:t>及后续按此原则应纳入职业健康检查的其他人员。</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二、体检项目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由东莞市职业病防治中心或其他有资质的医院根据参检人员接触的职业病危害因素核定必检项目。</w:t>
      </w:r>
    </w:p>
    <w:p>
      <w:pPr>
        <w:pStyle w:val="13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餐厨项目收运司机岗及</w:t>
      </w:r>
      <w:r>
        <w:rPr>
          <w:rFonts w:hint="eastAsia" w:ascii="宋体" w:hAnsi="宋体" w:eastAsia="宋体" w:cs="宋体"/>
          <w:color w:val="auto"/>
          <w:sz w:val="21"/>
          <w:szCs w:val="21"/>
          <w:highlight w:val="none"/>
          <w:lang w:val="en-US" w:eastAsia="zh-CN"/>
        </w:rPr>
        <w:t>收运辅工</w:t>
      </w:r>
      <w:r>
        <w:rPr>
          <w:rFonts w:hint="eastAsia" w:ascii="宋体" w:hAnsi="宋体" w:eastAsia="宋体" w:cs="宋体"/>
          <w:color w:val="auto"/>
          <w:sz w:val="21"/>
          <w:szCs w:val="21"/>
          <w:highlight w:val="none"/>
        </w:rPr>
        <w:t>及后续按此原则应纳入职业健康检查的其他人员。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目前核定接触的危害因素为氨、硫化氢两种。后续如有调整，以实际情况为准。</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其中岗前体检需在医院核定的必检项目基础上，增加“肝功AST、肾功4项”两个体检项目。</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三、体检周期</w:t>
      </w:r>
    </w:p>
    <w:p>
      <w:pPr>
        <w:pStyle w:val="13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1、岗前体检在上述岗位员工入职前完成。</w:t>
      </w:r>
    </w:p>
    <w:p>
      <w:pPr>
        <w:pStyle w:val="13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2、离岗体检在员工离岗前完成。</w:t>
      </w:r>
    </w:p>
    <w:p>
      <w:pPr>
        <w:pStyle w:val="13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3、在岗体检周期结合各岗位接触的危害因素按照《职业健康监护技术规范》（GBZ188-2014）中规定的检查周期执行，其中，氨</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硫化氢</w:t>
      </w:r>
      <w:r>
        <w:rPr>
          <w:rFonts w:hint="eastAsia" w:ascii="宋体" w:hAnsi="宋体" w:eastAsia="宋体" w:cs="宋体"/>
          <w:color w:val="auto"/>
          <w:sz w:val="21"/>
          <w:szCs w:val="21"/>
          <w:highlight w:val="none"/>
          <w:lang w:val="en-US" w:eastAsia="zh-CN"/>
        </w:rPr>
        <w:t>需按要求进行周期性体检</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四、体检医院</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东莞市职业病防治中心或其他有资质的医院。</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五、其他要求</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每位人员是否完成体检，以提交符合要求的职业健康检查报告为完成标准。</w:t>
      </w:r>
    </w:p>
    <w:p>
      <w:pPr>
        <w:keepNext w:val="0"/>
        <w:keepLines w:val="0"/>
        <w:pageBreakBefore w:val="0"/>
        <w:widowControl/>
        <w:kinsoku/>
        <w:wordWrap/>
        <w:overflowPunct/>
        <w:topLinePunct w:val="0"/>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65" w:name="_Toc11281_WPSOffice_Level1"/>
      <w:bookmarkStart w:id="466" w:name="_Toc142508359"/>
      <w:bookmarkStart w:id="467" w:name="_Toc31232"/>
      <w:bookmarkStart w:id="468" w:name="_Toc486167707"/>
      <w:bookmarkStart w:id="469" w:name="_Toc20453"/>
      <w:bookmarkStart w:id="470" w:name="_Toc20401"/>
      <w:bookmarkStart w:id="471" w:name="_Toc25251"/>
      <w:bookmarkStart w:id="472" w:name="_Toc16287"/>
      <w:bookmarkStart w:id="473" w:name="_Toc450662892"/>
      <w:r>
        <w:rPr>
          <w:rFonts w:hint="eastAsia" w:ascii="宋体" w:hAnsi="宋体" w:eastAsia="宋体" w:cs="宋体"/>
          <w:b/>
          <w:bCs/>
          <w:color w:val="auto"/>
          <w:kern w:val="44"/>
          <w:sz w:val="32"/>
          <w:szCs w:val="32"/>
          <w:highlight w:val="none"/>
          <w:lang w:val="zh-CN"/>
        </w:rPr>
        <w:t>第四篇 合同条款格式</w:t>
      </w:r>
      <w:bookmarkEnd w:id="465"/>
      <w:bookmarkEnd w:id="466"/>
      <w:bookmarkEnd w:id="467"/>
      <w:bookmarkEnd w:id="468"/>
      <w:bookmarkEnd w:id="469"/>
      <w:bookmarkEnd w:id="470"/>
      <w:bookmarkEnd w:id="471"/>
      <w:bookmarkEnd w:id="472"/>
      <w:bookmarkEnd w:id="473"/>
    </w:p>
    <w:p>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pPr>
        <w:autoSpaceDE w:val="0"/>
        <w:autoSpaceDN w:val="0"/>
        <w:adjustRightInd w:val="0"/>
        <w:spacing w:line="360" w:lineRule="auto"/>
        <w:jc w:val="center"/>
        <w:rPr>
          <w:rFonts w:hint="eastAsia" w:ascii="宋体" w:hAnsi="宋体" w:eastAsia="宋体" w:cs="宋体"/>
          <w:b/>
          <w:color w:val="auto"/>
          <w:kern w:val="0"/>
          <w:sz w:val="52"/>
          <w:szCs w:val="96"/>
          <w:highlight w:val="none"/>
          <w:lang w:eastAsia="zh-CN"/>
        </w:rPr>
      </w:pPr>
      <w:r>
        <w:rPr>
          <w:rFonts w:hint="eastAsia" w:ascii="宋体" w:hAnsi="宋体" w:eastAsia="宋体" w:cs="宋体"/>
          <w:b/>
          <w:color w:val="auto"/>
          <w:kern w:val="0"/>
          <w:sz w:val="52"/>
          <w:szCs w:val="96"/>
          <w:highlight w:val="none"/>
          <w:lang w:eastAsia="zh-CN"/>
        </w:rPr>
        <w:t>东莞市利源有机资源再生利用有限公司2024-2025年餐厨垃圾收运服务</w:t>
      </w:r>
      <w:r>
        <w:rPr>
          <w:rFonts w:hint="eastAsia" w:ascii="宋体" w:hAnsi="宋体" w:eastAsia="宋体" w:cs="宋体"/>
          <w:b/>
          <w:color w:val="auto"/>
          <w:kern w:val="0"/>
          <w:sz w:val="52"/>
          <w:szCs w:val="96"/>
          <w:highlight w:val="none"/>
          <w:lang w:val="en-US" w:eastAsia="zh-CN"/>
        </w:rPr>
        <w:t>合同</w:t>
      </w:r>
    </w:p>
    <w:p>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p>
    <w:p>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p>
    <w:p>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pPr>
        <w:autoSpaceDE w:val="0"/>
        <w:autoSpaceDN w:val="0"/>
        <w:adjustRightInd w:val="0"/>
        <w:spacing w:line="480" w:lineRule="auto"/>
        <w:ind w:firstLine="1945" w:firstLineChars="692"/>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合同编号：</w:t>
      </w:r>
      <w:r>
        <w:rPr>
          <w:rFonts w:hint="eastAsia" w:ascii="宋体" w:hAnsi="宋体" w:eastAsia="宋体" w:cs="宋体"/>
          <w:b/>
          <w:bCs/>
          <w:color w:val="auto"/>
          <w:kern w:val="0"/>
          <w:sz w:val="28"/>
          <w:szCs w:val="28"/>
          <w:highlight w:val="none"/>
          <w:u w:val="single"/>
          <w:lang w:val="en-US" w:eastAsia="zh-CN"/>
        </w:rPr>
        <w:t xml:space="preserve">                     </w:t>
      </w:r>
    </w:p>
    <w:p>
      <w:pPr>
        <w:autoSpaceDE w:val="0"/>
        <w:autoSpaceDN w:val="0"/>
        <w:adjustRightInd w:val="0"/>
        <w:spacing w:line="480" w:lineRule="auto"/>
        <w:ind w:firstLine="1945" w:firstLineChars="6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lang w:eastAsia="zh-CN"/>
        </w:rPr>
        <w:t>东莞市利源有机资源再生利用有限公司</w:t>
      </w:r>
    </w:p>
    <w:p>
      <w:pPr>
        <w:autoSpaceDE w:val="0"/>
        <w:autoSpaceDN w:val="0"/>
        <w:adjustRightInd w:val="0"/>
        <w:spacing w:line="480" w:lineRule="auto"/>
        <w:ind w:firstLine="1945" w:firstLineChars="6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pPr>
        <w:autoSpaceDE w:val="0"/>
        <w:autoSpaceDN w:val="0"/>
        <w:adjustRightInd w:val="0"/>
        <w:spacing w:line="360" w:lineRule="auto"/>
        <w:ind w:firstLine="1945" w:firstLineChars="6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pPr>
        <w:pageBreakBefore/>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w:t>
      </w:r>
      <w:r>
        <w:rPr>
          <w:rFonts w:hint="eastAsia" w:ascii="宋体" w:hAnsi="宋体" w:eastAsia="宋体" w:cs="宋体"/>
          <w:color w:val="auto"/>
          <w:kern w:val="0"/>
          <w:szCs w:val="21"/>
          <w:highlight w:val="none"/>
          <w:u w:val="single"/>
        </w:rPr>
        <w:t xml:space="preserve">                                     </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w:t>
      </w:r>
      <w:r>
        <w:rPr>
          <w:rFonts w:hint="eastAsia" w:ascii="宋体" w:hAnsi="宋体" w:eastAsia="宋体" w:cs="宋体"/>
          <w:color w:val="auto"/>
          <w:kern w:val="0"/>
          <w:szCs w:val="21"/>
          <w:highlight w:val="none"/>
          <w:u w:val="single"/>
        </w:rPr>
        <w:t xml:space="preserve">                                     </w:t>
      </w:r>
    </w:p>
    <w:p>
      <w:pPr>
        <w:autoSpaceDE w:val="0"/>
        <w:autoSpaceDN w:val="0"/>
        <w:adjustRightInd w:val="0"/>
        <w:snapToGri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根据《中华人民共和国民法典》及相关法律、法规的规定，甲乙双方本着诚实守信、合作共赢的原则，结合本项目的具体情况，甲、乙双方在自愿、平等、协商一致的基础上签订本合同。</w:t>
      </w:r>
    </w:p>
    <w:p>
      <w:pPr>
        <w:autoSpaceDE w:val="0"/>
        <w:autoSpaceDN w:val="0"/>
        <w:adjustRightInd w:val="0"/>
        <w:ind w:right="-26"/>
        <w:jc w:val="center"/>
        <w:rPr>
          <w:rFonts w:ascii="宋体" w:hAnsi="宋体" w:eastAsia="宋体" w:cs="宋体"/>
          <w:b/>
          <w:bCs/>
          <w:color w:val="auto"/>
          <w:szCs w:val="21"/>
          <w:highlight w:val="none"/>
          <w:lang w:val="zh-CN"/>
        </w:rPr>
      </w:pP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第一条 服务内容</w:t>
      </w:r>
    </w:p>
    <w:p>
      <w:pPr>
        <w:adjustRightInd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eastAsia="zh-CN"/>
        </w:rPr>
        <w:t>东莞市利源有机资源再生利用有限公司2024-2025年餐厨垃圾收运服务，</w:t>
      </w:r>
      <w:r>
        <w:rPr>
          <w:rFonts w:hint="eastAsia" w:ascii="宋体" w:hAnsi="宋体" w:eastAsia="宋体" w:cs="宋体"/>
          <w:color w:val="auto"/>
          <w:szCs w:val="21"/>
          <w:highlight w:val="none"/>
          <w:u w:val="none"/>
          <w:lang w:eastAsia="zh-CN"/>
        </w:rPr>
        <w:t>包括餐厨垃圾收运服务及</w:t>
      </w:r>
      <w:r>
        <w:rPr>
          <w:rFonts w:hint="eastAsia" w:ascii="宋体" w:hAnsi="宋体" w:eastAsia="宋体" w:cs="宋体"/>
          <w:color w:val="auto"/>
          <w:sz w:val="21"/>
          <w:szCs w:val="21"/>
          <w:highlight w:val="none"/>
          <w:lang w:val="en-US" w:eastAsia="zh-CN"/>
        </w:rPr>
        <w:t>餐厨垃圾</w:t>
      </w:r>
      <w:r>
        <w:rPr>
          <w:rFonts w:hint="default" w:ascii="宋体" w:hAnsi="宋体" w:eastAsia="宋体" w:cs="宋体"/>
          <w:color w:val="auto"/>
          <w:sz w:val="21"/>
          <w:szCs w:val="21"/>
          <w:highlight w:val="none"/>
          <w:lang w:val="en-US" w:eastAsia="zh-CN"/>
        </w:rPr>
        <w:t>预处理车间分拣</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u w:val="none"/>
          <w:lang w:eastAsia="zh-CN"/>
        </w:rPr>
        <w:t>生活垃圾收运服务</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部分镇街自行运送餐厨垃圾至甲方处处置的不在合同范围）。</w:t>
      </w:r>
    </w:p>
    <w:p>
      <w:pPr>
        <w:adjustRightInd w:val="0"/>
        <w:snapToGrid w:val="0"/>
        <w:spacing w:line="40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（一）餐厨垃圾收运服务</w:t>
      </w:r>
    </w:p>
    <w:p>
      <w:pPr>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使用甲方收运车辆及相应信息化设备，配合甲方餐厨业务拓展和路线编排，开展餐厨垃圾收运工作。乙方在收运过程中，必须遵守东莞市相关法律法规及甲方相关规定，接受甲方监管，并对所使用车辆及设备承担保管、维护、清洁以及维修等责任。</w:t>
      </w:r>
    </w:p>
    <w:p>
      <w:pPr>
        <w:adjustRightInd w:val="0"/>
        <w:snapToGrid w:val="0"/>
        <w:spacing w:line="40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r>
        <w:rPr>
          <w:rFonts w:hint="eastAsia" w:ascii="宋体" w:hAnsi="宋体" w:eastAsia="宋体" w:cs="宋体"/>
          <w:color w:val="auto"/>
          <w:szCs w:val="21"/>
          <w:highlight w:val="none"/>
        </w:rPr>
        <w:t>餐厨垃圾</w:t>
      </w:r>
      <w:r>
        <w:rPr>
          <w:rFonts w:ascii="宋体" w:hAnsi="宋体" w:eastAsia="宋体" w:cs="宋体"/>
          <w:color w:val="auto"/>
          <w:szCs w:val="21"/>
          <w:highlight w:val="none"/>
        </w:rPr>
        <w:t>预处理车间分拣</w:t>
      </w:r>
      <w:r>
        <w:rPr>
          <w:rFonts w:hint="eastAsia" w:ascii="宋体" w:hAnsi="宋体" w:eastAsia="宋体" w:cs="宋体"/>
          <w:color w:val="auto"/>
          <w:szCs w:val="21"/>
          <w:highlight w:val="none"/>
        </w:rPr>
        <w:t>的</w:t>
      </w:r>
      <w:r>
        <w:rPr>
          <w:rFonts w:hint="eastAsia" w:ascii="宋体" w:hAnsi="宋体" w:eastAsia="宋体" w:cs="宋体"/>
          <w:color w:val="auto"/>
          <w:kern w:val="0"/>
          <w:szCs w:val="21"/>
          <w:highlight w:val="none"/>
        </w:rPr>
        <w:t>生活垃圾收运服务</w:t>
      </w:r>
    </w:p>
    <w:p>
      <w:pPr>
        <w:adjustRightInd w:val="0"/>
        <w:snapToGrid w:val="0"/>
        <w:spacing w:line="40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乙方根据甲方要求开展</w:t>
      </w:r>
      <w:r>
        <w:rPr>
          <w:rFonts w:hint="eastAsia" w:ascii="宋体" w:hAnsi="宋体" w:eastAsia="宋体" w:cs="宋体"/>
          <w:color w:val="auto"/>
          <w:szCs w:val="21"/>
          <w:highlight w:val="none"/>
        </w:rPr>
        <w:t>餐厨垃圾</w:t>
      </w:r>
      <w:r>
        <w:rPr>
          <w:rFonts w:ascii="宋体" w:hAnsi="宋体" w:eastAsia="宋体" w:cs="宋体"/>
          <w:color w:val="auto"/>
          <w:szCs w:val="21"/>
          <w:highlight w:val="none"/>
        </w:rPr>
        <w:t>预处理车间分拣</w:t>
      </w:r>
      <w:r>
        <w:rPr>
          <w:rFonts w:hint="eastAsia" w:ascii="宋体" w:hAnsi="宋体" w:eastAsia="宋体" w:cs="宋体"/>
          <w:color w:val="auto"/>
          <w:szCs w:val="21"/>
          <w:highlight w:val="none"/>
        </w:rPr>
        <w:t>的</w:t>
      </w:r>
      <w:r>
        <w:rPr>
          <w:rFonts w:hint="eastAsia" w:ascii="宋体" w:hAnsi="宋体" w:eastAsia="宋体" w:cs="宋体"/>
          <w:color w:val="auto"/>
          <w:kern w:val="0"/>
          <w:szCs w:val="21"/>
          <w:highlight w:val="none"/>
        </w:rPr>
        <w:t>生活垃圾收运工作，运输过程中，必须遵守东莞市相关法律法规及甲方相关规定，接受甲方监管，并对所使用车辆及设备承担保管、维护、清洁以及维修等责任。</w:t>
      </w:r>
    </w:p>
    <w:p>
      <w:pPr>
        <w:adjustRightInd w:val="0"/>
        <w:snapToGrid w:val="0"/>
        <w:spacing w:line="400" w:lineRule="exac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    </w:t>
      </w:r>
      <w:r>
        <w:rPr>
          <w:rFonts w:hint="eastAsia" w:ascii="宋体" w:hAnsi="宋体" w:eastAsia="宋体" w:cs="宋体"/>
          <w:color w:val="auto"/>
          <w:kern w:val="0"/>
          <w:szCs w:val="21"/>
          <w:highlight w:val="none"/>
        </w:rPr>
        <w:t>（三）本</w:t>
      </w:r>
      <w:r>
        <w:rPr>
          <w:rFonts w:hint="eastAsia" w:ascii="宋体" w:hAnsi="宋体" w:eastAsia="宋体" w:cs="宋体"/>
          <w:color w:val="auto"/>
          <w:kern w:val="0"/>
          <w:szCs w:val="21"/>
          <w:highlight w:val="none"/>
          <w:lang w:val="en-US" w:eastAsia="zh-CN"/>
        </w:rPr>
        <w:t>采购项目</w:t>
      </w:r>
      <w:r>
        <w:rPr>
          <w:rFonts w:hint="eastAsia" w:ascii="宋体" w:hAnsi="宋体" w:eastAsia="宋体" w:cs="宋体"/>
          <w:color w:val="auto"/>
          <w:kern w:val="0"/>
          <w:szCs w:val="21"/>
          <w:highlight w:val="none"/>
        </w:rPr>
        <w:t>用户需求书中提及的餐厨垃圾、</w:t>
      </w:r>
      <w:r>
        <w:rPr>
          <w:rFonts w:hint="eastAsia" w:ascii="宋体" w:hAnsi="宋体" w:eastAsia="宋体" w:cs="宋体"/>
          <w:color w:val="auto"/>
          <w:sz w:val="21"/>
          <w:szCs w:val="21"/>
          <w:highlight w:val="none"/>
          <w:lang w:val="en-US" w:eastAsia="zh-CN"/>
        </w:rPr>
        <w:t>餐厨垃圾预处理车间分拣的</w:t>
      </w:r>
      <w:r>
        <w:rPr>
          <w:rFonts w:hint="eastAsia" w:ascii="宋体" w:hAnsi="宋体" w:eastAsia="宋体" w:cs="宋体"/>
          <w:color w:val="auto"/>
          <w:kern w:val="0"/>
          <w:szCs w:val="21"/>
          <w:highlight w:val="none"/>
        </w:rPr>
        <w:t>生活垃圾收运量均为暂定量，仅为便于乙方了解项目情况使用，不作为甲方最终提供收运量的保证。最终按实际收运量结算，乙方不得因收运量的减少或增加而要求提供任何形式的补偿或赔偿，或要求甲方按用户需求书提及的暂定量支付相应的收运服务费用。</w:t>
      </w:r>
    </w:p>
    <w:p>
      <w:pPr>
        <w:autoSpaceDE w:val="0"/>
        <w:autoSpaceDN w:val="0"/>
        <w:adjustRightInd w:val="0"/>
        <w:spacing w:line="360" w:lineRule="auto"/>
        <w:jc w:val="left"/>
        <w:rPr>
          <w:rFonts w:ascii="等线 Light" w:hAnsi="Times New Roman" w:eastAsia="宋体" w:cs="Times New Roman"/>
          <w:color w:val="auto"/>
          <w:kern w:val="0"/>
          <w:sz w:val="24"/>
          <w:szCs w:val="24"/>
          <w:highlight w:val="none"/>
        </w:rPr>
      </w:pP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lang w:val="zh-CN"/>
        </w:rPr>
      </w:pPr>
      <w:r>
        <w:rPr>
          <w:rFonts w:hint="eastAsia" w:ascii="宋体" w:hAnsi="宋体" w:eastAsia="宋体" w:cs="宋体"/>
          <w:b/>
          <w:bCs/>
          <w:color w:val="auto"/>
          <w:kern w:val="0"/>
          <w:szCs w:val="21"/>
          <w:highlight w:val="none"/>
        </w:rPr>
        <w:t>第二条</w:t>
      </w:r>
      <w:r>
        <w:rPr>
          <w:rFonts w:hint="eastAsia" w:ascii="宋体" w:hAnsi="宋体" w:eastAsia="宋体" w:cs="宋体"/>
          <w:color w:val="auto"/>
          <w:kern w:val="0"/>
          <w:szCs w:val="21"/>
          <w:highlight w:val="none"/>
        </w:rPr>
        <w:t xml:space="preserve"> </w:t>
      </w:r>
      <w:r>
        <w:rPr>
          <w:rFonts w:hint="eastAsia" w:ascii="宋体" w:hAnsi="宋体" w:eastAsia="宋体" w:cs="Times New Roman"/>
          <w:b/>
          <w:color w:val="auto"/>
          <w:szCs w:val="21"/>
          <w:highlight w:val="none"/>
        </w:rPr>
        <w:t>服务地点及期限</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（一）服务地点：东莞市内。</w:t>
      </w:r>
    </w:p>
    <w:p>
      <w:pPr>
        <w:autoSpaceDE w:val="0"/>
        <w:autoSpaceDN w:val="0"/>
        <w:adjustRightInd w:val="0"/>
        <w:spacing w:line="360" w:lineRule="auto"/>
        <w:ind w:right="-26" w:firstLine="435"/>
        <w:jc w:val="left"/>
        <w:rPr>
          <w:rFonts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服务期限：自合同签订之日起一年，服务期限为   年  月  日至  年  月  日。</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本合同服务期满后，如甲方需委托乙方继续开展服务范围内的服务时，经双方洽商同意及签订补充协议后，乙方可以按本合同约定的计价方式向甲方继续提供</w:t>
      </w:r>
      <w:r>
        <w:rPr>
          <w:rFonts w:hint="eastAsia" w:ascii="宋体" w:hAnsi="宋体" w:eastAsia="宋体" w:cs="宋体"/>
          <w:color w:val="auto"/>
          <w:kern w:val="0"/>
          <w:szCs w:val="21"/>
          <w:highlight w:val="none"/>
        </w:rPr>
        <w:t>餐厨垃圾收运服务</w:t>
      </w:r>
      <w:r>
        <w:rPr>
          <w:rFonts w:hint="eastAsia" w:ascii="宋体" w:hAnsi="宋体" w:eastAsia="宋体" w:cs="宋体"/>
          <w:color w:val="auto"/>
          <w:szCs w:val="21"/>
          <w:highlight w:val="none"/>
        </w:rPr>
        <w:t>，续期期限原则上不超过3个月。</w:t>
      </w:r>
    </w:p>
    <w:p>
      <w:pPr>
        <w:autoSpaceDE w:val="0"/>
        <w:autoSpaceDN w:val="0"/>
        <w:adjustRightInd w:val="0"/>
        <w:spacing w:line="360" w:lineRule="auto"/>
        <w:ind w:firstLine="422" w:firstLineChars="200"/>
        <w:jc w:val="left"/>
        <w:rPr>
          <w:rFonts w:ascii="等线 Light" w:hAnsi="Times New Roman" w:eastAsia="宋体" w:cs="Times New Roman"/>
          <w:b/>
          <w:bCs/>
          <w:color w:val="auto"/>
          <w:kern w:val="0"/>
          <w:szCs w:val="21"/>
          <w:highlight w:val="none"/>
          <w:u w:val="single"/>
        </w:rPr>
      </w:pPr>
      <w:r>
        <w:rPr>
          <w:rFonts w:hint="eastAsia" w:ascii="等线 Light" w:hAnsi="Times New Roman" w:eastAsia="宋体" w:cs="Times New Roman"/>
          <w:b/>
          <w:bCs/>
          <w:color w:val="auto"/>
          <w:kern w:val="0"/>
          <w:szCs w:val="21"/>
          <w:highlight w:val="none"/>
          <w:u w:val="single"/>
        </w:rPr>
        <w:t>若甲方因政策原因导致需变更合同主体，则届时由甲方、变更后的合同主体及乙方共同协商，并根据协商结果决定签订合同补充协议或终止本合同，乙方应无条件予以配合。乙方清楚知悉并同意前述事项，并不得以该事项主张甲方违约或要求甲方提供任何形式的补偿或赔偿。</w:t>
      </w: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第三条 合同价款及支付方式</w:t>
      </w:r>
    </w:p>
    <w:p>
      <w:pPr>
        <w:tabs>
          <w:tab w:val="left" w:pos="8610"/>
        </w:tabs>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r>
        <w:rPr>
          <w:rFonts w:hint="eastAsia" w:ascii="等线 Light" w:hAnsi="宋体" w:eastAsia="宋体" w:cs="宋体"/>
          <w:color w:val="auto"/>
          <w:kern w:val="0"/>
          <w:szCs w:val="21"/>
          <w:highlight w:val="none"/>
        </w:rPr>
        <w:t>本项目综合单价（即销售额，不含销项税额）</w:t>
      </w:r>
      <w:r>
        <w:rPr>
          <w:rFonts w:hint="eastAsia" w:ascii="等线 Light" w:hAnsi="宋体" w:eastAsia="宋体" w:cs="宋体"/>
          <w:bCs/>
          <w:color w:val="auto"/>
          <w:kern w:val="0"/>
          <w:szCs w:val="24"/>
          <w:highlight w:val="none"/>
        </w:rPr>
        <w:t>为</w:t>
      </w:r>
      <w:r>
        <w:rPr>
          <w:rFonts w:hint="eastAsia" w:ascii="等线 Light" w:hAnsi="宋体" w:eastAsia="宋体" w:cs="宋体"/>
          <w:bCs/>
          <w:color w:val="auto"/>
          <w:kern w:val="0"/>
          <w:szCs w:val="24"/>
          <w:highlight w:val="none"/>
          <w:u w:val="single"/>
        </w:rPr>
        <w:t xml:space="preserve">      </w:t>
      </w:r>
      <w:r>
        <w:rPr>
          <w:rFonts w:hint="eastAsia" w:ascii="等线 Light" w:hAnsi="宋体" w:eastAsia="宋体" w:cs="宋体"/>
          <w:bCs/>
          <w:color w:val="auto"/>
          <w:kern w:val="0"/>
          <w:szCs w:val="24"/>
          <w:highlight w:val="none"/>
        </w:rPr>
        <w:t xml:space="preserve">元/吨（大写人民币每吨        </w:t>
      </w:r>
      <w:r>
        <w:rPr>
          <w:rFonts w:hint="eastAsia" w:ascii="等线 Light" w:hAnsi="宋体" w:eastAsia="宋体" w:cs="宋体"/>
          <w:color w:val="auto"/>
          <w:kern w:val="0"/>
          <w:szCs w:val="21"/>
          <w:highlight w:val="none"/>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在本合同履行过程中，综合单价</w:t>
      </w:r>
      <w:r>
        <w:rPr>
          <w:rFonts w:hint="eastAsia" w:ascii="宋体" w:hAnsi="宋体" w:eastAsia="宋体" w:cs="宋体"/>
          <w:color w:val="auto"/>
          <w:kern w:val="0"/>
          <w:szCs w:val="21"/>
          <w:highlight w:val="none"/>
        </w:rPr>
        <w:t>（即销售额，不含乙方销项税额）</w:t>
      </w:r>
      <w:r>
        <w:rPr>
          <w:rFonts w:hint="eastAsia" w:ascii="宋体" w:hAnsi="宋体" w:eastAsia="宋体" w:cs="宋体"/>
          <w:color w:val="auto"/>
          <w:kern w:val="0"/>
          <w:szCs w:val="21"/>
          <w:highlight w:val="none"/>
          <w:lang w:val="zh-CN"/>
        </w:rPr>
        <w:t>不随法律法规政策、物价人工、</w:t>
      </w:r>
      <w:r>
        <w:rPr>
          <w:rFonts w:hint="eastAsia" w:ascii="宋体" w:hAnsi="宋体" w:eastAsia="宋体" w:cs="宋体"/>
          <w:color w:val="auto"/>
          <w:highlight w:val="none"/>
        </w:rPr>
        <w:t>油价涨跌</w:t>
      </w:r>
      <w:r>
        <w:rPr>
          <w:rFonts w:hint="eastAsia" w:ascii="宋体" w:hAnsi="宋体" w:eastAsia="宋体" w:cs="宋体"/>
          <w:color w:val="auto"/>
          <w:kern w:val="0"/>
          <w:szCs w:val="21"/>
          <w:highlight w:val="none"/>
          <w:lang w:val="zh-CN"/>
        </w:rPr>
        <w:t>、服务期限调整而进行调整，</w:t>
      </w:r>
      <w:r>
        <w:rPr>
          <w:rFonts w:hint="eastAsia" w:ascii="宋体" w:hAnsi="宋体" w:eastAsia="宋体" w:cs="宋体"/>
          <w:color w:val="auto"/>
          <w:kern w:val="0"/>
          <w:szCs w:val="21"/>
          <w:highlight w:val="none"/>
        </w:rPr>
        <w:t>未经甲方书面确认，乙方无权增加任何费用。</w:t>
      </w:r>
    </w:p>
    <w:p>
      <w:pPr>
        <w:spacing w:line="360" w:lineRule="auto"/>
        <w:ind w:firstLine="420" w:firstLineChars="200"/>
        <w:contextualSpacing/>
        <w:rPr>
          <w:rFonts w:ascii="宋体" w:hAnsi="宋体" w:eastAsia="宋体" w:cs="宋体"/>
          <w:color w:val="auto"/>
          <w:sz w:val="22"/>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val="zh-CN"/>
        </w:rPr>
        <w:t>依法计得并根据本合同约定确定的销项税额由甲方承担。根据《中华人民共和国增值税暂行条例》（国务院令第691号修订版）及当前税务部门的相关规定，本合同项目的增值税税率暂定为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%，对应的销项税额为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zh-CN"/>
        </w:rPr>
        <w:t>元（大写人民币</w:t>
      </w:r>
      <w:r>
        <w:rPr>
          <w:rFonts w:hint="eastAsia" w:ascii="宋体" w:hAnsi="宋体" w:eastAsia="宋体" w:cs="宋体"/>
          <w:color w:val="auto"/>
          <w:sz w:val="22"/>
          <w:szCs w:val="21"/>
          <w:highlight w:val="none"/>
          <w:u w:val="single"/>
        </w:rPr>
        <w:t xml:space="preserve">       </w:t>
      </w:r>
      <w:r>
        <w:rPr>
          <w:rFonts w:hint="eastAsia" w:ascii="宋体" w:hAnsi="宋体" w:eastAsia="宋体" w:cs="宋体"/>
          <w:color w:val="auto"/>
          <w:szCs w:val="21"/>
          <w:highlight w:val="none"/>
          <w:lang w:val="zh-CN"/>
        </w:rPr>
        <w:t>），乙方的增值税销项税额根据本合同约定按实结算。在本合同履行过程中，税收政策变动导致增值税税率调整，依法应调整销项税额的，依法调整。但因乙方未按合同约定提供服务、未根据合同约定提供合法、完整的请款资料等原因导致销项税额增加的，给甲方所造成的相应损失由乙方承担。</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因乙方未按法定税率计算税额或未根据本合同约定出具</w:t>
      </w:r>
      <w:r>
        <w:rPr>
          <w:rFonts w:hint="eastAsia" w:ascii="宋体" w:hAnsi="宋体" w:eastAsia="宋体" w:cs="宋体"/>
          <w:color w:val="auto"/>
          <w:kern w:val="0"/>
          <w:szCs w:val="21"/>
          <w:highlight w:val="none"/>
        </w:rPr>
        <w:t>对应税额的</w:t>
      </w:r>
      <w:r>
        <w:rPr>
          <w:rFonts w:hint="eastAsia" w:ascii="宋体" w:hAnsi="宋体" w:eastAsia="宋体" w:cs="宋体"/>
          <w:color w:val="auto"/>
          <w:kern w:val="0"/>
          <w:szCs w:val="21"/>
          <w:highlight w:val="none"/>
          <w:lang w:val="zh-CN"/>
        </w:rPr>
        <w:t>增值税</w:t>
      </w:r>
      <w:r>
        <w:rPr>
          <w:rFonts w:ascii="宋体" w:hAnsi="宋体" w:eastAsia="宋体" w:cs="宋体"/>
          <w:color w:val="auto"/>
          <w:kern w:val="0"/>
          <w:szCs w:val="21"/>
          <w:highlight w:val="none"/>
        </w:rPr>
        <w:t>专用</w:t>
      </w:r>
      <w:r>
        <w:rPr>
          <w:rFonts w:hint="eastAsia" w:ascii="宋体" w:hAnsi="宋体" w:eastAsia="宋体" w:cs="宋体"/>
          <w:color w:val="auto"/>
          <w:kern w:val="0"/>
          <w:szCs w:val="21"/>
          <w:highlight w:val="none"/>
          <w:lang w:val="zh-CN"/>
        </w:rPr>
        <w:t>发票等乙方原因导致甲方多支付税额的，乙方必须退还甲方，给甲方造成损失的，乙方须向甲方赔偿相应损失。</w:t>
      </w:r>
    </w:p>
    <w:p>
      <w:pPr>
        <w:numPr>
          <w:ilvl w:val="0"/>
          <w:numId w:val="2"/>
        </w:numPr>
        <w:autoSpaceDE w:val="0"/>
        <w:autoSpaceDN w:val="0"/>
        <w:adjustRightInd w:val="0"/>
        <w:spacing w:line="360" w:lineRule="auto"/>
        <w:ind w:firstLine="424" w:firstLineChars="202"/>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综合单价价税合计为</w:t>
      </w:r>
      <w:r>
        <w:rPr>
          <w:rFonts w:hint="eastAsia" w:ascii="宋体" w:hAnsi="宋体" w:eastAsia="宋体" w:cs="宋体"/>
          <w:color w:val="auto"/>
          <w:kern w:val="0"/>
          <w:szCs w:val="21"/>
          <w:highlight w:val="none"/>
          <w:u w:val="single"/>
          <w:lang w:val="zh-CN"/>
        </w:rPr>
        <w:t xml:space="preserve">      </w:t>
      </w:r>
      <w:r>
        <w:rPr>
          <w:rFonts w:hint="eastAsia" w:ascii="宋体" w:hAnsi="宋体" w:eastAsia="宋体" w:cs="宋体"/>
          <w:color w:val="auto"/>
          <w:kern w:val="0"/>
          <w:szCs w:val="21"/>
          <w:highlight w:val="none"/>
          <w:lang w:val="zh-CN"/>
        </w:rPr>
        <w:t>元</w:t>
      </w:r>
      <w:r>
        <w:rPr>
          <w:rFonts w:hint="eastAsia" w:ascii="宋体" w:hAnsi="宋体" w:eastAsia="宋体" w:cs="宋体"/>
          <w:color w:val="auto"/>
          <w:kern w:val="0"/>
          <w:szCs w:val="21"/>
          <w:highlight w:val="none"/>
        </w:rPr>
        <w:t>/吨</w:t>
      </w:r>
      <w:r>
        <w:rPr>
          <w:rFonts w:hint="eastAsia" w:ascii="宋体" w:hAnsi="宋体" w:eastAsia="宋体" w:cs="宋体"/>
          <w:color w:val="auto"/>
          <w:kern w:val="0"/>
          <w:szCs w:val="21"/>
          <w:highlight w:val="none"/>
          <w:lang w:val="zh-CN"/>
        </w:rPr>
        <w:t>（大写人民币</w:t>
      </w:r>
      <w:r>
        <w:rPr>
          <w:rFonts w:hint="eastAsia" w:ascii="宋体" w:hAnsi="宋体" w:eastAsia="宋体" w:cs="宋体"/>
          <w:color w:val="auto"/>
          <w:kern w:val="0"/>
          <w:szCs w:val="21"/>
          <w:highlight w:val="none"/>
          <w:u w:val="single"/>
          <w:lang w:val="zh-CN"/>
        </w:rPr>
        <w:t>每吨</w:t>
      </w:r>
      <w:r>
        <w:rPr>
          <w:rFonts w:hint="eastAsia" w:ascii="等线 Light" w:hAnsi="宋体" w:eastAsia="宋体" w:cs="Times New Roman"/>
          <w:color w:val="auto"/>
          <w:kern w:val="0"/>
          <w:sz w:val="24"/>
          <w:szCs w:val="21"/>
          <w:highlight w:val="none"/>
          <w:u w:val="single"/>
        </w:rPr>
        <w:t xml:space="preserve">     </w:t>
      </w:r>
      <w:r>
        <w:rPr>
          <w:rFonts w:hint="eastAsia" w:ascii="宋体" w:hAnsi="宋体" w:eastAsia="宋体" w:cs="宋体"/>
          <w:color w:val="auto"/>
          <w:kern w:val="0"/>
          <w:szCs w:val="21"/>
          <w:highlight w:val="none"/>
          <w:lang w:val="zh-CN"/>
        </w:rPr>
        <w:t>），合同履行期间根据本条第2项规定调整销项税额的，结算合同价税合计对应调整。</w:t>
      </w:r>
    </w:p>
    <w:p>
      <w:pPr>
        <w:numPr>
          <w:ilvl w:val="0"/>
          <w:numId w:val="2"/>
        </w:numPr>
        <w:autoSpaceDE w:val="0"/>
        <w:autoSpaceDN w:val="0"/>
        <w:adjustRightInd w:val="0"/>
        <w:spacing w:line="360" w:lineRule="auto"/>
        <w:ind w:firstLine="424" w:firstLineChars="202"/>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rPr>
        <w:t>本合同项下预估垃圾收运量对应的暂定总合同价税合计为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（五）</w:t>
      </w:r>
      <w:r>
        <w:rPr>
          <w:rFonts w:hint="eastAsia" w:ascii="等线 Light" w:hAnsi="宋体" w:eastAsia="宋体" w:cs="宋体"/>
          <w:color w:val="auto"/>
          <w:kern w:val="0"/>
          <w:szCs w:val="21"/>
          <w:highlight w:val="none"/>
        </w:rPr>
        <w:t>综合单价</w:t>
      </w:r>
      <w:r>
        <w:rPr>
          <w:rFonts w:hint="eastAsia" w:ascii="宋体" w:hAnsi="宋体" w:eastAsia="宋体" w:cs="宋体"/>
          <w:color w:val="auto"/>
          <w:kern w:val="0"/>
          <w:szCs w:val="21"/>
          <w:highlight w:val="none"/>
          <w:lang w:val="zh-CN"/>
        </w:rPr>
        <w:t>为乙方完成应承担合同义务的全部费用，包括但不限于：</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餐厨垃圾收运服务全过程的人工费（工资及加班工资、福利、社保、住房公积金、节日补贴、高温津贴、市内交通补贴、膳食、住宿、体检、意外伤害保险、劳保、服装等）办公费、交通费、管理费、培训费、</w:t>
      </w:r>
      <w:r>
        <w:rPr>
          <w:rFonts w:hint="eastAsia" w:ascii="宋体" w:hAnsi="宋体" w:eastAsia="宋体" w:cs="宋体"/>
          <w:color w:val="auto"/>
          <w:szCs w:val="21"/>
          <w:highlight w:val="none"/>
        </w:rPr>
        <w:t>现场</w:t>
      </w:r>
      <w:r>
        <w:rPr>
          <w:rFonts w:hint="eastAsia" w:ascii="宋体" w:hAnsi="宋体" w:eastAsia="宋体" w:cs="宋体"/>
          <w:color w:val="auto"/>
          <w:szCs w:val="21"/>
          <w:highlight w:val="none"/>
          <w:lang w:val="zh-CN"/>
        </w:rPr>
        <w:t>清</w:t>
      </w:r>
      <w:r>
        <w:rPr>
          <w:rFonts w:hint="eastAsia" w:ascii="宋体" w:hAnsi="宋体" w:eastAsia="宋体" w:cs="宋体"/>
          <w:color w:val="auto"/>
          <w:szCs w:val="21"/>
          <w:highlight w:val="none"/>
        </w:rPr>
        <w:t>洁</w:t>
      </w:r>
      <w:r>
        <w:rPr>
          <w:rFonts w:hint="eastAsia" w:ascii="宋体" w:hAnsi="宋体" w:eastAsia="宋体" w:cs="宋体"/>
          <w:color w:val="auto"/>
          <w:szCs w:val="21"/>
          <w:highlight w:val="none"/>
          <w:lang w:val="zh-CN"/>
        </w:rPr>
        <w:t>费，</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val="zh-CN"/>
        </w:rPr>
        <w:t>提供的收运车辆以外的</w:t>
      </w:r>
      <w:r>
        <w:rPr>
          <w:rFonts w:hint="eastAsia" w:ascii="宋体" w:hAnsi="宋体" w:eastAsia="宋体" w:cs="宋体"/>
          <w:color w:val="auto"/>
          <w:kern w:val="0"/>
          <w:szCs w:val="21"/>
          <w:highlight w:val="none"/>
        </w:rPr>
        <w:t>车辆及工器具使用费（如有）等；</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2、收运车辆及相应车载信息化设备的保管、维护、清洁以及维修费，收运车辆的燃料费、拖车费、维修保养费、年审费、交通违章罚款、交通事故产生的费用等；</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3、合理利润、乙方销项税额以外的税费等；</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法律法规、商业公认、招标文件规定由</w:t>
      </w:r>
      <w:r>
        <w:rPr>
          <w:rFonts w:hint="eastAsia" w:ascii="宋体" w:hAnsi="宋体" w:eastAsia="宋体" w:cs="宋体"/>
          <w:color w:val="auto"/>
          <w:kern w:val="0"/>
          <w:szCs w:val="21"/>
          <w:highlight w:val="none"/>
        </w:rPr>
        <w:t>乙方</w:t>
      </w:r>
      <w:r>
        <w:rPr>
          <w:rFonts w:hint="eastAsia" w:ascii="宋体" w:hAnsi="宋体" w:eastAsia="宋体" w:cs="宋体"/>
          <w:color w:val="auto"/>
          <w:kern w:val="0"/>
          <w:szCs w:val="21"/>
          <w:highlight w:val="none"/>
          <w:lang w:val="zh-CN"/>
        </w:rPr>
        <w:t>承担的其他直接及间接费用。未经甲方书面同意，乙方（包括但不限于乙方指定的第三方）不得要求甲方另行支付其他任何费用。</w:t>
      </w:r>
    </w:p>
    <w:p>
      <w:pPr>
        <w:widowControl/>
        <w:autoSpaceDE w:val="0"/>
        <w:autoSpaceDN w:val="0"/>
        <w:adjustRightInd w:val="0"/>
        <w:spacing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（六）付款方式：</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1、服务费按月支付，每月实际服务费用根据</w:t>
      </w:r>
      <w:r>
        <w:rPr>
          <w:rFonts w:hint="eastAsia" w:ascii="宋体" w:hAnsi="宋体" w:eastAsia="宋体" w:cs="宋体"/>
          <w:color w:val="auto"/>
          <w:szCs w:val="21"/>
          <w:highlight w:val="none"/>
          <w:lang w:eastAsia="zh-CN"/>
        </w:rPr>
        <w:t>考核</w:t>
      </w:r>
      <w:r>
        <w:rPr>
          <w:rFonts w:hint="eastAsia" w:ascii="宋体" w:hAnsi="宋体" w:eastAsia="宋体" w:cs="宋体"/>
          <w:color w:val="auto"/>
          <w:szCs w:val="21"/>
          <w:highlight w:val="none"/>
        </w:rPr>
        <w:t>结果支付。甲方与乙方在每月前5个工作日核对上月收运量及提供服务时间等数据材料，甲方与乙方核对无误后，乙方向甲方提供等额的增值税专用发票和请款报告，甲方</w:t>
      </w:r>
      <w:r>
        <w:rPr>
          <w:rFonts w:hint="eastAsia" w:ascii="宋体" w:hAnsi="宋体" w:eastAsia="宋体" w:cs="宋体"/>
          <w:color w:val="auto"/>
          <w:highlight w:val="none"/>
        </w:rPr>
        <w:t>收到请款资料审核无误后30日内</w:t>
      </w:r>
      <w:r>
        <w:rPr>
          <w:rFonts w:hint="eastAsia" w:ascii="宋体" w:hAnsi="宋体" w:eastAsia="宋体" w:cs="宋体"/>
          <w:color w:val="auto"/>
          <w:szCs w:val="21"/>
          <w:highlight w:val="none"/>
        </w:rPr>
        <w:t>向乙方支付上月度服务费用。</w:t>
      </w:r>
    </w:p>
    <w:p>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2、服务费计算方式：</w:t>
      </w:r>
    </w:p>
    <w:p>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月度</w:t>
      </w:r>
      <w:r>
        <w:rPr>
          <w:rFonts w:hint="eastAsia" w:ascii="宋体" w:hAnsi="宋体" w:eastAsia="宋体" w:cs="宋体"/>
          <w:color w:val="auto"/>
          <w:sz w:val="21"/>
          <w:szCs w:val="21"/>
          <w:highlight w:val="none"/>
        </w:rPr>
        <w:t>计量</w:t>
      </w:r>
      <w:r>
        <w:rPr>
          <w:rFonts w:hint="eastAsia" w:ascii="宋体" w:hAnsi="宋体" w:eastAsia="宋体" w:cs="宋体"/>
          <w:color w:val="auto"/>
          <w:kern w:val="0"/>
          <w:szCs w:val="21"/>
          <w:highlight w:val="none"/>
        </w:rPr>
        <w:t>服务费=上月垃圾收运量×综合单价。</w:t>
      </w:r>
    </w:p>
    <w:p>
      <w:pPr>
        <w:pStyle w:val="2"/>
        <w:spacing w:line="360" w:lineRule="auto"/>
        <w:ind w:firstLine="420" w:firstLineChars="200"/>
        <w:jc w:val="left"/>
        <w:rPr>
          <w:b w:val="0"/>
          <w:bCs w:val="0"/>
          <w:color w:val="auto"/>
          <w:sz w:val="21"/>
          <w:szCs w:val="21"/>
          <w:highlight w:val="none"/>
        </w:rPr>
      </w:pPr>
      <w:r>
        <w:rPr>
          <w:rFonts w:hint="eastAsia"/>
          <w:b w:val="0"/>
          <w:bCs w:val="0"/>
          <w:color w:val="auto"/>
          <w:sz w:val="21"/>
          <w:szCs w:val="21"/>
          <w:highlight w:val="none"/>
        </w:rPr>
        <w:t>月度结算服务费=月度计量服务费-考核扣减（如有）+对应的增值税额。</w:t>
      </w:r>
    </w:p>
    <w:p>
      <w:pPr>
        <w:autoSpaceDE w:val="0"/>
        <w:autoSpaceDN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注：垃圾收运量以甲方地磅或甲方指定地磅的实际过磅数为准。</w:t>
      </w:r>
    </w:p>
    <w:p>
      <w:pPr>
        <w:autoSpaceDE w:val="0"/>
        <w:autoSpaceDN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乙方完成上月的服务后，甲方在次月</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个工作日内对乙方上月的服务进行</w:t>
      </w:r>
      <w:r>
        <w:rPr>
          <w:rFonts w:hint="eastAsia" w:ascii="宋体" w:hAnsi="宋体" w:eastAsia="宋体" w:cs="宋体"/>
          <w:color w:val="auto"/>
          <w:szCs w:val="21"/>
          <w:highlight w:val="none"/>
          <w:lang w:eastAsia="zh-CN"/>
        </w:rPr>
        <w:t>考核</w:t>
      </w:r>
      <w:r>
        <w:rPr>
          <w:rFonts w:hint="eastAsia" w:ascii="宋体" w:hAnsi="宋体" w:eastAsia="宋体" w:cs="宋体"/>
          <w:color w:val="auto"/>
          <w:szCs w:val="21"/>
          <w:highlight w:val="none"/>
        </w:rPr>
        <w:t>，</w:t>
      </w:r>
      <w:r>
        <w:rPr>
          <w:rStyle w:val="106"/>
          <w:rFonts w:hint="default"/>
          <w:color w:val="auto"/>
          <w:sz w:val="21"/>
          <w:szCs w:val="21"/>
          <w:highlight w:val="none"/>
          <w:lang w:bidi="ar"/>
        </w:rPr>
        <w:t>经考核取得</w:t>
      </w:r>
      <w:r>
        <w:rPr>
          <w:rStyle w:val="106"/>
          <w:rFonts w:hint="eastAsia" w:eastAsia="宋体"/>
          <w:color w:val="auto"/>
          <w:sz w:val="21"/>
          <w:szCs w:val="21"/>
          <w:highlight w:val="none"/>
          <w:lang w:val="en-US" w:eastAsia="zh-CN" w:bidi="ar"/>
        </w:rPr>
        <w:t>90</w:t>
      </w:r>
      <w:r>
        <w:rPr>
          <w:rStyle w:val="106"/>
          <w:rFonts w:hint="default"/>
          <w:color w:val="auto"/>
          <w:sz w:val="21"/>
          <w:szCs w:val="21"/>
          <w:highlight w:val="none"/>
          <w:lang w:bidi="ar"/>
        </w:rPr>
        <w:t>分及以上者为合格，甲方全额支付当月服务费；未达到</w:t>
      </w:r>
      <w:r>
        <w:rPr>
          <w:rStyle w:val="106"/>
          <w:rFonts w:hint="eastAsia" w:eastAsia="宋体"/>
          <w:color w:val="auto"/>
          <w:sz w:val="21"/>
          <w:szCs w:val="21"/>
          <w:highlight w:val="none"/>
          <w:lang w:val="en-US" w:eastAsia="zh-CN" w:bidi="ar"/>
        </w:rPr>
        <w:t>90</w:t>
      </w:r>
      <w:r>
        <w:rPr>
          <w:rStyle w:val="106"/>
          <w:rFonts w:hint="default"/>
          <w:color w:val="auto"/>
          <w:sz w:val="21"/>
          <w:szCs w:val="21"/>
          <w:highlight w:val="none"/>
          <w:lang w:bidi="ar"/>
        </w:rPr>
        <w:t>分者则为不合格，每低1分（不满1分按1分计算），</w:t>
      </w:r>
      <w:bookmarkStart w:id="474" w:name="_Hlk161221417"/>
      <w:r>
        <w:rPr>
          <w:rStyle w:val="106"/>
          <w:rFonts w:hint="default"/>
          <w:color w:val="auto"/>
          <w:sz w:val="21"/>
          <w:szCs w:val="21"/>
          <w:highlight w:val="none"/>
          <w:lang w:bidi="ar"/>
        </w:rPr>
        <w:t>甲方按当月</w:t>
      </w:r>
      <w:r>
        <w:rPr>
          <w:rFonts w:hint="eastAsia" w:ascii="宋体" w:hAnsi="宋体" w:eastAsia="宋体" w:cs="宋体"/>
          <w:color w:val="auto"/>
          <w:sz w:val="21"/>
          <w:szCs w:val="21"/>
          <w:highlight w:val="none"/>
        </w:rPr>
        <w:t>计量</w:t>
      </w:r>
      <w:r>
        <w:rPr>
          <w:rFonts w:hint="eastAsia" w:ascii="宋体" w:hAnsi="宋体" w:eastAsia="宋体" w:cs="宋体"/>
          <w:color w:val="auto"/>
          <w:kern w:val="0"/>
          <w:szCs w:val="21"/>
          <w:highlight w:val="none"/>
        </w:rPr>
        <w:t>服务费</w:t>
      </w:r>
      <w:r>
        <w:rPr>
          <w:rStyle w:val="106"/>
          <w:rFonts w:hint="default"/>
          <w:color w:val="auto"/>
          <w:sz w:val="21"/>
          <w:szCs w:val="21"/>
          <w:highlight w:val="none"/>
          <w:lang w:bidi="ar"/>
        </w:rPr>
        <w:t>总额</w:t>
      </w:r>
      <w:r>
        <w:rPr>
          <w:rStyle w:val="106"/>
          <w:rFonts w:hint="eastAsia" w:eastAsia="宋体"/>
          <w:color w:val="auto"/>
          <w:sz w:val="21"/>
          <w:szCs w:val="21"/>
          <w:highlight w:val="none"/>
          <w:lang w:val="en-US" w:eastAsia="zh-CN" w:bidi="ar"/>
        </w:rPr>
        <w:t>1</w:t>
      </w:r>
      <w:r>
        <w:rPr>
          <w:rStyle w:val="106"/>
          <w:rFonts w:hint="default"/>
          <w:color w:val="auto"/>
          <w:sz w:val="21"/>
          <w:szCs w:val="21"/>
          <w:highlight w:val="none"/>
          <w:lang w:bidi="ar"/>
        </w:rPr>
        <w:t>%的比例扣减当月服务费</w:t>
      </w:r>
      <w:bookmarkEnd w:id="474"/>
      <w:r>
        <w:rPr>
          <w:rStyle w:val="106"/>
          <w:rFonts w:hint="default"/>
          <w:color w:val="auto"/>
          <w:sz w:val="21"/>
          <w:szCs w:val="21"/>
          <w:highlight w:val="none"/>
          <w:lang w:bidi="ar"/>
        </w:rPr>
        <w:t>；低于</w:t>
      </w:r>
      <w:r>
        <w:rPr>
          <w:rStyle w:val="106"/>
          <w:rFonts w:hint="eastAsia" w:eastAsia="宋体"/>
          <w:color w:val="auto"/>
          <w:sz w:val="21"/>
          <w:szCs w:val="21"/>
          <w:highlight w:val="none"/>
          <w:lang w:val="en-US" w:eastAsia="zh-CN" w:bidi="ar"/>
        </w:rPr>
        <w:t>80</w:t>
      </w:r>
      <w:r>
        <w:rPr>
          <w:rStyle w:val="106"/>
          <w:rFonts w:hint="default"/>
          <w:color w:val="auto"/>
          <w:sz w:val="21"/>
          <w:szCs w:val="21"/>
          <w:highlight w:val="none"/>
          <w:lang w:bidi="ar"/>
        </w:rPr>
        <w:t>分，除按当月应付款总额</w:t>
      </w:r>
      <w:r>
        <w:rPr>
          <w:rStyle w:val="106"/>
          <w:rFonts w:hint="eastAsia" w:eastAsia="宋体"/>
          <w:color w:val="auto"/>
          <w:sz w:val="21"/>
          <w:szCs w:val="21"/>
          <w:highlight w:val="none"/>
          <w:lang w:val="en-US" w:eastAsia="zh-CN" w:bidi="ar"/>
        </w:rPr>
        <w:t>1</w:t>
      </w:r>
      <w:r>
        <w:rPr>
          <w:rStyle w:val="106"/>
          <w:rFonts w:hint="default"/>
          <w:color w:val="auto"/>
          <w:sz w:val="21"/>
          <w:szCs w:val="21"/>
          <w:highlight w:val="none"/>
          <w:lang w:bidi="ar"/>
        </w:rPr>
        <w:t>%的比例扣减当月服务费外，甲方有权单方面解除服务合同。</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以上款项由甲方直接以银行转账方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（八）乙方收款账户信息</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户名：</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账号：   </w:t>
      </w:r>
    </w:p>
    <w:p>
      <w:pPr>
        <w:autoSpaceDE w:val="0"/>
        <w:autoSpaceDN w:val="0"/>
        <w:adjustRightInd w:val="0"/>
        <w:snapToGrid w:val="0"/>
        <w:spacing w:line="400" w:lineRule="exact"/>
        <w:jc w:val="left"/>
        <w:rPr>
          <w:rFonts w:ascii="宋体" w:hAnsi="宋体" w:eastAsia="宋体" w:cs="宋体"/>
          <w:b/>
          <w:bCs/>
          <w:color w:val="auto"/>
          <w:kern w:val="0"/>
          <w:szCs w:val="21"/>
          <w:highlight w:val="none"/>
        </w:rPr>
      </w:pPr>
    </w:p>
    <w:p>
      <w:pPr>
        <w:autoSpaceDE w:val="0"/>
        <w:autoSpaceDN w:val="0"/>
        <w:adjustRightInd w:val="0"/>
        <w:spacing w:line="360" w:lineRule="auto"/>
        <w:ind w:left="473" w:leftChars="175" w:hanging="105" w:hangingChars="50"/>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第四条</w:t>
      </w:r>
      <w:r>
        <w:rPr>
          <w:rFonts w:hint="eastAsia" w:ascii="宋体" w:hAnsi="宋体" w:eastAsia="宋体" w:cs="宋体"/>
          <w:color w:val="auto"/>
          <w:kern w:val="0"/>
          <w:szCs w:val="21"/>
          <w:highlight w:val="none"/>
        </w:rPr>
        <w:t xml:space="preserve"> </w:t>
      </w:r>
      <w:r>
        <w:rPr>
          <w:rFonts w:hint="eastAsia" w:ascii="宋体" w:hAnsi="宋体" w:eastAsia="宋体" w:cs="Times New Roman"/>
          <w:b/>
          <w:color w:val="auto"/>
          <w:szCs w:val="21"/>
          <w:highlight w:val="none"/>
        </w:rPr>
        <w:t>服务要求</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1、乙方根据甲方业务情况及服务需求，安排充足的人员按甲方的要求完成服务工作。</w:t>
      </w:r>
      <w:r>
        <w:rPr>
          <w:rFonts w:hint="eastAsia" w:ascii="宋体" w:hAnsi="宋体" w:eastAsia="宋体" w:cs="宋体"/>
          <w:color w:val="auto"/>
          <w:szCs w:val="21"/>
          <w:highlight w:val="none"/>
        </w:rPr>
        <w:t>在服务期内，乙方须为甲方提供全年不间断的收运服务。</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应督促餐厨垃圾收运司机及辅工根据甲方要求，对餐厨垃圾混装生活垃圾情况进行甄别，收运回厂的餐厨垃圾生活垃圾质量比例控制在20%以下，由甲方安排不定期检测，结合项目分选残渣出渣率进行综合判断。</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3、如收运过程中对地面造成滴漏，收运人员需要对现场进行清洁工作。</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4、收运人员负责驾驶和操作收运车辆开展餐厨垃圾收运、需要对餐厨废弃物进行搬运和清理装卸过程中撒漏及车辆进行清洁。</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5、收运过程需严格遵守东莞市相关法律法规和甲方管理规定，该过程中因服务人员工作失误、违法违章或者交通事故而导致的后果和产生的费用，由乙方承担。</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6、收运过程中产生的燃料费、拖车费、维修保养费用以及相关人员费用均由乙方承担。</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须对车辆进行常规维修保养（包括机油、机滤、空滤、柴油滤芯的更换，刹车调试、轮胎保养等，保养里程不得大于8000公里），并对维修保养情况形成台账，每月提供甲方检查，并负责完成车辆的年审工作，车辆的维修、保养及年审费用均由乙方承担。</w:t>
      </w:r>
    </w:p>
    <w:p>
      <w:pPr>
        <w:autoSpaceDE w:val="0"/>
        <w:autoSpaceDN w:val="0"/>
        <w:adjustRightInd w:val="0"/>
        <w:spacing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8、乙方须对甲方车辆定期</w:t>
      </w:r>
      <w:r>
        <w:rPr>
          <w:rFonts w:hint="eastAsia" w:ascii="宋体" w:hAnsi="宋体" w:eastAsia="宋体" w:cs="宋体"/>
          <w:color w:val="auto"/>
          <w:szCs w:val="21"/>
          <w:highlight w:val="none"/>
        </w:rPr>
        <w:t>进行检查，发现车辆异常的需马上进行维修，若甲方在日常监督中发现车辆异常的，将向乙方发出整改通知单，乙方需马上停用该车辆，餐厨垃圾收运车辆须在三个自然日内启动维修，压缩式垃圾车辆须在一个自然日内启动维修；服务期内，因车辆机件故障导致出现交通事故的，导致的后果和产生的费用由乙方承担。</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9、乙方负责日常清洗收运车辆、回收的垃圾桶、配套收集料斗等。</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10、对于收运过程中的突发状况，乙方须在甲方指导下妥善处理。</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11、收运过程中，乙方需要配合甲方在各产废单位提供的产废台账上签字确认收运。</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12、如甲方有需要进行数字化管控收运过程，乙方必须无条件配合。</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13、乙方需确保储备有机动收运司机及收运辅工，确保在突发情况下仍有足够的机动人员接替完成收运工作。</w:t>
      </w:r>
    </w:p>
    <w:p>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14、乙方需要提前规划收运车使用数量，并将收运车使用情况每日上报甲方核查。</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15、乙方需要根据甲方要求派送或回收餐厨垃圾收集桶，相关餐厨垃圾收集桶的运输工作及产生的费用需由乙方承担；对在收运过程中出现损坏的餐厨垃圾收集桶，乙方需要进行维修。</w:t>
      </w:r>
    </w:p>
    <w:p>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16、乙方在餐厨垃圾收运工作开展过程中需根据甲方要求实行专镇专车收运，禁止收运车辆跨镇开展收运工作。</w:t>
      </w:r>
    </w:p>
    <w:p>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17、甲方将不定期采取跟车、咨询产废单位</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核对收运量</w:t>
      </w:r>
      <w:r>
        <w:rPr>
          <w:rFonts w:hint="eastAsia" w:ascii="宋体" w:hAnsi="宋体" w:eastAsia="宋体" w:cs="宋体"/>
          <w:color w:val="auto"/>
          <w:szCs w:val="21"/>
          <w:highlight w:val="none"/>
          <w:lang w:val="en-US" w:eastAsia="zh-CN"/>
        </w:rPr>
        <w:t>、检查在线视频监控</w:t>
      </w:r>
      <w:r>
        <w:rPr>
          <w:rFonts w:hint="eastAsia" w:ascii="宋体" w:hAnsi="宋体" w:eastAsia="宋体" w:cs="宋体"/>
          <w:color w:val="auto"/>
          <w:szCs w:val="21"/>
          <w:highlight w:val="none"/>
        </w:rPr>
        <w:t>等方式监管收运工作情况，乙方需要无条件配合，一旦发现收运工作人员在收运过程中存在弄虚作假等违规行为，乙方需要承担</w:t>
      </w:r>
      <w:r>
        <w:rPr>
          <w:rFonts w:hint="eastAsia" w:ascii="宋体" w:hAnsi="宋体" w:eastAsia="宋体" w:cs="宋体"/>
          <w:color w:val="auto"/>
          <w:kern w:val="2"/>
          <w:sz w:val="21"/>
          <w:szCs w:val="21"/>
          <w:highlight w:val="none"/>
          <w:lang w:val="en-US" w:eastAsia="zh-CN" w:bidi="ar-SA"/>
        </w:rPr>
        <w:t>违约及赔偿</w:t>
      </w:r>
      <w:r>
        <w:rPr>
          <w:rFonts w:hint="eastAsia" w:ascii="宋体" w:hAnsi="宋体" w:eastAsia="宋体" w:cs="宋体"/>
          <w:color w:val="auto"/>
          <w:szCs w:val="21"/>
          <w:highlight w:val="none"/>
        </w:rPr>
        <w:t>责任。</w:t>
      </w:r>
    </w:p>
    <w:p>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18、如甲方生产设备出现问题需要进行应急处置的，乙方需配合将餐厨垃圾按甲方要求收运至其他应急处理地点进行处置。</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第五条 甲方权利与义务</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（一）甲方有权要求乙方按合同约定提供餐厨垃圾收运服务。</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甲方有权对乙方提供的服务人员的资质及能力进行核实，审核通过后乙方方可指派该等服务人员提供服务。如甲方经审核认为乙方提供的服务人员资质或能力不能满足本合同项下服务要求的，乙方应更换具有相应资质及能力的人员。</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（三）甲方有权对乙方履行本合同的情况进行监督，对乙方不符合本合同的行为要求整改。如发现乙方违反本合同有关规定或承诺的，甲方有权追究乙方的违约责任。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（四）甲方有权对乙方的服务进行指导、监督检查与</w:t>
      </w:r>
      <w:r>
        <w:rPr>
          <w:rFonts w:hint="eastAsia" w:ascii="宋体" w:hAnsi="宋体" w:eastAsia="宋体" w:cs="宋体"/>
          <w:color w:val="auto"/>
          <w:kern w:val="0"/>
          <w:szCs w:val="21"/>
          <w:highlight w:val="none"/>
          <w:lang w:eastAsia="zh-CN"/>
        </w:rPr>
        <w:t>考核</w:t>
      </w:r>
      <w:r>
        <w:rPr>
          <w:rFonts w:hint="eastAsia" w:ascii="宋体" w:hAnsi="宋体" w:eastAsia="宋体" w:cs="宋体"/>
          <w:color w:val="auto"/>
          <w:kern w:val="0"/>
          <w:szCs w:val="21"/>
          <w:highlight w:val="none"/>
        </w:rPr>
        <w:t>；甲方有权根据服务项目的工作需要制订相应的服务规范和相关的</w:t>
      </w:r>
      <w:r>
        <w:rPr>
          <w:rFonts w:hint="eastAsia" w:ascii="宋体" w:hAnsi="宋体" w:eastAsia="宋体" w:cs="宋体"/>
          <w:color w:val="auto"/>
          <w:kern w:val="0"/>
          <w:szCs w:val="21"/>
          <w:highlight w:val="none"/>
          <w:lang w:eastAsia="zh-CN"/>
        </w:rPr>
        <w:t>考核</w:t>
      </w:r>
      <w:r>
        <w:rPr>
          <w:rFonts w:hint="eastAsia" w:ascii="宋体" w:hAnsi="宋体" w:eastAsia="宋体" w:cs="宋体"/>
          <w:color w:val="auto"/>
          <w:kern w:val="0"/>
          <w:szCs w:val="21"/>
          <w:highlight w:val="none"/>
        </w:rPr>
        <w:t>办法，甲方有权要求乙方遵照甲方的服务规范和本合同的约定为甲方提供服务。</w:t>
      </w:r>
      <w:r>
        <w:rPr>
          <w:rFonts w:hint="eastAsia" w:ascii="宋体" w:hAnsi="宋体" w:eastAsia="宋体" w:cs="宋体"/>
          <w:color w:val="auto"/>
          <w:szCs w:val="21"/>
          <w:highlight w:val="none"/>
        </w:rPr>
        <w:t>如乙方服务人员服务质量达不到合同要求，甲方有权要求乙方更换服务人员，乙方必须在</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日内无条件的为甲方更换合格的服务人员。</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w:t>
      </w:r>
      <w:r>
        <w:rPr>
          <w:rFonts w:hint="eastAsia" w:ascii="宋体" w:hAnsi="宋体" w:eastAsia="宋体" w:cs="宋体"/>
          <w:color w:val="auto"/>
          <w:szCs w:val="21"/>
          <w:highlight w:val="none"/>
        </w:rPr>
        <w:t>甲方与乙方安排的服务人员不存在任何劳动或劳务关系，乙方应对其安排的服务人员人身、财产安全及相关行为负完全责任，并提供必要的劳动保护条件等，对其人员的意外事故、工伤、死亡承担责任，负责处理与其人员产生的劳动争议，并承担有关追讨、诉讼及赔偿等费用，甲方无须对这些意外工伤、死亡或劳动争议承担任何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甲方有权对乙方的服务人员的薪酬发放、社会保险缴纳等情况进行必要监督。如因乙方拖欠服务人员工资、社保、福利待遇等原因导致服务人员数量不能满足本合同服务要求的，乙方应立即补充安排充足的服务人员；若服务人员因乙方拖欠行为向甲方提出索赔或投诉或上访闹事的，甲方有权直接从未付服务费或使用履约担保先行垫付。</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）在本合同服务期内，因乙方违约行为产生的违约金、赔偿金、其他税费等，甲方有权直接从未付服务费或使用履约担保进行抵扣支付，由此造成的一切法律责任由乙方承担。</w:t>
      </w:r>
    </w:p>
    <w:p>
      <w:pPr>
        <w:pStyle w:val="47"/>
        <w:spacing w:line="360" w:lineRule="auto"/>
        <w:ind w:firstLine="420" w:firstLineChars="200"/>
        <w:jc w:val="left"/>
        <w:rPr>
          <w:rFonts w:eastAsia="+中文正文"/>
          <w:color w:val="auto"/>
          <w:highlight w:val="none"/>
        </w:rPr>
      </w:pPr>
      <w:r>
        <w:rPr>
          <w:rFonts w:hint="eastAsia" w:ascii="宋体" w:hAnsi="宋体" w:eastAsia="宋体" w:cs="宋体"/>
          <w:b w:val="0"/>
          <w:color w:val="auto"/>
          <w:szCs w:val="21"/>
          <w:highlight w:val="none"/>
        </w:rPr>
        <w:t>（</w:t>
      </w:r>
      <w:r>
        <w:rPr>
          <w:rFonts w:hint="eastAsia" w:ascii="宋体" w:hAnsi="宋体" w:eastAsia="宋体" w:cs="宋体"/>
          <w:b w:val="0"/>
          <w:color w:val="auto"/>
          <w:szCs w:val="21"/>
          <w:highlight w:val="none"/>
          <w:lang w:val="en-US" w:eastAsia="zh-CN"/>
        </w:rPr>
        <w:t>八</w:t>
      </w:r>
      <w:r>
        <w:rPr>
          <w:rFonts w:hint="eastAsia" w:ascii="宋体" w:hAnsi="宋体" w:eastAsia="宋体" w:cs="宋体"/>
          <w:b w:val="0"/>
          <w:color w:val="auto"/>
          <w:szCs w:val="21"/>
          <w:highlight w:val="none"/>
        </w:rPr>
        <w:t>）甲方提供12辆5吨、3辆3吨型号餐厨垃圾收运车辆、1辆18吨型号压缩式垃圾车辆及相应车载信息化设备给乙方使用。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）招标文件、本合同文件及附件内容约定的甲方其他权利义务。</w:t>
      </w:r>
    </w:p>
    <w:p>
      <w:pPr>
        <w:pStyle w:val="2"/>
        <w:jc w:val="left"/>
        <w:rPr>
          <w:color w:val="auto"/>
          <w:sz w:val="21"/>
          <w:szCs w:val="21"/>
          <w:highlight w:val="none"/>
        </w:rPr>
      </w:pP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第六条 乙方权利与义务</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（一）乙方应对甲方委托的各项目的内容予以严格保密。</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（二）乙方应服从甲方的统筹安排，并严格按照甲方的要求保质保量地提供相应服务。</w:t>
      </w:r>
    </w:p>
    <w:p>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根据甲方实际业务开展和服务需求，乙方须安排符合甲方要求的服务人员提供相应的服务，乙方须保证甲方业务正常开展。乙方须提供2名管理人员（包含1名管理人员，1名车队管理人员）进行驻点工作，负责日常工作对接和管理收运人员的工作。</w:t>
      </w:r>
      <w:r>
        <w:rPr>
          <w:rFonts w:hint="eastAsia" w:ascii="宋体" w:hAnsi="宋体" w:eastAsia="宋体" w:cs="宋体"/>
          <w:color w:val="auto"/>
          <w:kern w:val="0"/>
          <w:szCs w:val="21"/>
          <w:highlight w:val="none"/>
        </w:rPr>
        <w:t>乙方指定</w:t>
      </w:r>
      <w:r>
        <w:rPr>
          <w:rFonts w:hint="eastAsia" w:ascii="宋体" w:hAnsi="宋体" w:eastAsia="宋体" w:cs="宋体"/>
          <w:color w:val="auto"/>
          <w:szCs w:val="21"/>
          <w:highlight w:val="none"/>
        </w:rPr>
        <w:t>管理</w:t>
      </w:r>
      <w:r>
        <w:rPr>
          <w:rFonts w:hint="eastAsia" w:ascii="宋体" w:hAnsi="宋体" w:eastAsia="宋体" w:cs="宋体"/>
          <w:color w:val="auto"/>
          <w:kern w:val="0"/>
          <w:szCs w:val="21"/>
          <w:highlight w:val="none"/>
        </w:rPr>
        <w:t>人员（姓名：【 】；联系电话：【 】）负责与甲方的日常对接。</w:t>
      </w:r>
    </w:p>
    <w:p>
      <w:pPr>
        <w:spacing w:line="360" w:lineRule="auto"/>
        <w:ind w:firstLine="420" w:firstLineChars="200"/>
        <w:jc w:val="left"/>
        <w:rPr>
          <w:rFonts w:hint="eastAsia" w:eastAsia="宋体"/>
          <w:color w:val="auto"/>
          <w:highlight w:val="none"/>
          <w:lang w:eastAsia="zh-CN"/>
        </w:rPr>
      </w:pPr>
      <w:r>
        <w:rPr>
          <w:rFonts w:hint="eastAsia" w:eastAsia="+中文正文"/>
          <w:color w:val="auto"/>
          <w:highlight w:val="none"/>
          <w:lang w:val="en-US" w:eastAsia="zh-CN"/>
        </w:rPr>
        <w:t>经甲方书面同意后，乙方可根据收运量调整收运人员（含司机）数量。</w:t>
      </w:r>
      <w:r>
        <w:rPr>
          <w:rFonts w:hint="eastAsia" w:ascii="宋体" w:hAnsi="宋体" w:eastAsia="宋体" w:cs="宋体"/>
          <w:bCs/>
          <w:color w:val="auto"/>
          <w:szCs w:val="21"/>
          <w:highlight w:val="none"/>
        </w:rPr>
        <w:t>当收运量在40吨/天及以下时，乙方至少配备5名收运人员（车队管理人员可兼任收运人员，但不得因收运工作影响正常的管理工作）。</w:t>
      </w:r>
      <w:r>
        <w:rPr>
          <w:rFonts w:hint="eastAsia" w:ascii="宋体" w:hAnsi="宋体" w:eastAsia="宋体" w:cs="宋体"/>
          <w:color w:val="auto"/>
          <w:szCs w:val="21"/>
          <w:highlight w:val="none"/>
        </w:rPr>
        <w:t>服务人员的资质须经甲方审核通过后方可提供服务</w:t>
      </w:r>
      <w:r>
        <w:rPr>
          <w:rFonts w:hint="eastAsia" w:ascii="宋体" w:hAnsi="宋体" w:eastAsia="宋体" w:cs="宋体"/>
          <w:color w:val="auto"/>
          <w:szCs w:val="21"/>
          <w:highlight w:val="none"/>
          <w:lang w:eastAsia="zh-CN"/>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合同履行过程中，乙方的服务人员应保持相对稳定，以保证服务工作正常进行。乙方如需更换服务人员，应提前7天向甲方书面申请，经甲方书面同意后方可更换，其中司机不得低于原拟投入本项目的人员经验、资质。</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五）乙方应按照国家现行法律法规的规定依法与服务人员签订劳动合同，并依法办理社保、公积金和个人所得税的代缴代扣等事宜，所产生的法律后果由乙方自行承担，均与甲方无关。乙方须按时发放其服务人员的工资、福利，自行处理与服务人员的各种劳资纠纷，处理相关的劳动仲裁、诉讼等事宜。如服务人员发生工伤、重大疾病、非因工死亡等事故，乙方须依照法律法规规定进行调查赔偿等处理，因此导致服务人员不能满足服务要求的，乙方还应在甲方指定的期限内予以补足。</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（六）乙方应确保其服务人员在作业时应注意保护环境，运输过程中要做到密闭运输，不发生餐厨垃圾遗洒，如发生遗洒，乙方需对现场进行清洁工作。</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（七）乙方应按照甲方要求安排路线与时间将餐厨垃圾收运至甲方或甲方指定场所进行处置，不得擅自更改路线与收运时间、不得将餐厨垃圾随意排放或送至非指定处置场所。</w:t>
      </w:r>
    </w:p>
    <w:p>
      <w:pPr>
        <w:pStyle w:val="47"/>
        <w:spacing w:line="360" w:lineRule="auto"/>
        <w:ind w:firstLine="420" w:firstLineChars="200"/>
        <w:jc w:val="left"/>
        <w:rPr>
          <w:rFonts w:hint="eastAsia" w:ascii="宋体" w:hAnsi="宋体" w:eastAsia="宋体" w:cs="宋体"/>
          <w:b w:val="0"/>
          <w:bCs/>
          <w:color w:val="auto"/>
          <w:highlight w:val="none"/>
          <w:lang w:eastAsia="zh-CN"/>
        </w:rPr>
      </w:pPr>
      <w:r>
        <w:rPr>
          <w:rFonts w:hint="eastAsia" w:ascii="宋体" w:hAnsi="宋体" w:eastAsia="宋体" w:cs="宋体"/>
          <w:b w:val="0"/>
          <w:color w:val="auto"/>
          <w:szCs w:val="21"/>
          <w:highlight w:val="none"/>
        </w:rPr>
        <w:t>（八）乙方在服务期内</w:t>
      </w:r>
      <w:r>
        <w:rPr>
          <w:rFonts w:hint="eastAsia" w:ascii="宋体" w:hAnsi="宋体" w:eastAsia="宋体" w:cs="宋体"/>
          <w:b w:val="0"/>
          <w:bCs/>
          <w:color w:val="auto"/>
          <w:highlight w:val="none"/>
        </w:rPr>
        <w:t>对所使用车辆及设备承担保管、维护、清洁、维修、保养等责任。乙方须对车辆定期进行检查，发现车辆异常的，应按合同约定的期限进行维修</w:t>
      </w:r>
      <w:r>
        <w:rPr>
          <w:rFonts w:hint="eastAsia" w:ascii="宋体" w:hAnsi="宋体" w:eastAsia="宋体" w:cs="宋体"/>
          <w:b w:val="0"/>
          <w:bCs/>
          <w:color w:val="auto"/>
          <w:highlight w:val="none"/>
          <w:lang w:eastAsia="zh-CN"/>
        </w:rPr>
        <w:t>。</w:t>
      </w:r>
    </w:p>
    <w:p>
      <w:pPr>
        <w:pStyle w:val="47"/>
        <w:spacing w:line="360" w:lineRule="auto"/>
        <w:ind w:firstLine="420" w:firstLineChars="200"/>
        <w:jc w:val="left"/>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lang w:eastAsia="zh-CN"/>
        </w:rPr>
        <w:t>（九）</w:t>
      </w:r>
      <w:r>
        <w:rPr>
          <w:rFonts w:hint="eastAsia" w:ascii="宋体" w:hAnsi="宋体" w:eastAsia="宋体" w:cs="宋体"/>
          <w:b w:val="0"/>
          <w:bCs/>
          <w:color w:val="auto"/>
          <w:highlight w:val="none"/>
          <w:lang w:val="en-US" w:eastAsia="zh-CN"/>
        </w:rPr>
        <w:t>乙方</w:t>
      </w:r>
      <w:r>
        <w:rPr>
          <w:rFonts w:hint="eastAsia" w:ascii="宋体" w:hAnsi="宋体" w:eastAsia="宋体" w:cs="宋体"/>
          <w:b w:val="0"/>
          <w:bCs/>
          <w:color w:val="auto"/>
          <w:highlight w:val="none"/>
          <w:lang w:eastAsia="zh-CN"/>
        </w:rPr>
        <w:t>在</w:t>
      </w:r>
      <w:r>
        <w:rPr>
          <w:rFonts w:hint="eastAsia" w:ascii="宋体" w:hAnsi="宋体" w:eastAsia="宋体" w:cs="宋体"/>
          <w:b w:val="0"/>
          <w:bCs/>
          <w:color w:val="auto"/>
          <w:highlight w:val="none"/>
          <w:lang w:val="en-US" w:eastAsia="zh-CN"/>
        </w:rPr>
        <w:t>中标通知书发出</w:t>
      </w:r>
      <w:r>
        <w:rPr>
          <w:rFonts w:hint="eastAsia" w:ascii="宋体" w:hAnsi="宋体" w:eastAsia="宋体" w:cs="宋体"/>
          <w:b w:val="0"/>
          <w:bCs/>
          <w:color w:val="auto"/>
          <w:highlight w:val="none"/>
          <w:lang w:eastAsia="zh-CN"/>
        </w:rPr>
        <w:t>后【</w:t>
      </w:r>
      <w:r>
        <w:rPr>
          <w:rFonts w:hint="eastAsia" w:ascii="宋体" w:hAnsi="宋体" w:eastAsia="宋体" w:cs="宋体"/>
          <w:b w:val="0"/>
          <w:bCs/>
          <w:color w:val="auto"/>
          <w:highlight w:val="none"/>
          <w:lang w:val="en-US" w:eastAsia="zh-CN"/>
        </w:rPr>
        <w:t>5</w:t>
      </w:r>
      <w:r>
        <w:rPr>
          <w:rFonts w:hint="eastAsia" w:ascii="宋体" w:hAnsi="宋体" w:eastAsia="宋体" w:cs="宋体"/>
          <w:b w:val="0"/>
          <w:bCs/>
          <w:color w:val="auto"/>
          <w:highlight w:val="none"/>
          <w:lang w:eastAsia="zh-CN"/>
        </w:rPr>
        <w:t>】</w:t>
      </w:r>
      <w:r>
        <w:rPr>
          <w:rFonts w:hint="default" w:ascii="宋体" w:hAnsi="宋体" w:eastAsia="宋体" w:cs="宋体"/>
          <w:b w:val="0"/>
          <w:bCs/>
          <w:color w:val="auto"/>
          <w:highlight w:val="none"/>
          <w:lang w:val="en-US" w:eastAsia="zh-CN"/>
        </w:rPr>
        <w:t>天</w:t>
      </w:r>
      <w:r>
        <w:rPr>
          <w:rFonts w:hint="eastAsia" w:ascii="宋体" w:hAnsi="宋体" w:eastAsia="宋体" w:cs="宋体"/>
          <w:b w:val="0"/>
          <w:bCs/>
          <w:color w:val="auto"/>
          <w:highlight w:val="none"/>
          <w:lang w:val="en-US" w:eastAsia="zh-CN"/>
        </w:rPr>
        <w:t>内</w:t>
      </w:r>
      <w:r>
        <w:rPr>
          <w:rFonts w:hint="eastAsia" w:ascii="宋体" w:hAnsi="宋体" w:eastAsia="宋体" w:cs="宋体"/>
          <w:b w:val="0"/>
          <w:bCs/>
          <w:color w:val="auto"/>
          <w:highlight w:val="none"/>
          <w:lang w:eastAsia="zh-CN"/>
        </w:rPr>
        <w:t>需要自行对</w:t>
      </w:r>
      <w:r>
        <w:rPr>
          <w:rFonts w:hint="eastAsia" w:ascii="宋体" w:hAnsi="宋体" w:eastAsia="宋体" w:cs="宋体"/>
          <w:b w:val="0"/>
          <w:bCs/>
          <w:color w:val="auto"/>
          <w:highlight w:val="none"/>
          <w:lang w:val="en-US" w:eastAsia="zh-CN"/>
        </w:rPr>
        <w:t>甲方提供的收运</w:t>
      </w:r>
      <w:r>
        <w:rPr>
          <w:rFonts w:hint="eastAsia" w:ascii="宋体" w:hAnsi="宋体" w:eastAsia="宋体" w:cs="宋体"/>
          <w:b w:val="0"/>
          <w:bCs/>
          <w:color w:val="auto"/>
          <w:highlight w:val="none"/>
          <w:lang w:eastAsia="zh-CN"/>
        </w:rPr>
        <w:t>车辆进行验车，确保车辆所有功能正常后方可投入使用（如部分车辆存在功能缺失，可与</w:t>
      </w:r>
      <w:r>
        <w:rPr>
          <w:rFonts w:hint="eastAsia" w:ascii="宋体" w:hAnsi="宋体" w:eastAsia="宋体" w:cs="宋体"/>
          <w:b w:val="0"/>
          <w:bCs/>
          <w:color w:val="auto"/>
          <w:highlight w:val="none"/>
          <w:lang w:val="en-US" w:eastAsia="zh-CN"/>
        </w:rPr>
        <w:t>甲方</w:t>
      </w:r>
      <w:r>
        <w:rPr>
          <w:rFonts w:hint="eastAsia" w:ascii="宋体" w:hAnsi="宋体" w:eastAsia="宋体" w:cs="宋体"/>
          <w:b w:val="0"/>
          <w:bCs/>
          <w:color w:val="auto"/>
          <w:highlight w:val="none"/>
          <w:lang w:eastAsia="zh-CN"/>
        </w:rPr>
        <w:t>确认并进行备案，备案后在不影响正常使用的前提下可先投入使用），使用该过程中出现车辆故障问题（除已备案部分）均需要由</w:t>
      </w:r>
      <w:r>
        <w:rPr>
          <w:rFonts w:hint="eastAsia" w:ascii="宋体" w:hAnsi="宋体" w:eastAsia="宋体" w:cs="宋体"/>
          <w:b w:val="0"/>
          <w:bCs/>
          <w:color w:val="auto"/>
          <w:highlight w:val="none"/>
          <w:lang w:val="en-US" w:eastAsia="zh-CN"/>
        </w:rPr>
        <w:t>乙方</w:t>
      </w:r>
      <w:r>
        <w:rPr>
          <w:rFonts w:hint="eastAsia" w:ascii="宋体" w:hAnsi="宋体" w:eastAsia="宋体" w:cs="宋体"/>
          <w:b w:val="0"/>
          <w:bCs/>
          <w:color w:val="auto"/>
          <w:highlight w:val="none"/>
          <w:lang w:eastAsia="zh-CN"/>
        </w:rPr>
        <w:t>承担维修责任，服务期结束后，</w:t>
      </w:r>
      <w:r>
        <w:rPr>
          <w:rFonts w:hint="eastAsia" w:ascii="宋体" w:hAnsi="宋体" w:eastAsia="宋体" w:cs="宋体"/>
          <w:b w:val="0"/>
          <w:bCs/>
          <w:color w:val="auto"/>
          <w:highlight w:val="none"/>
          <w:lang w:val="en-US" w:eastAsia="zh-CN"/>
        </w:rPr>
        <w:t>甲方</w:t>
      </w:r>
      <w:r>
        <w:rPr>
          <w:rFonts w:hint="eastAsia" w:ascii="宋体" w:hAnsi="宋体" w:eastAsia="宋体" w:cs="宋体"/>
          <w:b w:val="0"/>
          <w:bCs/>
          <w:color w:val="auto"/>
          <w:highlight w:val="none"/>
          <w:lang w:eastAsia="zh-CN"/>
        </w:rPr>
        <w:t>将对所有车辆进行验车，</w:t>
      </w:r>
      <w:r>
        <w:rPr>
          <w:rFonts w:hint="eastAsia" w:ascii="宋体" w:hAnsi="宋体" w:eastAsia="宋体" w:cs="宋体"/>
          <w:b w:val="0"/>
          <w:bCs/>
          <w:color w:val="auto"/>
          <w:highlight w:val="none"/>
          <w:lang w:val="en-US" w:eastAsia="zh-CN"/>
        </w:rPr>
        <w:t>乙方</w:t>
      </w:r>
      <w:r>
        <w:rPr>
          <w:rFonts w:hint="eastAsia" w:ascii="宋体" w:hAnsi="宋体" w:eastAsia="宋体" w:cs="宋体"/>
          <w:b w:val="0"/>
          <w:bCs/>
          <w:color w:val="auto"/>
          <w:highlight w:val="none"/>
          <w:lang w:eastAsia="zh-CN"/>
        </w:rPr>
        <w:t>需要保证车辆功能恢复至服务期投入使用前的状态。</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乙方在收运服务过程中应做好安全防范工作，采取必要的安全防护措施，定期进行安全隐患排查，消除事故隐患。由于乙方的不尽职、操作不当、安全措施不力、人为疏失等原因造成双方及第三方的财产毁损、人身伤害（含各方雇员及临时聘用人员）、交通事故及安全事故的责任和因此发生的费用，全部由乙方承担。若造成甲方其他损失，乙方仍需全额赔偿。若产生劳动纠纷或仲裁或诉讼，均由乙方自行处理并承担损害赔偿，甲方不承担任何责任；由此导致甲方需要支出相关律师费、诉讼费等相关费用的，由乙方全额向甲方赔偿。如发生安全事故，乙方应负责解决并承担相应责任。</w:t>
      </w:r>
    </w:p>
    <w:p>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乙方须确保其服务人员严格遵守相关法律法规及规章和甲方公司规定，服务过程中因服务人员工作失误、违法违章或者交通事故而导致的后果和产生的费用，全部由乙方承担，乙方应自行处理和解决，与甲方无关。如甲方因此受到索赔或处罚的，赔偿及罚款由乙方承担，且甲方有权要求乙方予以赔偿。同时，甲方有权向乙方收取违约金。</w:t>
      </w:r>
    </w:p>
    <w:p>
      <w:pPr>
        <w:autoSpaceDE w:val="0"/>
        <w:autoSpaceDN w:val="0"/>
        <w:adjustRightInd w:val="0"/>
        <w:spacing w:line="360" w:lineRule="auto"/>
        <w:ind w:firstLine="420" w:firstLineChars="200"/>
        <w:jc w:val="left"/>
        <w:rPr>
          <w:rFonts w:eastAsia="+中文正文" w:asciiTheme="minorHAnsi" w:hAnsiTheme="minorHAnsi" w:cstheme="minorBidi"/>
          <w:color w:val="auto"/>
          <w:szCs w:val="22"/>
          <w:highlight w:val="none"/>
        </w:rPr>
      </w:pPr>
      <w:r>
        <w:rPr>
          <w:rFonts w:hint="eastAsia" w:eastAsia="+中文正文"/>
          <w:color w:val="auto"/>
          <w:highlight w:val="none"/>
        </w:rPr>
        <w:t>（十</w:t>
      </w:r>
      <w:r>
        <w:rPr>
          <w:rFonts w:hint="eastAsia" w:eastAsia="+中文正文"/>
          <w:color w:val="auto"/>
          <w:highlight w:val="none"/>
          <w:lang w:val="en-US" w:eastAsia="zh-CN"/>
        </w:rPr>
        <w:t>二</w:t>
      </w:r>
      <w:r>
        <w:rPr>
          <w:rFonts w:hint="eastAsia" w:eastAsia="+中文正文"/>
          <w:color w:val="auto"/>
          <w:highlight w:val="none"/>
        </w:rPr>
        <w:t>）禁止乙方将全部的权利义务转让给第三人；未经甲方书面同意，乙方不得将本合同项下乙方的部分权利义务分包给第三人。</w:t>
      </w:r>
    </w:p>
    <w:p>
      <w:pPr>
        <w:autoSpaceDE w:val="0"/>
        <w:autoSpaceDN w:val="0"/>
        <w:adjustRightInd w:val="0"/>
        <w:spacing w:line="360" w:lineRule="auto"/>
        <w:ind w:firstLine="420" w:firstLineChars="200"/>
        <w:jc w:val="left"/>
        <w:rPr>
          <w:rFonts w:ascii="宋体" w:hAnsi="宋体" w:eastAsia="宋体" w:cs="宋体"/>
          <w:color w:val="auto"/>
          <w:kern w:val="0"/>
          <w:sz w:val="24"/>
          <w:szCs w:val="21"/>
          <w:highlight w:val="none"/>
        </w:rPr>
      </w:pPr>
      <w:r>
        <w:rPr>
          <w:rFonts w:hint="eastAsia" w:ascii="宋体" w:hAnsi="宋体" w:eastAsia="宋体" w:cs="宋体"/>
          <w:color w:val="auto"/>
          <w:kern w:val="0"/>
          <w:szCs w:val="21"/>
          <w:highlight w:val="none"/>
        </w:rPr>
        <w:t>（十</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）合同文件及附件内容约定的乙方其他权利义务。</w:t>
      </w:r>
    </w:p>
    <w:p>
      <w:pPr>
        <w:adjustRightInd w:val="0"/>
        <w:snapToGrid w:val="0"/>
        <w:spacing w:line="360" w:lineRule="auto"/>
        <w:ind w:firstLine="373" w:firstLineChars="177"/>
        <w:rPr>
          <w:rFonts w:ascii="宋体" w:hAnsi="宋体" w:eastAsia="宋体" w:cs="Times New Roman"/>
          <w:b/>
          <w:color w:val="auto"/>
          <w:szCs w:val="21"/>
          <w:highlight w:val="none"/>
        </w:rPr>
      </w:pPr>
    </w:p>
    <w:p>
      <w:pPr>
        <w:adjustRightInd w:val="0"/>
        <w:snapToGrid w:val="0"/>
        <w:spacing w:line="360" w:lineRule="auto"/>
        <w:ind w:firstLine="373" w:firstLineChars="177"/>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第七条 履约担保</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1、乙方应当根据招标文件的规定在签订本合同前向甲方提供履约担保，履约担保形式及金额由乙方从以下方式中任选一种：</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履约保证金（银行转账形式）金额为人民币      ；</w:t>
      </w:r>
    </w:p>
    <w:p>
      <w:pPr>
        <w:adjustRightInd w:val="0"/>
        <w:snapToGrid w:val="0"/>
        <w:spacing w:line="360" w:lineRule="auto"/>
        <w:ind w:firstLine="371" w:firstLineChars="177"/>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不可撤销银行履约保函金额为人民币      ；</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履约保证保险金额为</w:t>
      </w:r>
      <w:r>
        <w:rPr>
          <w:rFonts w:hint="eastAsia" w:ascii="宋体" w:hAnsi="宋体" w:eastAsia="宋体" w:cs="Times New Roman"/>
          <w:color w:val="auto"/>
          <w:szCs w:val="21"/>
          <w:highlight w:val="none"/>
          <w:u w:val="single"/>
        </w:rPr>
        <w:t>人民币      ；</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 xml:space="preserve">担保公司履约担保书金额为人民币      </w:t>
      </w:r>
      <w:r>
        <w:rPr>
          <w:rFonts w:hint="eastAsia" w:ascii="宋体" w:hAnsi="宋体" w:eastAsia="宋体" w:cs="Times New Roman"/>
          <w:color w:val="auto"/>
          <w:szCs w:val="21"/>
          <w:highlight w:val="none"/>
        </w:rPr>
        <w:t>。</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2、履约担保用于赔偿甲方因乙方不能完成其合同义务而蒙受的损失，如发生下列任一情况时，甲方除有权依合同追究违约责任外，还有权启动履约担保进行相应处理：</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Times New Roman" w:hAnsi="宋体" w:eastAsia="宋体" w:cs="Times New Roman"/>
          <w:color w:val="auto"/>
          <w:szCs w:val="21"/>
          <w:highlight w:val="none"/>
        </w:rPr>
        <w:t>乙方将合同项下的权利义务全部转让给第三方，或未经甲方书面同意将部分权利义务转让给第三方的，甲方有权没收其履约担保</w:t>
      </w:r>
      <w:r>
        <w:rPr>
          <w:rFonts w:hint="eastAsia" w:ascii="宋体" w:hAnsi="宋体" w:eastAsia="宋体" w:cs="Times New Roman"/>
          <w:color w:val="auto"/>
          <w:szCs w:val="21"/>
          <w:highlight w:val="none"/>
        </w:rPr>
        <w:t>。</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（2）在合同履行期间，乙方怠于履行合同义务，经甲方通知或要求承担违约金后仍拒不改正的，甲方可依法没收或适当扣除其履约担保。</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在合同履行期间，因乙方服务质量问题造成损害、侵权损失（包括但不限于甲方经济损失、甲方人员人身财产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（4）在合同履行期间，乙方违约产生的违约金、赔偿、罚款或其他应付费用等款项，甲方有权直接从未付款项中直接扣除或启用履约担保予以支付。</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（5）合同期内，乙方不能及时完成某项合同义务的，甲方有权提取履约担保用于处理该项工作。</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（6）其他根据本合同约定或法律规定，甲方可使用履约担保的情形。</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3、在合同</w:t>
      </w:r>
      <w:r>
        <w:rPr>
          <w:rFonts w:hint="eastAsia" w:ascii="宋体" w:hAnsi="宋体" w:eastAsia="宋体" w:cs="宋体"/>
          <w:color w:val="auto"/>
          <w:szCs w:val="21"/>
          <w:highlight w:val="none"/>
        </w:rPr>
        <w:t>期限届满并在</w:t>
      </w:r>
      <w:r>
        <w:rPr>
          <w:rFonts w:hint="eastAsia" w:ascii="宋体" w:hAnsi="宋体" w:eastAsia="宋体" w:cs="Times New Roman"/>
          <w:color w:val="auto"/>
          <w:szCs w:val="21"/>
          <w:highlight w:val="none"/>
        </w:rPr>
        <w:t>乙方完成本合同</w:t>
      </w:r>
      <w:r>
        <w:rPr>
          <w:rFonts w:hint="eastAsia" w:ascii="宋体" w:hAnsi="宋体" w:eastAsia="宋体" w:cs="宋体"/>
          <w:color w:val="auto"/>
          <w:szCs w:val="21"/>
          <w:highlight w:val="none"/>
        </w:rPr>
        <w:t>的全部服务义务</w:t>
      </w:r>
      <w:r>
        <w:rPr>
          <w:rFonts w:hint="eastAsia" w:ascii="宋体" w:hAnsi="宋体" w:eastAsia="宋体" w:cs="Times New Roman"/>
          <w:color w:val="auto"/>
          <w:szCs w:val="21"/>
          <w:highlight w:val="none"/>
        </w:rPr>
        <w:t>后二十八（28）日内，甲方将履约担保余额无息退还乙方。</w:t>
      </w:r>
    </w:p>
    <w:p>
      <w:pPr>
        <w:autoSpaceDE w:val="0"/>
        <w:autoSpaceDN w:val="0"/>
        <w:adjustRightInd w:val="0"/>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4、如乙方提供不可撤销银行履约保函或担保公司履约担保书作为履约担保的，不可撤销银行履约保函或担保公司履约担保书应自本合同签订之日起到合同</w:t>
      </w:r>
      <w:r>
        <w:rPr>
          <w:rFonts w:hint="eastAsia" w:ascii="宋体" w:hAnsi="宋体" w:eastAsia="宋体" w:cs="宋体"/>
          <w:color w:val="auto"/>
          <w:szCs w:val="21"/>
          <w:highlight w:val="none"/>
        </w:rPr>
        <w:t>期限届满并在</w:t>
      </w:r>
      <w:r>
        <w:rPr>
          <w:rFonts w:hint="eastAsia" w:ascii="宋体" w:hAnsi="宋体" w:eastAsia="宋体" w:cs="Times New Roman"/>
          <w:color w:val="auto"/>
          <w:szCs w:val="21"/>
          <w:highlight w:val="none"/>
        </w:rPr>
        <w:t>乙方完成本合同的全部服务</w:t>
      </w:r>
      <w:r>
        <w:rPr>
          <w:rFonts w:hint="eastAsia" w:ascii="宋体" w:hAnsi="宋体" w:eastAsia="宋体" w:cs="宋体"/>
          <w:color w:val="auto"/>
          <w:szCs w:val="21"/>
          <w:highlight w:val="none"/>
        </w:rPr>
        <w:t>义务</w:t>
      </w:r>
      <w:r>
        <w:rPr>
          <w:rFonts w:hint="eastAsia" w:ascii="宋体" w:hAnsi="宋体" w:eastAsia="宋体" w:cs="Times New Roman"/>
          <w:color w:val="auto"/>
          <w:szCs w:val="21"/>
          <w:highlight w:val="none"/>
        </w:rPr>
        <w:t>后二十八（28）日内保持有效。</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rPr>
      </w:pP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第八条 权利保证</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保证合同项下提供的服务及相关货物不侵犯任何第三方的专利、商标、版权以及其它权利，否则，乙方须承担因此产生的全部责任及费用，如因此造成甲方损失的，乙方应予以足额赔偿。如果任何第三方提出侵权主张，乙方须与第三方交涉并承担由此发生的一切责任、费用和经济赔偿。由于乙方提供的服务及货物的任何一部分不符合知识产权规定，由乙方承担因此给甲方造成的全部损失，包括但不限于本合同所约定的总价款、甲方为维护自身权益所支付的律师费、诉讼费、鉴定费、差旅费等全部费用。</w:t>
      </w:r>
    </w:p>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第九条 违约责任</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（一）若乙方在服务期内出现拒绝接受服务情况或无法按时完成当天收运任务的，甲方有权要求乙方支付3</w:t>
      </w:r>
      <w:r>
        <w:rPr>
          <w:rFonts w:hint="eastAsia" w:ascii="宋体" w:hAnsi="宋体" w:eastAsia="宋体" w:cs="宋体"/>
          <w:snapToGrid w:val="0"/>
          <w:color w:val="auto"/>
          <w:szCs w:val="21"/>
          <w:highlight w:val="none"/>
        </w:rPr>
        <w:t>,</w:t>
      </w:r>
      <w:r>
        <w:rPr>
          <w:rFonts w:hint="eastAsia" w:ascii="宋体" w:hAnsi="宋体" w:eastAsia="宋体" w:cs="宋体"/>
          <w:snapToGrid w:val="0"/>
          <w:color w:val="auto"/>
          <w:szCs w:val="21"/>
          <w:highlight w:val="none"/>
          <w:lang w:val="zh-CN"/>
        </w:rPr>
        <w:t>000.00元/次的违约金，达3次以上（含3次）的，甲方有权单方面解除本合同。乙方还应向甲方支付人民币</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0,000.00元作为违约金。</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（二）服务期内，若在收运过程中收运工作人员存在往所收运餐厨垃圾中掺水等收运量弄虚作假等违规行为，甲方有权按10,000</w:t>
      </w:r>
      <w:r>
        <w:rPr>
          <w:rFonts w:hint="eastAsia" w:ascii="宋体" w:hAnsi="宋体" w:eastAsia="宋体" w:cs="宋体"/>
          <w:snapToGrid w:val="0"/>
          <w:color w:val="auto"/>
          <w:szCs w:val="21"/>
          <w:highlight w:val="none"/>
        </w:rPr>
        <w:t>.00</w:t>
      </w:r>
      <w:r>
        <w:rPr>
          <w:rFonts w:hint="eastAsia" w:ascii="宋体" w:hAnsi="宋体" w:eastAsia="宋体" w:cs="宋体"/>
          <w:snapToGrid w:val="0"/>
          <w:color w:val="auto"/>
          <w:szCs w:val="21"/>
          <w:highlight w:val="none"/>
          <w:lang w:val="zh-CN"/>
        </w:rPr>
        <w:t>元/次向乙方收取违约金。乙方违反本条约定达3次（含3次）以上的，甲方有权单方解除合同，乙方还应向甲方支付人民币</w:t>
      </w:r>
      <w:r>
        <w:rPr>
          <w:rFonts w:hint="eastAsia" w:ascii="宋体" w:hAnsi="宋体" w:eastAsia="宋体" w:cs="宋体"/>
          <w:snapToGrid w:val="0"/>
          <w:color w:val="auto"/>
          <w:szCs w:val="21"/>
          <w:highlight w:val="none"/>
          <w:lang w:val="en-US" w:eastAsia="zh-CN"/>
        </w:rPr>
        <w:t>10</w:t>
      </w:r>
      <w:r>
        <w:rPr>
          <w:rFonts w:hint="eastAsia" w:ascii="宋体" w:hAnsi="宋体" w:eastAsia="宋体" w:cs="宋体"/>
          <w:snapToGrid w:val="0"/>
          <w:color w:val="auto"/>
          <w:szCs w:val="21"/>
          <w:highlight w:val="none"/>
          <w:lang w:val="zh-CN"/>
        </w:rPr>
        <w:t>0,000.00元作为违约金，</w:t>
      </w:r>
      <w:r>
        <w:rPr>
          <w:rFonts w:hint="eastAsia" w:ascii="宋体" w:hAnsi="宋体" w:eastAsia="宋体" w:cs="宋体"/>
          <w:snapToGrid w:val="0"/>
          <w:color w:val="auto"/>
          <w:sz w:val="21"/>
          <w:szCs w:val="21"/>
          <w:highlight w:val="none"/>
          <w:lang w:val="zh-CN"/>
        </w:rPr>
        <w:t>违约金不足以弥补甲方损失的，乙方还应当予以补足。</w:t>
      </w:r>
    </w:p>
    <w:p>
      <w:pPr>
        <w:spacing w:line="360" w:lineRule="auto"/>
        <w:ind w:firstLine="420" w:firstLineChars="200"/>
        <w:jc w:val="left"/>
        <w:rPr>
          <w:rFonts w:hint="default"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zh-CN"/>
        </w:rPr>
        <w:t>（三）服务期内，在每</w:t>
      </w:r>
      <w:r>
        <w:rPr>
          <w:rFonts w:hint="eastAsia" w:ascii="宋体" w:hAnsi="宋体" w:eastAsia="宋体" w:cs="宋体"/>
          <w:snapToGrid w:val="0"/>
          <w:color w:val="auto"/>
          <w:szCs w:val="21"/>
          <w:highlight w:val="none"/>
          <w:lang w:val="en-US" w:eastAsia="zh-CN"/>
        </w:rPr>
        <w:t>月</w:t>
      </w:r>
      <w:r>
        <w:rPr>
          <w:rFonts w:hint="eastAsia" w:ascii="宋体" w:hAnsi="宋体" w:eastAsia="宋体" w:cs="宋体"/>
          <w:snapToGrid w:val="0"/>
          <w:color w:val="auto"/>
          <w:szCs w:val="21"/>
          <w:highlight w:val="none"/>
          <w:lang w:val="zh-CN"/>
        </w:rPr>
        <w:t>前</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个工作日内，甲方对乙方上</w:t>
      </w:r>
      <w:r>
        <w:rPr>
          <w:rFonts w:hint="eastAsia" w:ascii="宋体" w:hAnsi="宋体" w:eastAsia="宋体" w:cs="宋体"/>
          <w:snapToGrid w:val="0"/>
          <w:color w:val="auto"/>
          <w:szCs w:val="21"/>
          <w:highlight w:val="none"/>
          <w:lang w:val="en-US" w:eastAsia="zh-CN"/>
        </w:rPr>
        <w:t>月</w:t>
      </w:r>
      <w:r>
        <w:rPr>
          <w:rFonts w:hint="eastAsia" w:ascii="宋体" w:hAnsi="宋体" w:eastAsia="宋体" w:cs="宋体"/>
          <w:snapToGrid w:val="0"/>
          <w:color w:val="auto"/>
          <w:szCs w:val="21"/>
          <w:highlight w:val="none"/>
          <w:lang w:val="zh-CN"/>
        </w:rPr>
        <w:t>的服务质量进行月度考核，若</w:t>
      </w:r>
      <w:r>
        <w:rPr>
          <w:rFonts w:hint="eastAsia" w:ascii="宋体" w:hAnsi="宋体" w:eastAsia="宋体" w:cs="宋体"/>
          <w:snapToGrid w:val="0"/>
          <w:color w:val="auto"/>
          <w:szCs w:val="21"/>
          <w:highlight w:val="none"/>
          <w:lang w:val="en-US" w:eastAsia="zh-CN"/>
        </w:rPr>
        <w:t>月</w:t>
      </w:r>
      <w:r>
        <w:rPr>
          <w:rFonts w:hint="eastAsia" w:ascii="宋体" w:hAnsi="宋体" w:eastAsia="宋体" w:cs="宋体"/>
          <w:snapToGrid w:val="0"/>
          <w:color w:val="auto"/>
          <w:szCs w:val="21"/>
          <w:highlight w:val="none"/>
          <w:lang w:val="zh-CN"/>
        </w:rPr>
        <w:t>度考核评分低于</w:t>
      </w:r>
      <w:r>
        <w:rPr>
          <w:rFonts w:hint="eastAsia" w:ascii="宋体" w:hAnsi="宋体" w:eastAsia="宋体" w:cs="宋体"/>
          <w:snapToGrid w:val="0"/>
          <w:color w:val="auto"/>
          <w:szCs w:val="21"/>
          <w:highlight w:val="none"/>
          <w:lang w:val="en-US" w:eastAsia="zh-CN"/>
        </w:rPr>
        <w:t>80</w:t>
      </w:r>
      <w:r>
        <w:rPr>
          <w:rFonts w:hint="eastAsia" w:ascii="宋体" w:hAnsi="宋体" w:eastAsia="宋体" w:cs="宋体"/>
          <w:snapToGrid w:val="0"/>
          <w:color w:val="auto"/>
          <w:szCs w:val="21"/>
          <w:highlight w:val="none"/>
          <w:lang w:val="zh-CN"/>
        </w:rPr>
        <w:t>分的，或乙方未能按合同要求进行服务的，甲方有权单方面解除合同，乙方应在甲方要求解除合同之日起15天内做好交接工作并退场。乙方还应向甲方支付人民币</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0,000.00元作为违约金，违约金不足以弥补甲方损失的，乙方还应当予以补足。</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（四）乙方未经甲方书面同意，擅自将本合同权利义务转让给第三方或分包给第三方的，视为乙方违约，甲方有权单方解除合同，并要求乙方按</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w:t>
      </w:r>
      <w:r>
        <w:rPr>
          <w:rFonts w:hint="eastAsia" w:ascii="宋体" w:hAnsi="宋体" w:eastAsia="宋体" w:cs="宋体"/>
          <w:snapToGrid w:val="0"/>
          <w:color w:val="auto"/>
          <w:szCs w:val="21"/>
          <w:highlight w:val="none"/>
        </w:rPr>
        <w:t>.00</w:t>
      </w:r>
      <w:r>
        <w:rPr>
          <w:rFonts w:hint="eastAsia" w:ascii="宋体" w:hAnsi="宋体" w:eastAsia="宋体" w:cs="宋体"/>
          <w:snapToGrid w:val="0"/>
          <w:color w:val="auto"/>
          <w:szCs w:val="21"/>
          <w:highlight w:val="none"/>
          <w:lang w:val="zh-CN"/>
        </w:rPr>
        <w:t>元的标准承担违约金，若违约金不足以弥补由此给甲方造成损失的，乙方还应当予以补足。如因乙方将乙方本合同项下全部/部分权利义务转让/分包给第三方导致安全事故或人身损害事故的，造成甲方其他损失或甲方被认定承担赔偿责任的，甲方有权向乙方追偿。</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（五）乙方在餐厨垃圾收运工作开展过程中需根据甲方要求实行专镇专车收运，禁止收运车辆跨镇开展收运工作。每跨镇运输一次，乙方应每次按照车辆过磅重量*收运处理补贴费用（399.7</w:t>
      </w:r>
      <w:r>
        <w:rPr>
          <w:rFonts w:hint="eastAsia" w:ascii="宋体" w:hAnsi="宋体" w:eastAsia="宋体" w:cs="宋体"/>
          <w:snapToGrid w:val="0"/>
          <w:color w:val="auto"/>
          <w:szCs w:val="21"/>
          <w:highlight w:val="none"/>
        </w:rPr>
        <w:t>0</w:t>
      </w:r>
      <w:r>
        <w:rPr>
          <w:rFonts w:hint="eastAsia" w:ascii="宋体" w:hAnsi="宋体" w:eastAsia="宋体" w:cs="宋体"/>
          <w:snapToGrid w:val="0"/>
          <w:color w:val="auto"/>
          <w:szCs w:val="21"/>
          <w:highlight w:val="none"/>
          <w:lang w:val="zh-CN"/>
        </w:rPr>
        <w:t>元/吨）向甲方赔偿处置费用，同时甲方有权要求乙方支付3</w:t>
      </w:r>
      <w:r>
        <w:rPr>
          <w:rFonts w:hint="eastAsia" w:ascii="宋体" w:hAnsi="宋体" w:eastAsia="宋体" w:cs="宋体"/>
          <w:snapToGrid w:val="0"/>
          <w:color w:val="auto"/>
          <w:szCs w:val="21"/>
          <w:highlight w:val="none"/>
        </w:rPr>
        <w:t>,</w:t>
      </w:r>
      <w:r>
        <w:rPr>
          <w:rFonts w:hint="eastAsia" w:ascii="宋体" w:hAnsi="宋体" w:eastAsia="宋体" w:cs="宋体"/>
          <w:snapToGrid w:val="0"/>
          <w:color w:val="auto"/>
          <w:szCs w:val="21"/>
          <w:highlight w:val="none"/>
          <w:lang w:val="zh-CN"/>
        </w:rPr>
        <w:t>000.00元/次的违约金，乙方违反本条约定达3次（含3次）以上的，甲方有权单方解除合同，乙方还应向甲方支付人民币</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0,000.00元作为违约金，违约金不足以弥补甲方损失的，乙方还应当予以补足。</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六）甲方有权对乙方服务质量进行考核。如乙方服务人员服务质量达不到合同要求，甲方有权要求乙方更换服务人员，乙方必须在5日内无条件的为甲方更换合格的服务人员。服务人员岗位空缺或人手不足的，乙方必须在5日内补充满足甲方要求的服务人员。乙方未能及时补充或更换符合甲方要求的服务人员，乙方应按照1,000</w:t>
      </w:r>
      <w:r>
        <w:rPr>
          <w:rFonts w:hint="eastAsia" w:ascii="宋体" w:hAnsi="宋体" w:eastAsia="宋体" w:cs="宋体"/>
          <w:snapToGrid w:val="0"/>
          <w:color w:val="auto"/>
          <w:szCs w:val="21"/>
          <w:highlight w:val="none"/>
        </w:rPr>
        <w:t>.00</w:t>
      </w:r>
      <w:r>
        <w:rPr>
          <w:rFonts w:hint="eastAsia" w:ascii="宋体" w:hAnsi="宋体" w:eastAsia="宋体" w:cs="宋体"/>
          <w:snapToGrid w:val="0"/>
          <w:color w:val="auto"/>
          <w:szCs w:val="21"/>
          <w:highlight w:val="none"/>
          <w:lang w:val="zh-CN"/>
        </w:rPr>
        <w:t>元/天向甲方支付违约金，乙方逾期10日未能及时补充符合甲方要求的服务人员时，在乙方根据前述约定支付违约金的同时，甲方有权单方解除本合同，并要求乙方按</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w:t>
      </w:r>
      <w:r>
        <w:rPr>
          <w:rFonts w:hint="eastAsia" w:ascii="宋体" w:hAnsi="宋体" w:eastAsia="宋体" w:cs="宋体"/>
          <w:snapToGrid w:val="0"/>
          <w:color w:val="auto"/>
          <w:szCs w:val="21"/>
          <w:highlight w:val="none"/>
        </w:rPr>
        <w:t>.00</w:t>
      </w:r>
      <w:r>
        <w:rPr>
          <w:rFonts w:hint="eastAsia" w:ascii="宋体" w:hAnsi="宋体" w:eastAsia="宋体" w:cs="宋体"/>
          <w:snapToGrid w:val="0"/>
          <w:color w:val="auto"/>
          <w:szCs w:val="21"/>
          <w:highlight w:val="none"/>
          <w:lang w:val="zh-CN"/>
        </w:rPr>
        <w:t>元的标准承担违约金，</w:t>
      </w:r>
      <w:r>
        <w:rPr>
          <w:rFonts w:hint="eastAsia" w:ascii="宋体" w:hAnsi="宋体" w:eastAsia="宋体" w:cs="宋体"/>
          <w:snapToGrid w:val="0"/>
          <w:color w:val="auto"/>
          <w:sz w:val="21"/>
          <w:szCs w:val="21"/>
          <w:highlight w:val="none"/>
          <w:lang w:val="zh-CN"/>
        </w:rPr>
        <w:t>违约金不足以弥补甲方损失的，乙方还应当予以补足</w:t>
      </w:r>
      <w:r>
        <w:rPr>
          <w:rFonts w:hint="eastAsia" w:ascii="宋体" w:hAnsi="宋体" w:eastAsia="宋体" w:cs="宋体"/>
          <w:snapToGrid w:val="0"/>
          <w:color w:val="auto"/>
          <w:szCs w:val="21"/>
          <w:highlight w:val="none"/>
          <w:lang w:val="zh-CN"/>
        </w:rPr>
        <w:t>。</w:t>
      </w:r>
    </w:p>
    <w:p>
      <w:pPr>
        <w:spacing w:line="360" w:lineRule="auto"/>
        <w:ind w:firstLine="420" w:firstLineChars="200"/>
        <w:jc w:val="left"/>
        <w:rPr>
          <w:rFonts w:hint="eastAsia"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（七）服务期内，因乙方引起的劳资纠纷、人身损害赔偿纠纷等问题，乙方应自行妥善处理并承担责任，不得影响甲方收运工作正常开展。如前述问题影响甲方收运工作正常开展的，乙方需向甲方支付</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0,000.00元的违约金，且甲方有权单方解除合同，如违约金不足以弥补甲方损失的，</w:t>
      </w:r>
      <w:r>
        <w:rPr>
          <w:rFonts w:hint="eastAsia" w:ascii="宋体" w:hAnsi="宋体" w:eastAsia="宋体" w:cs="宋体"/>
          <w:snapToGrid w:val="0"/>
          <w:color w:val="auto"/>
          <w:sz w:val="21"/>
          <w:szCs w:val="21"/>
          <w:highlight w:val="none"/>
          <w:lang w:val="zh-CN"/>
        </w:rPr>
        <w:t>乙方还应当予以补足</w:t>
      </w:r>
      <w:r>
        <w:rPr>
          <w:rFonts w:hint="eastAsia" w:ascii="宋体" w:hAnsi="宋体" w:eastAsia="宋体" w:cs="宋体"/>
          <w:snapToGrid w:val="0"/>
          <w:color w:val="auto"/>
          <w:szCs w:val="21"/>
          <w:highlight w:val="none"/>
          <w:lang w:val="zh-CN"/>
        </w:rPr>
        <w:t>。</w:t>
      </w:r>
    </w:p>
    <w:p>
      <w:pPr>
        <w:spacing w:line="360" w:lineRule="auto"/>
        <w:ind w:firstLine="420" w:firstLineChars="200"/>
        <w:jc w:val="left"/>
        <w:rPr>
          <w:rFonts w:hint="default" w:ascii="宋体" w:hAnsi="宋体" w:eastAsia="宋体" w:cs="宋体"/>
          <w:snapToGrid w:val="0"/>
          <w:color w:val="auto"/>
          <w:szCs w:val="21"/>
          <w:highlight w:val="none"/>
          <w:lang w:val="en-US"/>
        </w:rPr>
      </w:pPr>
      <w:r>
        <w:rPr>
          <w:rFonts w:hint="eastAsia" w:ascii="宋体" w:hAnsi="宋体" w:eastAsia="宋体" w:cs="宋体"/>
          <w:snapToGrid w:val="0"/>
          <w:color w:val="auto"/>
          <w:szCs w:val="21"/>
          <w:highlight w:val="none"/>
          <w:lang w:val="zh-CN"/>
        </w:rPr>
        <w:t>（</w:t>
      </w:r>
      <w:r>
        <w:rPr>
          <w:rFonts w:hint="eastAsia" w:ascii="宋体" w:hAnsi="宋体" w:eastAsia="宋体" w:cs="宋体"/>
          <w:snapToGrid w:val="0"/>
          <w:color w:val="auto"/>
          <w:szCs w:val="21"/>
          <w:highlight w:val="none"/>
          <w:lang w:val="en-US" w:eastAsia="zh-CN"/>
        </w:rPr>
        <w:t>八</w:t>
      </w:r>
      <w:r>
        <w:rPr>
          <w:rFonts w:hint="eastAsia" w:ascii="宋体" w:hAnsi="宋体" w:eastAsia="宋体" w:cs="宋体"/>
          <w:snapToGrid w:val="0"/>
          <w:color w:val="auto"/>
          <w:szCs w:val="21"/>
          <w:highlight w:val="none"/>
          <w:lang w:val="zh-CN"/>
        </w:rPr>
        <w:t>）收运过程中乙方服务人员</w:t>
      </w:r>
      <w:r>
        <w:rPr>
          <w:rFonts w:hint="eastAsia" w:ascii="宋体" w:hAnsi="宋体" w:eastAsia="宋体" w:cs="宋体"/>
          <w:snapToGrid w:val="0"/>
          <w:color w:val="auto"/>
          <w:szCs w:val="21"/>
          <w:highlight w:val="none"/>
          <w:lang w:val="en-US" w:eastAsia="zh-CN"/>
        </w:rPr>
        <w:t>出现</w:t>
      </w:r>
      <w:r>
        <w:rPr>
          <w:rFonts w:hint="eastAsia" w:eastAsia="+中文正文"/>
          <w:color w:val="auto"/>
          <w:highlight w:val="none"/>
          <w:lang w:val="en-US" w:eastAsia="zh-CN"/>
        </w:rPr>
        <w:t>酒驾、醉驾等行为，</w:t>
      </w:r>
      <w:r>
        <w:rPr>
          <w:rFonts w:hint="eastAsia" w:ascii="宋体" w:hAnsi="宋体" w:eastAsia="宋体" w:cs="宋体"/>
          <w:snapToGrid w:val="0"/>
          <w:color w:val="auto"/>
          <w:szCs w:val="21"/>
          <w:highlight w:val="none"/>
          <w:lang w:val="zh-CN"/>
        </w:rPr>
        <w:t>甲方有权按10,000</w:t>
      </w:r>
      <w:r>
        <w:rPr>
          <w:rFonts w:hint="eastAsia" w:ascii="宋体" w:hAnsi="宋体" w:eastAsia="宋体" w:cs="宋体"/>
          <w:snapToGrid w:val="0"/>
          <w:color w:val="auto"/>
          <w:szCs w:val="21"/>
          <w:highlight w:val="none"/>
        </w:rPr>
        <w:t>.00</w:t>
      </w:r>
      <w:r>
        <w:rPr>
          <w:rFonts w:hint="eastAsia" w:ascii="宋体" w:hAnsi="宋体" w:eastAsia="宋体" w:cs="宋体"/>
          <w:snapToGrid w:val="0"/>
          <w:color w:val="auto"/>
          <w:szCs w:val="21"/>
          <w:highlight w:val="none"/>
          <w:lang w:val="zh-CN"/>
        </w:rPr>
        <w:t>元/次向乙方收取违约金。</w:t>
      </w:r>
    </w:p>
    <w:p>
      <w:pPr>
        <w:spacing w:line="360" w:lineRule="auto"/>
        <w:ind w:firstLine="420" w:firstLineChars="200"/>
        <w:jc w:val="left"/>
        <w:rPr>
          <w:rFonts w:hint="eastAsia"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w:t>
      </w:r>
      <w:r>
        <w:rPr>
          <w:rFonts w:hint="eastAsia" w:ascii="宋体" w:hAnsi="宋体" w:eastAsia="宋体" w:cs="宋体"/>
          <w:snapToGrid w:val="0"/>
          <w:color w:val="auto"/>
          <w:szCs w:val="21"/>
          <w:highlight w:val="none"/>
          <w:lang w:val="en-US" w:eastAsia="zh-CN"/>
        </w:rPr>
        <w:t>九</w:t>
      </w:r>
      <w:r>
        <w:rPr>
          <w:rFonts w:hint="eastAsia" w:ascii="宋体" w:hAnsi="宋体" w:eastAsia="宋体" w:cs="宋体"/>
          <w:snapToGrid w:val="0"/>
          <w:color w:val="auto"/>
          <w:szCs w:val="21"/>
          <w:highlight w:val="none"/>
          <w:lang w:val="zh-CN"/>
        </w:rPr>
        <w:t>）</w:t>
      </w:r>
      <w:r>
        <w:rPr>
          <w:rFonts w:hint="eastAsia" w:ascii="宋体" w:hAnsi="宋体" w:eastAsia="宋体" w:cs="宋体"/>
          <w:snapToGrid w:val="0"/>
          <w:color w:val="auto"/>
          <w:szCs w:val="21"/>
          <w:highlight w:val="none"/>
          <w:lang w:val="en-US" w:eastAsia="zh-CN"/>
        </w:rPr>
        <w:t>因</w:t>
      </w:r>
      <w:r>
        <w:rPr>
          <w:rFonts w:hint="eastAsia" w:ascii="宋体" w:hAnsi="宋体" w:eastAsia="宋体" w:cs="宋体"/>
          <w:snapToGrid w:val="0"/>
          <w:color w:val="auto"/>
          <w:szCs w:val="21"/>
          <w:highlight w:val="none"/>
          <w:lang w:val="zh-CN"/>
        </w:rPr>
        <w:t>收运过程中乙方服务人员工作失误、</w:t>
      </w:r>
      <w:r>
        <w:rPr>
          <w:rFonts w:hint="eastAsia" w:ascii="宋体" w:hAnsi="宋体" w:eastAsia="宋体" w:cs="宋体"/>
          <w:snapToGrid w:val="0"/>
          <w:color w:val="auto"/>
          <w:sz w:val="21"/>
          <w:szCs w:val="21"/>
          <w:highlight w:val="none"/>
          <w:lang w:val="zh-CN"/>
        </w:rPr>
        <w:t>车辆机件故障</w:t>
      </w:r>
      <w:r>
        <w:rPr>
          <w:rFonts w:hint="eastAsia" w:ascii="宋体" w:hAnsi="宋体" w:eastAsia="宋体" w:cs="宋体"/>
          <w:snapToGrid w:val="0"/>
          <w:color w:val="auto"/>
          <w:szCs w:val="21"/>
          <w:highlight w:val="none"/>
          <w:lang w:val="zh-CN"/>
        </w:rPr>
        <w:t>等</w:t>
      </w:r>
      <w:r>
        <w:rPr>
          <w:rFonts w:hint="eastAsia" w:ascii="宋体" w:hAnsi="宋体" w:eastAsia="宋体" w:cs="宋体"/>
          <w:snapToGrid w:val="0"/>
          <w:color w:val="auto"/>
          <w:szCs w:val="21"/>
          <w:highlight w:val="none"/>
          <w:lang w:val="en-US" w:eastAsia="zh-CN"/>
        </w:rPr>
        <w:t>原因</w:t>
      </w:r>
      <w:r>
        <w:rPr>
          <w:rFonts w:hint="eastAsia" w:ascii="宋体" w:hAnsi="宋体" w:eastAsia="宋体" w:cs="宋体"/>
          <w:snapToGrid w:val="0"/>
          <w:color w:val="auto"/>
          <w:szCs w:val="21"/>
          <w:highlight w:val="none"/>
          <w:lang w:val="zh-CN"/>
        </w:rPr>
        <w:t>，发生违法违章或者交通事故而导致的后果和产生的费用由乙方承担，同时乙方应赔偿因此给甲方造成的损失。由此产生的罚款、扣分，如乙方未按要求时间缴清罚款产生的滞纳金及不良后果由乙方承担。同时，甲方有权要求乙方支付3</w:t>
      </w:r>
      <w:r>
        <w:rPr>
          <w:rFonts w:hint="eastAsia" w:ascii="宋体" w:hAnsi="宋体" w:eastAsia="宋体" w:cs="宋体"/>
          <w:snapToGrid w:val="0"/>
          <w:color w:val="auto"/>
          <w:szCs w:val="21"/>
          <w:highlight w:val="none"/>
        </w:rPr>
        <w:t>,</w:t>
      </w:r>
      <w:r>
        <w:rPr>
          <w:rFonts w:hint="eastAsia" w:ascii="宋体" w:hAnsi="宋体" w:eastAsia="宋体" w:cs="宋体"/>
          <w:snapToGrid w:val="0"/>
          <w:color w:val="auto"/>
          <w:szCs w:val="21"/>
          <w:highlight w:val="none"/>
          <w:lang w:val="zh-CN"/>
        </w:rPr>
        <w:t>000.00元/次的违约金，并赔偿因此给甲方造成的损失。影响收运工作的，甲方将按照本条第（一）款约定追究乙方的违约责任。</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w:t>
      </w:r>
      <w:r>
        <w:rPr>
          <w:rFonts w:hint="eastAsia" w:ascii="宋体" w:hAnsi="宋体" w:eastAsia="宋体" w:cs="宋体"/>
          <w:snapToGrid w:val="0"/>
          <w:color w:val="auto"/>
          <w:szCs w:val="21"/>
          <w:highlight w:val="none"/>
          <w:lang w:val="en-US" w:eastAsia="zh-CN"/>
        </w:rPr>
        <w:t>十</w:t>
      </w:r>
      <w:r>
        <w:rPr>
          <w:rFonts w:hint="eastAsia" w:ascii="宋体" w:hAnsi="宋体" w:eastAsia="宋体" w:cs="宋体"/>
          <w:snapToGrid w:val="0"/>
          <w:color w:val="auto"/>
          <w:szCs w:val="21"/>
          <w:highlight w:val="none"/>
          <w:lang w:val="zh-CN"/>
        </w:rPr>
        <w:t>）乙方须对车辆进行常规维修保养（包括机油、机滤、空滤、柴油滤芯的更换，刹车调试、轮胎保养等，保养里程不得大于8000公里），并对维修保养情况形成台账，每月提供甲方检查。如乙方未按合同约定对车辆进行维修保养，甲方有权要求乙方支付3</w:t>
      </w:r>
      <w:r>
        <w:rPr>
          <w:rFonts w:hint="eastAsia" w:ascii="宋体" w:hAnsi="宋体" w:eastAsia="宋体" w:cs="宋体"/>
          <w:snapToGrid w:val="0"/>
          <w:color w:val="auto"/>
          <w:szCs w:val="21"/>
          <w:highlight w:val="none"/>
        </w:rPr>
        <w:t>,</w:t>
      </w:r>
      <w:r>
        <w:rPr>
          <w:rFonts w:hint="eastAsia" w:ascii="宋体" w:hAnsi="宋体" w:eastAsia="宋体" w:cs="宋体"/>
          <w:snapToGrid w:val="0"/>
          <w:color w:val="auto"/>
          <w:szCs w:val="21"/>
          <w:highlight w:val="none"/>
          <w:lang w:val="zh-CN"/>
        </w:rPr>
        <w:t>000.00元/次的违约金，并赔偿因此给甲方造成的损失。</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（十一）乙方负责完成车辆的年审工作，如乙方未按规定进行车辆年审，导致车辆被关部门查处，产生的罚款和扣分由乙方承担，由此影响到收运工作的，乙方应按照1,000</w:t>
      </w:r>
      <w:r>
        <w:rPr>
          <w:rFonts w:hint="eastAsia" w:ascii="宋体" w:hAnsi="宋体" w:eastAsia="宋体" w:cs="宋体"/>
          <w:snapToGrid w:val="0"/>
          <w:color w:val="auto"/>
          <w:szCs w:val="21"/>
          <w:highlight w:val="none"/>
        </w:rPr>
        <w:t>.00</w:t>
      </w:r>
      <w:r>
        <w:rPr>
          <w:rFonts w:hint="eastAsia" w:ascii="宋体" w:hAnsi="宋体" w:eastAsia="宋体" w:cs="宋体"/>
          <w:snapToGrid w:val="0"/>
          <w:color w:val="auto"/>
          <w:szCs w:val="21"/>
          <w:highlight w:val="none"/>
          <w:lang w:val="zh-CN"/>
        </w:rPr>
        <w:t>元/天向甲方支付违约金。</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（十二）由于乙方对所使用车辆及设备保管不当，导致车辆失窃的，乙方须承担赔偿责任，包括保险赔付不足部分的赔偿。同时，甲方有权单方解除合同，乙方应赔偿由此给甲方造成的全部损失并向甲方支付</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0,000.00元违约金。</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（十三）由于乙方服务人员蓄意破坏甲方设备设施、收运车辆的，视为乙方严重违约，甲方有权单方解除合同，乙方应赔偿由此给甲方造成的全部损失并向甲方支付</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0,000.00元违约金。</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十四）禁止乙方使用甲方提供的任何证照擅自拓展业务或用于本合同服务范围外的目的，包括但不限于《营业执照》、《城市生活垃圾经营性清扫、收集、运输服务许可证收运处理许可证》、《城市生活垃圾经营性处置服务许可证》等。乙方违反上述约定</w:t>
      </w:r>
      <w:r>
        <w:rPr>
          <w:rFonts w:hint="eastAsia" w:ascii="宋体" w:hAnsi="宋体" w:eastAsia="宋体" w:cs="宋体"/>
          <w:snapToGrid w:val="0"/>
          <w:color w:val="auto"/>
          <w:szCs w:val="21"/>
          <w:highlight w:val="none"/>
          <w:lang w:val="en-US" w:eastAsia="zh-CN"/>
        </w:rPr>
        <w:t>，</w:t>
      </w:r>
      <w:r>
        <w:rPr>
          <w:rFonts w:hint="eastAsia" w:ascii="宋体" w:hAnsi="宋体" w:eastAsia="宋体" w:cs="宋体"/>
          <w:snapToGrid w:val="0"/>
          <w:color w:val="auto"/>
          <w:szCs w:val="21"/>
          <w:highlight w:val="none"/>
          <w:lang w:val="zh-CN"/>
        </w:rPr>
        <w:t>甲方有权要求乙方支付</w:t>
      </w:r>
      <w:r>
        <w:rPr>
          <w:rFonts w:hint="eastAsia" w:ascii="宋体" w:hAnsi="宋体" w:eastAsia="宋体" w:cs="宋体"/>
          <w:snapToGrid w:val="0"/>
          <w:color w:val="auto"/>
          <w:szCs w:val="21"/>
          <w:highlight w:val="none"/>
          <w:lang w:val="en-US" w:eastAsia="zh-CN"/>
        </w:rPr>
        <w:t>10</w:t>
      </w:r>
      <w:r>
        <w:rPr>
          <w:rFonts w:hint="eastAsia" w:ascii="宋体" w:hAnsi="宋体" w:eastAsia="宋体" w:cs="宋体"/>
          <w:snapToGrid w:val="0"/>
          <w:color w:val="auto"/>
          <w:szCs w:val="21"/>
          <w:highlight w:val="none"/>
        </w:rPr>
        <w:t>,</w:t>
      </w:r>
      <w:r>
        <w:rPr>
          <w:rFonts w:hint="eastAsia" w:ascii="宋体" w:hAnsi="宋体" w:eastAsia="宋体" w:cs="宋体"/>
          <w:snapToGrid w:val="0"/>
          <w:color w:val="auto"/>
          <w:szCs w:val="21"/>
          <w:highlight w:val="none"/>
          <w:lang w:val="zh-CN"/>
        </w:rPr>
        <w:t>000.00元/次的违约金，乙方违反本条约定达2次（含2次）以上的，甲方有权单方解除合同，乙方应向甲方支付</w:t>
      </w:r>
      <w:r>
        <w:rPr>
          <w:rFonts w:hint="eastAsia" w:ascii="宋体" w:hAnsi="宋体" w:eastAsia="宋体" w:cs="宋体"/>
          <w:snapToGrid w:val="0"/>
          <w:color w:val="auto"/>
          <w:szCs w:val="21"/>
          <w:highlight w:val="none"/>
          <w:lang w:val="en-US" w:eastAsia="zh-CN"/>
        </w:rPr>
        <w:t>50</w:t>
      </w:r>
      <w:r>
        <w:rPr>
          <w:rFonts w:hint="eastAsia" w:ascii="宋体" w:hAnsi="宋体" w:eastAsia="宋体" w:cs="宋体"/>
          <w:snapToGrid w:val="0"/>
          <w:color w:val="auto"/>
          <w:szCs w:val="21"/>
          <w:highlight w:val="none"/>
          <w:lang w:val="zh-CN"/>
        </w:rPr>
        <w:t>,000.00元作为违约金，并赔偿因此给甲方造成的损失。</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（十五）乙方在合同履行前，如需投入车辆等相关设备（包括用作派送餐厨垃圾收集桶的车辆等），必须向甲方进行备案，合同履行期间：</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1、乙方不得使用已备案的车辆和设备开展合同约定服务范围外活动；</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2、乙方不得擅自使用其他车辆和设备开展合同约定服务范围内工作；</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3、严禁利用甲方名义，使用其他车辆和设备进行其他服务活动。</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乙方违反上述约定</w:t>
      </w:r>
      <w:r>
        <w:rPr>
          <w:rFonts w:hint="eastAsia" w:ascii="宋体" w:hAnsi="宋体" w:eastAsia="宋体" w:cs="宋体"/>
          <w:snapToGrid w:val="0"/>
          <w:color w:val="auto"/>
          <w:szCs w:val="21"/>
          <w:highlight w:val="none"/>
          <w:lang w:val="en-US" w:eastAsia="zh-CN"/>
        </w:rPr>
        <w:t>，</w:t>
      </w:r>
      <w:r>
        <w:rPr>
          <w:rFonts w:hint="eastAsia" w:ascii="宋体" w:hAnsi="宋体" w:eastAsia="宋体" w:cs="宋体"/>
          <w:snapToGrid w:val="0"/>
          <w:color w:val="auto"/>
          <w:szCs w:val="21"/>
          <w:highlight w:val="none"/>
          <w:lang w:val="zh-CN"/>
        </w:rPr>
        <w:t>甲方有权要求乙方支付</w:t>
      </w:r>
      <w:r>
        <w:rPr>
          <w:rFonts w:hint="eastAsia" w:ascii="宋体" w:hAnsi="宋体" w:eastAsia="宋体" w:cs="宋体"/>
          <w:snapToGrid w:val="0"/>
          <w:color w:val="auto"/>
          <w:szCs w:val="21"/>
          <w:highlight w:val="none"/>
          <w:lang w:val="en-US" w:eastAsia="zh-CN"/>
        </w:rPr>
        <w:t>10</w:t>
      </w:r>
      <w:r>
        <w:rPr>
          <w:rFonts w:hint="eastAsia" w:ascii="宋体" w:hAnsi="宋体" w:eastAsia="宋体" w:cs="宋体"/>
          <w:snapToGrid w:val="0"/>
          <w:color w:val="auto"/>
          <w:szCs w:val="21"/>
          <w:highlight w:val="none"/>
        </w:rPr>
        <w:t>,</w:t>
      </w:r>
      <w:r>
        <w:rPr>
          <w:rFonts w:hint="eastAsia" w:ascii="宋体" w:hAnsi="宋体" w:eastAsia="宋体" w:cs="宋体"/>
          <w:snapToGrid w:val="0"/>
          <w:color w:val="auto"/>
          <w:szCs w:val="21"/>
          <w:highlight w:val="none"/>
          <w:lang w:val="zh-CN"/>
        </w:rPr>
        <w:t>000.00元/次的违约金，乙方违反上述约定达3次（含3次）以上的，甲方有权单方解除合同，乙方还应向甲方支付人民币</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0,000.00元作为违约金，并赔偿因此给甲方造成的名誉和经济损失。</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十六）甲方对乙方实行动态管理，对乙方进行考核，一旦发现乙方违反合同条款，甲方有权要求其限期整改。乙方应在限期内完成整改，如乙方逾期未按甲方要求完成整改或拒绝整改或经整改仍达不到甲方要求的，甲方有权要求乙方支付2,000.00元/次的违约金；累计存在上述情形3次（含本数），甲方除有权按上述标准要求乙方支付违约金外，甲方还有权单方解除本合同，并要求乙方按</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0,000.00元的标准承担违约金，违约金不足以弥补甲方损失的，乙方还应当予以补足。</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（十</w:t>
      </w:r>
      <w:r>
        <w:rPr>
          <w:rFonts w:hint="eastAsia" w:ascii="宋体" w:hAnsi="宋体" w:eastAsia="宋体" w:cs="宋体"/>
          <w:snapToGrid w:val="0"/>
          <w:color w:val="auto"/>
          <w:szCs w:val="21"/>
          <w:highlight w:val="none"/>
          <w:lang w:val="en-US" w:eastAsia="zh-CN"/>
        </w:rPr>
        <w:t>七</w:t>
      </w:r>
      <w:r>
        <w:rPr>
          <w:rFonts w:hint="eastAsia" w:ascii="宋体" w:hAnsi="宋体" w:eastAsia="宋体" w:cs="宋体"/>
          <w:snapToGrid w:val="0"/>
          <w:color w:val="auto"/>
          <w:szCs w:val="21"/>
          <w:highlight w:val="none"/>
          <w:lang w:val="zh-CN"/>
        </w:rPr>
        <w:t>）因乙方违反本合同约定产生的违约金、赔偿金等，甲方有权在未付服务费用或履约担保中直接扣除，如造成甲方损失，且实际损失高于违约金的，甲方有权要求乙方予以补足。</w:t>
      </w:r>
    </w:p>
    <w:p>
      <w:pPr>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snapToGrid w:val="0"/>
          <w:color w:val="auto"/>
          <w:szCs w:val="21"/>
          <w:highlight w:val="none"/>
          <w:lang w:val="zh-CN"/>
        </w:rPr>
        <w:t>（十</w:t>
      </w:r>
      <w:r>
        <w:rPr>
          <w:rFonts w:hint="eastAsia" w:ascii="宋体" w:hAnsi="宋体" w:eastAsia="宋体" w:cs="宋体"/>
          <w:snapToGrid w:val="0"/>
          <w:color w:val="auto"/>
          <w:szCs w:val="21"/>
          <w:highlight w:val="none"/>
          <w:lang w:val="en-US" w:eastAsia="zh-CN"/>
        </w:rPr>
        <w:t>八</w:t>
      </w:r>
      <w:r>
        <w:rPr>
          <w:rFonts w:hint="eastAsia" w:ascii="宋体" w:hAnsi="宋体" w:eastAsia="宋体" w:cs="宋体"/>
          <w:snapToGrid w:val="0"/>
          <w:color w:val="auto"/>
          <w:szCs w:val="21"/>
          <w:highlight w:val="none"/>
          <w:lang w:val="zh-CN"/>
        </w:rPr>
        <w:t>）若乙方发生本合同规定之外的任何违法行为，不得免除其在本合同下的任何责任或义务。</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第十条 不可抗力</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（一）</w:t>
      </w:r>
      <w:r>
        <w:rPr>
          <w:rFonts w:hint="eastAsia" w:ascii="宋体" w:hAnsi="宋体" w:eastAsia="宋体" w:cs="宋体"/>
          <w:color w:val="auto"/>
          <w:szCs w:val="21"/>
          <w:highlight w:val="none"/>
        </w:rPr>
        <w:t>本合同项下不可抗力是指战争、动乱、瘟疫、洪水、地震或其他灾害，以及其他不可预见、不可防止并不能避免或克服的事件。</w:t>
      </w:r>
    </w:p>
    <w:p>
      <w:pPr>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r>
        <w:rPr>
          <w:rFonts w:hint="eastAsia" w:ascii="宋体" w:hAnsi="宋体" w:eastAsia="宋体" w:cs="宋体"/>
          <w:color w:val="auto"/>
          <w:szCs w:val="21"/>
          <w:highlight w:val="none"/>
        </w:rPr>
        <w:t>任何一方因不可抗力引起的履行延迟或履行不能的，不需承担违约责任。但受不可抗力影响的一方应尽快通知另一方，并在不可抗力事件发生后</w:t>
      </w:r>
      <w:r>
        <w:rPr>
          <w:rFonts w:hint="eastAsia" w:ascii="宋体" w:hAnsi="宋体" w:eastAsia="宋体" w:cs="宋体"/>
          <w:color w:val="auto"/>
          <w:szCs w:val="21"/>
          <w:highlight w:val="none"/>
          <w:u w:val="single"/>
        </w:rPr>
        <w:t>7日</w:t>
      </w:r>
      <w:r>
        <w:rPr>
          <w:rFonts w:hint="eastAsia" w:ascii="宋体" w:hAnsi="宋体" w:eastAsia="宋体" w:cs="宋体"/>
          <w:color w:val="auto"/>
          <w:szCs w:val="21"/>
          <w:highlight w:val="none"/>
        </w:rPr>
        <w:t>内，提供政府相关部门出具的证明文件。除非甲方书面另有要求，否则乙方委派的服务人员应尽可能继续履行合同义务，以及寻求合理的方案履行未受不可抗力影响的其它事项。</w:t>
      </w: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rPr>
      </w:pP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第十一条 争议解决</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双方在履约中发生争执和分歧，双方应通过友好协商解决，如不能通过友好协商解决的，任何一方均可向甲方住所地有管辖权的人民法院提起诉讼解决。</w:t>
      </w: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rPr>
      </w:pP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第十二条 合同生效及份数</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（一）本合同一式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份，甲方执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份，乙方执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份，招标代理</w:t>
      </w:r>
      <w:r>
        <w:rPr>
          <w:rFonts w:hint="eastAsia" w:hAnsi="宋体" w:eastAsia="+中文正文" w:cs="宋体"/>
          <w:snapToGrid w:val="0"/>
          <w:color w:val="auto"/>
          <w:szCs w:val="21"/>
          <w:highlight w:val="none"/>
        </w:rPr>
        <w:t>机构</w:t>
      </w:r>
      <w:r>
        <w:rPr>
          <w:rFonts w:hint="eastAsia" w:ascii="宋体" w:hAnsi="宋体" w:eastAsia="宋体" w:cs="宋体"/>
          <w:color w:val="auto"/>
          <w:kern w:val="0"/>
          <w:szCs w:val="21"/>
          <w:highlight w:val="none"/>
        </w:rPr>
        <w:t>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份，具有同等法律效力，本合同自双方法定代表人或授权代表签字并盖章之日起生效至合同项下全部义务履行完毕时终止。</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（二）本合同附件为本合同不可分割内容，与本合同同时生效、同具法律效力。当本合同附件与本合同内容不一致时，以本合同为准。</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附件1：廉洁协议书</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附件2：用户需求书</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附件3：安全管理协议</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附件4：餐厨垃圾收运服务月度考核表</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附件5：上岗责任承诺书</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附件6：试车考核项目</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附件7：餐厨垃圾收运服务人员体检要求</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附件8：餐厨垃圾收运服务人员职业健康体检要求</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pPr>
        <w:autoSpaceDE w:val="0"/>
        <w:autoSpaceDN w:val="0"/>
        <w:adjustRightInd w:val="0"/>
        <w:jc w:val="left"/>
        <w:rPr>
          <w:rFonts w:ascii="宋体" w:hAnsi="宋体" w:eastAsia="宋体" w:cs="宋体"/>
          <w:b/>
          <w:bCs/>
          <w:color w:val="auto"/>
          <w:spacing w:val="2"/>
          <w:kern w:val="0"/>
          <w:szCs w:val="21"/>
          <w:highlight w:val="none"/>
        </w:rPr>
      </w:pPr>
      <w:r>
        <w:rPr>
          <w:rFonts w:hint="eastAsia" w:ascii="宋体" w:hAnsi="宋体" w:eastAsia="宋体" w:cs="宋体"/>
          <w:b/>
          <w:bCs/>
          <w:color w:val="auto"/>
          <w:spacing w:val="2"/>
          <w:kern w:val="0"/>
          <w:szCs w:val="21"/>
          <w:highlight w:val="none"/>
        </w:rPr>
        <w:t>（以下无正文，为本合同的签署栏）</w:t>
      </w:r>
    </w:p>
    <w:p>
      <w:pPr>
        <w:autoSpaceDE w:val="0"/>
        <w:autoSpaceDN w:val="0"/>
        <w:adjustRightInd w:val="0"/>
        <w:ind w:right="-26"/>
        <w:jc w:val="center"/>
        <w:rPr>
          <w:rFonts w:ascii="宋体" w:hAnsi="宋体" w:eastAsia="宋体" w:cs="宋体"/>
          <w:b/>
          <w:bCs/>
          <w:color w:val="auto"/>
          <w:szCs w:val="21"/>
          <w:highlight w:val="none"/>
          <w:lang w:val="zh-CN"/>
        </w:rPr>
      </w:pPr>
    </w:p>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甲      方：（盖章）</w:t>
      </w:r>
    </w:p>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电      话：                       </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地      址：    </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签 订 日期：   年   月   日              </w:t>
      </w:r>
    </w:p>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      方：（盖章）</w:t>
      </w:r>
    </w:p>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p>
    <w:p>
      <w:pPr>
        <w:autoSpaceDE w:val="0"/>
        <w:autoSpaceDN w:val="0"/>
        <w:adjustRightInd w:val="0"/>
        <w:jc w:val="left"/>
        <w:rPr>
          <w:rFonts w:ascii="等线 Light" w:hAnsi="Times New Roman" w:eastAsia="宋体" w:cs="Times New Roman"/>
          <w:color w:val="auto"/>
          <w:kern w:val="0"/>
          <w:sz w:val="24"/>
          <w:szCs w:val="24"/>
          <w:highlight w:val="none"/>
        </w:rPr>
      </w:pPr>
      <w:r>
        <w:rPr>
          <w:rFonts w:hint="eastAsia" w:ascii="宋体" w:hAnsi="宋体" w:eastAsia="宋体" w:cs="宋体"/>
          <w:color w:val="auto"/>
          <w:kern w:val="0"/>
          <w:szCs w:val="21"/>
          <w:highlight w:val="none"/>
        </w:rPr>
        <w:t>签 订 日 期：   年   月   日</w:t>
      </w:r>
    </w:p>
    <w:p>
      <w:pPr>
        <w:pageBreakBefore/>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附件1：廉洁协议书</w:t>
      </w:r>
    </w:p>
    <w:p>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廉洁协议书</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项目名称：东莞市利源有机资源再生利用有限公司2024-2025年餐厨垃圾收运服务采购项目</w:t>
      </w:r>
      <w:r>
        <w:rPr>
          <w:rFonts w:hint="eastAsia" w:ascii="宋体" w:hAnsi="宋体" w:eastAsia="宋体" w:cs="宋体"/>
          <w:color w:val="auto"/>
          <w:szCs w:val="21"/>
          <w:highlight w:val="none"/>
        </w:rPr>
        <w:t>（招标编号：</w:t>
      </w:r>
      <w:r>
        <w:rPr>
          <w:rFonts w:hint="eastAsia" w:ascii="宋体" w:hAnsi="宋体" w:eastAsia="宋体" w:cs="宋体"/>
          <w:color w:val="auto"/>
          <w:kern w:val="0"/>
          <w:szCs w:val="21"/>
          <w:highlight w:val="none"/>
        </w:rPr>
        <w:t>0832-SFCX24DG024C</w:t>
      </w:r>
      <w:r>
        <w:rPr>
          <w:rFonts w:hint="eastAsia" w:ascii="宋体" w:hAnsi="宋体" w:eastAsia="宋体" w:cs="宋体"/>
          <w:color w:val="auto"/>
          <w:szCs w:val="21"/>
          <w:highlight w:val="none"/>
        </w:rPr>
        <w:t>）</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甲方（业主单位）：</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乙方：</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  甲乙双方的权利和义务</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（一）严格遵守党和国家有关法律法规等有关廉洁从业规定。</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（二）严格执行本项目的合同文件，自觉按合同办事。</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（三）双方的业务活动坚持公开、公正、诚信、透明的原则（除法律认定的商业秘密和合同文件另有规定之外）不得损害国家和集体利益，违反工程建设管理及其他法律法规规章制度。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（四）建立健全廉洁制度，开展廉洁教育，设立廉洁监督公示牌，公布举报电话，监督并认真查处违法违纪行为。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（五）发现对方在业务活动中有违反廉洁规定的行为，有及时提醒对方纠正的权利和义务。</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（六）发现对方严重违反本协议义务条款的行为，有向其上级有关部门举报、建议给予处理并要求告知处理结果的权利。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  甲方的义务</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（一）甲方及其工作人员不得索要或接受乙方的礼金、有价证券和贵重物品，不得在乙方报销任何应由甲方或个人支付的费用。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（二）甲方工作人员不得参加乙方安排的高消费宴请和娱乐活动；不得接受乙方提供的通讯工具、交通工具和高档办公用品。</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（三）甲方及其工作人员不得要求或者接受乙方为其住房装修、婚丧嫁娶活动、家属或亲友的工作安排以及出国出境、旅游等提供方便。</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（四）甲方工作人员不得向乙方介绍其家属或者亲友（包括家属或亲友开办的公司企业）从事于本项目涉及的经济业务活动。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（五）甲方及其工作人员不得以任何理由向乙方推荐分包单位，不得要求乙方购买合同规定外的材料和设备。</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（六）甲方及其工作人员不得进行违反廉洁规定的其他活动。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  乙方义务</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（一）乙方不得以任何理由向甲方及其工作人员馈赠礼金、有价证券、贵重礼品，或报销应由甲方单位或个人支付的任何费用。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（二）乙方及其工作人员不得以考察、参观、洽谈业务、签订合同等的借口邀请甲方及其工作人员参加高消费的宴请、娱乐和健身等活动。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（三）乙方不得为甲方单位和个人购置或提供通讯工具、交通工具和高档办公用品等。</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（四）乙方及其工作人员不得为甲方工作人员购买、装修、维修私人住房、汽车等。</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（五）乙方及其工作人员不得为甲方工作人员的婚丧嫁娶、家属或亲友的工作安排，及出国出境提供方便以及报销任何私人消费的费用。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（六）乙方及其工作人员不得进行影响甲方及其工作人员公正执行合同和履行职务的其他活动。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  违约责任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（一）甲方违反本协议第一、第二条给乙方单位造成经济损失的，应予以赔偿。</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（二）乙方违反本协议第一、第三条给甲方单位造成经济损失的，应予以赔偿。</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  监督检查</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甲乙双方的廉洁从业行为由双方或双方上级单位的纪检、监察部门负责监督，对本协议履行情况进行检查。</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 举报信访受理</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（一）举报受理部门：东莞市水务集团有限公司纪检监察部。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（二）举报电话：（0769）23076092。</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Fonts w:hint="eastAsia" w:ascii="宋体" w:hAnsi="宋体" w:eastAsia="宋体" w:cs="宋体"/>
          <w:color w:val="auto"/>
          <w:kern w:val="0"/>
          <w:szCs w:val="21"/>
          <w:highlight w:val="none"/>
        </w:rPr>
        <w:t>jcsj@dgswjt.cn。</w:t>
      </w:r>
      <w:r>
        <w:rPr>
          <w:rFonts w:hint="eastAsia" w:ascii="宋体" w:hAnsi="宋体" w:eastAsia="宋体" w:cs="宋体"/>
          <w:color w:val="auto"/>
          <w:kern w:val="0"/>
          <w:szCs w:val="21"/>
          <w:highlight w:val="none"/>
        </w:rPr>
        <w:fldChar w:fldCharType="end"/>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（四）信访地址：广东省东莞市东城街道育华路1号。</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 其他</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本协议有效期为甲乙双方签字并加盖公章之日起至采购项目服务期满后止。</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本协议一式   份，</w:t>
      </w:r>
      <w:r>
        <w:rPr>
          <w:rFonts w:hint="eastAsia" w:ascii="宋体" w:hAnsi="宋体" w:eastAsia="宋体" w:cs="宋体"/>
          <w:color w:val="auto"/>
          <w:szCs w:val="21"/>
          <w:highlight w:val="none"/>
        </w:rPr>
        <w:t>甲方执叁份，乙方执【】份，招标代理机构执  份</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pPr>
        <w:spacing w:before="48" w:beforeLines="20" w:after="48" w:afterLines="20"/>
        <w:ind w:firstLine="420" w:firstLineChars="200"/>
        <w:rPr>
          <w:rFonts w:ascii="宋体" w:hAnsi="宋体" w:eastAsia="宋体" w:cs="宋体"/>
          <w:color w:val="auto"/>
          <w:szCs w:val="21"/>
          <w:highlight w:val="none"/>
        </w:rPr>
      </w:pPr>
    </w:p>
    <w:p>
      <w:pPr>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pPr>
        <w:spacing w:before="48" w:beforeLines="20" w:after="48" w:afterLines="20"/>
        <w:ind w:firstLine="420" w:firstLineChars="200"/>
        <w:rPr>
          <w:rFonts w:ascii="宋体" w:hAnsi="宋体" w:eastAsia="宋体" w:cs="宋体"/>
          <w:color w:val="auto"/>
          <w:szCs w:val="21"/>
          <w:highlight w:val="none"/>
        </w:rPr>
      </w:pPr>
    </w:p>
    <w:p>
      <w:pPr>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法定代表人（或授权代表）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法定代表人（或授权代表）</w:t>
      </w:r>
      <w:r>
        <w:rPr>
          <w:rFonts w:hint="eastAsia" w:ascii="宋体" w:hAnsi="宋体" w:eastAsia="宋体" w:cs="宋体"/>
          <w:color w:val="auto"/>
          <w:szCs w:val="21"/>
          <w:highlight w:val="none"/>
        </w:rPr>
        <w:t>：</w:t>
      </w:r>
    </w:p>
    <w:p>
      <w:pPr>
        <w:spacing w:before="48" w:beforeLines="20" w:after="48" w:afterLines="20"/>
        <w:ind w:firstLine="420" w:firstLineChars="200"/>
        <w:rPr>
          <w:rFonts w:ascii="宋体" w:hAnsi="宋体" w:eastAsia="宋体" w:cs="宋体"/>
          <w:color w:val="auto"/>
          <w:szCs w:val="21"/>
          <w:highlight w:val="none"/>
        </w:rPr>
      </w:pPr>
    </w:p>
    <w:p>
      <w:pPr>
        <w:spacing w:before="48" w:beforeLines="20" w:after="48" w:afterLines="20"/>
        <w:rPr>
          <w:rFonts w:ascii="宋体" w:hAnsi="宋体" w:eastAsia="宋体" w:cs="宋体"/>
          <w:color w:val="auto"/>
          <w:szCs w:val="21"/>
          <w:highlight w:val="none"/>
        </w:rPr>
      </w:pPr>
    </w:p>
    <w:p>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签订日期：    年  月  日                  年  月  日</w:t>
      </w:r>
    </w:p>
    <w:p>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pPr>
        <w:pageBreakBefore/>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附件3：安全管理协议</w:t>
      </w:r>
    </w:p>
    <w:p>
      <w:pPr>
        <w:spacing w:line="360" w:lineRule="auto"/>
        <w:ind w:right="31" w:rightChars="15"/>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安全管理协议</w:t>
      </w:r>
    </w:p>
    <w:p>
      <w:pPr>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项目名称：东莞市利源有机资源再生利用有限公司2024-2025年餐厨垃圾收运服务采购项目</w:t>
      </w:r>
      <w:r>
        <w:rPr>
          <w:rFonts w:hint="eastAsia" w:ascii="宋体" w:hAnsi="宋体" w:eastAsia="宋体" w:cs="宋体"/>
          <w:color w:val="auto"/>
          <w:szCs w:val="21"/>
          <w:highlight w:val="none"/>
        </w:rPr>
        <w:t>（招标编号：</w:t>
      </w:r>
      <w:r>
        <w:rPr>
          <w:rFonts w:hint="eastAsia" w:ascii="宋体" w:hAnsi="宋体" w:eastAsia="宋体" w:cs="宋体"/>
          <w:color w:val="auto"/>
          <w:kern w:val="0"/>
          <w:szCs w:val="21"/>
          <w:highlight w:val="none"/>
        </w:rPr>
        <w:t>0832-SFCX24DG024C</w:t>
      </w:r>
      <w:r>
        <w:rPr>
          <w:rFonts w:hint="eastAsia" w:ascii="宋体" w:hAnsi="宋体" w:eastAsia="宋体" w:cs="宋体"/>
          <w:color w:val="auto"/>
          <w:szCs w:val="21"/>
          <w:highlight w:val="none"/>
        </w:rPr>
        <w:t>）</w:t>
      </w:r>
    </w:p>
    <w:p>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甲方：</w:t>
      </w:r>
    </w:p>
    <w:p>
      <w:pPr>
        <w:pStyle w:val="2"/>
        <w:jc w:val="both"/>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地址：</w:t>
      </w:r>
    </w:p>
    <w:p>
      <w:pPr>
        <w:pStyle w:val="2"/>
        <w:jc w:val="both"/>
        <w:rPr>
          <w:color w:val="auto"/>
          <w:sz w:val="21"/>
          <w:szCs w:val="21"/>
          <w:highlight w:val="none"/>
          <w:lang w:val="en-US"/>
        </w:rPr>
      </w:pPr>
    </w:p>
    <w:p>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乙方：</w:t>
      </w:r>
    </w:p>
    <w:p>
      <w:pPr>
        <w:pStyle w:val="2"/>
        <w:jc w:val="both"/>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地址：</w:t>
      </w:r>
    </w:p>
    <w:p>
      <w:pPr>
        <w:spacing w:line="360" w:lineRule="auto"/>
        <w:ind w:firstLine="420" w:firstLineChars="200"/>
        <w:rPr>
          <w:rFonts w:ascii="宋体" w:hAnsi="宋体" w:eastAsia="宋体" w:cs="宋体"/>
          <w:color w:val="auto"/>
          <w:szCs w:val="21"/>
          <w:highlight w:val="none"/>
        </w:rPr>
      </w:pP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为做好安全管理工作，防止安全事故发生，确保人身安全，落实安全生产责任制，明确双方的安全责任，确保本项目服务范围内及周边设施、收运人员的安全，依据有关法律、行政法规，经双方协商一致，甲、乙双方对本项目安全管理达成本协议。</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一、乙方应将本企业的营业执照、企业资质等级证书、进场人员花名册，不得使用未成年工、童工、超龄工和安排女工从事禁忌劳动。</w:t>
      </w:r>
    </w:p>
    <w:p>
      <w:pPr>
        <w:spacing w:line="360" w:lineRule="auto"/>
        <w:ind w:firstLine="420" w:firstLineChars="200"/>
        <w:rPr>
          <w:color w:val="auto"/>
          <w:highlight w:val="none"/>
        </w:rPr>
      </w:pPr>
      <w:r>
        <w:rPr>
          <w:rFonts w:hint="eastAsia" w:ascii="宋体" w:hAnsi="宋体" w:eastAsia="宋体" w:cs="宋体"/>
          <w:color w:val="auto"/>
          <w:szCs w:val="21"/>
          <w:highlight w:val="none"/>
        </w:rPr>
        <w:t>二、乙方确保服务人员身体检查健康，无影响正常工作的疾病。</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甲方有权对乙方收运实施安全监督行为，有权对乙方进行监督、检查、指导。属于甲方依自身管理需要的监管行为，其行为不构成责任主体行为，无需对该项目发生的安全事故承担任何责任。乙方对该项目的安全管理负全部责任。</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乙方收运过程中因个人驾驶或未按照收运操作要求造成自身及他人伤亡情况，甲方不负任何责任。但甲方有义务协助乙方做好事故的处理工作，协助相关部门做好事故的调查取证工作，期间发生的一切费用由乙方承担。</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乙方在本项目中，安排机动车司机等特殊工种收运人员，必须经过专门的安全技术培训，持证上岗。乙方要如实向甲方报告特种工作人员的资格状况。甲方对乙方司机人员资格进行验证，禁止无驾驶证人员从事司机工作。</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六、未经甲方允许乙方请勿私自带车辆、设备进行收运作业。</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乙方在本项目中，必须设立专职安全员，负责收运人员的安全防护告知，安全操作规程培训，保证收运人员具备必要的安全生产知识，熟悉有关的安全生产规章制度和安全操作规程，掌握本岗位的安全操作技能，了解事故应急处理措施，知悉自身在安全生产方面的权利和义务。未经安全生产教育和培训合格的收运人员，不得上岗作业。</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乙方应严格遵守国家、地方政府有关安全生产及劳动保护的法律法规、标准、规定，贯彻执行甲方的各项安全管理规章制度。尤其要建立并落实安全生产责任制度，依法参加工伤保险等。在本合同履行期间，乙方承担聘请人员的用工责任及用人单位责任，为其雇员、劳动者提供劳动防护（不限于职业病防护）、购买社会保险或意外伤害保险 ，承担并支付保险费用。如乙方人员（包括雇员、劳动者等）在服务过程中发生意外事故的，由乙方承担全部责任并支付全部费用。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因乙方责任造成甲方、乙方或第三方人员伤亡事故、交通事故，由乙方承担全部责任。该项目服务期间发生的任何伤亡事故，无论责任是否划分清晰，乙方均应积极承担事故处理与善后工作，积极处理并垫付医疗费、工伤赔偿金等相关费用，保证该项目形象不受影响。若因乙方处理不力导致甲方垫付相关费用或遭受主管机关处罚的，乙方需赔偿甲方的全部损失。</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十、根据情况，甲方安全管理人员或上级主管部门有权停止乙方各项工作，必要时责令停工整顿；甲方有权对于不符合安全规程和甲方安全管理要求的其它事项，按甲方相关安全管理制度及考核标准进行考核。</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十一、若产生劳动纠纷或仲裁或诉讼，均由乙方自行处理并承担损害赔偿责任，甲方不承担任何责任；因此导致甲方需要支出相关律师费、诉讼费等相关费用，由乙方全额向甲方赔偿。</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十二、本协议的订立、履行、变更、终止、解释、争议的解决等，均适用中华人民共和国现行有效的法律。</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十三、本协议一式   份，</w:t>
      </w:r>
      <w:r>
        <w:rPr>
          <w:rFonts w:hint="eastAsia" w:ascii="宋体" w:hAnsi="宋体" w:eastAsia="宋体" w:cs="宋体"/>
          <w:color w:val="auto"/>
          <w:szCs w:val="21"/>
          <w:highlight w:val="none"/>
        </w:rPr>
        <w:t>甲方执【】份，乙方执【】份，招标代理机构执  份，具同等法律效力。本协议自双方法定代表人或负责人签署并加盖公章或合同专用章之日起生效。</w:t>
      </w:r>
    </w:p>
    <w:p>
      <w:pPr>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甲方：    （盖章）                             乙方：      （盖章）</w:t>
      </w:r>
    </w:p>
    <w:p>
      <w:pPr>
        <w:spacing w:line="360" w:lineRule="auto"/>
        <w:ind w:firstLine="420" w:firstLineChars="200"/>
        <w:rPr>
          <w:rFonts w:ascii="宋体" w:hAnsi="宋体" w:eastAsia="宋体" w:cs="宋体"/>
          <w:color w:val="auto"/>
          <w:szCs w:val="21"/>
          <w:highlight w:val="none"/>
        </w:rPr>
      </w:pP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法定代表人（或授权代表）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法定代表人（或授权代表）</w:t>
      </w:r>
      <w:r>
        <w:rPr>
          <w:rFonts w:hint="eastAsia" w:ascii="宋体" w:hAnsi="宋体" w:eastAsia="宋体" w:cs="宋体"/>
          <w:color w:val="auto"/>
          <w:szCs w:val="21"/>
          <w:highlight w:val="none"/>
        </w:rPr>
        <w:t>：</w:t>
      </w:r>
    </w:p>
    <w:p>
      <w:pPr>
        <w:spacing w:line="360" w:lineRule="auto"/>
        <w:ind w:firstLine="420" w:firstLineChars="200"/>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签订日期：    年  月  日   </w:t>
      </w:r>
    </w:p>
    <w:p>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pPr>
        <w:tabs>
          <w:tab w:val="left" w:pos="1260"/>
        </w:tabs>
        <w:snapToGrid w:val="0"/>
        <w:spacing w:line="360" w:lineRule="auto"/>
        <w:ind w:firstLine="211" w:firstLineChars="100"/>
        <w:textAlignment w:val="baseline"/>
        <w:rPr>
          <w:rFonts w:ascii="宋体" w:hAnsi="宋体" w:eastAsia="宋体" w:cs="宋体"/>
          <w:color w:val="auto"/>
          <w:szCs w:val="21"/>
          <w:highlight w:val="none"/>
        </w:rPr>
      </w:pPr>
      <w:r>
        <w:rPr>
          <w:rFonts w:hint="eastAsia" w:ascii="宋体" w:hAnsi="宋体" w:eastAsia="宋体" w:cs="宋体"/>
          <w:b/>
          <w:bCs/>
          <w:color w:val="auto"/>
          <w:szCs w:val="21"/>
          <w:highlight w:val="none"/>
        </w:rPr>
        <w:t>附件4：餐厨垃圾收运服务月度考核表</w:t>
      </w:r>
    </w:p>
    <w:tbl>
      <w:tblPr>
        <w:tblStyle w:val="38"/>
        <w:tblW w:w="5000" w:type="pct"/>
        <w:jc w:val="center"/>
        <w:tblLayout w:type="autofit"/>
        <w:tblCellMar>
          <w:top w:w="0" w:type="dxa"/>
          <w:left w:w="108" w:type="dxa"/>
          <w:bottom w:w="0" w:type="dxa"/>
          <w:right w:w="108" w:type="dxa"/>
        </w:tblCellMar>
      </w:tblPr>
      <w:tblGrid>
        <w:gridCol w:w="1111"/>
        <w:gridCol w:w="755"/>
        <w:gridCol w:w="2120"/>
        <w:gridCol w:w="4810"/>
        <w:gridCol w:w="1574"/>
      </w:tblGrid>
      <w:tr>
        <w:tblPrEx>
          <w:tblCellMar>
            <w:top w:w="0" w:type="dxa"/>
            <w:left w:w="108" w:type="dxa"/>
            <w:bottom w:w="0" w:type="dxa"/>
            <w:right w:w="108" w:type="dxa"/>
          </w:tblCellMar>
        </w:tblPrEx>
        <w:trPr>
          <w:trHeight w:val="78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7770" w:hanging="7770" w:hangingChars="370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 w:val="32"/>
                <w:szCs w:val="32"/>
                <w:highlight w:val="none"/>
                <w:lang w:bidi="ar"/>
              </w:rPr>
              <w:t xml:space="preserve">  </w:t>
            </w:r>
            <w:r>
              <w:rPr>
                <w:rFonts w:hint="eastAsia" w:ascii="宋体" w:hAnsi="宋体" w:eastAsia="宋体" w:cs="宋体"/>
                <w:color w:val="auto"/>
                <w:kern w:val="0"/>
                <w:sz w:val="32"/>
                <w:szCs w:val="32"/>
                <w:highlight w:val="none"/>
                <w:lang w:val="en-US" w:eastAsia="zh-CN" w:bidi="ar"/>
              </w:rPr>
              <w:t xml:space="preserve">      </w:t>
            </w:r>
            <w:r>
              <w:rPr>
                <w:rFonts w:hint="eastAsia" w:ascii="宋体" w:hAnsi="宋体" w:eastAsia="宋体" w:cs="宋体"/>
                <w:color w:val="auto"/>
                <w:kern w:val="0"/>
                <w:sz w:val="32"/>
                <w:szCs w:val="32"/>
                <w:highlight w:val="none"/>
                <w:lang w:bidi="ar"/>
              </w:rPr>
              <w:t xml:space="preserve">  利源公司餐厨垃圾收运服务月度考核表</w:t>
            </w:r>
            <w:r>
              <w:rPr>
                <w:rFonts w:hint="eastAsia" w:ascii="宋体" w:hAnsi="宋体" w:eastAsia="宋体" w:cs="宋体"/>
                <w:color w:val="auto"/>
                <w:kern w:val="0"/>
                <w:szCs w:val="21"/>
                <w:highlight w:val="none"/>
                <w:lang w:bidi="ar"/>
              </w:rPr>
              <w:t xml:space="preserve">                                                                  </w:t>
            </w:r>
          </w:p>
          <w:p>
            <w:pPr>
              <w:widowControl/>
              <w:ind w:left="7770" w:hanging="7770" w:hangingChars="3700"/>
              <w:jc w:val="righ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年  月</w:t>
            </w:r>
          </w:p>
        </w:tc>
      </w:tr>
      <w:tr>
        <w:tblPrEx>
          <w:tblCellMar>
            <w:top w:w="0" w:type="dxa"/>
            <w:left w:w="108" w:type="dxa"/>
            <w:bottom w:w="0" w:type="dxa"/>
            <w:right w:w="108" w:type="dxa"/>
          </w:tblCellMar>
        </w:tblPrEx>
        <w:trPr>
          <w:trHeight w:val="177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06"/>
                <w:rFonts w:hint="default"/>
                <w:color w:val="auto"/>
                <w:sz w:val="21"/>
                <w:szCs w:val="21"/>
                <w:highlight w:val="none"/>
                <w:lang w:bidi="ar"/>
              </w:rPr>
            </w:pPr>
            <w:r>
              <w:rPr>
                <w:rStyle w:val="207"/>
                <w:rFonts w:hint="default" w:ascii="宋体" w:hAnsi="宋体" w:eastAsia="宋体" w:cs="宋体"/>
                <w:color w:val="auto"/>
                <w:sz w:val="21"/>
                <w:szCs w:val="21"/>
                <w:highlight w:val="none"/>
                <w:lang w:bidi="ar"/>
              </w:rPr>
              <w:t>餐厨垃圾收运服务考核评分须知</w:t>
            </w:r>
            <w:r>
              <w:rPr>
                <w:rStyle w:val="106"/>
                <w:rFonts w:hint="default"/>
                <w:color w:val="auto"/>
                <w:sz w:val="21"/>
                <w:szCs w:val="21"/>
                <w:highlight w:val="none"/>
                <w:lang w:bidi="ar"/>
              </w:rPr>
              <w:br w:type="textWrapping"/>
            </w:r>
            <w:r>
              <w:rPr>
                <w:rStyle w:val="106"/>
                <w:rFonts w:hint="default"/>
                <w:color w:val="auto"/>
                <w:sz w:val="21"/>
                <w:szCs w:val="21"/>
                <w:highlight w:val="none"/>
                <w:lang w:bidi="ar"/>
              </w:rPr>
              <w:t>1、甲方对餐厨垃圾收运服务每月出具一次考核结果，该结果与每月支付的服务费用直接挂钩，考核总分为100分。</w:t>
            </w:r>
            <w:r>
              <w:rPr>
                <w:rStyle w:val="106"/>
                <w:rFonts w:hint="default"/>
                <w:color w:val="auto"/>
                <w:sz w:val="21"/>
                <w:szCs w:val="21"/>
                <w:highlight w:val="none"/>
                <w:lang w:bidi="ar"/>
              </w:rPr>
              <w:br w:type="textWrapping"/>
            </w:r>
            <w:r>
              <w:rPr>
                <w:rStyle w:val="106"/>
                <w:rFonts w:hint="default"/>
                <w:color w:val="auto"/>
                <w:sz w:val="21"/>
                <w:szCs w:val="21"/>
                <w:highlight w:val="none"/>
                <w:lang w:bidi="ar"/>
              </w:rPr>
              <w:t>2、甲方将严格按照考核评分标准对乙方进行月度检查、</w:t>
            </w:r>
            <w:r>
              <w:rPr>
                <w:rStyle w:val="106"/>
                <w:rFonts w:hint="eastAsia" w:eastAsia="宋体"/>
                <w:color w:val="auto"/>
                <w:sz w:val="21"/>
                <w:szCs w:val="21"/>
                <w:highlight w:val="none"/>
                <w:lang w:eastAsia="zh-CN" w:bidi="ar"/>
              </w:rPr>
              <w:t>考核</w:t>
            </w:r>
            <w:r>
              <w:rPr>
                <w:rStyle w:val="106"/>
                <w:rFonts w:hint="default"/>
                <w:color w:val="auto"/>
                <w:sz w:val="21"/>
                <w:szCs w:val="21"/>
                <w:highlight w:val="none"/>
                <w:lang w:bidi="ar"/>
              </w:rPr>
              <w:t>和验收。</w:t>
            </w:r>
            <w:r>
              <w:rPr>
                <w:rStyle w:val="106"/>
                <w:rFonts w:hint="default"/>
                <w:color w:val="auto"/>
                <w:sz w:val="21"/>
                <w:szCs w:val="21"/>
                <w:highlight w:val="none"/>
                <w:lang w:bidi="ar"/>
              </w:rPr>
              <w:br w:type="textWrapping"/>
            </w:r>
            <w:r>
              <w:rPr>
                <w:rStyle w:val="106"/>
                <w:rFonts w:hint="default"/>
                <w:color w:val="auto"/>
                <w:sz w:val="21"/>
                <w:szCs w:val="21"/>
                <w:highlight w:val="none"/>
                <w:lang w:bidi="ar"/>
              </w:rPr>
              <w:t>3、甲方的检查采用明检与暗检相结合的方式，以暗检为主。</w:t>
            </w:r>
            <w:r>
              <w:rPr>
                <w:rStyle w:val="106"/>
                <w:rFonts w:hint="default"/>
                <w:color w:val="auto"/>
                <w:sz w:val="21"/>
                <w:szCs w:val="21"/>
                <w:highlight w:val="none"/>
                <w:lang w:bidi="ar"/>
              </w:rPr>
              <w:br w:type="textWrapping"/>
            </w:r>
            <w:r>
              <w:rPr>
                <w:rStyle w:val="106"/>
                <w:rFonts w:hint="default"/>
                <w:color w:val="auto"/>
                <w:sz w:val="21"/>
                <w:szCs w:val="21"/>
                <w:highlight w:val="none"/>
                <w:lang w:bidi="ar"/>
              </w:rPr>
              <w:t>4、经考核取得</w:t>
            </w:r>
            <w:r>
              <w:rPr>
                <w:rStyle w:val="106"/>
                <w:rFonts w:hint="eastAsia" w:eastAsia="宋体"/>
                <w:color w:val="auto"/>
                <w:sz w:val="21"/>
                <w:szCs w:val="21"/>
                <w:highlight w:val="none"/>
                <w:lang w:val="en-US" w:eastAsia="zh-CN" w:bidi="ar"/>
              </w:rPr>
              <w:t>90</w:t>
            </w:r>
            <w:r>
              <w:rPr>
                <w:rStyle w:val="106"/>
                <w:rFonts w:hint="default"/>
                <w:color w:val="auto"/>
                <w:sz w:val="21"/>
                <w:szCs w:val="21"/>
                <w:highlight w:val="none"/>
                <w:lang w:bidi="ar"/>
              </w:rPr>
              <w:t>分及以上者为合格，甲方全额支付当月服务费；未达到</w:t>
            </w:r>
            <w:r>
              <w:rPr>
                <w:rStyle w:val="106"/>
                <w:rFonts w:hint="eastAsia" w:eastAsia="宋体"/>
                <w:color w:val="auto"/>
                <w:sz w:val="21"/>
                <w:szCs w:val="21"/>
                <w:highlight w:val="none"/>
                <w:lang w:val="en-US" w:eastAsia="zh-CN" w:bidi="ar"/>
              </w:rPr>
              <w:t>90</w:t>
            </w:r>
            <w:r>
              <w:rPr>
                <w:rStyle w:val="106"/>
                <w:rFonts w:hint="default"/>
                <w:color w:val="auto"/>
                <w:sz w:val="21"/>
                <w:szCs w:val="21"/>
                <w:highlight w:val="none"/>
                <w:lang w:bidi="ar"/>
              </w:rPr>
              <w:t>分者则为不合格，每低1分（不满1分按1分计算），甲方按当月</w:t>
            </w:r>
            <w:r>
              <w:rPr>
                <w:rFonts w:hint="eastAsia" w:ascii="宋体" w:hAnsi="宋体" w:eastAsia="宋体" w:cs="宋体"/>
                <w:b w:val="0"/>
                <w:bCs w:val="0"/>
                <w:color w:val="auto"/>
                <w:sz w:val="21"/>
                <w:szCs w:val="21"/>
                <w:highlight w:val="none"/>
              </w:rPr>
              <w:t>计量服务费</w:t>
            </w:r>
            <w:r>
              <w:rPr>
                <w:rStyle w:val="106"/>
                <w:rFonts w:hint="default"/>
                <w:color w:val="auto"/>
                <w:sz w:val="21"/>
                <w:szCs w:val="21"/>
                <w:highlight w:val="none"/>
                <w:lang w:bidi="ar"/>
              </w:rPr>
              <w:t>总额</w:t>
            </w:r>
            <w:r>
              <w:rPr>
                <w:rStyle w:val="106"/>
                <w:rFonts w:hint="eastAsia" w:eastAsia="宋体"/>
                <w:color w:val="auto"/>
                <w:sz w:val="21"/>
                <w:szCs w:val="21"/>
                <w:highlight w:val="none"/>
                <w:lang w:val="en-US" w:eastAsia="zh-CN" w:bidi="ar"/>
              </w:rPr>
              <w:t>1</w:t>
            </w:r>
            <w:r>
              <w:rPr>
                <w:rStyle w:val="106"/>
                <w:rFonts w:hint="default"/>
                <w:color w:val="auto"/>
                <w:sz w:val="21"/>
                <w:szCs w:val="21"/>
                <w:highlight w:val="none"/>
                <w:lang w:bidi="ar"/>
              </w:rPr>
              <w:t>%的比例扣减当月服务费；低于</w:t>
            </w:r>
            <w:r>
              <w:rPr>
                <w:rStyle w:val="106"/>
                <w:rFonts w:hint="eastAsia" w:eastAsia="宋体"/>
                <w:color w:val="auto"/>
                <w:sz w:val="21"/>
                <w:szCs w:val="21"/>
                <w:highlight w:val="none"/>
                <w:lang w:val="en-US" w:eastAsia="zh-CN" w:bidi="ar"/>
              </w:rPr>
              <w:t>80</w:t>
            </w:r>
            <w:r>
              <w:rPr>
                <w:rStyle w:val="106"/>
                <w:rFonts w:hint="default"/>
                <w:color w:val="auto"/>
                <w:sz w:val="21"/>
                <w:szCs w:val="21"/>
                <w:highlight w:val="none"/>
                <w:lang w:bidi="ar"/>
              </w:rPr>
              <w:t>分，</w:t>
            </w:r>
            <w:r>
              <w:rPr>
                <w:rStyle w:val="106"/>
                <w:rFonts w:hint="eastAsia" w:ascii="宋体" w:hAnsi="宋体" w:eastAsia="宋体" w:cs="宋体"/>
                <w:b w:val="0"/>
                <w:bCs w:val="0"/>
                <w:color w:val="auto"/>
                <w:sz w:val="21"/>
                <w:szCs w:val="21"/>
                <w:highlight w:val="none"/>
                <w:lang w:val="en-US" w:eastAsia="zh-CN" w:bidi="ar"/>
              </w:rPr>
              <w:t>除按当月结算服务费总额1%的比例扣减当月服务费外，</w:t>
            </w:r>
            <w:r>
              <w:rPr>
                <w:rStyle w:val="106"/>
                <w:rFonts w:hint="default"/>
                <w:color w:val="auto"/>
                <w:sz w:val="21"/>
                <w:szCs w:val="21"/>
                <w:highlight w:val="none"/>
                <w:lang w:bidi="ar"/>
              </w:rPr>
              <w:t>甲方有权单方面解除服务合同。</w:t>
            </w:r>
          </w:p>
          <w:p>
            <w:pPr>
              <w:pStyle w:val="2"/>
              <w:jc w:val="left"/>
              <w:rPr>
                <w:color w:val="auto"/>
                <w:sz w:val="21"/>
                <w:szCs w:val="21"/>
                <w:highlight w:val="none"/>
              </w:rPr>
            </w:pPr>
            <w:r>
              <w:rPr>
                <w:rFonts w:hint="eastAsia" w:ascii="宋体" w:hAnsi="宋体" w:eastAsia="宋体" w:cs="宋体"/>
                <w:b w:val="0"/>
                <w:bCs w:val="0"/>
                <w:color w:val="auto"/>
                <w:sz w:val="21"/>
                <w:szCs w:val="21"/>
                <w:highlight w:val="none"/>
                <w:lang w:val="en-US" w:eastAsia="zh-CN"/>
              </w:rPr>
              <w:t>5、乙方存在考核表内的扣分行为，甲方进行扣分外，若合同条款有设置违约责任和违约金的，乙方还需向甲方支付违约金。</w:t>
            </w:r>
          </w:p>
        </w:tc>
      </w:tr>
      <w:tr>
        <w:tblPrEx>
          <w:tblCellMar>
            <w:top w:w="0" w:type="dxa"/>
            <w:left w:w="108" w:type="dxa"/>
            <w:bottom w:w="0" w:type="dxa"/>
            <w:right w:w="108" w:type="dxa"/>
          </w:tblCellMar>
        </w:tblPrEx>
        <w:trPr>
          <w:trHeight w:val="57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考核内容</w:t>
            </w:r>
          </w:p>
        </w:tc>
      </w:tr>
      <w:tr>
        <w:tblPrEx>
          <w:tblCellMar>
            <w:top w:w="0" w:type="dxa"/>
            <w:left w:w="108" w:type="dxa"/>
            <w:bottom w:w="0" w:type="dxa"/>
            <w:right w:w="108" w:type="dxa"/>
          </w:tblCellMar>
        </w:tblPrEx>
        <w:trPr>
          <w:trHeight w:val="450" w:hRule="atLeast"/>
          <w:jc w:val="center"/>
        </w:trPr>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类别</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10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项目</w:t>
            </w:r>
          </w:p>
        </w:tc>
        <w:tc>
          <w:tcPr>
            <w:tcW w:w="2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考核内容</w:t>
            </w:r>
          </w:p>
        </w:tc>
        <w:tc>
          <w:tcPr>
            <w:tcW w:w="7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本月度扣分</w:t>
            </w:r>
          </w:p>
        </w:tc>
      </w:tr>
      <w:tr>
        <w:tblPrEx>
          <w:tblCellMar>
            <w:top w:w="0" w:type="dxa"/>
            <w:left w:w="108" w:type="dxa"/>
            <w:bottom w:w="0" w:type="dxa"/>
            <w:right w:w="108" w:type="dxa"/>
          </w:tblCellMar>
        </w:tblPrEx>
        <w:trPr>
          <w:trHeight w:val="45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auto"/>
                <w:szCs w:val="21"/>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auto"/>
                <w:szCs w:val="21"/>
                <w:highlight w:val="none"/>
              </w:rPr>
            </w:pPr>
          </w:p>
        </w:tc>
        <w:tc>
          <w:tcPr>
            <w:tcW w:w="10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auto"/>
                <w:szCs w:val="21"/>
                <w:highlight w:val="none"/>
              </w:rPr>
            </w:pPr>
          </w:p>
        </w:tc>
        <w:tc>
          <w:tcPr>
            <w:tcW w:w="2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auto"/>
                <w:szCs w:val="21"/>
                <w:highlight w:val="none"/>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人力管控</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社保购买情况</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乙方必须为本项目的服务人员购买必须的社保，并每月在人员花名册上附上社保购买证明。每人每月缺少购买扣1分。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111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工资支付情况</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乙方必须按时为服务人员发放工资，并每月将发放情况报送甲方。当有人举报存在工资拖欠问题，甲方查实后，每人每月拖欠扣2分。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人员管理情况</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乙方必须每月将人员花名册报送甲方，期间出现的人员变动必须及时告知甲方。当月未及时更新信息，扣1分。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服务人员上岗情况</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乙方必须提供足够服务人员开展工作，服务期内每出现人员缺岗情况的，则每人每天扣</w:t>
            </w:r>
            <w:r>
              <w:rPr>
                <w:rFonts w:hint="eastAsia" w:ascii="宋体" w:hAnsi="宋体" w:eastAsia="宋体" w:cs="宋体"/>
                <w:color w:val="auto"/>
                <w:kern w:val="0"/>
                <w:szCs w:val="21"/>
                <w:highlight w:val="none"/>
                <w:lang w:val="en-US" w:eastAsia="zh-CN" w:bidi="ar"/>
              </w:rPr>
              <w:t>0.5</w:t>
            </w:r>
            <w:r>
              <w:rPr>
                <w:rFonts w:hint="eastAsia" w:ascii="宋体" w:hAnsi="宋体" w:eastAsia="宋体" w:cs="宋体"/>
                <w:color w:val="auto"/>
                <w:kern w:val="0"/>
                <w:szCs w:val="21"/>
                <w:highlight w:val="none"/>
                <w:lang w:bidi="ar"/>
              </w:rPr>
              <w:t>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1110" w:hRule="atLeast"/>
          <w:jc w:val="center"/>
        </w:trPr>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业务管控</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客户维护情况</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甲方定期检查乙方对各个客户的服务情况，如发现因不收、漏收、态度恶劣的情况导致客户投诉的，每次扣0.5分；导致客户流失的，每次扣2分。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111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车辆维护情况</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乙方必须对作业车辆进行定期保养和及时维修，避免车辆损坏和交通事故发生。乙方在甲方发出维修通知书后3天内仍未开展维修工作的，每次逾期扣1分。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运量核查</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乙方需确保收运量来源符合甲方要求，合规合法，如发现收运量存在弄虚作假等情况，每发现一次扣5分。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回访情况</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抽检服务质量</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甲方将不定期对各个服务镇街的某一机关单位、学校、企业进行服务情况抽检评分。评分不达80分，每个扣0.5分。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1110" w:hRule="atLeast"/>
          <w:jc w:val="center"/>
        </w:trPr>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工作规范</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专车专镇</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餐厨垃圾收运工作应专镇专车，禁止跨镇运输。每发现跨镇运输一次，除需按照跨镇运输车辆过磅重量*收运处理补贴费用（399.7元/吨）进行赔偿甲方损失外，每次扣5分。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收运异常上报</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因实际情况造成线路调整、无法收运等情况，有无及时上</w:t>
            </w:r>
            <w:r>
              <w:rPr>
                <w:rFonts w:hint="eastAsia" w:ascii="宋体" w:hAnsi="宋体" w:eastAsia="宋体" w:cs="宋体"/>
                <w:color w:val="auto"/>
                <w:kern w:val="0"/>
                <w:szCs w:val="21"/>
                <w:highlight w:val="none"/>
                <w:lang w:val="en-US" w:eastAsia="zh-CN" w:bidi="ar"/>
              </w:rPr>
              <w:t>甲方</w:t>
            </w:r>
            <w:r>
              <w:rPr>
                <w:rFonts w:hint="eastAsia" w:ascii="宋体" w:hAnsi="宋体" w:eastAsia="宋体" w:cs="宋体"/>
                <w:color w:val="auto"/>
                <w:kern w:val="0"/>
                <w:szCs w:val="21"/>
                <w:highlight w:val="none"/>
                <w:lang w:bidi="ar"/>
              </w:rPr>
              <w:t>。不上报一次扣1分。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服从工作情况</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在服务范围内，乙方工作人员不服从甲方调度安排的，每次扣</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45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车辆违章情况</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业务车辆在工作过程中每产生一次违章扣分，扣1分。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造成车辆损坏或交通事故</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被判主要责任的情况下，经济损失三千元以内扣1分；三千元至一万元扣2分；一万至三万元元扣3分；三万元以上扣5分。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111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安全驾驶</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服务人员驾驶车辆时严禁出现下列行为：吸烟、闲谈、开斗气车、不避让行人、使用手机、拐弯不打灯、在机动车道上停车未打危险灯或有其它妨碍安全行车的行为</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每发现一次扣0.5分。发现有酒驾、醉驾行为的，每发现一次扣5分，且因此造成的所有损失由服务单位承担。</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驾驶记录</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服务人员每次驾驶餐厨收集车时须按要求做好收运点台账、加油和里程记录等工作。没有按照规范填写、漏填信息及未保存加油凭据的，每次扣0.5分。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按规划路线驾驶</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必须按照预定的路线行驶，不得在未征得片区负责人的同意下随意切换路线。未有合理理由下随意更改路线，每次扣0.5分。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17</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收集垃圾过程</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在餐厨垃圾收集过程中需要按照规定操作。未按规范操作，造成严重地面污染或漏收，发现一次扣0.5分。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垃圾桶清洗工作</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在收运过程中需要按照规定对餐厨垃圾桶进行清洗。垃圾桶未按规定清洗的，发现一次扣0.2分。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19</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卸料工作</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服务人员卸料需做好安全措施，佩戴好安全带和其他安全装备，并按规范操作卸料设施设备。未按安全要求和操作规范操作的或在卸料区以外误操作的，每次扣1分。造成环境污染和经济损失的，由乙方全部负责。</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车载设备维护</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需要爱护车载设备，发现设备故障需要及时通报。不能损坏车载设备。人为导致设备损坏，每次发现扣1分。为保证车辆正常运转，车辆需要到正规油站加油，并保存加油凭据备查，禁止加注私油、黑油，发现有加注私油、黑油问题的，每发现一台车扣3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车辆保洁</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需要保持车辆外观整洁，每次收运工作完成后需清洗车辆。发现车辆未按规定清洗的，每次扣0.2分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车辆保养</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应定期对车辆进行保养，未根据车辆维修保养里程定期进行保养的，每逾期一日扣0.2分。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144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着装要求</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服务人员在进行收运时必须按照规定穿着工衣（全套完整工衣，包括衣服和裤子）、佩戴厂牌（要能看到照片姓名等信息，不能得遮挡），同时穿戴好劳保用品（劳保鞋、安全帽、手套、反光衣）。未按规定着装，发现每人每次扣0.2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111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人员精神面貌</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服务人员应养成良好的生活习惯，自觉安排好休息时间，保证足够的休息，以较好的精力投入驾驶工作。因作息不定时导致精神不佳影响驾驶作业的，每发现一次扣0.5分。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分类情况</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服务人员注意不能在收运中混入中大型杂物或大量生活垃圾。每发现一次混入中大型杂物或大量生活垃圾的，未及时拍照取证并及时上报甲方管理人员，经核实无误后，每次扣0.5分。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111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安全培训</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服务人员无特殊情况下必须参与车队安全培训当中，若请假需得到车队长同意。发现无故缺席的，每人扣1分；因故不能参加的，且事后未自行申请进行补课的，每人扣1分。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70"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c>
          <w:tcPr>
            <w:tcW w:w="44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bl>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评分单位</w:t>
      </w:r>
      <w:r>
        <w:rPr>
          <w:rFonts w:hint="eastAsia" w:ascii="宋体" w:hAnsi="宋体" w:eastAsia="宋体" w:cs="宋体"/>
          <w:b/>
          <w:bCs/>
          <w:color w:val="auto"/>
          <w:highlight w:val="none"/>
          <w:lang w:val="en-US" w:eastAsia="zh-CN"/>
        </w:rPr>
        <w:t>（甲方）盖章</w:t>
      </w:r>
      <w:r>
        <w:rPr>
          <w:rFonts w:hint="eastAsia" w:ascii="宋体" w:hAnsi="宋体" w:eastAsia="宋体" w:cs="宋体"/>
          <w:b/>
          <w:bCs/>
          <w:color w:val="auto"/>
          <w:szCs w:val="21"/>
          <w:highlight w:val="none"/>
        </w:rPr>
        <w:t xml:space="preserve">：                                 服务单位：     </w:t>
      </w: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评分人：</w:t>
      </w: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复核人：</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：上岗责任承诺书</w:t>
      </w:r>
    </w:p>
    <w:p>
      <w:pPr>
        <w:spacing w:line="360" w:lineRule="auto"/>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上岗责任承诺书</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上岗承诺内容如下：</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1、上岗后遵守规章制度，服从调度。坚持遵章守时，不迟到、不早退、不缺勤，忠于职守，勤奋务实，不怕吃苦。不私自出车，不外借车辆，不相互推诿，确保工作用车需要。</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2、遵守职业道德，做到文明行车。严格遵守交通安全法律法规，不急躁，不酒后驾车，不闯红灯，不超速行驶，不占道行车，不疲劳驾驶等。</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自觉爱护车辆，保证行车安全。始终把行车安全作为根本要求，加强车辆保养和检查，勤检查、勤维护、勤保养，发现故障及时报告、及时排除、及时维修，绝不心存侥幸，绝不带故障行驶，确保车况良好、行车安全。</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保持车容整洁，提升乘车环境。坚持服务与卫生同步改善、品位与形象同步提高，车辆外表不划不碰，车内不乱扔乱挂，不随地吐痰，不乱扔烟头，不乱丢垃圾，经常清理车内车外卫生，提供干净整洁的车容车貌。</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5、加强自身修养，增强服务意识。注重养成良好的工作、生活习惯，做到衣着端庄整洁、举止大方得体、讲话文明礼貌、待人谦虚随和、服务规范细致、驾驶小心谨慎。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坚持廉洁自律，树立良好形象。严格执行车辆管理制度，实行定点维修、定点加油，坚决杜绝公车私用，每天收班后统一停放在指定位置，坚持严于律己，绝不参与工作之便谋取私利，树立和维护公司良好形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同意以上规定请在下方签字，上岗后如违反制度的后果自负。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承诺人签名：            日期：</w:t>
      </w:r>
    </w:p>
    <w:p>
      <w:pPr>
        <w:spacing w:line="360" w:lineRule="auto"/>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：试车考核项目</w:t>
      </w:r>
    </w:p>
    <w:p>
      <w:pPr>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试车考核项目</w:t>
      </w:r>
    </w:p>
    <w:p>
      <w:pPr>
        <w:spacing w:line="360" w:lineRule="auto"/>
        <w:ind w:left="279" w:leftChars="133" w:firstLine="420" w:firstLineChars="200"/>
        <w:jc w:val="left"/>
        <w:rPr>
          <w:rFonts w:hint="eastAsia" w:ascii="宋体" w:hAnsi="宋体" w:eastAsia="宋体" w:cs="宋体"/>
          <w:color w:val="auto"/>
          <w:sz w:val="21"/>
          <w:szCs w:val="21"/>
          <w:highlight w:val="none"/>
        </w:rPr>
      </w:pPr>
    </w:p>
    <w:p>
      <w:pPr>
        <w:spacing w:line="360" w:lineRule="auto"/>
        <w:ind w:left="279" w:leftChars="13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待入职试车前把个人身份证和驾驶证交给试车员查验，试车前应该保证个人精神状态清醒，没有不良症状，确保整个试车过程的顺利；在考核过程中，如有2项不通过，此司机不能</w:t>
      </w:r>
      <w:r>
        <w:rPr>
          <w:rFonts w:hint="eastAsia" w:ascii="宋体" w:hAnsi="宋体" w:eastAsia="宋体" w:cs="宋体"/>
          <w:color w:val="auto"/>
          <w:sz w:val="24"/>
          <w:szCs w:val="24"/>
          <w:highlight w:val="none"/>
          <w:lang w:val="en-US" w:eastAsia="zh-CN"/>
        </w:rPr>
        <w:t>上岗</w:t>
      </w:r>
      <w:r>
        <w:rPr>
          <w:rFonts w:hint="eastAsia" w:ascii="宋体" w:hAnsi="宋体" w:eastAsia="宋体" w:cs="宋体"/>
          <w:color w:val="auto"/>
          <w:sz w:val="24"/>
          <w:szCs w:val="24"/>
          <w:highlight w:val="none"/>
        </w:rPr>
        <w:t>，后面张贴司机的驾驶证和身份证复印件</w:t>
      </w:r>
    </w:p>
    <w:p>
      <w:pPr>
        <w:spacing w:line="360" w:lineRule="auto"/>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司机签名：</w:t>
      </w:r>
    </w:p>
    <w:tbl>
      <w:tblPr>
        <w:tblStyle w:val="38"/>
        <w:tblpPr w:leftFromText="180" w:rightFromText="180" w:vertAnchor="text" w:horzAnchor="page" w:tblpX="1347" w:tblpY="5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984"/>
        <w:gridCol w:w="1566"/>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84"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考核项目</w:t>
            </w:r>
          </w:p>
        </w:tc>
        <w:tc>
          <w:tcPr>
            <w:tcW w:w="1566"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是否通过</w:t>
            </w:r>
          </w:p>
        </w:tc>
        <w:tc>
          <w:tcPr>
            <w:tcW w:w="2917"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起动发动机前操作及检查</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起步前操作</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起步时离合和变速杆操作</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行车时操作状态</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停车后操作</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倒车操作</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对车辆的各功能询问</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对车辆日常维保询问</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4" w:type="dxa"/>
            <w:gridSpan w:val="2"/>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意见</w:t>
            </w:r>
          </w:p>
        </w:tc>
        <w:tc>
          <w:tcPr>
            <w:tcW w:w="4483" w:type="dxa"/>
            <w:gridSpan w:val="2"/>
            <w:noWrap w:val="0"/>
            <w:vAlign w:val="top"/>
          </w:tcPr>
          <w:p>
            <w:pPr>
              <w:rPr>
                <w:rFonts w:hint="eastAsia" w:ascii="宋体" w:hAnsi="宋体" w:eastAsia="宋体" w:cs="宋体"/>
                <w:color w:val="auto"/>
                <w:sz w:val="24"/>
                <w:szCs w:val="24"/>
                <w:highlight w:val="none"/>
              </w:rPr>
            </w:pPr>
          </w:p>
        </w:tc>
      </w:tr>
    </w:tbl>
    <w:p>
      <w:pPr>
        <w:tabs>
          <w:tab w:val="left" w:pos="1260"/>
        </w:tabs>
        <w:snapToGrid w:val="0"/>
        <w:spacing w:line="360" w:lineRule="auto"/>
        <w:textAlignment w:val="baseline"/>
        <w:rPr>
          <w:rFonts w:hint="eastAsia" w:ascii="宋体" w:hAnsi="宋体" w:eastAsia="宋体" w:cs="宋体"/>
          <w:b/>
          <w:bCs/>
          <w:color w:val="auto"/>
          <w:sz w:val="24"/>
          <w:szCs w:val="24"/>
          <w:highlight w:val="none"/>
        </w:rPr>
      </w:pPr>
    </w:p>
    <w:p>
      <w:pPr>
        <w:tabs>
          <w:tab w:val="left" w:pos="1260"/>
        </w:tabs>
        <w:snapToGrid w:val="0"/>
        <w:spacing w:line="360" w:lineRule="auto"/>
        <w:textAlignment w:val="baseline"/>
        <w:rPr>
          <w:rFonts w:hint="eastAsia" w:ascii="宋体" w:hAnsi="宋体" w:eastAsia="宋体" w:cs="宋体"/>
          <w:b/>
          <w:bCs/>
          <w:color w:val="auto"/>
          <w:sz w:val="24"/>
          <w:szCs w:val="24"/>
          <w:highlight w:val="none"/>
        </w:rPr>
      </w:pPr>
    </w:p>
    <w:p>
      <w:pPr>
        <w:spacing w:line="360" w:lineRule="auto"/>
        <w:ind w:left="279" w:leftChars="13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在考核过程中，如有2项不通过，此司机不能</w:t>
      </w:r>
      <w:r>
        <w:rPr>
          <w:rFonts w:hint="eastAsia" w:ascii="宋体" w:hAnsi="宋体" w:eastAsia="宋体" w:cs="宋体"/>
          <w:color w:val="auto"/>
          <w:sz w:val="24"/>
          <w:szCs w:val="24"/>
          <w:highlight w:val="none"/>
          <w:lang w:val="en-US" w:eastAsia="zh-CN"/>
        </w:rPr>
        <w:t>上岗</w:t>
      </w:r>
      <w:r>
        <w:rPr>
          <w:rFonts w:hint="eastAsia" w:ascii="宋体" w:hAnsi="宋体" w:eastAsia="宋体" w:cs="宋体"/>
          <w:color w:val="auto"/>
          <w:sz w:val="24"/>
          <w:szCs w:val="24"/>
          <w:highlight w:val="none"/>
        </w:rPr>
        <w:t>，后面张贴司机的驾驶证和身份证复印件</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试车员：</w:t>
      </w:r>
    </w:p>
    <w:p>
      <w:pPr>
        <w:ind w:firstLine="6000" w:firstLine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签名：</w:t>
      </w:r>
    </w:p>
    <w:p>
      <w:pPr>
        <w:tabs>
          <w:tab w:val="left" w:pos="1260"/>
        </w:tabs>
        <w:snapToGrid w:val="0"/>
        <w:spacing w:line="360" w:lineRule="auto"/>
        <w:textAlignment w:val="baseline"/>
        <w:rPr>
          <w:rFonts w:hint="eastAsia" w:ascii="宋体" w:hAnsi="宋体" w:eastAsia="宋体" w:cs="宋体"/>
          <w:b/>
          <w:bCs/>
          <w:color w:val="auto"/>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：餐厨垃圾收运服务人员体检要求</w:t>
      </w:r>
    </w:p>
    <w:p>
      <w:pPr>
        <w:spacing w:line="360" w:lineRule="auto"/>
        <w:rPr>
          <w:rFonts w:hint="eastAsia" w:ascii="宋体" w:hAnsi="宋体" w:eastAsia="宋体" w:cs="宋体"/>
          <w:color w:val="auto"/>
          <w:szCs w:val="21"/>
          <w:highlight w:val="none"/>
        </w:rPr>
      </w:pPr>
    </w:p>
    <w:p>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餐厨垃圾收运服务人员体检要求如下：</w:t>
      </w:r>
    </w:p>
    <w:p>
      <w:pPr>
        <w:spacing w:line="360" w:lineRule="auto"/>
        <w:ind w:firstLine="422" w:firstLineChars="200"/>
        <w:rPr>
          <w:rFonts w:hint="eastAsia" w:ascii="宋体" w:hAnsi="宋体" w:eastAsia="宋体" w:cs="宋体"/>
          <w:b/>
          <w:color w:val="auto"/>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一、不接触职业健康危害因素人员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根据工作内容不会接触到职业健康危害因素的人员，提交一般入职体检报告1份。</w:t>
      </w:r>
    </w:p>
    <w:p>
      <w:pPr>
        <w:spacing w:line="360" w:lineRule="auto"/>
        <w:rPr>
          <w:rFonts w:hint="eastAsia" w:ascii="宋体" w:hAnsi="宋体" w:eastAsia="宋体" w:cs="宋体"/>
          <w:b/>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二、接触职业健康危害因素人员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根据工作内容会接触到职业健康危害因素人员，包括收运司机、</w:t>
      </w:r>
      <w:r>
        <w:rPr>
          <w:rFonts w:hint="eastAsia" w:ascii="宋体" w:hAnsi="宋体" w:eastAsia="宋体" w:cs="宋体"/>
          <w:color w:val="auto"/>
          <w:sz w:val="21"/>
          <w:szCs w:val="21"/>
          <w:highlight w:val="none"/>
          <w:lang w:val="en-US" w:eastAsia="zh-CN"/>
        </w:rPr>
        <w:t>收运</w:t>
      </w:r>
      <w:r>
        <w:rPr>
          <w:rFonts w:hint="eastAsia" w:ascii="宋体" w:hAnsi="宋体" w:eastAsia="宋体" w:cs="宋体"/>
          <w:color w:val="auto"/>
          <w:sz w:val="21"/>
          <w:szCs w:val="21"/>
          <w:highlight w:val="none"/>
        </w:rPr>
        <w:t>辅工等，需按要求进行岗前、在岗及离岗职业健康检查，提交有资质机构出具的岗前、在岗及离岗职业健康检查报告。具体要求详见附件。</w:t>
      </w:r>
    </w:p>
    <w:p>
      <w:pPr>
        <w:spacing w:line="360" w:lineRule="auto"/>
        <w:ind w:firstLine="420" w:firstLineChars="200"/>
        <w:rPr>
          <w:rFonts w:hint="eastAsia" w:ascii="宋体" w:hAnsi="宋体" w:eastAsia="宋体" w:cs="宋体"/>
          <w:color w:val="auto"/>
          <w:szCs w:val="21"/>
          <w:highlight w:val="none"/>
        </w:rPr>
      </w:pP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：餐厨垃圾收运服务人员职业健康体检要求</w:t>
      </w:r>
    </w:p>
    <w:p>
      <w:pPr>
        <w:spacing w:line="360" w:lineRule="auto"/>
        <w:ind w:firstLine="422" w:firstLineChars="200"/>
        <w:rPr>
          <w:rFonts w:hint="eastAsia" w:ascii="宋体" w:hAnsi="宋体" w:eastAsia="宋体" w:cs="宋体"/>
          <w:b/>
          <w:color w:val="auto"/>
          <w:szCs w:val="21"/>
          <w:highlight w:val="none"/>
        </w:rPr>
      </w:pPr>
    </w:p>
    <w:p>
      <w:pPr>
        <w:spacing w:line="360" w:lineRule="auto"/>
        <w:ind w:firstLine="723" w:firstLineChars="200"/>
        <w:jc w:val="center"/>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餐厨垃圾收运服务人员职业健康体检要求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根据《中华人民共和国职业病防治法》、《职业健康监护技术规范》（GBZ188-2014），用人单位应组织接触职业病危害因素的劳动者进行上岗前、在岗期间及离岗前职业健康检查，相关具体情况介绍如下：</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一、参检人员</w:t>
      </w:r>
    </w:p>
    <w:p>
      <w:pPr>
        <w:pStyle w:val="131"/>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餐厨项目接触职业病危害因素的人员，包括餐厨项目收运司机岗、</w:t>
      </w:r>
      <w:r>
        <w:rPr>
          <w:rFonts w:hint="eastAsia" w:ascii="宋体" w:hAnsi="宋体" w:eastAsia="宋体" w:cs="宋体"/>
          <w:color w:val="auto"/>
          <w:sz w:val="21"/>
          <w:szCs w:val="21"/>
          <w:highlight w:val="none"/>
          <w:lang w:val="en-US" w:eastAsia="zh-CN"/>
        </w:rPr>
        <w:t>收运辅工</w:t>
      </w:r>
      <w:r>
        <w:rPr>
          <w:rFonts w:hint="eastAsia" w:ascii="宋体" w:hAnsi="宋体" w:eastAsia="宋体" w:cs="宋体"/>
          <w:color w:val="auto"/>
          <w:sz w:val="21"/>
          <w:szCs w:val="21"/>
          <w:highlight w:val="none"/>
        </w:rPr>
        <w:t>及后续按此原则应纳入职业健康检查的其他人员。</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二、体检项目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由东莞市职业病防治中心或其他有资质的医院根据参检人员接触的职业病危害因素核定必检项目。</w:t>
      </w:r>
    </w:p>
    <w:p>
      <w:pPr>
        <w:pStyle w:val="13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餐厨项目收运司机岗及</w:t>
      </w:r>
      <w:r>
        <w:rPr>
          <w:rFonts w:hint="eastAsia" w:ascii="宋体" w:hAnsi="宋体" w:eastAsia="宋体" w:cs="宋体"/>
          <w:color w:val="auto"/>
          <w:sz w:val="21"/>
          <w:szCs w:val="21"/>
          <w:highlight w:val="none"/>
          <w:lang w:val="en-US" w:eastAsia="zh-CN"/>
        </w:rPr>
        <w:t>收运辅工</w:t>
      </w:r>
      <w:r>
        <w:rPr>
          <w:rFonts w:hint="eastAsia" w:ascii="宋体" w:hAnsi="宋体" w:eastAsia="宋体" w:cs="宋体"/>
          <w:color w:val="auto"/>
          <w:sz w:val="21"/>
          <w:szCs w:val="21"/>
          <w:highlight w:val="none"/>
        </w:rPr>
        <w:t>及后续按此原则应纳入职业健康检查的其他人员。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目前核定接触的危害因素为氨、硫化氢两种。后续如有调整，以实际情况为准。</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其中岗前体检需在医院核定的必检项目基础上，增加“肝功AST、肾功4项”两个体检项目。</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三、体检周期</w:t>
      </w:r>
    </w:p>
    <w:p>
      <w:pPr>
        <w:pStyle w:val="13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1、岗前体检在上述岗位员工入职前完成。</w:t>
      </w:r>
    </w:p>
    <w:p>
      <w:pPr>
        <w:pStyle w:val="13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2、离岗体检在员工离岗前完成。</w:t>
      </w:r>
    </w:p>
    <w:p>
      <w:pPr>
        <w:pStyle w:val="13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3、在岗体检周期结合各岗位接触的危害因素按照《职业健康监护技术规范》（GBZ188-2014）中规定的检查周期执行，其中，氨</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硫化氢</w:t>
      </w:r>
      <w:r>
        <w:rPr>
          <w:rFonts w:hint="eastAsia" w:ascii="宋体" w:hAnsi="宋体" w:eastAsia="宋体" w:cs="宋体"/>
          <w:color w:val="auto"/>
          <w:sz w:val="21"/>
          <w:szCs w:val="21"/>
          <w:highlight w:val="none"/>
          <w:lang w:val="en-US" w:eastAsia="zh-CN"/>
        </w:rPr>
        <w:t>需按要求进行周期性体检</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四、体检医院</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东莞市职业病防治中心或其他有资质的医院。</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五、其他要求</w:t>
      </w:r>
    </w:p>
    <w:p>
      <w:pPr>
        <w:rPr>
          <w:rFonts w:eastAsia="+中文正文"/>
          <w:color w:val="auto"/>
          <w:highlight w:val="none"/>
        </w:rPr>
      </w:pPr>
      <w:r>
        <w:rPr>
          <w:rFonts w:hint="eastAsia" w:ascii="宋体" w:hAnsi="宋体" w:eastAsia="宋体" w:cs="宋体"/>
          <w:color w:val="auto"/>
          <w:sz w:val="21"/>
          <w:szCs w:val="21"/>
          <w:highlight w:val="none"/>
        </w:rPr>
        <w:t>每位人员是否完成体检，以提交符合要求的职业健康检查报告为完成标准。</w:t>
      </w:r>
    </w:p>
    <w:p>
      <w:pPr>
        <w:pStyle w:val="206"/>
        <w:rPr>
          <w:rFonts w:hint="eastAsia" w:eastAsia="+中文正文"/>
          <w:color w:val="auto"/>
          <w:highlight w:val="none"/>
        </w:rPr>
      </w:pPr>
    </w:p>
    <w:p>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475" w:name="_Toc25564"/>
      <w:bookmarkStart w:id="476" w:name="_Toc447044479"/>
      <w:bookmarkStart w:id="477" w:name="_Toc30025"/>
      <w:bookmarkStart w:id="478" w:name="_Toc24427_WPSOffice_Level1"/>
      <w:bookmarkStart w:id="479" w:name="_Toc512353083"/>
      <w:bookmarkStart w:id="480" w:name="_Toc18054"/>
      <w:bookmarkStart w:id="481" w:name="_Toc142508360"/>
      <w:bookmarkStart w:id="482" w:name="_Toc13867"/>
      <w:bookmarkStart w:id="483" w:name="_Toc447045090"/>
      <w:bookmarkStart w:id="484" w:name="_Toc1966"/>
      <w:bookmarkStart w:id="485" w:name="_Toc447044603"/>
      <w:r>
        <w:rPr>
          <w:rFonts w:hint="eastAsia" w:ascii="宋体" w:hAnsi="宋体" w:eastAsia="宋体" w:cs="宋体"/>
          <w:b/>
          <w:bCs/>
          <w:color w:val="auto"/>
          <w:sz w:val="32"/>
          <w:szCs w:val="32"/>
          <w:highlight w:val="none"/>
          <w:lang w:val="zh-CN"/>
        </w:rPr>
        <w:t>第五篇 相关保函格式</w:t>
      </w:r>
      <w:bookmarkEnd w:id="475"/>
      <w:bookmarkEnd w:id="476"/>
      <w:bookmarkEnd w:id="477"/>
      <w:bookmarkEnd w:id="478"/>
      <w:bookmarkEnd w:id="479"/>
      <w:bookmarkEnd w:id="480"/>
      <w:bookmarkEnd w:id="481"/>
      <w:bookmarkEnd w:id="482"/>
      <w:bookmarkEnd w:id="483"/>
      <w:bookmarkEnd w:id="484"/>
      <w:bookmarkEnd w:id="485"/>
      <w:bookmarkStart w:id="486" w:name="_Toc447044480"/>
      <w:bookmarkStart w:id="487" w:name="_Toc447045091"/>
      <w:bookmarkStart w:id="488" w:name="_Toc447044604"/>
    </w:p>
    <w:p>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bookmarkStart w:id="489" w:name="_Toc26521_WPSOffice_Level2"/>
      <w:r>
        <w:rPr>
          <w:rFonts w:hint="eastAsia" w:ascii="宋体" w:hAnsi="宋体" w:eastAsia="宋体" w:cs="宋体"/>
          <w:b/>
          <w:color w:val="auto"/>
          <w:kern w:val="0"/>
          <w:sz w:val="28"/>
          <w:szCs w:val="28"/>
          <w:highlight w:val="none"/>
        </w:rPr>
        <w:t>一、不可撤销银行履约保函格式</w:t>
      </w:r>
      <w:bookmarkEnd w:id="486"/>
      <w:bookmarkEnd w:id="487"/>
      <w:bookmarkEnd w:id="488"/>
      <w:bookmarkEnd w:id="489"/>
    </w:p>
    <w:p>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本保函</w:t>
      </w:r>
      <w:r>
        <w:rPr>
          <w:rFonts w:hint="eastAsia" w:ascii="宋体" w:hAnsi="宋体" w:eastAsia="宋体" w:cs="宋体"/>
          <w:color w:val="auto"/>
          <w:kern w:val="0"/>
          <w:sz w:val="21"/>
          <w:szCs w:val="21"/>
          <w:highlight w:val="none"/>
        </w:rPr>
        <w:t>应</w:t>
      </w:r>
      <w:r>
        <w:rPr>
          <w:rFonts w:hint="eastAsia" w:ascii="宋体" w:hAnsi="宋体" w:eastAsia="宋体" w:cs="宋体"/>
          <w:color w:val="auto"/>
          <w:kern w:val="0"/>
          <w:szCs w:val="21"/>
          <w:highlight w:val="none"/>
        </w:rPr>
        <w:t>自</w:t>
      </w:r>
      <w:r>
        <w:rPr>
          <w:rFonts w:hint="eastAsia" w:ascii="宋体" w:hAnsi="宋体" w:eastAsia="宋体" w:cs="宋体"/>
          <w:color w:val="auto"/>
          <w:kern w:val="0"/>
          <w:sz w:val="21"/>
          <w:szCs w:val="21"/>
          <w:highlight w:val="none"/>
        </w:rPr>
        <w:t>合同签订之日起至</w:t>
      </w:r>
      <w:r>
        <w:rPr>
          <w:rFonts w:hint="eastAsia" w:ascii="宋体" w:hAnsi="宋体" w:eastAsia="宋体" w:cs="宋体"/>
          <w:color w:val="auto"/>
          <w:kern w:val="0"/>
          <w:sz w:val="21"/>
          <w:szCs w:val="21"/>
          <w:highlight w:val="none"/>
          <w:lang w:eastAsia="zh-CN"/>
        </w:rPr>
        <w:t>合同期限届满并完成合同全部服务义务</w:t>
      </w:r>
      <w:r>
        <w:rPr>
          <w:rFonts w:hint="eastAsia" w:ascii="宋体" w:hAnsi="宋体" w:eastAsia="宋体" w:cs="宋体"/>
          <w:color w:val="auto"/>
          <w:kern w:val="0"/>
          <w:sz w:val="21"/>
          <w:szCs w:val="21"/>
          <w:highlight w:val="none"/>
        </w:rPr>
        <w:t>后二十八（28）日内保持有效</w:t>
      </w:r>
      <w:r>
        <w:rPr>
          <w:rFonts w:hint="eastAsia" w:ascii="宋体" w:hAnsi="宋体" w:eastAsia="宋体" w:cs="宋体"/>
          <w:color w:val="auto"/>
          <w:kern w:val="0"/>
          <w:sz w:val="21"/>
          <w:szCs w:val="21"/>
          <w:highlight w:val="none"/>
          <w:lang w:eastAsia="zh-CN"/>
        </w:rPr>
        <w:t>。</w:t>
      </w:r>
    </w:p>
    <w:p>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pPr>
        <w:numPr>
          <w:ilvl w:val="0"/>
          <w:numId w:val="0"/>
        </w:numP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pPr>
        <w:autoSpaceDE w:val="0"/>
        <w:autoSpaceDN w:val="0"/>
        <w:adjustRightInd w:val="0"/>
        <w:jc w:val="center"/>
        <w:rPr>
          <w:rFonts w:hint="eastAsia" w:ascii="宋体" w:hAnsi="宋体" w:eastAsia="宋体" w:cs="宋体"/>
          <w:b/>
          <w:color w:val="auto"/>
          <w:kern w:val="0"/>
          <w:sz w:val="30"/>
          <w:szCs w:val="30"/>
          <w:highlight w:val="none"/>
          <w:lang w:val="en-US" w:eastAsia="zh-CN"/>
        </w:rPr>
      </w:pPr>
    </w:p>
    <w:p>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 w:val="21"/>
          <w:szCs w:val="21"/>
          <w:highlight w:val="none"/>
        </w:rPr>
        <w:t>应</w:t>
      </w:r>
      <w:r>
        <w:rPr>
          <w:rFonts w:hint="eastAsia" w:ascii="宋体" w:hAnsi="宋体" w:eastAsia="宋体" w:cs="宋体"/>
          <w:color w:val="auto"/>
          <w:kern w:val="0"/>
          <w:szCs w:val="21"/>
          <w:highlight w:val="none"/>
        </w:rPr>
        <w:t>自</w:t>
      </w:r>
      <w:r>
        <w:rPr>
          <w:rFonts w:hint="eastAsia" w:ascii="宋体" w:hAnsi="宋体" w:eastAsia="宋体" w:cs="宋体"/>
          <w:color w:val="auto"/>
          <w:kern w:val="0"/>
          <w:sz w:val="21"/>
          <w:szCs w:val="21"/>
          <w:highlight w:val="none"/>
        </w:rPr>
        <w:t>合同签订之日起至</w:t>
      </w:r>
      <w:r>
        <w:rPr>
          <w:rFonts w:hint="eastAsia" w:ascii="宋体" w:hAnsi="宋体" w:eastAsia="宋体" w:cs="宋体"/>
          <w:color w:val="auto"/>
          <w:kern w:val="0"/>
          <w:sz w:val="21"/>
          <w:szCs w:val="21"/>
          <w:highlight w:val="none"/>
          <w:lang w:eastAsia="zh-CN"/>
        </w:rPr>
        <w:t>合同期限届满并完成合同全部服务义务</w:t>
      </w:r>
      <w:r>
        <w:rPr>
          <w:rFonts w:hint="eastAsia" w:ascii="宋体" w:hAnsi="宋体" w:eastAsia="宋体" w:cs="宋体"/>
          <w:color w:val="auto"/>
          <w:kern w:val="0"/>
          <w:sz w:val="21"/>
          <w:szCs w:val="21"/>
          <w:highlight w:val="none"/>
        </w:rPr>
        <w:t>后二十八（28）日内保持有效</w:t>
      </w:r>
      <w:r>
        <w:rPr>
          <w:rFonts w:hint="eastAsia" w:ascii="宋体" w:hAnsi="宋体" w:eastAsia="宋体" w:cs="宋体"/>
          <w:color w:val="auto"/>
          <w:kern w:val="0"/>
          <w:sz w:val="21"/>
          <w:szCs w:val="21"/>
          <w:highlight w:val="none"/>
          <w:lang w:eastAsia="zh-CN"/>
        </w:rPr>
        <w:t>。</w:t>
      </w:r>
    </w:p>
    <w:p>
      <w:pPr>
        <w:numPr>
          <w:ilvl w:val="0"/>
          <w:numId w:val="0"/>
        </w:numPr>
        <w:outlineLvl w:val="9"/>
        <w:rPr>
          <w:rFonts w:hint="eastAsia" w:ascii="宋体" w:hAnsi="宋体" w:eastAsia="宋体" w:cs="宋体"/>
          <w:color w:val="auto"/>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w:t>
      </w:r>
      <w:r>
        <w:rPr>
          <w:rFonts w:hint="eastAsia" w:ascii="宋体" w:hAnsi="宋体" w:eastAsia="宋体" w:cs="宋体"/>
          <w:color w:val="auto"/>
          <w:kern w:val="0"/>
          <w:sz w:val="21"/>
          <w:szCs w:val="21"/>
          <w:highlight w:val="none"/>
        </w:rPr>
        <w:t>应</w:t>
      </w:r>
      <w:r>
        <w:rPr>
          <w:rFonts w:hint="eastAsia" w:ascii="宋体" w:hAnsi="宋体" w:eastAsia="宋体" w:cs="宋体"/>
          <w:color w:val="auto"/>
          <w:kern w:val="0"/>
          <w:szCs w:val="21"/>
          <w:highlight w:val="none"/>
        </w:rPr>
        <w:t>自</w:t>
      </w:r>
      <w:r>
        <w:rPr>
          <w:rFonts w:hint="eastAsia" w:ascii="宋体" w:hAnsi="宋体" w:eastAsia="宋体" w:cs="宋体"/>
          <w:color w:val="auto"/>
          <w:kern w:val="0"/>
          <w:sz w:val="21"/>
          <w:szCs w:val="21"/>
          <w:highlight w:val="none"/>
        </w:rPr>
        <w:t>合同签订之日起至</w:t>
      </w:r>
      <w:r>
        <w:rPr>
          <w:rFonts w:hint="eastAsia" w:ascii="宋体" w:hAnsi="宋体" w:eastAsia="宋体" w:cs="宋体"/>
          <w:color w:val="auto"/>
          <w:kern w:val="0"/>
          <w:sz w:val="21"/>
          <w:szCs w:val="21"/>
          <w:highlight w:val="none"/>
          <w:lang w:eastAsia="zh-CN"/>
        </w:rPr>
        <w:t>合同期限届满并完成合同全部服务义务</w:t>
      </w:r>
      <w:r>
        <w:rPr>
          <w:rFonts w:hint="eastAsia" w:ascii="宋体" w:hAnsi="宋体" w:eastAsia="宋体" w:cs="宋体"/>
          <w:color w:val="auto"/>
          <w:kern w:val="0"/>
          <w:sz w:val="21"/>
          <w:szCs w:val="21"/>
          <w:highlight w:val="none"/>
        </w:rPr>
        <w:t>后二十八（28）日内保持有效</w:t>
      </w:r>
      <w:r>
        <w:rPr>
          <w:rFonts w:hint="eastAsia" w:ascii="宋体" w:hAnsi="宋体" w:eastAsia="宋体" w:cs="宋体"/>
          <w:color w:val="auto"/>
          <w:kern w:val="0"/>
          <w:sz w:val="21"/>
          <w:szCs w:val="21"/>
          <w:highlight w:val="none"/>
          <w:lang w:eastAsia="zh-CN"/>
        </w:rPr>
        <w:t>。</w:t>
      </w: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rPr>
      </w:pPr>
      <w:bookmarkStart w:id="490" w:name="_Toc14958"/>
      <w:bookmarkStart w:id="491" w:name="_Toc142508361"/>
      <w:bookmarkStart w:id="492" w:name="_Toc450662895"/>
      <w:bookmarkStart w:id="493" w:name="_Toc32761_WPSOffice_Level1"/>
      <w:bookmarkStart w:id="494" w:name="_Toc486167708"/>
      <w:bookmarkStart w:id="495" w:name="_Toc15817"/>
      <w:bookmarkStart w:id="496" w:name="_Toc22538"/>
      <w:bookmarkStart w:id="497" w:name="_Toc9840"/>
      <w:bookmarkStart w:id="498" w:name="_Toc30700"/>
      <w:r>
        <w:rPr>
          <w:rFonts w:hint="eastAsia" w:ascii="宋体" w:hAnsi="宋体" w:eastAsia="宋体" w:cs="宋体"/>
          <w:b/>
          <w:bCs/>
          <w:color w:val="auto"/>
          <w:kern w:val="44"/>
          <w:sz w:val="32"/>
          <w:szCs w:val="32"/>
          <w:highlight w:val="none"/>
          <w:lang w:val="zh-CN"/>
        </w:rPr>
        <w:t>第六篇 投标文件格式</w:t>
      </w:r>
      <w:bookmarkEnd w:id="490"/>
      <w:bookmarkEnd w:id="491"/>
      <w:bookmarkEnd w:id="492"/>
      <w:bookmarkEnd w:id="493"/>
      <w:bookmarkEnd w:id="494"/>
      <w:bookmarkEnd w:id="495"/>
      <w:bookmarkEnd w:id="496"/>
      <w:bookmarkEnd w:id="497"/>
      <w:bookmarkEnd w:id="498"/>
    </w:p>
    <w:p>
      <w:pPr>
        <w:rPr>
          <w:rFonts w:hint="eastAsia" w:ascii="宋体" w:hAnsi="宋体" w:eastAsia="宋体" w:cs="宋体"/>
          <w:color w:val="auto"/>
          <w:sz w:val="84"/>
          <w:highlight w:val="none"/>
        </w:rPr>
      </w:pPr>
      <w:bookmarkStart w:id="499" w:name="_Toc104991868"/>
      <w:bookmarkStart w:id="500" w:name="_Toc102860067"/>
      <w:bookmarkStart w:id="501" w:name="_Toc142508362"/>
      <w:bookmarkStart w:id="502" w:name="_Toc533708121"/>
      <w:bookmarkStart w:id="503" w:name="_Toc486167709"/>
      <w:bookmarkStart w:id="504" w:name="_Toc140596921"/>
      <w:bookmarkStart w:id="505" w:name="_Toc94107202"/>
      <w:bookmarkStart w:id="506" w:name="_Toc1977721"/>
      <w:bookmarkStart w:id="507" w:name="_Toc21133_WPSOffice_Level2"/>
      <w:bookmarkStart w:id="508" w:name="_Toc102860411"/>
      <w:r>
        <w:rPr>
          <w:rFonts w:hint="eastAsia" w:ascii="宋体" w:hAnsi="宋体" w:eastAsia="宋体" w:cs="宋体"/>
          <w:color w:val="auto"/>
          <w:sz w:val="84"/>
          <w:highlight w:val="none"/>
        </w:rPr>
        <w:br w:type="page"/>
      </w:r>
    </w:p>
    <w:p>
      <w:pPr>
        <w:rPr>
          <w:rFonts w:hint="eastAsia" w:ascii="宋体" w:hAnsi="宋体" w:eastAsia="宋体" w:cs="宋体"/>
          <w:color w:val="auto"/>
          <w:sz w:val="84"/>
          <w:highlight w:val="none"/>
        </w:rPr>
      </w:pPr>
    </w:p>
    <w:p>
      <w:pPr>
        <w:pStyle w:val="19"/>
        <w:spacing w:line="360" w:lineRule="auto"/>
        <w:jc w:val="center"/>
        <w:rPr>
          <w:rFonts w:hint="eastAsia" w:ascii="宋体" w:hAnsi="宋体" w:eastAsia="宋体" w:cs="宋体"/>
          <w:color w:val="auto"/>
          <w:sz w:val="84"/>
          <w:highlight w:val="none"/>
        </w:rPr>
      </w:pPr>
    </w:p>
    <w:p>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9"/>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040"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color w:val="auto"/>
                <w:szCs w:val="21"/>
                <w:highlight w:val="none"/>
              </w:rPr>
            </w:pPr>
          </w:p>
        </w:tc>
        <w:tc>
          <w:tcPr>
            <w:tcW w:w="1337" w:type="pct"/>
            <w:vAlign w:val="center"/>
          </w:tcPr>
          <w:p>
            <w:pPr>
              <w:rPr>
                <w:rFonts w:hint="eastAsia" w:ascii="宋体" w:hAnsi="宋体" w:eastAsia="宋体" w:cs="宋体"/>
                <w:bCs/>
                <w:color w:val="auto"/>
                <w:szCs w:val="21"/>
                <w:highlight w:val="none"/>
              </w:rPr>
            </w:pPr>
          </w:p>
        </w:tc>
        <w:tc>
          <w:tcPr>
            <w:tcW w:w="1040" w:type="pct"/>
            <w:vAlign w:val="center"/>
          </w:tcPr>
          <w:p>
            <w:pPr>
              <w:rPr>
                <w:rFonts w:hint="eastAsia" w:ascii="宋体" w:hAnsi="宋体" w:eastAsia="宋体" w:cs="宋体"/>
                <w:bCs/>
                <w:color w:val="auto"/>
                <w:szCs w:val="21"/>
                <w:highlight w:val="none"/>
              </w:rPr>
            </w:pPr>
          </w:p>
        </w:tc>
        <w:tc>
          <w:tcPr>
            <w:tcW w:w="1957"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rPr>
                <w:rFonts w:hint="eastAsia" w:ascii="宋体" w:hAnsi="宋体" w:eastAsia="宋体" w:cs="宋体"/>
                <w:bCs/>
                <w:color w:val="auto"/>
                <w:szCs w:val="21"/>
                <w:highlight w:val="none"/>
              </w:rPr>
            </w:pPr>
          </w:p>
        </w:tc>
        <w:tc>
          <w:tcPr>
            <w:tcW w:w="1040"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bookmarkStart w:id="509" w:name="_Toc23782"/>
      <w:bookmarkStart w:id="510" w:name="_Toc13281"/>
      <w:bookmarkStart w:id="511" w:name="_Toc25224"/>
      <w:bookmarkStart w:id="512" w:name="_Toc26936"/>
      <w:bookmarkStart w:id="513" w:name="_Toc27679"/>
      <w:r>
        <w:rPr>
          <w:rFonts w:hint="eastAsia" w:ascii="宋体" w:hAnsi="宋体" w:eastAsia="宋体" w:cs="宋体"/>
          <w:b/>
          <w:color w:val="auto"/>
          <w:kern w:val="0"/>
          <w:sz w:val="32"/>
          <w:szCs w:val="32"/>
          <w:highlight w:val="none"/>
        </w:rPr>
        <w:t>一、投标函格式</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514" w:name="_Toc16695_WPSOffice_Level3"/>
      <w:r>
        <w:rPr>
          <w:rFonts w:hint="eastAsia" w:ascii="宋体" w:hAnsi="宋体" w:eastAsia="宋体" w:cs="宋体"/>
          <w:b/>
          <w:bCs/>
          <w:color w:val="auto"/>
          <w:sz w:val="30"/>
          <w:szCs w:val="30"/>
          <w:highlight w:val="none"/>
          <w:lang w:val="zh-CN"/>
        </w:rPr>
        <w:t>投 标 函</w:t>
      </w:r>
      <w:bookmarkEnd w:id="514"/>
    </w:p>
    <w:p>
      <w:pPr>
        <w:autoSpaceDE w:val="0"/>
        <w:autoSpaceDN w:val="0"/>
        <w:adjustRightInd w:val="0"/>
        <w:spacing w:line="360" w:lineRule="auto"/>
        <w:rPr>
          <w:rFonts w:hint="eastAsia" w:ascii="宋体" w:hAnsi="宋体" w:eastAsia="宋体" w:cs="宋体"/>
          <w:color w:val="auto"/>
          <w:szCs w:val="21"/>
          <w:highlight w:val="none"/>
          <w:lang w:val="zh-CN"/>
        </w:rPr>
      </w:pPr>
    </w:p>
    <w:p>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东莞市利源有机资源再生利用有限公司</w:t>
      </w:r>
    </w:p>
    <w:p>
      <w:pPr>
        <w:autoSpaceDE w:val="0"/>
        <w:autoSpaceDN w:val="0"/>
        <w:adjustRightInd w:val="0"/>
        <w:spacing w:line="360" w:lineRule="auto"/>
        <w:rPr>
          <w:rFonts w:hint="eastAsia" w:ascii="宋体" w:hAnsi="宋体" w:eastAsia="宋体" w:cs="宋体"/>
          <w:color w:val="auto"/>
          <w:szCs w:val="21"/>
          <w:highlight w:val="none"/>
        </w:rPr>
      </w:pPr>
    </w:p>
    <w:p>
      <w:pPr>
        <w:wordWrap w:val="0"/>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东莞市利源有机资源再生利用有限公司2024-2025年餐厨垃圾收运服务采购项目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0832-SFCX24DG024C</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0832-SFCX24DG024C</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hint="eastAsia"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15" w:name="_Toc23889"/>
      <w:bookmarkStart w:id="516" w:name="_Toc486167710"/>
      <w:bookmarkStart w:id="517" w:name="_Toc1977722"/>
      <w:bookmarkStart w:id="518" w:name="_Toc3104"/>
      <w:bookmarkStart w:id="519" w:name="_Toc104991869"/>
      <w:bookmarkStart w:id="520" w:name="_Toc102860412"/>
      <w:bookmarkStart w:id="521" w:name="_Toc22281"/>
      <w:bookmarkStart w:id="522" w:name="_Toc142508363"/>
      <w:bookmarkStart w:id="523" w:name="_Toc94107203"/>
      <w:bookmarkStart w:id="524" w:name="_Toc102860068"/>
      <w:bookmarkStart w:id="525" w:name="_Toc533708122"/>
      <w:bookmarkStart w:id="526" w:name="_Toc30995"/>
      <w:bookmarkStart w:id="527" w:name="_Toc140596922"/>
      <w:bookmarkStart w:id="528" w:name="_Toc12417"/>
      <w:bookmarkStart w:id="529" w:name="_Toc28613_WPSOffice_Level2"/>
      <w:r>
        <w:rPr>
          <w:rFonts w:hint="eastAsia" w:ascii="宋体" w:hAnsi="宋体" w:eastAsia="宋体" w:cs="宋体"/>
          <w:b/>
          <w:color w:val="auto"/>
          <w:kern w:val="0"/>
          <w:sz w:val="32"/>
          <w:szCs w:val="32"/>
          <w:highlight w:val="none"/>
        </w:rPr>
        <w:t>二、投标承诺书格式</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东莞市利源有机资源再生利用有限公司2024-2025年餐厨垃圾收运服务采购项目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eastAsia="zh-CN"/>
        </w:rPr>
        <w:t>0832-SFCX24DG024C</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p>
    <w:p>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firstLine="5040"/>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bookmarkStart w:id="530" w:name="_Toc316896755"/>
      <w:bookmarkStart w:id="531" w:name="_Toc311032584"/>
      <w:bookmarkStart w:id="532" w:name="_Toc326768876"/>
    </w:p>
    <w:p>
      <w:pPr>
        <w:pageBreakBefore/>
        <w:autoSpaceDE w:val="0"/>
        <w:autoSpaceDN w:val="0"/>
        <w:adjustRightInd w:val="0"/>
        <w:spacing w:line="360" w:lineRule="auto"/>
        <w:jc w:val="left"/>
        <w:outlineLvl w:val="2"/>
        <w:rPr>
          <w:rFonts w:hint="eastAsia" w:ascii="宋体" w:hAnsi="宋体" w:eastAsia="宋体" w:cs="宋体"/>
          <w:b/>
          <w:color w:val="auto"/>
          <w:kern w:val="44"/>
          <w:sz w:val="32"/>
          <w:szCs w:val="32"/>
          <w:highlight w:val="none"/>
        </w:rPr>
      </w:pPr>
      <w:bookmarkStart w:id="533" w:name="_Toc82182546"/>
      <w:bookmarkStart w:id="534" w:name="_Toc24336"/>
      <w:bookmarkStart w:id="535" w:name="_Toc86764083"/>
      <w:bookmarkStart w:id="536" w:name="_Toc5075"/>
      <w:bookmarkStart w:id="537" w:name="_Toc29910"/>
      <w:bookmarkStart w:id="538" w:name="_Toc24507"/>
      <w:bookmarkStart w:id="539" w:name="_Toc104991870"/>
      <w:bookmarkStart w:id="540" w:name="_Toc140596923"/>
      <w:bookmarkStart w:id="541" w:name="_Toc27016"/>
      <w:bookmarkStart w:id="542" w:name="_Toc142508364"/>
      <w:bookmarkStart w:id="543" w:name="_Toc102860413"/>
      <w:bookmarkStart w:id="544" w:name="_Toc94107204"/>
      <w:bookmarkStart w:id="545" w:name="_Toc102860069"/>
      <w:bookmarkStart w:id="546" w:name="_Toc1977723"/>
      <w:bookmarkStart w:id="547" w:name="_Toc7024_WPSOffice_Level2"/>
      <w:bookmarkStart w:id="548" w:name="_Toc533708123"/>
      <w:bookmarkStart w:id="549" w:name="_Toc486167711"/>
      <w:r>
        <w:rPr>
          <w:rFonts w:hint="eastAsia" w:ascii="宋体" w:hAnsi="宋体" w:eastAsia="宋体" w:cs="宋体"/>
          <w:b/>
          <w:color w:val="auto"/>
          <w:kern w:val="44"/>
          <w:sz w:val="32"/>
          <w:szCs w:val="32"/>
          <w:highlight w:val="none"/>
        </w:rPr>
        <w:t>三、供货及/或提供服务过程承诺函格式</w:t>
      </w:r>
      <w:bookmarkEnd w:id="533"/>
      <w:bookmarkEnd w:id="534"/>
      <w:bookmarkEnd w:id="535"/>
      <w:bookmarkEnd w:id="536"/>
      <w:bookmarkEnd w:id="537"/>
      <w:bookmarkEnd w:id="538"/>
      <w:bookmarkEnd w:id="539"/>
      <w:bookmarkEnd w:id="540"/>
      <w:bookmarkEnd w:id="541"/>
      <w:bookmarkEnd w:id="542"/>
      <w:bookmarkEnd w:id="543"/>
      <w:bookmarkEnd w:id="544"/>
      <w:bookmarkEnd w:id="545"/>
    </w:p>
    <w:p>
      <w:pPr>
        <w:autoSpaceDE w:val="0"/>
        <w:autoSpaceDN w:val="0"/>
        <w:adjustRightInd w:val="0"/>
        <w:spacing w:line="360" w:lineRule="auto"/>
        <w:jc w:val="center"/>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东莞市利源有机资源再生利用有限公司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东莞市利源有机资源再生利用有限公司2024-2025年餐厨垃圾收运服务采购项目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0832-SFCX24DG024C</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pageBreakBefore/>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bookmarkStart w:id="550" w:name="_Toc102860071"/>
      <w:bookmarkStart w:id="551" w:name="_Toc104991872"/>
      <w:bookmarkStart w:id="552" w:name="_Toc102860415"/>
      <w:bookmarkStart w:id="553" w:name="_Toc94107206"/>
      <w:bookmarkStart w:id="554" w:name="_Toc13416"/>
      <w:bookmarkStart w:id="555" w:name="_Toc7734"/>
      <w:bookmarkStart w:id="556" w:name="_Toc18346"/>
      <w:bookmarkStart w:id="557" w:name="_Toc140596925"/>
      <w:bookmarkStart w:id="558" w:name="_Toc1140"/>
      <w:bookmarkStart w:id="559" w:name="_Toc142508366"/>
      <w:bookmarkStart w:id="560" w:name="_Toc22602"/>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pPr>
        <w:tabs>
          <w:tab w:val="left" w:pos="567"/>
        </w:tabs>
        <w:autoSpaceDE w:val="0"/>
        <w:autoSpaceDN w:val="0"/>
        <w:adjustRightInd w:val="0"/>
        <w:spacing w:line="360" w:lineRule="auto"/>
        <w:ind w:left="711" w:hanging="711" w:hangingChars="236"/>
        <w:jc w:val="left"/>
        <w:outlineLvl w:val="2"/>
        <w:rPr>
          <w:rFonts w:hint="eastAsia" w:ascii="宋体" w:hAnsi="宋体" w:eastAsia="宋体" w:cs="宋体"/>
          <w:b/>
          <w:color w:val="auto"/>
          <w:kern w:val="0"/>
          <w:sz w:val="30"/>
          <w:szCs w:val="30"/>
          <w:highlight w:val="none"/>
        </w:rPr>
      </w:pPr>
      <w:bookmarkStart w:id="561" w:name="_Toc23397"/>
      <w:bookmarkStart w:id="562" w:name="_Toc24175"/>
      <w:bookmarkStart w:id="563" w:name="_Toc2395_WPSOffice_Level3"/>
      <w:bookmarkStart w:id="564" w:name="_Toc102860416"/>
      <w:bookmarkStart w:id="565" w:name="_Toc104991873"/>
      <w:bookmarkStart w:id="566" w:name="_Toc142508367"/>
      <w:bookmarkStart w:id="567" w:name="_Toc18201"/>
      <w:bookmarkStart w:id="568" w:name="_Toc102860072"/>
      <w:bookmarkStart w:id="569" w:name="_Toc15425"/>
      <w:bookmarkStart w:id="570" w:name="_Toc1294"/>
      <w:bookmarkStart w:id="571" w:name="_Toc94107207"/>
      <w:bookmarkStart w:id="572" w:name="_Toc140596926"/>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投标报价表</w:t>
      </w:r>
      <w:bookmarkEnd w:id="561"/>
      <w:bookmarkEnd w:id="562"/>
      <w:bookmarkEnd w:id="563"/>
      <w:bookmarkEnd w:id="564"/>
      <w:bookmarkEnd w:id="565"/>
      <w:bookmarkEnd w:id="566"/>
      <w:bookmarkEnd w:id="567"/>
      <w:bookmarkEnd w:id="568"/>
      <w:bookmarkEnd w:id="569"/>
      <w:bookmarkEnd w:id="570"/>
      <w:bookmarkEnd w:id="571"/>
      <w:bookmarkEnd w:id="572"/>
    </w:p>
    <w:p>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东莞市利源有机资源再生利用有限公司2024-2025年餐厨垃圾收运服务采购项目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0832-SFCX24DG024C</w:t>
      </w:r>
    </w:p>
    <w:tbl>
      <w:tblPr>
        <w:tblStyle w:val="38"/>
        <w:tblW w:w="461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7"/>
        <w:gridCol w:w="4026"/>
        <w:gridCol w:w="3403"/>
        <w:gridCol w:w="13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43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101"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1776"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投标报价</w:t>
            </w:r>
          </w:p>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（不含销项税）</w:t>
            </w:r>
          </w:p>
        </w:tc>
        <w:tc>
          <w:tcPr>
            <w:tcW w:w="69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7" w:hRule="atLeast"/>
        </w:trPr>
        <w:tc>
          <w:tcPr>
            <w:tcW w:w="432"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101"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东莞市利源有机资源再生利用有限公司2024-2025年餐厨垃圾收运服务采购项目</w:t>
            </w:r>
          </w:p>
        </w:tc>
        <w:tc>
          <w:tcPr>
            <w:tcW w:w="1776" w:type="pct"/>
            <w:tcBorders>
              <w:top w:val="single" w:color="auto" w:sz="4" w:space="0"/>
              <w:left w:val="single" w:color="auto" w:sz="4" w:space="0"/>
              <w:right w:val="single" w:color="auto" w:sz="4" w:space="0"/>
            </w:tcBorders>
            <w:vAlign w:val="center"/>
          </w:tcPr>
          <w:p>
            <w:pPr>
              <w:tabs>
                <w:tab w:val="left" w:pos="8610"/>
              </w:tabs>
              <w:spacing w:line="360" w:lineRule="auto"/>
              <w:rPr>
                <w:rFonts w:hint="eastAsia" w:ascii="宋体" w:hAnsi="宋体" w:eastAsia="宋体" w:cs="宋体"/>
                <w:color w:val="auto"/>
                <w:kern w:val="0"/>
                <w:szCs w:val="21"/>
                <w:highlight w:val="none"/>
              </w:rPr>
            </w:pPr>
            <w:r>
              <w:rPr>
                <w:rFonts w:hint="eastAsia" w:ascii="宋体" w:hAnsi="宋体" w:eastAsia="宋体" w:cs="宋体"/>
                <w:b w:val="0"/>
                <w:bCs w:val="0"/>
                <w:color w:val="auto"/>
                <w:szCs w:val="21"/>
                <w:highlight w:val="none"/>
                <w:u w:val="single"/>
                <w:lang w:val="zh-CN"/>
              </w:rPr>
              <w:t>餐厨垃圾收运服务不含税综合单价</w:t>
            </w:r>
            <w:r>
              <w:rPr>
                <w:rFonts w:hint="eastAsia" w:ascii="宋体" w:hAnsi="宋体" w:eastAsia="宋体" w:cs="宋体"/>
                <w:b w:val="0"/>
                <w:bCs w:val="0"/>
                <w:color w:val="auto"/>
                <w:szCs w:val="21"/>
                <w:highlight w:val="none"/>
                <w:u w:val="single"/>
                <w:lang w:val="en-US" w:eastAsia="zh-CN"/>
              </w:rPr>
              <w:t xml:space="preserve">：     </w:t>
            </w:r>
            <w:r>
              <w:rPr>
                <w:rFonts w:hint="eastAsia" w:ascii="宋体" w:hAnsi="宋体" w:eastAsia="宋体" w:cs="宋体"/>
                <w:b w:val="0"/>
                <w:bCs w:val="0"/>
                <w:color w:val="auto"/>
                <w:szCs w:val="21"/>
                <w:highlight w:val="none"/>
                <w:u w:val="single"/>
                <w:lang w:val="zh-CN"/>
              </w:rPr>
              <w:t>元</w:t>
            </w:r>
            <w:r>
              <w:rPr>
                <w:rFonts w:hint="eastAsia" w:ascii="宋体" w:hAnsi="宋体" w:eastAsia="宋体" w:cs="宋体"/>
                <w:b w:val="0"/>
                <w:bCs w:val="0"/>
                <w:color w:val="auto"/>
                <w:szCs w:val="21"/>
                <w:highlight w:val="none"/>
                <w:u w:val="single"/>
                <w:lang w:val="en-US" w:eastAsia="zh-CN"/>
              </w:rPr>
              <w:t>/吨</w:t>
            </w:r>
          </w:p>
        </w:tc>
        <w:tc>
          <w:tcPr>
            <w:tcW w:w="690" w:type="pct"/>
            <w:tcBorders>
              <w:top w:val="single" w:color="auto" w:sz="4" w:space="0"/>
              <w:left w:val="single" w:color="auto" w:sz="4" w:space="0"/>
              <w:right w:val="single" w:color="auto" w:sz="4" w:space="0"/>
            </w:tcBorders>
            <w:vAlign w:val="center"/>
          </w:tcPr>
          <w:p>
            <w:pPr>
              <w:tabs>
                <w:tab w:val="left" w:pos="8610"/>
              </w:tabs>
              <w:spacing w:line="360" w:lineRule="auto"/>
              <w:jc w:val="center"/>
              <w:rPr>
                <w:rFonts w:hint="eastAsia" w:ascii="宋体" w:hAnsi="宋体" w:eastAsia="宋体" w:cs="宋体"/>
                <w:color w:val="auto"/>
                <w:kern w:val="0"/>
                <w:szCs w:val="21"/>
                <w:highlight w:val="none"/>
              </w:rPr>
            </w:pPr>
          </w:p>
        </w:tc>
      </w:tr>
    </w:tbl>
    <w:p>
      <w:pPr>
        <w:rPr>
          <w:rFonts w:hint="eastAsia" w:ascii="宋体" w:hAnsi="宋体" w:eastAsia="宋体" w:cs="宋体"/>
          <w:color w:val="auto"/>
          <w:kern w:val="0"/>
          <w:sz w:val="20"/>
          <w:szCs w:val="21"/>
          <w:highlight w:val="none"/>
        </w:rPr>
      </w:pPr>
    </w:p>
    <w:p>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7" w:leftChars="18" w:hanging="569" w:hangingChars="27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w:t>
      </w:r>
      <w:r>
        <w:rPr>
          <w:rFonts w:hint="eastAsia" w:ascii="宋体" w:hAnsi="宋体" w:eastAsia="宋体" w:cs="宋体"/>
          <w:b/>
          <w:color w:val="auto"/>
          <w:kern w:val="0"/>
          <w:szCs w:val="21"/>
          <w:highlight w:val="none"/>
          <w:u w:val="single"/>
        </w:rPr>
        <w:t>本项目投标报价为不含税价，即为《中华人民共和国增值税暂行条例》（国务院令第691号修订版）规定的销售额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Times New Roman"/>
          <w:b/>
          <w:bCs/>
          <w:color w:val="auto"/>
          <w:kern w:val="0"/>
          <w:szCs w:val="21"/>
          <w:highlight w:val="none"/>
          <w:u w:val="single"/>
        </w:rPr>
        <w:t>投标人的投标报价高于</w:t>
      </w:r>
      <w:r>
        <w:rPr>
          <w:rFonts w:hint="eastAsia" w:ascii="宋体" w:hAnsi="宋体" w:eastAsia="宋体" w:cs="Times New Roman"/>
          <w:b/>
          <w:bCs/>
          <w:color w:val="auto"/>
          <w:kern w:val="0"/>
          <w:szCs w:val="24"/>
          <w:highlight w:val="none"/>
          <w:u w:val="single"/>
        </w:rPr>
        <w:t>最高</w:t>
      </w:r>
      <w:r>
        <w:rPr>
          <w:rFonts w:hint="eastAsia" w:ascii="宋体" w:hAnsi="宋体" w:eastAsia="宋体" w:cs="Times New Roman"/>
          <w:b/>
          <w:bCs/>
          <w:color w:val="auto"/>
          <w:kern w:val="0"/>
          <w:szCs w:val="24"/>
          <w:highlight w:val="none"/>
          <w:u w:val="single"/>
          <w:lang w:val="en-US" w:eastAsia="zh-CN"/>
        </w:rPr>
        <w:t>投标</w:t>
      </w:r>
      <w:r>
        <w:rPr>
          <w:rFonts w:hint="eastAsia" w:ascii="宋体" w:hAnsi="宋体" w:eastAsia="宋体" w:cs="Times New Roman"/>
          <w:b/>
          <w:bCs/>
          <w:color w:val="auto"/>
          <w:kern w:val="0"/>
          <w:szCs w:val="24"/>
          <w:highlight w:val="none"/>
          <w:u w:val="single"/>
        </w:rPr>
        <w:t>限价</w:t>
      </w:r>
      <w:r>
        <w:rPr>
          <w:rFonts w:hint="eastAsia" w:ascii="宋体" w:hAnsi="宋体" w:eastAsia="宋体" w:cs="Times New Roman"/>
          <w:b/>
          <w:bCs/>
          <w:color w:val="auto"/>
          <w:kern w:val="0"/>
          <w:szCs w:val="21"/>
          <w:highlight w:val="none"/>
          <w:u w:val="single"/>
        </w:rPr>
        <w:t>的</w:t>
      </w:r>
      <w:r>
        <w:rPr>
          <w:rFonts w:hint="eastAsia" w:ascii="宋体" w:hAnsi="宋体" w:eastAsia="宋体" w:cs="宋体"/>
          <w:b/>
          <w:bCs/>
          <w:color w:val="auto"/>
          <w:kern w:val="0"/>
          <w:szCs w:val="21"/>
          <w:highlight w:val="none"/>
          <w:u w:val="single"/>
        </w:rPr>
        <w:t>，该投标人的投标文件将被视为无效投标</w:t>
      </w:r>
      <w:r>
        <w:rPr>
          <w:rFonts w:hint="eastAsia" w:ascii="宋体" w:hAnsi="宋体" w:eastAsia="宋体" w:cs="宋体"/>
          <w:b/>
          <w:bCs/>
          <w:color w:val="auto"/>
          <w:kern w:val="0"/>
          <w:szCs w:val="21"/>
          <w:highlight w:val="none"/>
        </w:rPr>
        <w:t>。</w:t>
      </w:r>
    </w:p>
    <w:p>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u w:val="single"/>
        </w:rPr>
        <w:t>餐厨垃圾预处理车间分拣的生活垃圾收运服务单价等于餐厨垃圾收运服务不含税综合单价，不单独报价。</w:t>
      </w:r>
    </w:p>
    <w:p>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）本投标报价表报价与分项报价明细表报价不一致的，以本投标报价表为准。对不同文字文本投标文件的解释发生异议的，以中文文本为准。</w:t>
      </w:r>
    </w:p>
    <w:p>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w:t>
      </w:r>
      <w:r>
        <w:rPr>
          <w:rFonts w:hint="eastAsia" w:ascii="宋体" w:hAnsi="宋体" w:eastAsia="宋体" w:cs="宋体"/>
          <w:color w:val="auto"/>
          <w:kern w:val="0"/>
          <w:szCs w:val="21"/>
          <w:highlight w:val="none"/>
        </w:rPr>
        <w:t>报价保留小数点后两位。</w:t>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73" w:name="_Toc23083"/>
      <w:bookmarkStart w:id="574" w:name="_Toc142508369"/>
      <w:bookmarkStart w:id="575" w:name="_Toc12866"/>
      <w:bookmarkStart w:id="576" w:name="_Toc6190"/>
      <w:bookmarkStart w:id="577" w:name="_Toc104991875"/>
      <w:bookmarkStart w:id="578" w:name="_Toc26516"/>
      <w:bookmarkStart w:id="579" w:name="_Toc14010"/>
      <w:bookmarkStart w:id="580" w:name="_Toc94107209"/>
      <w:bookmarkStart w:id="581" w:name="_Toc102860074"/>
      <w:bookmarkStart w:id="582" w:name="_Toc102860418"/>
      <w:bookmarkStart w:id="583" w:name="_Toc1977725"/>
      <w:bookmarkStart w:id="584" w:name="_Toc140596928"/>
      <w:bookmarkStart w:id="585" w:name="_Toc533708124"/>
      <w:bookmarkStart w:id="586" w:name="_Toc20759_WPSOffice_Level2"/>
      <w:bookmarkStart w:id="587"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73"/>
      <w:bookmarkEnd w:id="574"/>
      <w:bookmarkEnd w:id="575"/>
      <w:bookmarkEnd w:id="576"/>
      <w:bookmarkEnd w:id="577"/>
      <w:bookmarkEnd w:id="578"/>
      <w:bookmarkEnd w:id="579"/>
      <w:bookmarkEnd w:id="580"/>
      <w:bookmarkEnd w:id="581"/>
      <w:bookmarkEnd w:id="582"/>
      <w:bookmarkEnd w:id="583"/>
      <w:bookmarkEnd w:id="584"/>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588" w:name="_Toc31924"/>
      <w:bookmarkStart w:id="589" w:name="_Toc142508370"/>
      <w:bookmarkStart w:id="590" w:name="_Toc102860075"/>
      <w:bookmarkStart w:id="591" w:name="_Toc14680"/>
      <w:bookmarkStart w:id="592" w:name="_Toc102860419"/>
      <w:bookmarkStart w:id="593" w:name="_Toc25267"/>
      <w:bookmarkStart w:id="594" w:name="_Toc29874"/>
      <w:bookmarkStart w:id="595" w:name="_Toc140596929"/>
      <w:bookmarkStart w:id="596" w:name="_Toc94107210"/>
      <w:bookmarkStart w:id="597" w:name="_Toc17358"/>
      <w:bookmarkStart w:id="598" w:name="_Toc104991876"/>
      <w:bookmarkStart w:id="599"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88"/>
      <w:bookmarkEnd w:id="589"/>
      <w:bookmarkEnd w:id="590"/>
      <w:bookmarkEnd w:id="591"/>
      <w:bookmarkEnd w:id="592"/>
      <w:bookmarkEnd w:id="593"/>
      <w:bookmarkEnd w:id="594"/>
      <w:bookmarkEnd w:id="595"/>
      <w:bookmarkEnd w:id="596"/>
      <w:bookmarkEnd w:id="597"/>
      <w:bookmarkEnd w:id="598"/>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2"/>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00" w:name="_Toc102860076"/>
      <w:bookmarkStart w:id="601" w:name="_Toc102860420"/>
      <w:bookmarkStart w:id="602" w:name="_Toc94107211"/>
      <w:bookmarkStart w:id="603" w:name="_Toc30063"/>
      <w:bookmarkStart w:id="604" w:name="_Toc27861"/>
      <w:bookmarkStart w:id="605" w:name="_Toc7756"/>
      <w:bookmarkStart w:id="606" w:name="_Toc104991877"/>
      <w:bookmarkStart w:id="607" w:name="_Toc25013"/>
      <w:bookmarkStart w:id="608" w:name="_Toc7120"/>
      <w:bookmarkStart w:id="609" w:name="_Toc142508371"/>
      <w:bookmarkStart w:id="610" w:name="_Toc1405969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00"/>
      <w:bookmarkEnd w:id="601"/>
      <w:bookmarkEnd w:id="602"/>
      <w:bookmarkEnd w:id="603"/>
      <w:bookmarkEnd w:id="604"/>
      <w:bookmarkEnd w:id="605"/>
      <w:bookmarkEnd w:id="606"/>
      <w:bookmarkEnd w:id="607"/>
      <w:bookmarkEnd w:id="608"/>
      <w:bookmarkEnd w:id="609"/>
      <w:bookmarkEnd w:id="610"/>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611" w:name="_Toc104991878"/>
      <w:bookmarkStart w:id="612" w:name="_Toc102860421"/>
      <w:bookmarkStart w:id="613" w:name="_Toc7441"/>
      <w:bookmarkStart w:id="614" w:name="_Toc17499"/>
      <w:bookmarkStart w:id="615" w:name="_Toc9132"/>
      <w:bookmarkStart w:id="616" w:name="_Toc142508372"/>
      <w:bookmarkStart w:id="617" w:name="_Toc4474"/>
      <w:bookmarkStart w:id="618" w:name="_Toc6691"/>
      <w:bookmarkStart w:id="619" w:name="_Toc94107212"/>
      <w:bookmarkStart w:id="620" w:name="_Toc102860077"/>
      <w:bookmarkStart w:id="621" w:name="_Toc14059693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611"/>
      <w:bookmarkEnd w:id="612"/>
      <w:bookmarkEnd w:id="613"/>
      <w:bookmarkEnd w:id="614"/>
      <w:bookmarkEnd w:id="615"/>
      <w:bookmarkEnd w:id="616"/>
      <w:bookmarkEnd w:id="617"/>
      <w:bookmarkEnd w:id="618"/>
      <w:bookmarkEnd w:id="619"/>
      <w:bookmarkEnd w:id="620"/>
      <w:bookmarkEnd w:id="621"/>
    </w:p>
    <w:p>
      <w:pPr>
        <w:spacing w:before="120" w:after="120" w:line="360" w:lineRule="auto"/>
        <w:ind w:firstLine="426" w:firstLineChars="20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85"/>
      <w:bookmarkEnd w:id="586"/>
      <w:bookmarkEnd w:id="587"/>
      <w:bookmarkEnd w:id="599"/>
    </w:p>
    <w:p>
      <w:pPr>
        <w:spacing w:before="120" w:after="120" w:line="360" w:lineRule="auto"/>
        <w:ind w:firstLine="608" w:firstLineChars="202"/>
        <w:jc w:val="center"/>
        <w:rPr>
          <w:rFonts w:hint="eastAsia" w:ascii="宋体" w:hAnsi="宋体" w:eastAsia="宋体" w:cs="宋体"/>
          <w:b/>
          <w:color w:val="auto"/>
          <w:sz w:val="30"/>
          <w:szCs w:val="30"/>
          <w:highlight w:val="none"/>
        </w:rPr>
      </w:pPr>
    </w:p>
    <w:p>
      <w:pPr>
        <w:spacing w:before="120" w:after="120" w:line="360" w:lineRule="auto"/>
        <w:ind w:firstLine="608" w:firstLineChars="202"/>
        <w:jc w:val="center"/>
        <w:rPr>
          <w:rFonts w:hint="eastAsia" w:ascii="宋体" w:hAnsi="宋体" w:eastAsia="宋体" w:cs="宋体"/>
          <w:b/>
          <w:bCs/>
          <w:color w:val="auto"/>
          <w:sz w:val="30"/>
          <w:szCs w:val="30"/>
          <w:highlight w:val="none"/>
        </w:rPr>
      </w:pPr>
      <w:bookmarkStart w:id="622" w:name="_Toc11033_WPSOffice_Level3"/>
      <w:r>
        <w:rPr>
          <w:rFonts w:hint="eastAsia" w:ascii="宋体" w:hAnsi="宋体" w:eastAsia="宋体" w:cs="宋体"/>
          <w:b/>
          <w:color w:val="auto"/>
          <w:sz w:val="30"/>
          <w:szCs w:val="30"/>
          <w:highlight w:val="none"/>
        </w:rPr>
        <w:t>法定代</w:t>
      </w:r>
      <w:bookmarkStart w:id="623" w:name="_Toc45995270"/>
      <w:bookmarkStart w:id="624" w:name="_Toc36971359"/>
      <w:r>
        <w:rPr>
          <w:rFonts w:hint="eastAsia" w:ascii="宋体" w:hAnsi="宋体" w:eastAsia="宋体" w:cs="宋体"/>
          <w:b/>
          <w:color w:val="auto"/>
          <w:sz w:val="30"/>
          <w:szCs w:val="30"/>
          <w:highlight w:val="none"/>
        </w:rPr>
        <w:t>表人身份证明书</w:t>
      </w:r>
      <w:bookmarkEnd w:id="622"/>
    </w:p>
    <w:bookmarkEnd w:id="623"/>
    <w:bookmarkEnd w:id="624"/>
    <w:p>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Pr>
                              <w:rPr>
                                <w:rFonts w:eastAsia="+中文正文"/>
                              </w:rPr>
                            </w:pPr>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Pr>
                        <w:rPr>
                          <w:rFonts w:eastAsia="+中文正文"/>
                        </w:rPr>
                      </w:pPr>
                    </w:p>
                    <w:p/>
                    <w:p/>
                    <w:p/>
                    <w:p>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b/>
          <w:color w:val="auto"/>
          <w:kern w:val="0"/>
          <w:szCs w:val="21"/>
          <w:highlight w:val="none"/>
        </w:rPr>
      </w:pPr>
    </w:p>
    <w:p>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hint="eastAsia" w:ascii="宋体" w:hAnsi="宋体" w:eastAsia="宋体" w:cs="宋体"/>
          <w:color w:val="auto"/>
          <w:kern w:val="0"/>
          <w:szCs w:val="21"/>
          <w:highlight w:val="none"/>
        </w:rPr>
      </w:pPr>
    </w:p>
    <w:p>
      <w:pPr>
        <w:spacing w:before="120" w:after="120" w:line="360" w:lineRule="auto"/>
        <w:ind w:firstLine="424" w:firstLineChars="202"/>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30"/>
      <w:bookmarkEnd w:id="531"/>
      <w:bookmarkEnd w:id="532"/>
      <w:bookmarkStart w:id="625" w:name="_Toc1977727"/>
      <w:bookmarkStart w:id="626" w:name="_Toc533708125"/>
      <w:bookmarkStart w:id="627" w:name="_Toc6240_WPSOffice_Level2"/>
      <w:bookmarkStart w:id="628" w:name="_Toc486167713"/>
      <w:r>
        <w:rPr>
          <w:rFonts w:hint="eastAsia" w:ascii="宋体" w:hAnsi="宋体" w:eastAsia="宋体" w:cs="宋体"/>
          <w:b/>
          <w:color w:val="auto"/>
          <w:szCs w:val="24"/>
          <w:highlight w:val="none"/>
        </w:rPr>
        <w:t>（2）法定代表人授权书格式</w:t>
      </w:r>
      <w:bookmarkEnd w:id="625"/>
      <w:bookmarkEnd w:id="626"/>
      <w:bookmarkEnd w:id="627"/>
      <w:bookmarkEnd w:id="628"/>
    </w:p>
    <w:p>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p>
    <w:p>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629" w:name="_Toc29146_WPSOffice_Level3"/>
      <w:r>
        <w:rPr>
          <w:rFonts w:hint="eastAsia" w:ascii="宋体" w:hAnsi="宋体" w:eastAsia="宋体" w:cs="宋体"/>
          <w:b/>
          <w:bCs/>
          <w:color w:val="auto"/>
          <w:sz w:val="30"/>
          <w:szCs w:val="30"/>
          <w:highlight w:val="none"/>
          <w:lang w:val="zh-CN"/>
        </w:rPr>
        <w:t>法定代表人授权书</w:t>
      </w:r>
      <w:bookmarkEnd w:id="629"/>
    </w:p>
    <w:p>
      <w:pPr>
        <w:autoSpaceDE w:val="0"/>
        <w:autoSpaceDN w:val="0"/>
        <w:adjustRightInd w:val="0"/>
        <w:spacing w:line="360" w:lineRule="auto"/>
        <w:jc w:val="center"/>
        <w:rPr>
          <w:rFonts w:hint="eastAsia" w:ascii="宋体" w:hAnsi="宋体" w:eastAsia="宋体" w:cs="宋体"/>
          <w:color w:val="auto"/>
          <w:szCs w:val="28"/>
          <w:highlight w:val="none"/>
          <w:lang w:val="zh-CN"/>
        </w:rPr>
      </w:pPr>
    </w:p>
    <w:p>
      <w:pPr>
        <w:spacing w:before="120" w:after="120"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致：东莞市利源有机资源再生利用有限公司</w:t>
      </w:r>
    </w:p>
    <w:p>
      <w:pPr>
        <w:spacing w:before="120" w:after="12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东莞市利源有机资源再生利用有限公司2024-2025年餐厨垃圾收运服务采购项目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0832-SFCX24DG024C</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hint="eastAsia" w:ascii="宋体" w:hAnsi="宋体" w:eastAsia="宋体" w:cs="宋体"/>
          <w:color w:val="auto"/>
          <w:szCs w:val="24"/>
          <w:highlight w:val="none"/>
        </w:rPr>
      </w:pP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hint="eastAsia"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Style w:val="5"/>
        <w:pageBreakBefore/>
        <w:spacing w:line="360" w:lineRule="auto"/>
        <w:rPr>
          <w:rFonts w:hint="eastAsia" w:ascii="宋体" w:hAnsi="宋体" w:eastAsia="宋体" w:cs="宋体"/>
          <w:b/>
          <w:color w:val="auto"/>
          <w:sz w:val="30"/>
          <w:szCs w:val="30"/>
          <w:highlight w:val="none"/>
          <w:lang w:val="zh-CN"/>
        </w:rPr>
      </w:pPr>
      <w:bookmarkStart w:id="630" w:name="_Toc15716"/>
      <w:bookmarkStart w:id="631" w:name="_Toc16360"/>
      <w:bookmarkStart w:id="632" w:name="_Toc16211"/>
      <w:bookmarkStart w:id="633" w:name="_Toc32328"/>
      <w:bookmarkStart w:id="634" w:name="_Toc12400"/>
      <w:bookmarkStart w:id="635" w:name="_Toc94107214"/>
      <w:bookmarkStart w:id="636" w:name="_Toc140596933"/>
      <w:bookmarkStart w:id="637" w:name="_Toc142508373"/>
      <w:bookmarkStart w:id="638" w:name="_Toc1977730"/>
      <w:bookmarkStart w:id="639" w:name="_Toc10499188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【投标人提供一份</w:t>
      </w:r>
      <w:r>
        <w:rPr>
          <w:rFonts w:hint="eastAsia" w:ascii="宋体" w:hAnsi="宋体" w:eastAsia="宋体" w:cs="宋体"/>
          <w:b/>
          <w:bCs/>
          <w:color w:val="auto"/>
          <w:sz w:val="32"/>
          <w:szCs w:val="32"/>
          <w:highlight w:val="none"/>
          <w:lang w:val="en-US" w:eastAsia="zh-CN"/>
        </w:rPr>
        <w:t>2021</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日以来</w:t>
      </w:r>
      <w:r>
        <w:rPr>
          <w:rFonts w:hint="eastAsia" w:hAnsi="宋体" w:cs="宋体"/>
          <w:b/>
          <w:bCs/>
          <w:color w:val="auto"/>
          <w:sz w:val="32"/>
          <w:szCs w:val="32"/>
          <w:highlight w:val="none"/>
          <w:lang w:val="en-US" w:eastAsia="zh-CN"/>
        </w:rPr>
        <w:t>具有</w:t>
      </w:r>
      <w:r>
        <w:rPr>
          <w:rFonts w:hint="eastAsia" w:hAnsi="宋体" w:cs="宋体"/>
          <w:b/>
          <w:bCs/>
          <w:color w:val="auto"/>
          <w:sz w:val="32"/>
          <w:szCs w:val="32"/>
          <w:highlight w:val="none"/>
          <w:lang w:eastAsia="zh-CN"/>
        </w:rPr>
        <w:t>餐厨废弃物或生活垃圾收运服务</w:t>
      </w:r>
      <w:r>
        <w:rPr>
          <w:rFonts w:hint="eastAsia" w:ascii="宋体" w:hAnsi="宋体" w:eastAsia="宋体" w:cs="宋体"/>
          <w:b/>
          <w:bCs/>
          <w:color w:val="auto"/>
          <w:sz w:val="32"/>
          <w:szCs w:val="32"/>
          <w:highlight w:val="none"/>
        </w:rPr>
        <w:t>业绩（合同签订日期为</w:t>
      </w:r>
      <w:r>
        <w:rPr>
          <w:rFonts w:hint="eastAsia" w:ascii="宋体" w:hAnsi="宋体" w:eastAsia="宋体" w:cs="宋体"/>
          <w:b/>
          <w:bCs/>
          <w:color w:val="auto"/>
          <w:sz w:val="32"/>
          <w:szCs w:val="32"/>
          <w:highlight w:val="none"/>
          <w:lang w:val="en-US" w:eastAsia="zh-CN"/>
        </w:rPr>
        <w:t>2021</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日或以后）</w:t>
      </w:r>
      <w:bookmarkEnd w:id="630"/>
      <w:bookmarkEnd w:id="631"/>
      <w:bookmarkEnd w:id="632"/>
      <w:bookmarkEnd w:id="633"/>
      <w:bookmarkEnd w:id="634"/>
      <w:r>
        <w:rPr>
          <w:rFonts w:hint="eastAsia" w:ascii="宋体" w:hAnsi="宋体" w:eastAsia="宋体" w:cs="宋体"/>
          <w:b/>
          <w:bCs/>
          <w:color w:val="auto"/>
          <w:sz w:val="32"/>
          <w:szCs w:val="32"/>
          <w:highlight w:val="none"/>
          <w:lang w:eastAsia="zh-CN"/>
        </w:rPr>
        <w:t>】</w:t>
      </w:r>
    </w:p>
    <w:p>
      <w:pPr>
        <w:spacing w:line="360" w:lineRule="auto"/>
        <w:rPr>
          <w:rFonts w:hint="eastAsia" w:ascii="宋体" w:hAnsi="宋体" w:eastAsia="宋体" w:cs="宋体"/>
          <w:b/>
          <w:color w:val="auto"/>
          <w:szCs w:val="21"/>
          <w:highlight w:val="none"/>
          <w:lang w:val="zh-CN"/>
        </w:rPr>
      </w:pPr>
    </w:p>
    <w:tbl>
      <w:tblPr>
        <w:tblStyle w:val="38"/>
        <w:tblW w:w="44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05"/>
        <w:gridCol w:w="1174"/>
        <w:gridCol w:w="1440"/>
        <w:gridCol w:w="1111"/>
        <w:gridCol w:w="1373"/>
        <w:gridCol w:w="1178"/>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460" w:hRule="exact"/>
          <w:jc w:val="center"/>
        </w:trPr>
        <w:tc>
          <w:tcPr>
            <w:tcW w:w="500"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28"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893"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689" w:type="pct"/>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收运</w:t>
            </w:r>
            <w:r>
              <w:rPr>
                <w:rFonts w:hint="eastAsia" w:ascii="宋体" w:hAnsi="宋体" w:eastAsia="宋体" w:cs="宋体"/>
                <w:color w:val="auto"/>
                <w:sz w:val="21"/>
                <w:szCs w:val="21"/>
                <w:highlight w:val="none"/>
                <w:lang w:val="en-US" w:eastAsia="zh-CN"/>
              </w:rPr>
              <w:t>垃圾类别</w:t>
            </w:r>
          </w:p>
        </w:tc>
        <w:tc>
          <w:tcPr>
            <w:tcW w:w="852"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731"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604"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82" w:hRule="exact"/>
          <w:jc w:val="center"/>
        </w:trPr>
        <w:tc>
          <w:tcPr>
            <w:tcW w:w="500" w:type="pct"/>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28" w:type="pct"/>
            <w:noWrap w:val="0"/>
            <w:vAlign w:val="center"/>
          </w:tcPr>
          <w:p>
            <w:pPr>
              <w:jc w:val="center"/>
              <w:rPr>
                <w:rFonts w:hint="eastAsia" w:ascii="宋体" w:hAnsi="宋体" w:eastAsia="宋体" w:cs="宋体"/>
                <w:color w:val="auto"/>
                <w:sz w:val="21"/>
                <w:szCs w:val="21"/>
                <w:highlight w:val="none"/>
              </w:rPr>
            </w:pPr>
          </w:p>
        </w:tc>
        <w:tc>
          <w:tcPr>
            <w:tcW w:w="893" w:type="pct"/>
            <w:noWrap w:val="0"/>
            <w:vAlign w:val="center"/>
          </w:tcPr>
          <w:p>
            <w:pPr>
              <w:jc w:val="center"/>
              <w:rPr>
                <w:rFonts w:hint="eastAsia" w:ascii="宋体" w:hAnsi="宋体" w:eastAsia="宋体" w:cs="宋体"/>
                <w:color w:val="auto"/>
                <w:sz w:val="21"/>
                <w:szCs w:val="21"/>
                <w:highlight w:val="none"/>
              </w:rPr>
            </w:pPr>
          </w:p>
        </w:tc>
        <w:tc>
          <w:tcPr>
            <w:tcW w:w="689" w:type="pct"/>
            <w:noWrap w:val="0"/>
            <w:vAlign w:val="center"/>
          </w:tcPr>
          <w:p>
            <w:pPr>
              <w:jc w:val="center"/>
              <w:rPr>
                <w:rFonts w:hint="eastAsia" w:ascii="宋体" w:hAnsi="宋体" w:eastAsia="宋体" w:cs="宋体"/>
                <w:color w:val="auto"/>
                <w:sz w:val="21"/>
                <w:szCs w:val="21"/>
                <w:highlight w:val="none"/>
              </w:rPr>
            </w:pPr>
          </w:p>
        </w:tc>
        <w:tc>
          <w:tcPr>
            <w:tcW w:w="852" w:type="pct"/>
            <w:noWrap w:val="0"/>
            <w:vAlign w:val="center"/>
          </w:tcPr>
          <w:p>
            <w:pPr>
              <w:jc w:val="center"/>
              <w:rPr>
                <w:rFonts w:hint="eastAsia" w:ascii="宋体" w:hAnsi="宋体" w:eastAsia="宋体" w:cs="宋体"/>
                <w:color w:val="auto"/>
                <w:sz w:val="21"/>
                <w:szCs w:val="21"/>
                <w:highlight w:val="none"/>
              </w:rPr>
            </w:pPr>
          </w:p>
        </w:tc>
        <w:tc>
          <w:tcPr>
            <w:tcW w:w="731" w:type="pct"/>
            <w:noWrap w:val="0"/>
            <w:vAlign w:val="center"/>
          </w:tcPr>
          <w:p>
            <w:pPr>
              <w:jc w:val="center"/>
              <w:rPr>
                <w:rFonts w:hint="eastAsia" w:ascii="宋体" w:hAnsi="宋体" w:eastAsia="宋体" w:cs="宋体"/>
                <w:color w:val="auto"/>
                <w:sz w:val="21"/>
                <w:szCs w:val="21"/>
                <w:highlight w:val="none"/>
              </w:rPr>
            </w:pPr>
          </w:p>
        </w:tc>
        <w:tc>
          <w:tcPr>
            <w:tcW w:w="604"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82" w:hRule="exact"/>
          <w:jc w:val="center"/>
        </w:trPr>
        <w:tc>
          <w:tcPr>
            <w:tcW w:w="500" w:type="pct"/>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28" w:type="pct"/>
            <w:noWrap w:val="0"/>
            <w:vAlign w:val="center"/>
          </w:tcPr>
          <w:p>
            <w:pPr>
              <w:jc w:val="center"/>
              <w:rPr>
                <w:rFonts w:hint="eastAsia" w:ascii="宋体" w:hAnsi="宋体" w:eastAsia="宋体" w:cs="宋体"/>
                <w:color w:val="auto"/>
                <w:sz w:val="21"/>
                <w:szCs w:val="21"/>
                <w:highlight w:val="none"/>
              </w:rPr>
            </w:pPr>
          </w:p>
        </w:tc>
        <w:tc>
          <w:tcPr>
            <w:tcW w:w="893" w:type="pct"/>
            <w:noWrap w:val="0"/>
            <w:vAlign w:val="center"/>
          </w:tcPr>
          <w:p>
            <w:pPr>
              <w:jc w:val="center"/>
              <w:rPr>
                <w:rFonts w:hint="eastAsia" w:ascii="宋体" w:hAnsi="宋体" w:eastAsia="宋体" w:cs="宋体"/>
                <w:color w:val="auto"/>
                <w:sz w:val="21"/>
                <w:szCs w:val="21"/>
                <w:highlight w:val="none"/>
              </w:rPr>
            </w:pPr>
          </w:p>
        </w:tc>
        <w:tc>
          <w:tcPr>
            <w:tcW w:w="689" w:type="pct"/>
            <w:noWrap w:val="0"/>
            <w:vAlign w:val="center"/>
          </w:tcPr>
          <w:p>
            <w:pPr>
              <w:jc w:val="center"/>
              <w:rPr>
                <w:rFonts w:hint="eastAsia" w:ascii="宋体" w:hAnsi="宋体" w:eastAsia="宋体" w:cs="宋体"/>
                <w:color w:val="auto"/>
                <w:sz w:val="21"/>
                <w:szCs w:val="21"/>
                <w:highlight w:val="none"/>
              </w:rPr>
            </w:pPr>
          </w:p>
        </w:tc>
        <w:tc>
          <w:tcPr>
            <w:tcW w:w="852" w:type="pct"/>
            <w:noWrap w:val="0"/>
            <w:vAlign w:val="center"/>
          </w:tcPr>
          <w:p>
            <w:pPr>
              <w:jc w:val="center"/>
              <w:rPr>
                <w:rFonts w:hint="eastAsia" w:ascii="宋体" w:hAnsi="宋体" w:eastAsia="宋体" w:cs="宋体"/>
                <w:color w:val="auto"/>
                <w:sz w:val="21"/>
                <w:szCs w:val="21"/>
                <w:highlight w:val="none"/>
              </w:rPr>
            </w:pPr>
          </w:p>
        </w:tc>
        <w:tc>
          <w:tcPr>
            <w:tcW w:w="731" w:type="pct"/>
            <w:noWrap w:val="0"/>
            <w:vAlign w:val="center"/>
          </w:tcPr>
          <w:p>
            <w:pPr>
              <w:jc w:val="center"/>
              <w:rPr>
                <w:rFonts w:hint="eastAsia" w:ascii="宋体" w:hAnsi="宋体" w:eastAsia="宋体" w:cs="宋体"/>
                <w:color w:val="auto"/>
                <w:sz w:val="21"/>
                <w:szCs w:val="21"/>
                <w:highlight w:val="none"/>
              </w:rPr>
            </w:pPr>
          </w:p>
        </w:tc>
        <w:tc>
          <w:tcPr>
            <w:tcW w:w="604"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82" w:hRule="exact"/>
          <w:jc w:val="center"/>
        </w:trPr>
        <w:tc>
          <w:tcPr>
            <w:tcW w:w="500" w:type="pct"/>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28" w:type="pct"/>
            <w:noWrap w:val="0"/>
            <w:vAlign w:val="center"/>
          </w:tcPr>
          <w:p>
            <w:pPr>
              <w:jc w:val="center"/>
              <w:rPr>
                <w:rFonts w:hint="eastAsia" w:ascii="宋体" w:hAnsi="宋体" w:eastAsia="宋体" w:cs="宋体"/>
                <w:color w:val="auto"/>
                <w:sz w:val="21"/>
                <w:szCs w:val="21"/>
                <w:highlight w:val="none"/>
              </w:rPr>
            </w:pPr>
          </w:p>
        </w:tc>
        <w:tc>
          <w:tcPr>
            <w:tcW w:w="893" w:type="pct"/>
            <w:noWrap w:val="0"/>
            <w:vAlign w:val="center"/>
          </w:tcPr>
          <w:p>
            <w:pPr>
              <w:jc w:val="center"/>
              <w:rPr>
                <w:rFonts w:hint="eastAsia" w:ascii="宋体" w:hAnsi="宋体" w:eastAsia="宋体" w:cs="宋体"/>
                <w:color w:val="auto"/>
                <w:sz w:val="21"/>
                <w:szCs w:val="21"/>
                <w:highlight w:val="none"/>
              </w:rPr>
            </w:pPr>
          </w:p>
        </w:tc>
        <w:tc>
          <w:tcPr>
            <w:tcW w:w="689" w:type="pct"/>
            <w:noWrap w:val="0"/>
            <w:vAlign w:val="center"/>
          </w:tcPr>
          <w:p>
            <w:pPr>
              <w:jc w:val="center"/>
              <w:rPr>
                <w:rFonts w:hint="eastAsia" w:ascii="宋体" w:hAnsi="宋体" w:eastAsia="宋体" w:cs="宋体"/>
                <w:color w:val="auto"/>
                <w:sz w:val="21"/>
                <w:szCs w:val="21"/>
                <w:highlight w:val="none"/>
              </w:rPr>
            </w:pPr>
          </w:p>
        </w:tc>
        <w:tc>
          <w:tcPr>
            <w:tcW w:w="852" w:type="pct"/>
            <w:noWrap w:val="0"/>
            <w:vAlign w:val="center"/>
          </w:tcPr>
          <w:p>
            <w:pPr>
              <w:jc w:val="center"/>
              <w:rPr>
                <w:rFonts w:hint="eastAsia" w:ascii="宋体" w:hAnsi="宋体" w:eastAsia="宋体" w:cs="宋体"/>
                <w:color w:val="auto"/>
                <w:sz w:val="21"/>
                <w:szCs w:val="21"/>
                <w:highlight w:val="none"/>
              </w:rPr>
            </w:pPr>
          </w:p>
        </w:tc>
        <w:tc>
          <w:tcPr>
            <w:tcW w:w="731" w:type="pct"/>
            <w:noWrap w:val="0"/>
            <w:vAlign w:val="center"/>
          </w:tcPr>
          <w:p>
            <w:pPr>
              <w:jc w:val="center"/>
              <w:rPr>
                <w:rFonts w:hint="eastAsia" w:ascii="宋体" w:hAnsi="宋体" w:eastAsia="宋体" w:cs="宋体"/>
                <w:color w:val="auto"/>
                <w:sz w:val="21"/>
                <w:szCs w:val="21"/>
                <w:highlight w:val="none"/>
              </w:rPr>
            </w:pPr>
          </w:p>
        </w:tc>
        <w:tc>
          <w:tcPr>
            <w:tcW w:w="604"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01" w:hRule="exact"/>
          <w:jc w:val="center"/>
        </w:trPr>
        <w:tc>
          <w:tcPr>
            <w:tcW w:w="500"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728" w:type="pct"/>
            <w:noWrap w:val="0"/>
            <w:vAlign w:val="center"/>
          </w:tcPr>
          <w:p>
            <w:pPr>
              <w:jc w:val="center"/>
              <w:rPr>
                <w:rFonts w:hint="eastAsia" w:ascii="宋体" w:hAnsi="宋体" w:eastAsia="宋体" w:cs="宋体"/>
                <w:color w:val="auto"/>
                <w:sz w:val="21"/>
                <w:szCs w:val="21"/>
                <w:highlight w:val="none"/>
              </w:rPr>
            </w:pPr>
          </w:p>
        </w:tc>
        <w:tc>
          <w:tcPr>
            <w:tcW w:w="893" w:type="pct"/>
            <w:noWrap w:val="0"/>
            <w:vAlign w:val="center"/>
          </w:tcPr>
          <w:p>
            <w:pPr>
              <w:jc w:val="center"/>
              <w:rPr>
                <w:rFonts w:hint="eastAsia" w:ascii="宋体" w:hAnsi="宋体" w:eastAsia="宋体" w:cs="宋体"/>
                <w:color w:val="auto"/>
                <w:sz w:val="21"/>
                <w:szCs w:val="21"/>
                <w:highlight w:val="none"/>
              </w:rPr>
            </w:pPr>
          </w:p>
        </w:tc>
        <w:tc>
          <w:tcPr>
            <w:tcW w:w="689" w:type="pct"/>
            <w:noWrap w:val="0"/>
            <w:vAlign w:val="center"/>
          </w:tcPr>
          <w:p>
            <w:pPr>
              <w:jc w:val="center"/>
              <w:rPr>
                <w:rFonts w:hint="eastAsia" w:ascii="宋体" w:hAnsi="宋体" w:eastAsia="宋体" w:cs="宋体"/>
                <w:color w:val="auto"/>
                <w:sz w:val="21"/>
                <w:szCs w:val="21"/>
                <w:highlight w:val="none"/>
              </w:rPr>
            </w:pPr>
          </w:p>
        </w:tc>
        <w:tc>
          <w:tcPr>
            <w:tcW w:w="852" w:type="pct"/>
            <w:noWrap w:val="0"/>
            <w:vAlign w:val="center"/>
          </w:tcPr>
          <w:p>
            <w:pPr>
              <w:jc w:val="center"/>
              <w:rPr>
                <w:rFonts w:hint="eastAsia" w:ascii="宋体" w:hAnsi="宋体" w:eastAsia="宋体" w:cs="宋体"/>
                <w:color w:val="auto"/>
                <w:sz w:val="21"/>
                <w:szCs w:val="21"/>
                <w:highlight w:val="none"/>
              </w:rPr>
            </w:pPr>
          </w:p>
        </w:tc>
        <w:tc>
          <w:tcPr>
            <w:tcW w:w="731" w:type="pct"/>
            <w:noWrap w:val="0"/>
            <w:vAlign w:val="center"/>
          </w:tcPr>
          <w:p>
            <w:pPr>
              <w:jc w:val="center"/>
              <w:rPr>
                <w:rFonts w:hint="eastAsia" w:ascii="宋体" w:hAnsi="宋体" w:eastAsia="宋体" w:cs="宋体"/>
                <w:color w:val="auto"/>
                <w:sz w:val="21"/>
                <w:szCs w:val="21"/>
                <w:highlight w:val="none"/>
              </w:rPr>
            </w:pPr>
          </w:p>
        </w:tc>
        <w:tc>
          <w:tcPr>
            <w:tcW w:w="604" w:type="pct"/>
            <w:noWrap w:val="0"/>
            <w:vAlign w:val="center"/>
          </w:tcPr>
          <w:p>
            <w:pPr>
              <w:jc w:val="center"/>
              <w:rPr>
                <w:rFonts w:hint="eastAsia" w:ascii="宋体" w:hAnsi="宋体" w:eastAsia="宋体" w:cs="宋体"/>
                <w:color w:val="auto"/>
                <w:sz w:val="21"/>
                <w:szCs w:val="21"/>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spacing w:line="360" w:lineRule="auto"/>
        <w:ind w:left="424" w:hanging="424" w:hangingChars="201"/>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snapToGrid w:val="0"/>
        <w:spacing w:line="360" w:lineRule="auto"/>
        <w:ind w:left="399" w:leftChars="-58" w:hanging="521" w:hangingChars="247"/>
        <w:outlineLvl w:val="9"/>
        <w:rPr>
          <w:rFonts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rPr>
        <w:t>（1）</w:t>
      </w:r>
      <w:r>
        <w:rPr>
          <w:rFonts w:hint="eastAsia" w:ascii="宋体" w:hAnsi="宋体" w:eastAsia="宋体" w:cs="宋体"/>
          <w:b/>
          <w:bCs w:val="0"/>
          <w:color w:val="auto"/>
          <w:szCs w:val="21"/>
          <w:highlight w:val="none"/>
          <w:u w:val="single"/>
        </w:rPr>
        <w:t>作为投标人资格条件证明的业绩放置在此处。</w:t>
      </w:r>
    </w:p>
    <w:p>
      <w:pPr>
        <w:snapToGrid w:val="0"/>
        <w:spacing w:line="360" w:lineRule="auto"/>
        <w:ind w:left="399" w:leftChars="-58" w:hanging="521" w:hangingChars="247"/>
        <w:outlineLvl w:val="9"/>
        <w:rPr>
          <w:rFonts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rPr>
        <w:t>（2）</w:t>
      </w:r>
      <w:r>
        <w:rPr>
          <w:rFonts w:hint="eastAsia" w:ascii="宋体" w:hAnsi="宋体" w:eastAsia="宋体" w:cs="宋体"/>
          <w:b/>
          <w:bCs w:val="0"/>
          <w:color w:val="auto"/>
          <w:szCs w:val="21"/>
          <w:highlight w:val="none"/>
          <w:u w:val="single"/>
        </w:rPr>
        <w:t>业绩必须附合同复印件。</w:t>
      </w:r>
      <w:r>
        <w:rPr>
          <w:rFonts w:hint="eastAsia" w:ascii="宋体" w:hAnsi="宋体" w:eastAsia="宋体" w:cs="宋体"/>
          <w:b/>
          <w:bCs w:val="0"/>
          <w:color w:val="auto"/>
          <w:szCs w:val="21"/>
          <w:highlight w:val="none"/>
          <w:u w:val="single"/>
          <w:lang w:val="zh-CN"/>
        </w:rPr>
        <w:t>若合同无法反映合同签订时间、合同</w:t>
      </w:r>
      <w:r>
        <w:rPr>
          <w:rFonts w:hint="eastAsia" w:ascii="宋体" w:hAnsi="宋体" w:eastAsia="宋体" w:cs="宋体"/>
          <w:b/>
          <w:bCs w:val="0"/>
          <w:color w:val="auto"/>
          <w:szCs w:val="21"/>
          <w:highlight w:val="none"/>
          <w:u w:val="single"/>
        </w:rPr>
        <w:t>服务内容</w:t>
      </w:r>
      <w:r>
        <w:rPr>
          <w:rFonts w:hint="eastAsia" w:ascii="宋体" w:hAnsi="宋体" w:eastAsia="宋体" w:cs="宋体"/>
          <w:b/>
          <w:bCs w:val="0"/>
          <w:color w:val="auto"/>
          <w:szCs w:val="21"/>
          <w:highlight w:val="none"/>
          <w:u w:val="single"/>
          <w:lang w:eastAsia="zh-CN"/>
        </w:rPr>
        <w:t>、</w:t>
      </w:r>
      <w:r>
        <w:rPr>
          <w:rFonts w:hint="eastAsia" w:ascii="宋体" w:hAnsi="宋体" w:eastAsia="宋体" w:cs="宋体"/>
          <w:b/>
          <w:bCs w:val="0"/>
          <w:color w:val="auto"/>
          <w:sz w:val="21"/>
          <w:szCs w:val="21"/>
          <w:highlight w:val="none"/>
          <w:u w:val="single"/>
        </w:rPr>
        <w:t>收运</w:t>
      </w:r>
      <w:r>
        <w:rPr>
          <w:rFonts w:hint="eastAsia" w:ascii="宋体" w:hAnsi="宋体" w:eastAsia="宋体" w:cs="宋体"/>
          <w:b/>
          <w:bCs w:val="0"/>
          <w:color w:val="auto"/>
          <w:sz w:val="21"/>
          <w:szCs w:val="21"/>
          <w:highlight w:val="none"/>
          <w:u w:val="single"/>
          <w:lang w:val="en-US" w:eastAsia="zh-CN"/>
        </w:rPr>
        <w:t>垃圾类别</w:t>
      </w:r>
      <w:r>
        <w:rPr>
          <w:rFonts w:hint="eastAsia" w:ascii="宋体" w:hAnsi="宋体" w:eastAsia="宋体" w:cs="宋体"/>
          <w:b/>
          <w:bCs w:val="0"/>
          <w:color w:val="auto"/>
          <w:szCs w:val="21"/>
          <w:highlight w:val="none"/>
          <w:u w:val="single"/>
        </w:rPr>
        <w:t>的</w:t>
      </w:r>
      <w:r>
        <w:rPr>
          <w:rFonts w:hint="eastAsia" w:ascii="宋体" w:hAnsi="宋体" w:eastAsia="宋体" w:cs="宋体"/>
          <w:b/>
          <w:bCs w:val="0"/>
          <w:color w:val="auto"/>
          <w:szCs w:val="21"/>
          <w:highlight w:val="none"/>
          <w:u w:val="single"/>
          <w:lang w:val="zh-CN"/>
        </w:rPr>
        <w:t>，还需</w:t>
      </w:r>
      <w:r>
        <w:rPr>
          <w:rFonts w:hint="eastAsia" w:ascii="宋体" w:hAnsi="宋体" w:eastAsia="宋体" w:cs="宋体"/>
          <w:b/>
          <w:bCs w:val="0"/>
          <w:color w:val="auto"/>
          <w:szCs w:val="21"/>
          <w:highlight w:val="none"/>
          <w:u w:val="single"/>
        </w:rPr>
        <w:t>提供服务购买方出具的书面补充情况说明文件复印件</w:t>
      </w:r>
      <w:r>
        <w:rPr>
          <w:rFonts w:hint="eastAsia" w:ascii="宋体" w:hAnsi="宋体" w:eastAsia="宋体" w:cs="宋体"/>
          <w:b/>
          <w:bCs w:val="0"/>
          <w:color w:val="auto"/>
          <w:szCs w:val="21"/>
          <w:highlight w:val="none"/>
          <w:u w:val="single"/>
          <w:lang w:val="zh-CN"/>
        </w:rPr>
        <w:t>作为辅助证明。</w:t>
      </w:r>
    </w:p>
    <w:p>
      <w:pPr>
        <w:snapToGrid w:val="0"/>
        <w:spacing w:line="360" w:lineRule="auto"/>
        <w:ind w:left="399" w:leftChars="-58" w:hanging="521" w:hangingChars="247"/>
        <w:outlineLvl w:val="9"/>
        <w:rPr>
          <w:rFonts w:ascii="宋体" w:hAnsi="宋体" w:eastAsia="宋体" w:cs="宋体"/>
          <w:b/>
          <w:bCs w:val="0"/>
          <w:color w:val="auto"/>
          <w:szCs w:val="21"/>
          <w:highlight w:val="none"/>
        </w:rPr>
      </w:pPr>
      <w:r>
        <w:rPr>
          <w:rFonts w:hint="eastAsia" w:ascii="宋体" w:hAnsi="宋体" w:eastAsia="宋体" w:cs="宋体"/>
          <w:b/>
          <w:bCs w:val="0"/>
          <w:color w:val="auto"/>
          <w:szCs w:val="21"/>
          <w:highlight w:val="none"/>
        </w:rPr>
        <w:t>（3）</w:t>
      </w:r>
      <w:r>
        <w:rPr>
          <w:rFonts w:hint="eastAsia" w:ascii="宋体" w:hAnsi="宋体" w:eastAsia="宋体" w:cs="宋体"/>
          <w:b/>
          <w:bCs w:val="0"/>
          <w:color w:val="auto"/>
          <w:szCs w:val="21"/>
          <w:highlight w:val="none"/>
          <w:u w:val="single"/>
        </w:rPr>
        <w:t>合同业绩证明材料必须满足下列条件：①合同签订日期为202</w:t>
      </w:r>
      <w:r>
        <w:rPr>
          <w:rFonts w:hint="eastAsia" w:ascii="宋体" w:hAnsi="宋体" w:eastAsia="宋体" w:cs="宋体"/>
          <w:b/>
          <w:bCs w:val="0"/>
          <w:color w:val="auto"/>
          <w:szCs w:val="21"/>
          <w:highlight w:val="none"/>
          <w:u w:val="single"/>
          <w:lang w:val="en-US" w:eastAsia="zh-CN"/>
        </w:rPr>
        <w:t>1</w:t>
      </w:r>
      <w:r>
        <w:rPr>
          <w:rFonts w:hint="eastAsia" w:ascii="宋体" w:hAnsi="宋体" w:eastAsia="宋体" w:cs="宋体"/>
          <w:b/>
          <w:bCs w:val="0"/>
          <w:color w:val="auto"/>
          <w:szCs w:val="21"/>
          <w:highlight w:val="none"/>
          <w:u w:val="single"/>
        </w:rPr>
        <w:t>年1月1日或以后；②合同服务内容</w:t>
      </w:r>
      <w:r>
        <w:rPr>
          <w:rFonts w:hint="eastAsia" w:ascii="宋体" w:hAnsi="宋体" w:eastAsia="宋体" w:cs="宋体"/>
          <w:b/>
          <w:bCs w:val="0"/>
          <w:color w:val="auto"/>
          <w:szCs w:val="21"/>
          <w:highlight w:val="none"/>
          <w:u w:val="single"/>
          <w:lang w:val="en-US" w:eastAsia="zh-CN"/>
        </w:rPr>
        <w:t>包含</w:t>
      </w:r>
      <w:r>
        <w:rPr>
          <w:rFonts w:hint="eastAsia" w:ascii="宋体" w:hAnsi="宋体" w:eastAsia="宋体" w:cs="宋体"/>
          <w:b/>
          <w:bCs/>
          <w:color w:val="auto"/>
          <w:sz w:val="21"/>
          <w:szCs w:val="21"/>
          <w:highlight w:val="none"/>
          <w:u w:val="single"/>
          <w:lang w:eastAsia="zh-CN"/>
        </w:rPr>
        <w:t>餐厨废弃物或生活垃圾收运服务</w:t>
      </w:r>
      <w:r>
        <w:rPr>
          <w:rFonts w:hint="eastAsia" w:ascii="宋体" w:hAnsi="宋体" w:eastAsia="宋体" w:cs="宋体"/>
          <w:b/>
          <w:bCs w:val="0"/>
          <w:color w:val="auto"/>
          <w:szCs w:val="21"/>
          <w:highlight w:val="none"/>
          <w:u w:val="single"/>
        </w:rPr>
        <w:t>。</w:t>
      </w:r>
    </w:p>
    <w:p>
      <w:pPr>
        <w:tabs>
          <w:tab w:val="left" w:pos="567"/>
        </w:tabs>
        <w:autoSpaceDE/>
        <w:autoSpaceDN/>
        <w:adjustRightInd w:val="0"/>
        <w:spacing w:line="360" w:lineRule="auto"/>
        <w:ind w:left="401" w:leftChars="-57" w:hanging="521" w:hangingChars="247"/>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bCs w:val="0"/>
          <w:color w:val="auto"/>
          <w:szCs w:val="21"/>
          <w:highlight w:val="none"/>
          <w:lang w:val="zh-CN"/>
        </w:rPr>
        <w:t>（4）</w:t>
      </w:r>
      <w:r>
        <w:rPr>
          <w:rFonts w:hint="eastAsia" w:ascii="宋体" w:hAnsi="宋体" w:eastAsia="宋体" w:cs="宋体"/>
          <w:b/>
          <w:bCs w:val="0"/>
          <w:color w:val="auto"/>
          <w:szCs w:val="21"/>
          <w:highlight w:val="none"/>
          <w:u w:val="single"/>
          <w:lang w:val="zh-CN"/>
        </w:rPr>
        <w:t>未按上述要求在此格式下提供证明材料的业绩，或在此格式下所附材料无法证明符合资格要求的业绩，按无效投标文件处理。</w:t>
      </w:r>
    </w:p>
    <w:p>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val="zh-CN"/>
        </w:rPr>
      </w:pPr>
      <w:bookmarkStart w:id="640" w:name="_Toc21843"/>
      <w:bookmarkStart w:id="641" w:name="_Toc8300"/>
      <w:bookmarkStart w:id="642" w:name="_Toc8121"/>
      <w:bookmarkStart w:id="643" w:name="_Toc7508"/>
      <w:bookmarkStart w:id="644" w:name="_Toc31766"/>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635"/>
      <w:bookmarkEnd w:id="636"/>
      <w:bookmarkEnd w:id="637"/>
      <w:bookmarkEnd w:id="638"/>
      <w:bookmarkEnd w:id="639"/>
      <w:bookmarkEnd w:id="640"/>
      <w:bookmarkEnd w:id="641"/>
      <w:bookmarkEnd w:id="642"/>
      <w:bookmarkEnd w:id="643"/>
      <w:bookmarkEnd w:id="644"/>
    </w:p>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253"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事项名称</w:t>
            </w:r>
          </w:p>
        </w:tc>
        <w:tc>
          <w:tcPr>
            <w:tcW w:w="1417"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hint="eastAsia" w:ascii="宋体" w:hAnsi="宋体" w:eastAsia="宋体" w:cs="宋体"/>
          <w:b/>
          <w:bCs/>
          <w:color w:val="auto"/>
          <w:kern w:val="0"/>
          <w:szCs w:val="21"/>
          <w:highlight w:val="none"/>
          <w:lang w:val="zh-CN"/>
        </w:rPr>
      </w:pPr>
    </w:p>
    <w:p>
      <w:pPr>
        <w:autoSpaceDE w:val="0"/>
        <w:autoSpaceDN w:val="0"/>
        <w:adjustRightInd w:val="0"/>
        <w:spacing w:line="360" w:lineRule="auto"/>
        <w:jc w:val="center"/>
        <w:rPr>
          <w:rFonts w:hint="eastAsia" w:ascii="宋体" w:hAnsi="宋体" w:eastAsia="宋体" w:cs="宋体"/>
          <w:color w:val="auto"/>
          <w:kern w:val="0"/>
          <w:sz w:val="24"/>
          <w:szCs w:val="24"/>
          <w:highlight w:val="none"/>
        </w:rPr>
      </w:pPr>
    </w:p>
    <w:p>
      <w:pPr>
        <w:spacing w:line="360" w:lineRule="auto"/>
        <w:ind w:firstLine="494" w:firstLineChars="206"/>
        <w:rPr>
          <w:rFonts w:hint="eastAsia" w:ascii="宋体" w:hAnsi="宋体" w:eastAsia="宋体" w:cs="宋体"/>
          <w:color w:val="auto"/>
          <w:kern w:val="0"/>
          <w:sz w:val="24"/>
          <w:szCs w:val="24"/>
          <w:highlight w:val="none"/>
        </w:rPr>
      </w:pPr>
    </w:p>
    <w:p>
      <w:pPr>
        <w:spacing w:line="360" w:lineRule="auto"/>
        <w:ind w:firstLine="494" w:firstLineChars="206"/>
        <w:rPr>
          <w:rFonts w:hint="eastAsia" w:ascii="宋体" w:hAnsi="宋体" w:eastAsia="宋体" w:cs="宋体"/>
          <w:color w:val="auto"/>
          <w:kern w:val="0"/>
          <w:sz w:val="24"/>
          <w:szCs w:val="24"/>
          <w:highlight w:val="none"/>
        </w:rPr>
      </w:pPr>
    </w:p>
    <w:p>
      <w:pPr>
        <w:spacing w:line="360" w:lineRule="auto"/>
        <w:ind w:firstLine="494" w:firstLineChars="206"/>
        <w:rPr>
          <w:rFonts w:hint="eastAsia" w:ascii="宋体" w:hAnsi="宋体" w:eastAsia="宋体" w:cs="宋体"/>
          <w:color w:val="auto"/>
          <w:kern w:val="0"/>
          <w:sz w:val="24"/>
          <w:szCs w:val="24"/>
          <w:highlight w:val="none"/>
        </w:rPr>
      </w:pPr>
    </w:p>
    <w:p>
      <w:pPr>
        <w:spacing w:line="360" w:lineRule="auto"/>
        <w:ind w:right="368" w:rightChars="175" w:firstLine="5460" w:firstLineChars="26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pPr>
        <w:rPr>
          <w:rFonts w:hint="eastAsia" w:ascii="宋体" w:hAnsi="宋体" w:eastAsia="宋体" w:cs="宋体"/>
          <w:color w:val="auto"/>
          <w:szCs w:val="24"/>
          <w:highlight w:val="none"/>
          <w:lang w:val="zh-CN"/>
        </w:rPr>
      </w:pPr>
      <w:bookmarkStart w:id="645" w:name="_Toc104991881"/>
      <w:bookmarkStart w:id="646" w:name="_Toc6412"/>
      <w:bookmarkStart w:id="647" w:name="_Toc102860423"/>
      <w:bookmarkStart w:id="648" w:name="_Toc30939"/>
      <w:bookmarkStart w:id="649" w:name="_Toc142508374"/>
      <w:bookmarkStart w:id="650" w:name="_Toc140596934"/>
      <w:bookmarkStart w:id="651" w:name="_Toc102860079"/>
      <w:bookmarkStart w:id="652" w:name="_Toc2031_WPSOffice_Level2"/>
      <w:bookmarkStart w:id="653" w:name="_Toc486167714"/>
      <w:bookmarkStart w:id="654" w:name="_Toc94107215"/>
      <w:bookmarkStart w:id="655" w:name="_Toc1977731"/>
      <w:bookmarkStart w:id="656" w:name="_Toc533708126"/>
      <w:r>
        <w:rPr>
          <w:rFonts w:hint="eastAsia" w:ascii="宋体" w:hAnsi="宋体" w:eastAsia="宋体" w:cs="宋体"/>
          <w:color w:val="auto"/>
          <w:szCs w:val="24"/>
          <w:highlight w:val="none"/>
          <w:lang w:val="zh-CN"/>
        </w:rPr>
        <w:br w:type="page"/>
      </w:r>
    </w:p>
    <w:p>
      <w:pPr>
        <w:tabs>
          <w:tab w:val="left" w:pos="567"/>
        </w:tabs>
        <w:autoSpaceDE w:val="0"/>
        <w:autoSpaceDN w:val="0"/>
        <w:adjustRightInd w:val="0"/>
        <w:spacing w:line="360" w:lineRule="auto"/>
        <w:jc w:val="left"/>
        <w:outlineLvl w:val="2"/>
        <w:rPr>
          <w:rFonts w:hint="eastAsia" w:ascii="宋体" w:hAnsi="宋体" w:eastAsia="宋体" w:cs="宋体"/>
          <w:color w:val="auto"/>
          <w:kern w:val="0"/>
          <w:szCs w:val="21"/>
          <w:highlight w:val="none"/>
          <w:u w:val="single"/>
        </w:rPr>
      </w:pPr>
      <w:bookmarkStart w:id="657" w:name="_Toc19120"/>
      <w:bookmarkStart w:id="658" w:name="_Toc17508"/>
      <w:bookmarkStart w:id="659" w:name="_Toc5064"/>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660" w:name="_Toc2773_WPSOffice_Level3"/>
      <w:r>
        <w:rPr>
          <w:rFonts w:hint="eastAsia" w:ascii="宋体" w:hAnsi="宋体" w:eastAsia="宋体" w:cs="宋体"/>
          <w:b/>
          <w:bCs/>
          <w:color w:val="auto"/>
          <w:sz w:val="30"/>
          <w:szCs w:val="30"/>
          <w:highlight w:val="none"/>
          <w:lang w:val="zh-CN"/>
        </w:rPr>
        <w:t>投标人基本情况一览表</w:t>
      </w:r>
      <w:bookmarkEnd w:id="660"/>
    </w:p>
    <w:p>
      <w:pPr>
        <w:autoSpaceDE w:val="0"/>
        <w:autoSpaceDN w:val="0"/>
        <w:adjustRightIn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hint="eastAsia" w:ascii="宋体" w:hAnsi="宋体" w:eastAsia="宋体" w:cs="宋体"/>
          <w:color w:val="auto"/>
          <w:szCs w:val="24"/>
          <w:highlight w:val="none"/>
        </w:rPr>
      </w:pPr>
    </w:p>
    <w:p>
      <w:pPr>
        <w:autoSpaceDE w:val="0"/>
        <w:autoSpaceDN w:val="0"/>
        <w:adjustRightInd w:val="0"/>
        <w:spacing w:line="360" w:lineRule="auto"/>
        <w:ind w:right="368" w:rightChars="175"/>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61" w:name="_Toc94107216"/>
      <w:bookmarkStart w:id="662" w:name="_Toc28255"/>
      <w:bookmarkStart w:id="663" w:name="_Toc104991882"/>
      <w:bookmarkStart w:id="664" w:name="_Toc24115"/>
      <w:bookmarkStart w:id="665" w:name="_Toc10443"/>
      <w:bookmarkStart w:id="666" w:name="_Toc142508375"/>
      <w:bookmarkStart w:id="667" w:name="_Toc29014"/>
      <w:bookmarkStart w:id="668" w:name="_Toc102860080"/>
      <w:bookmarkStart w:id="669" w:name="_Toc102860424"/>
      <w:bookmarkStart w:id="670" w:name="_Toc4023"/>
      <w:bookmarkStart w:id="671" w:name="_Toc140596935"/>
      <w:bookmarkStart w:id="672" w:name="_Toc486167715"/>
      <w:bookmarkStart w:id="673" w:name="_Toc9051_WPSOffice_Level2"/>
      <w:bookmarkStart w:id="674" w:name="_Toc1977733"/>
      <w:bookmarkStart w:id="675"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61"/>
      <w:bookmarkEnd w:id="662"/>
      <w:bookmarkEnd w:id="663"/>
      <w:bookmarkEnd w:id="664"/>
      <w:bookmarkEnd w:id="665"/>
      <w:bookmarkEnd w:id="666"/>
      <w:bookmarkEnd w:id="667"/>
      <w:bookmarkEnd w:id="668"/>
      <w:bookmarkEnd w:id="669"/>
      <w:bookmarkEnd w:id="670"/>
      <w:bookmarkEnd w:id="671"/>
    </w:p>
    <w:p>
      <w:pPr>
        <w:autoSpaceDE w:val="0"/>
        <w:autoSpaceDN w:val="0"/>
        <w:adjustRightInd w:val="0"/>
        <w:spacing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jc w:val="center"/>
        </w:trPr>
        <w:tc>
          <w:tcPr>
            <w:tcW w:w="116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2020</w:t>
            </w:r>
          </w:p>
        </w:tc>
        <w:tc>
          <w:tcPr>
            <w:tcW w:w="1944"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hint="eastAsia"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none"/>
        </w:rPr>
        <w:t>日</w:t>
      </w:r>
    </w:p>
    <w:bookmarkEnd w:id="672"/>
    <w:bookmarkEnd w:id="673"/>
    <w:bookmarkEnd w:id="674"/>
    <w:bookmarkEnd w:id="675"/>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bookmarkStart w:id="676" w:name="_Toc333"/>
      <w:bookmarkStart w:id="677" w:name="_Toc140596936"/>
      <w:bookmarkStart w:id="678" w:name="_Toc533708130"/>
      <w:bookmarkStart w:id="679" w:name="_Toc26821"/>
      <w:bookmarkStart w:id="680" w:name="_Toc142508376"/>
      <w:bookmarkStart w:id="681" w:name="_Toc102860425"/>
      <w:bookmarkStart w:id="682" w:name="_Toc17995"/>
      <w:bookmarkStart w:id="683" w:name="_Toc739_WPSOffice_Level2"/>
      <w:bookmarkStart w:id="684" w:name="_Toc1977736"/>
      <w:bookmarkStart w:id="685" w:name="_Toc486167716"/>
      <w:bookmarkStart w:id="686" w:name="_Toc104991883"/>
      <w:bookmarkStart w:id="687" w:name="_Toc102860081"/>
      <w:bookmarkStart w:id="688" w:name="_Toc3596"/>
      <w:bookmarkStart w:id="689" w:name="_Toc20695"/>
      <w:bookmarkStart w:id="690" w:name="_Toc94107217"/>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、标准化体系认证</w:t>
      </w:r>
    </w:p>
    <w:p>
      <w:pPr>
        <w:autoSpaceDE/>
        <w:autoSpaceDN/>
        <w:adjustRightInd/>
        <w:spacing w:line="360" w:lineRule="auto"/>
        <w:ind w:firstLine="420" w:firstLineChars="200"/>
        <w:jc w:val="left"/>
        <w:outlineLvl w:val="9"/>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val="0"/>
          <w:color w:val="auto"/>
          <w:kern w:val="2"/>
          <w:sz w:val="21"/>
          <w:szCs w:val="21"/>
          <w:highlight w:val="none"/>
          <w:lang w:val="en-US" w:eastAsia="zh-CN"/>
        </w:rPr>
        <w:t>备注：投标人应提供上述证书复印件及能显示证书有效状态的全国认证认可信息公共服务平台（http://cx.cnca.cn/）查询结果凭证{凭证界面需显示有“全国认证认可信息公共服务平台”或“认证证书（需显示网址cx.cnca.cn）”}。</w:t>
      </w:r>
      <w:r>
        <w:rPr>
          <w:rFonts w:hint="eastAsia" w:ascii="宋体" w:hAnsi="宋体" w:eastAsia="宋体" w:cs="宋体"/>
          <w:b/>
          <w:color w:val="auto"/>
          <w:kern w:val="0"/>
          <w:sz w:val="32"/>
          <w:szCs w:val="32"/>
          <w:highlight w:val="none"/>
          <w:lang w:val="en-US" w:eastAsia="zh-CN"/>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691" w:name="_Toc26412_WPSOffice_Level3"/>
      <w:r>
        <w:rPr>
          <w:rFonts w:hint="eastAsia" w:ascii="宋体" w:hAnsi="宋体" w:eastAsia="宋体" w:cs="宋体"/>
          <w:b/>
          <w:bCs/>
          <w:color w:val="auto"/>
          <w:kern w:val="0"/>
          <w:sz w:val="28"/>
          <w:szCs w:val="30"/>
          <w:highlight w:val="none"/>
          <w:lang w:val="zh-CN"/>
        </w:rPr>
        <w:t>东莞市利源有机资源再生利用有限公司2024-2025年餐厨垃圾收运服务采购项目</w:t>
      </w:r>
    </w:p>
    <w:p>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691"/>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服务地点及期限</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合同价款及支付方式</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要求</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甲方权利与义务</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乙方权利与义务</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八</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权利保证</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十一</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争议解决</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十二</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合同生效及份数</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13</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廉洁协议书</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14</w:t>
            </w:r>
          </w:p>
        </w:tc>
        <w:tc>
          <w:tcPr>
            <w:tcW w:w="1425" w:type="dxa"/>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3</w:t>
            </w:r>
          </w:p>
        </w:tc>
        <w:tc>
          <w:tcPr>
            <w:tcW w:w="3055" w:type="dxa"/>
            <w:vAlign w:val="center"/>
          </w:tcPr>
          <w:p>
            <w:pPr>
              <w:snapToGrid w:val="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rPr>
              <w:t>安全管理协议</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vAlign w:val="center"/>
          </w:tcPr>
          <w:p>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4</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餐厨垃圾收运服务月度考核表</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vAlign w:val="center"/>
          </w:tcPr>
          <w:p>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5</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上岗责任承诺书</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6</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试车考核项目</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7</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餐厨垃圾收运服务人员体检要求</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8</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餐厨垃圾收运服务人员职业健康体检要求</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一</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不可撤销银行履约保函</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二</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履约保证保险凭证</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pPr>
              <w:autoSpaceDE w:val="0"/>
              <w:autoSpaceDN w:val="0"/>
              <w:adjustRightInd w:val="0"/>
              <w:spacing w:line="400" w:lineRule="exact"/>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Cs w:val="21"/>
                <w:highlight w:val="none"/>
                <w:lang w:val="en-US" w:eastAsia="zh-CN"/>
              </w:rPr>
              <w:t>三</w:t>
            </w:r>
          </w:p>
        </w:tc>
        <w:tc>
          <w:tcPr>
            <w:tcW w:w="3055" w:type="dxa"/>
            <w:vAlign w:val="center"/>
          </w:tcPr>
          <w:p>
            <w:pPr>
              <w:autoSpaceDE w:val="0"/>
              <w:autoSpaceDN w:val="0"/>
              <w:adjustRightIn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担保公司履约担保书</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hint="eastAsia" w:ascii="宋体" w:hAnsi="宋体" w:eastAsia="宋体" w:cs="宋体"/>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spacing w:line="360" w:lineRule="auto"/>
        <w:ind w:left="607" w:leftChars="18" w:hanging="569" w:hangingChars="27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pPr>
        <w:spacing w:line="360" w:lineRule="auto"/>
        <w:ind w:left="357" w:leftChars="-100" w:hanging="567" w:hangingChars="270"/>
        <w:rPr>
          <w:rFonts w:hint="eastAsia" w:ascii="宋体" w:hAnsi="宋体" w:eastAsia="宋体" w:cs="宋体"/>
          <w:color w:val="auto"/>
          <w:szCs w:val="21"/>
          <w:highlight w:val="none"/>
        </w:rPr>
      </w:pPr>
    </w:p>
    <w:p>
      <w:pPr>
        <w:spacing w:line="360" w:lineRule="auto"/>
        <w:ind w:left="357" w:leftChars="-100" w:hanging="567" w:hangingChars="270"/>
        <w:rPr>
          <w:rFonts w:hint="eastAsia" w:ascii="宋体" w:hAnsi="宋体" w:eastAsia="宋体" w:cs="宋体"/>
          <w:color w:val="auto"/>
          <w:szCs w:val="21"/>
          <w:highlight w:val="none"/>
        </w:rPr>
      </w:pPr>
    </w:p>
    <w:p>
      <w:pPr>
        <w:spacing w:line="360" w:lineRule="auto"/>
        <w:ind w:left="357" w:leftChars="-100" w:hanging="567" w:hangingChars="270"/>
        <w:rPr>
          <w:rFonts w:hint="eastAsia" w:ascii="宋体" w:hAnsi="宋体" w:eastAsia="宋体" w:cs="宋体"/>
          <w:color w:val="auto"/>
          <w:szCs w:val="21"/>
          <w:highlight w:val="none"/>
        </w:rPr>
      </w:pPr>
    </w:p>
    <w:p>
      <w:pPr>
        <w:spacing w:line="360" w:lineRule="auto"/>
        <w:ind w:right="368" w:rightChars="175" w:firstLine="5355" w:firstLineChars="25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92" w:name="_Toc13179"/>
      <w:bookmarkStart w:id="693" w:name="_Toc5473"/>
      <w:bookmarkStart w:id="694" w:name="_Toc104991884"/>
      <w:bookmarkStart w:id="695" w:name="_Toc102860426"/>
      <w:bookmarkStart w:id="696" w:name="_Toc94107218"/>
      <w:bookmarkStart w:id="697" w:name="_Toc29505"/>
      <w:bookmarkStart w:id="698" w:name="_Toc142508377"/>
      <w:bookmarkStart w:id="699" w:name="_Toc140596937"/>
      <w:bookmarkStart w:id="700" w:name="_Toc9031"/>
      <w:bookmarkStart w:id="701" w:name="_Toc102860082"/>
      <w:bookmarkStart w:id="702" w:name="_Toc26656"/>
      <w:bookmarkStart w:id="703" w:name="_Toc486167717"/>
      <w:bookmarkStart w:id="704" w:name="_Toc27980_WPSOffice_Level2"/>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692"/>
      <w:bookmarkEnd w:id="693"/>
      <w:bookmarkEnd w:id="694"/>
      <w:bookmarkEnd w:id="695"/>
      <w:bookmarkEnd w:id="696"/>
      <w:bookmarkEnd w:id="697"/>
      <w:bookmarkEnd w:id="698"/>
      <w:bookmarkEnd w:id="699"/>
      <w:bookmarkEnd w:id="700"/>
      <w:bookmarkEnd w:id="701"/>
      <w:bookmarkEnd w:id="702"/>
    </w:p>
    <w:p>
      <w:pPr>
        <w:autoSpaceDE w:val="0"/>
        <w:autoSpaceDN w:val="0"/>
        <w:adjustRightInd w:val="0"/>
        <w:spacing w:line="360" w:lineRule="auto"/>
        <w:ind w:firstLine="602"/>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投标人202</w:t>
      </w: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zh-CN"/>
        </w:rPr>
        <w:t>年1月1日（以合同签订时间为准）至今</w:t>
      </w:r>
      <w:r>
        <w:rPr>
          <w:rFonts w:hint="eastAsia" w:ascii="宋体" w:hAnsi="宋体" w:eastAsia="宋体"/>
          <w:b/>
          <w:bCs/>
          <w:color w:val="auto"/>
          <w:sz w:val="30"/>
          <w:szCs w:val="30"/>
          <w:highlight w:val="none"/>
          <w:lang w:val="en-US" w:eastAsia="zh-CN"/>
        </w:rPr>
        <w:t>承接</w:t>
      </w:r>
      <w:r>
        <w:rPr>
          <w:rFonts w:hint="eastAsia" w:ascii="宋体" w:hAnsi="宋体" w:eastAsia="宋体" w:cs="宋体"/>
          <w:b/>
          <w:bCs/>
          <w:color w:val="auto"/>
          <w:sz w:val="30"/>
          <w:szCs w:val="30"/>
          <w:highlight w:val="none"/>
          <w:lang w:val="zh-CN"/>
        </w:rPr>
        <w:t>的</w:t>
      </w:r>
      <w:r>
        <w:rPr>
          <w:rFonts w:hint="eastAsia" w:ascii="宋体" w:hAnsi="宋体" w:eastAsia="宋体" w:cs="宋体"/>
          <w:b/>
          <w:bCs/>
          <w:color w:val="auto"/>
          <w:sz w:val="32"/>
          <w:szCs w:val="32"/>
          <w:highlight w:val="none"/>
          <w:lang w:eastAsia="zh-CN"/>
        </w:rPr>
        <w:t>餐厨废弃物或生活垃圾收运服务</w:t>
      </w:r>
      <w:r>
        <w:rPr>
          <w:rFonts w:hint="eastAsia" w:ascii="宋体" w:hAnsi="宋体" w:eastAsia="宋体" w:cs="宋体"/>
          <w:b/>
          <w:bCs/>
          <w:color w:val="auto"/>
          <w:sz w:val="30"/>
          <w:szCs w:val="30"/>
          <w:highlight w:val="none"/>
          <w:lang w:val="zh-CN"/>
        </w:rPr>
        <w:t>业绩情况表</w:t>
      </w:r>
    </w:p>
    <w:tbl>
      <w:tblPr>
        <w:tblStyle w:val="38"/>
        <w:tblW w:w="44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92"/>
        <w:gridCol w:w="1151"/>
        <w:gridCol w:w="1155"/>
        <w:gridCol w:w="1467"/>
        <w:gridCol w:w="1035"/>
        <w:gridCol w:w="1347"/>
        <w:gridCol w:w="1155"/>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539" w:hRule="exact"/>
          <w:jc w:val="center"/>
        </w:trPr>
        <w:tc>
          <w:tcPr>
            <w:tcW w:w="437"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35"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37"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809"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71"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收运</w:t>
            </w:r>
            <w:r>
              <w:rPr>
                <w:rFonts w:hint="eastAsia" w:ascii="宋体" w:hAnsi="宋体" w:eastAsia="宋体" w:cs="宋体"/>
                <w:color w:val="auto"/>
                <w:sz w:val="21"/>
                <w:szCs w:val="21"/>
                <w:highlight w:val="none"/>
                <w:lang w:val="en-US" w:eastAsia="zh-CN"/>
              </w:rPr>
              <w:t>垃圾类别</w:t>
            </w:r>
          </w:p>
        </w:tc>
        <w:tc>
          <w:tcPr>
            <w:tcW w:w="743"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637"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526"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19" w:hRule="exact"/>
          <w:jc w:val="center"/>
        </w:trPr>
        <w:tc>
          <w:tcPr>
            <w:tcW w:w="437" w:type="pct"/>
            <w:noWrap w:val="0"/>
            <w:vAlign w:val="center"/>
          </w:tcPr>
          <w:p>
            <w:pPr>
              <w:jc w:val="center"/>
              <w:rPr>
                <w:rFonts w:hint="eastAsia" w:ascii="宋体" w:hAnsi="宋体" w:eastAsia="宋体" w:cs="宋体"/>
                <w:color w:val="auto"/>
                <w:sz w:val="21"/>
                <w:szCs w:val="21"/>
                <w:highlight w:val="none"/>
              </w:rPr>
            </w:pPr>
          </w:p>
        </w:tc>
        <w:tc>
          <w:tcPr>
            <w:tcW w:w="635" w:type="pct"/>
            <w:noWrap w:val="0"/>
            <w:vAlign w:val="center"/>
          </w:tcPr>
          <w:p>
            <w:pPr>
              <w:jc w:val="center"/>
              <w:rPr>
                <w:rFonts w:hint="eastAsia" w:ascii="宋体" w:hAnsi="宋体" w:eastAsia="宋体" w:cs="宋体"/>
                <w:color w:val="auto"/>
                <w:sz w:val="21"/>
                <w:szCs w:val="21"/>
                <w:highlight w:val="none"/>
              </w:rPr>
            </w:pPr>
          </w:p>
        </w:tc>
        <w:tc>
          <w:tcPr>
            <w:tcW w:w="637" w:type="pct"/>
            <w:noWrap w:val="0"/>
            <w:vAlign w:val="center"/>
          </w:tcPr>
          <w:p>
            <w:pPr>
              <w:jc w:val="center"/>
              <w:rPr>
                <w:rFonts w:hint="eastAsia" w:ascii="宋体" w:hAnsi="宋体" w:eastAsia="宋体" w:cs="宋体"/>
                <w:color w:val="auto"/>
                <w:sz w:val="21"/>
                <w:szCs w:val="21"/>
                <w:highlight w:val="none"/>
              </w:rPr>
            </w:pPr>
          </w:p>
        </w:tc>
        <w:tc>
          <w:tcPr>
            <w:tcW w:w="809" w:type="pct"/>
            <w:noWrap w:val="0"/>
            <w:vAlign w:val="center"/>
          </w:tcPr>
          <w:p>
            <w:pPr>
              <w:jc w:val="center"/>
              <w:rPr>
                <w:rFonts w:hint="eastAsia" w:ascii="宋体" w:hAnsi="宋体" w:eastAsia="宋体" w:cs="宋体"/>
                <w:color w:val="auto"/>
                <w:sz w:val="21"/>
                <w:szCs w:val="21"/>
                <w:highlight w:val="none"/>
              </w:rPr>
            </w:pPr>
          </w:p>
        </w:tc>
        <w:tc>
          <w:tcPr>
            <w:tcW w:w="571" w:type="pct"/>
            <w:noWrap w:val="0"/>
            <w:vAlign w:val="center"/>
          </w:tcPr>
          <w:p>
            <w:pPr>
              <w:jc w:val="center"/>
              <w:rPr>
                <w:rFonts w:hint="eastAsia" w:ascii="宋体" w:hAnsi="宋体" w:eastAsia="宋体" w:cs="宋体"/>
                <w:color w:val="auto"/>
                <w:sz w:val="21"/>
                <w:szCs w:val="21"/>
                <w:highlight w:val="none"/>
              </w:rPr>
            </w:pPr>
          </w:p>
        </w:tc>
        <w:tc>
          <w:tcPr>
            <w:tcW w:w="743" w:type="pct"/>
            <w:noWrap w:val="0"/>
            <w:vAlign w:val="center"/>
          </w:tcPr>
          <w:p>
            <w:pPr>
              <w:jc w:val="center"/>
              <w:rPr>
                <w:rFonts w:hint="eastAsia" w:ascii="宋体" w:hAnsi="宋体" w:eastAsia="宋体" w:cs="宋体"/>
                <w:color w:val="auto"/>
                <w:sz w:val="21"/>
                <w:szCs w:val="21"/>
                <w:highlight w:val="none"/>
              </w:rPr>
            </w:pPr>
          </w:p>
        </w:tc>
        <w:tc>
          <w:tcPr>
            <w:tcW w:w="637" w:type="pct"/>
            <w:noWrap w:val="0"/>
            <w:vAlign w:val="center"/>
          </w:tcPr>
          <w:p>
            <w:pPr>
              <w:jc w:val="center"/>
              <w:rPr>
                <w:rFonts w:hint="eastAsia" w:ascii="宋体" w:hAnsi="宋体" w:eastAsia="宋体" w:cs="宋体"/>
                <w:color w:val="auto"/>
                <w:sz w:val="21"/>
                <w:szCs w:val="21"/>
                <w:highlight w:val="none"/>
              </w:rPr>
            </w:pPr>
          </w:p>
        </w:tc>
        <w:tc>
          <w:tcPr>
            <w:tcW w:w="526"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19" w:hRule="exact"/>
          <w:jc w:val="center"/>
        </w:trPr>
        <w:tc>
          <w:tcPr>
            <w:tcW w:w="437" w:type="pct"/>
            <w:noWrap w:val="0"/>
            <w:vAlign w:val="center"/>
          </w:tcPr>
          <w:p>
            <w:pPr>
              <w:jc w:val="center"/>
              <w:rPr>
                <w:rFonts w:hint="eastAsia" w:ascii="宋体" w:hAnsi="宋体" w:eastAsia="宋体" w:cs="宋体"/>
                <w:color w:val="auto"/>
                <w:sz w:val="21"/>
                <w:szCs w:val="21"/>
                <w:highlight w:val="none"/>
              </w:rPr>
            </w:pPr>
          </w:p>
        </w:tc>
        <w:tc>
          <w:tcPr>
            <w:tcW w:w="635" w:type="pct"/>
            <w:noWrap w:val="0"/>
            <w:vAlign w:val="center"/>
          </w:tcPr>
          <w:p>
            <w:pPr>
              <w:jc w:val="center"/>
              <w:rPr>
                <w:rFonts w:hint="eastAsia" w:ascii="宋体" w:hAnsi="宋体" w:eastAsia="宋体" w:cs="宋体"/>
                <w:color w:val="auto"/>
                <w:sz w:val="21"/>
                <w:szCs w:val="21"/>
                <w:highlight w:val="none"/>
              </w:rPr>
            </w:pPr>
          </w:p>
        </w:tc>
        <w:tc>
          <w:tcPr>
            <w:tcW w:w="637" w:type="pct"/>
            <w:noWrap w:val="0"/>
            <w:vAlign w:val="center"/>
          </w:tcPr>
          <w:p>
            <w:pPr>
              <w:jc w:val="center"/>
              <w:rPr>
                <w:rFonts w:hint="eastAsia" w:ascii="宋体" w:hAnsi="宋体" w:eastAsia="宋体" w:cs="宋体"/>
                <w:color w:val="auto"/>
                <w:sz w:val="21"/>
                <w:szCs w:val="21"/>
                <w:highlight w:val="none"/>
              </w:rPr>
            </w:pPr>
          </w:p>
        </w:tc>
        <w:tc>
          <w:tcPr>
            <w:tcW w:w="809" w:type="pct"/>
            <w:noWrap w:val="0"/>
            <w:vAlign w:val="center"/>
          </w:tcPr>
          <w:p>
            <w:pPr>
              <w:jc w:val="center"/>
              <w:rPr>
                <w:rFonts w:hint="eastAsia" w:ascii="宋体" w:hAnsi="宋体" w:eastAsia="宋体" w:cs="宋体"/>
                <w:color w:val="auto"/>
                <w:sz w:val="21"/>
                <w:szCs w:val="21"/>
                <w:highlight w:val="none"/>
              </w:rPr>
            </w:pPr>
          </w:p>
        </w:tc>
        <w:tc>
          <w:tcPr>
            <w:tcW w:w="571" w:type="pct"/>
            <w:noWrap w:val="0"/>
            <w:vAlign w:val="center"/>
          </w:tcPr>
          <w:p>
            <w:pPr>
              <w:jc w:val="center"/>
              <w:rPr>
                <w:rFonts w:hint="eastAsia" w:ascii="宋体" w:hAnsi="宋体" w:eastAsia="宋体" w:cs="宋体"/>
                <w:color w:val="auto"/>
                <w:sz w:val="21"/>
                <w:szCs w:val="21"/>
                <w:highlight w:val="none"/>
              </w:rPr>
            </w:pPr>
          </w:p>
        </w:tc>
        <w:tc>
          <w:tcPr>
            <w:tcW w:w="743" w:type="pct"/>
            <w:noWrap w:val="0"/>
            <w:vAlign w:val="center"/>
          </w:tcPr>
          <w:p>
            <w:pPr>
              <w:jc w:val="center"/>
              <w:rPr>
                <w:rFonts w:hint="eastAsia" w:ascii="宋体" w:hAnsi="宋体" w:eastAsia="宋体" w:cs="宋体"/>
                <w:color w:val="auto"/>
                <w:sz w:val="21"/>
                <w:szCs w:val="21"/>
                <w:highlight w:val="none"/>
              </w:rPr>
            </w:pPr>
          </w:p>
        </w:tc>
        <w:tc>
          <w:tcPr>
            <w:tcW w:w="637" w:type="pct"/>
            <w:noWrap w:val="0"/>
            <w:vAlign w:val="center"/>
          </w:tcPr>
          <w:p>
            <w:pPr>
              <w:jc w:val="center"/>
              <w:rPr>
                <w:rFonts w:hint="eastAsia" w:ascii="宋体" w:hAnsi="宋体" w:eastAsia="宋体" w:cs="宋体"/>
                <w:color w:val="auto"/>
                <w:sz w:val="21"/>
                <w:szCs w:val="21"/>
                <w:highlight w:val="none"/>
              </w:rPr>
            </w:pPr>
          </w:p>
        </w:tc>
        <w:tc>
          <w:tcPr>
            <w:tcW w:w="526"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19" w:hRule="exact"/>
          <w:jc w:val="center"/>
        </w:trPr>
        <w:tc>
          <w:tcPr>
            <w:tcW w:w="437" w:type="pct"/>
            <w:noWrap w:val="0"/>
            <w:vAlign w:val="center"/>
          </w:tcPr>
          <w:p>
            <w:pPr>
              <w:jc w:val="center"/>
              <w:rPr>
                <w:rFonts w:hint="eastAsia" w:ascii="宋体" w:hAnsi="宋体" w:eastAsia="宋体" w:cs="宋体"/>
                <w:color w:val="auto"/>
                <w:sz w:val="21"/>
                <w:szCs w:val="21"/>
                <w:highlight w:val="none"/>
              </w:rPr>
            </w:pPr>
          </w:p>
        </w:tc>
        <w:tc>
          <w:tcPr>
            <w:tcW w:w="635" w:type="pct"/>
            <w:noWrap w:val="0"/>
            <w:vAlign w:val="center"/>
          </w:tcPr>
          <w:p>
            <w:pPr>
              <w:jc w:val="center"/>
              <w:rPr>
                <w:rFonts w:hint="eastAsia" w:ascii="宋体" w:hAnsi="宋体" w:eastAsia="宋体" w:cs="宋体"/>
                <w:color w:val="auto"/>
                <w:sz w:val="21"/>
                <w:szCs w:val="21"/>
                <w:highlight w:val="none"/>
              </w:rPr>
            </w:pPr>
          </w:p>
        </w:tc>
        <w:tc>
          <w:tcPr>
            <w:tcW w:w="637" w:type="pct"/>
            <w:noWrap w:val="0"/>
            <w:vAlign w:val="center"/>
          </w:tcPr>
          <w:p>
            <w:pPr>
              <w:jc w:val="center"/>
              <w:rPr>
                <w:rFonts w:hint="eastAsia" w:ascii="宋体" w:hAnsi="宋体" w:eastAsia="宋体" w:cs="宋体"/>
                <w:color w:val="auto"/>
                <w:sz w:val="21"/>
                <w:szCs w:val="21"/>
                <w:highlight w:val="none"/>
              </w:rPr>
            </w:pPr>
          </w:p>
        </w:tc>
        <w:tc>
          <w:tcPr>
            <w:tcW w:w="809" w:type="pct"/>
            <w:noWrap w:val="0"/>
            <w:vAlign w:val="center"/>
          </w:tcPr>
          <w:p>
            <w:pPr>
              <w:jc w:val="center"/>
              <w:rPr>
                <w:rFonts w:hint="eastAsia" w:ascii="宋体" w:hAnsi="宋体" w:eastAsia="宋体" w:cs="宋体"/>
                <w:color w:val="auto"/>
                <w:sz w:val="21"/>
                <w:szCs w:val="21"/>
                <w:highlight w:val="none"/>
              </w:rPr>
            </w:pPr>
          </w:p>
        </w:tc>
        <w:tc>
          <w:tcPr>
            <w:tcW w:w="571" w:type="pct"/>
            <w:noWrap w:val="0"/>
            <w:vAlign w:val="center"/>
          </w:tcPr>
          <w:p>
            <w:pPr>
              <w:jc w:val="center"/>
              <w:rPr>
                <w:rFonts w:hint="eastAsia" w:ascii="宋体" w:hAnsi="宋体" w:eastAsia="宋体" w:cs="宋体"/>
                <w:color w:val="auto"/>
                <w:sz w:val="21"/>
                <w:szCs w:val="21"/>
                <w:highlight w:val="none"/>
              </w:rPr>
            </w:pPr>
          </w:p>
        </w:tc>
        <w:tc>
          <w:tcPr>
            <w:tcW w:w="743" w:type="pct"/>
            <w:noWrap w:val="0"/>
            <w:vAlign w:val="center"/>
          </w:tcPr>
          <w:p>
            <w:pPr>
              <w:jc w:val="center"/>
              <w:rPr>
                <w:rFonts w:hint="eastAsia" w:ascii="宋体" w:hAnsi="宋体" w:eastAsia="宋体" w:cs="宋体"/>
                <w:color w:val="auto"/>
                <w:sz w:val="21"/>
                <w:szCs w:val="21"/>
                <w:highlight w:val="none"/>
              </w:rPr>
            </w:pPr>
          </w:p>
        </w:tc>
        <w:tc>
          <w:tcPr>
            <w:tcW w:w="637" w:type="pct"/>
            <w:noWrap w:val="0"/>
            <w:vAlign w:val="center"/>
          </w:tcPr>
          <w:p>
            <w:pPr>
              <w:jc w:val="center"/>
              <w:rPr>
                <w:rFonts w:hint="eastAsia" w:ascii="宋体" w:hAnsi="宋体" w:eastAsia="宋体" w:cs="宋体"/>
                <w:color w:val="auto"/>
                <w:sz w:val="21"/>
                <w:szCs w:val="21"/>
                <w:highlight w:val="none"/>
              </w:rPr>
            </w:pPr>
          </w:p>
        </w:tc>
        <w:tc>
          <w:tcPr>
            <w:tcW w:w="526"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9" w:hRule="exact"/>
          <w:jc w:val="center"/>
        </w:trPr>
        <w:tc>
          <w:tcPr>
            <w:tcW w:w="437" w:type="pct"/>
            <w:noWrap w:val="0"/>
            <w:vAlign w:val="center"/>
          </w:tcPr>
          <w:p>
            <w:pPr>
              <w:jc w:val="center"/>
              <w:rPr>
                <w:rFonts w:hint="eastAsia" w:ascii="宋体" w:hAnsi="宋体" w:eastAsia="宋体" w:cs="宋体"/>
                <w:color w:val="auto"/>
                <w:sz w:val="21"/>
                <w:szCs w:val="21"/>
                <w:highlight w:val="none"/>
              </w:rPr>
            </w:pPr>
          </w:p>
        </w:tc>
        <w:tc>
          <w:tcPr>
            <w:tcW w:w="635" w:type="pct"/>
            <w:noWrap w:val="0"/>
            <w:vAlign w:val="center"/>
          </w:tcPr>
          <w:p>
            <w:pPr>
              <w:jc w:val="center"/>
              <w:rPr>
                <w:rFonts w:hint="eastAsia" w:ascii="宋体" w:hAnsi="宋体" w:eastAsia="宋体" w:cs="宋体"/>
                <w:color w:val="auto"/>
                <w:sz w:val="21"/>
                <w:szCs w:val="21"/>
                <w:highlight w:val="none"/>
              </w:rPr>
            </w:pPr>
          </w:p>
        </w:tc>
        <w:tc>
          <w:tcPr>
            <w:tcW w:w="637" w:type="pct"/>
            <w:noWrap w:val="0"/>
            <w:vAlign w:val="center"/>
          </w:tcPr>
          <w:p>
            <w:pPr>
              <w:jc w:val="center"/>
              <w:rPr>
                <w:rFonts w:hint="eastAsia" w:ascii="宋体" w:hAnsi="宋体" w:eastAsia="宋体" w:cs="宋体"/>
                <w:color w:val="auto"/>
                <w:sz w:val="21"/>
                <w:szCs w:val="21"/>
                <w:highlight w:val="none"/>
              </w:rPr>
            </w:pPr>
          </w:p>
        </w:tc>
        <w:tc>
          <w:tcPr>
            <w:tcW w:w="809" w:type="pct"/>
            <w:noWrap w:val="0"/>
            <w:vAlign w:val="center"/>
          </w:tcPr>
          <w:p>
            <w:pPr>
              <w:jc w:val="center"/>
              <w:rPr>
                <w:rFonts w:hint="eastAsia" w:ascii="宋体" w:hAnsi="宋体" w:eastAsia="宋体" w:cs="宋体"/>
                <w:color w:val="auto"/>
                <w:sz w:val="21"/>
                <w:szCs w:val="21"/>
                <w:highlight w:val="none"/>
              </w:rPr>
            </w:pPr>
          </w:p>
        </w:tc>
        <w:tc>
          <w:tcPr>
            <w:tcW w:w="571" w:type="pct"/>
            <w:noWrap w:val="0"/>
            <w:vAlign w:val="center"/>
          </w:tcPr>
          <w:p>
            <w:pPr>
              <w:jc w:val="center"/>
              <w:rPr>
                <w:rFonts w:hint="eastAsia" w:ascii="宋体" w:hAnsi="宋体" w:eastAsia="宋体" w:cs="宋体"/>
                <w:color w:val="auto"/>
                <w:sz w:val="21"/>
                <w:szCs w:val="21"/>
                <w:highlight w:val="none"/>
              </w:rPr>
            </w:pPr>
          </w:p>
        </w:tc>
        <w:tc>
          <w:tcPr>
            <w:tcW w:w="743" w:type="pct"/>
            <w:noWrap w:val="0"/>
            <w:vAlign w:val="center"/>
          </w:tcPr>
          <w:p>
            <w:pPr>
              <w:jc w:val="center"/>
              <w:rPr>
                <w:rFonts w:hint="eastAsia" w:ascii="宋体" w:hAnsi="宋体" w:eastAsia="宋体" w:cs="宋体"/>
                <w:color w:val="auto"/>
                <w:sz w:val="21"/>
                <w:szCs w:val="21"/>
                <w:highlight w:val="none"/>
              </w:rPr>
            </w:pPr>
          </w:p>
        </w:tc>
        <w:tc>
          <w:tcPr>
            <w:tcW w:w="637" w:type="pct"/>
            <w:noWrap w:val="0"/>
            <w:vAlign w:val="center"/>
          </w:tcPr>
          <w:p>
            <w:pPr>
              <w:jc w:val="center"/>
              <w:rPr>
                <w:rFonts w:hint="eastAsia" w:ascii="宋体" w:hAnsi="宋体" w:eastAsia="宋体" w:cs="宋体"/>
                <w:color w:val="auto"/>
                <w:sz w:val="21"/>
                <w:szCs w:val="21"/>
                <w:highlight w:val="none"/>
              </w:rPr>
            </w:pPr>
          </w:p>
        </w:tc>
        <w:tc>
          <w:tcPr>
            <w:tcW w:w="526" w:type="pct"/>
            <w:noWrap w:val="0"/>
            <w:vAlign w:val="center"/>
          </w:tcPr>
          <w:p>
            <w:pPr>
              <w:jc w:val="center"/>
              <w:rPr>
                <w:rFonts w:hint="eastAsia" w:ascii="宋体" w:hAnsi="宋体" w:eastAsia="宋体" w:cs="宋体"/>
                <w:color w:val="auto"/>
                <w:sz w:val="21"/>
                <w:szCs w:val="21"/>
                <w:highlight w:val="none"/>
              </w:rPr>
            </w:pPr>
          </w:p>
        </w:tc>
      </w:tr>
    </w:tbl>
    <w:p>
      <w:pPr>
        <w:autoSpaceDE w:val="0"/>
        <w:autoSpaceDN w:val="0"/>
        <w:adjustRightInd w:val="0"/>
        <w:snapToGrid w:val="0"/>
        <w:spacing w:line="360" w:lineRule="auto"/>
        <w:ind w:left="186" w:leftChars="-158" w:hanging="518" w:hangingChars="247"/>
        <w:jc w:val="left"/>
        <w:rPr>
          <w:rFonts w:hint="eastAsia" w:ascii="宋体" w:hAnsi="宋体" w:eastAsia="宋体" w:cs="宋体"/>
          <w:color w:val="auto"/>
          <w:szCs w:val="24"/>
          <w:highlight w:val="none"/>
          <w:lang w:val="zh-CN"/>
        </w:rPr>
      </w:pPr>
    </w:p>
    <w:p>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napToGrid w:val="0"/>
        <w:spacing w:line="360" w:lineRule="auto"/>
        <w:ind w:left="481" w:leftChars="-41" w:hanging="567" w:hangingChars="270"/>
        <w:jc w:val="left"/>
        <w:rPr>
          <w:rFonts w:hint="eastAsia" w:ascii="宋体" w:hAnsi="宋体" w:eastAsia="宋体" w:cs="宋体"/>
          <w:b/>
          <w:bCs/>
          <w:color w:val="auto"/>
          <w:szCs w:val="24"/>
          <w:highlight w:val="none"/>
          <w:u w:val="single"/>
          <w:lang w:val="zh-CN"/>
        </w:rPr>
      </w:pPr>
      <w:r>
        <w:rPr>
          <w:rFonts w:hint="eastAsia" w:ascii="宋体" w:hAnsi="宋体" w:eastAsia="宋体" w:cs="宋体"/>
          <w:color w:val="auto"/>
          <w:szCs w:val="24"/>
          <w:highlight w:val="none"/>
          <w:lang w:val="zh-CN"/>
        </w:rPr>
        <w:t>（1）业绩按单项合同采购金额从高到低的方式排列；</w:t>
      </w:r>
      <w:r>
        <w:rPr>
          <w:rFonts w:hint="eastAsia" w:ascii="宋体" w:hAnsi="宋体" w:eastAsia="宋体" w:cs="宋体"/>
          <w:b/>
          <w:bCs/>
          <w:color w:val="auto"/>
          <w:szCs w:val="24"/>
          <w:highlight w:val="none"/>
          <w:u w:val="single"/>
          <w:lang w:val="zh-CN"/>
        </w:rPr>
        <w:t>同一个单项合同的业绩可以同时在资格业绩和评分业绩重复放置。</w:t>
      </w:r>
    </w:p>
    <w:p>
      <w:pPr>
        <w:autoSpaceDE w:val="0"/>
        <w:autoSpaceDN w:val="0"/>
        <w:adjustRightInd w:val="0"/>
        <w:snapToGrid w:val="0"/>
        <w:spacing w:line="360" w:lineRule="auto"/>
        <w:ind w:left="483" w:leftChars="-41" w:hanging="569" w:hangingChars="270"/>
        <w:jc w:val="left"/>
        <w:rPr>
          <w:rFonts w:hint="eastAsia" w:ascii="宋体" w:hAnsi="宋体" w:eastAsia="宋体" w:cs="宋体"/>
          <w:b/>
          <w:bCs/>
          <w:color w:val="auto"/>
          <w:highlight w:val="none"/>
          <w:lang w:val="zh-CN"/>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2</w:t>
      </w:r>
      <w:r>
        <w:rPr>
          <w:rFonts w:hint="eastAsia" w:ascii="宋体" w:hAnsi="宋体" w:eastAsia="宋体" w:cs="宋体"/>
          <w:b/>
          <w:bCs/>
          <w:color w:val="auto"/>
          <w:szCs w:val="24"/>
          <w:highlight w:val="none"/>
          <w:lang w:val="zh-CN"/>
        </w:rPr>
        <w:t>）</w:t>
      </w:r>
      <w:r>
        <w:rPr>
          <w:rFonts w:hint="eastAsia" w:ascii="宋体" w:hAnsi="宋体" w:eastAsia="宋体" w:cs="宋体"/>
          <w:b/>
          <w:bCs/>
          <w:color w:val="auto"/>
          <w:highlight w:val="none"/>
          <w:u w:val="single"/>
          <w:lang w:val="zh-CN"/>
        </w:rPr>
        <w:t>业绩必须附合同复印件（</w:t>
      </w:r>
      <w:r>
        <w:rPr>
          <w:rFonts w:hint="eastAsia" w:ascii="宋体" w:hAnsi="宋体" w:eastAsia="宋体" w:cs="宋体"/>
          <w:b/>
          <w:bCs/>
          <w:color w:val="auto"/>
          <w:highlight w:val="none"/>
          <w:u w:val="single"/>
        </w:rPr>
        <w:t>合同服务提供方为投标人</w:t>
      </w:r>
      <w:r>
        <w:rPr>
          <w:rFonts w:hint="eastAsia" w:ascii="宋体" w:hAnsi="宋体" w:eastAsia="宋体" w:cs="宋体"/>
          <w:b/>
          <w:bCs/>
          <w:color w:val="auto"/>
          <w:highlight w:val="none"/>
          <w:u w:val="single"/>
          <w:lang w:val="zh-CN"/>
        </w:rPr>
        <w:t>）。合同必须能反映评分条件（</w:t>
      </w:r>
      <w:r>
        <w:rPr>
          <w:rFonts w:hint="eastAsia" w:ascii="宋体" w:hAnsi="宋体" w:eastAsia="宋体" w:cs="宋体"/>
          <w:b/>
          <w:bCs/>
          <w:color w:val="auto"/>
          <w:highlight w:val="none"/>
          <w:u w:val="single"/>
        </w:rPr>
        <w:t>合同签订日期、服务内容、</w:t>
      </w:r>
      <w:r>
        <w:rPr>
          <w:rFonts w:hint="eastAsia" w:ascii="宋体" w:hAnsi="宋体" w:eastAsia="宋体" w:cs="宋体"/>
          <w:b/>
          <w:bCs/>
          <w:color w:val="auto"/>
          <w:sz w:val="21"/>
          <w:szCs w:val="21"/>
          <w:highlight w:val="none"/>
          <w:u w:val="single"/>
        </w:rPr>
        <w:t>收运</w:t>
      </w:r>
      <w:r>
        <w:rPr>
          <w:rFonts w:hint="eastAsia" w:ascii="宋体" w:hAnsi="宋体" w:eastAsia="宋体" w:cs="宋体"/>
          <w:b/>
          <w:bCs/>
          <w:color w:val="auto"/>
          <w:sz w:val="21"/>
          <w:szCs w:val="21"/>
          <w:highlight w:val="none"/>
          <w:u w:val="single"/>
          <w:lang w:val="en-US" w:eastAsia="zh-CN"/>
        </w:rPr>
        <w:t>垃圾类别、</w:t>
      </w:r>
      <w:r>
        <w:rPr>
          <w:rFonts w:hint="eastAsia" w:ascii="宋体" w:hAnsi="宋体" w:eastAsia="宋体" w:cs="宋体"/>
          <w:b/>
          <w:bCs/>
          <w:color w:val="auto"/>
          <w:szCs w:val="21"/>
          <w:highlight w:val="none"/>
          <w:u w:val="single"/>
          <w:lang w:val="en-US" w:eastAsia="zh-CN"/>
        </w:rPr>
        <w:t>合同金额</w:t>
      </w:r>
      <w:r>
        <w:rPr>
          <w:rFonts w:hint="eastAsia" w:ascii="宋体" w:hAnsi="宋体" w:eastAsia="宋体" w:cs="宋体"/>
          <w:b/>
          <w:bCs/>
          <w:color w:val="auto"/>
          <w:highlight w:val="none"/>
          <w:u w:val="single"/>
          <w:lang w:val="zh-CN"/>
        </w:rPr>
        <w:t>），否则，需同时提供服务购买方出具的书面补充情况说明文件复印件（</w:t>
      </w:r>
      <w:r>
        <w:rPr>
          <w:rFonts w:hint="eastAsia" w:ascii="宋体" w:hAnsi="宋体" w:eastAsia="宋体" w:cs="宋体"/>
          <w:b/>
          <w:bCs/>
          <w:color w:val="auto"/>
          <w:highlight w:val="none"/>
          <w:u w:val="single"/>
        </w:rPr>
        <w:t>需加盖服务购买方公章，即复印件能显示服务购买方公章</w:t>
      </w:r>
      <w:r>
        <w:rPr>
          <w:rFonts w:hint="eastAsia" w:ascii="宋体" w:hAnsi="宋体" w:eastAsia="宋体" w:cs="宋体"/>
          <w:b/>
          <w:bCs/>
          <w:color w:val="auto"/>
          <w:highlight w:val="none"/>
          <w:u w:val="single"/>
          <w:lang w:val="zh-CN"/>
        </w:rPr>
        <w:t>），</w:t>
      </w:r>
      <w:r>
        <w:rPr>
          <w:rFonts w:hint="eastAsia" w:ascii="宋体" w:hAnsi="宋体" w:eastAsia="宋体" w:cs="宋体"/>
          <w:b/>
          <w:bCs/>
          <w:color w:val="auto"/>
          <w:highlight w:val="none"/>
          <w:u w:val="single"/>
        </w:rPr>
        <w:t>否则不得分</w:t>
      </w:r>
      <w:r>
        <w:rPr>
          <w:rFonts w:hint="eastAsia" w:ascii="宋体" w:hAnsi="宋体" w:eastAsia="宋体" w:cs="宋体"/>
          <w:b/>
          <w:bCs/>
          <w:color w:val="auto"/>
          <w:highlight w:val="none"/>
          <w:lang w:val="zh-CN"/>
        </w:rPr>
        <w:t>。</w:t>
      </w:r>
    </w:p>
    <w:p>
      <w:pPr>
        <w:snapToGrid w:val="0"/>
        <w:spacing w:line="360" w:lineRule="auto"/>
        <w:ind w:left="483" w:leftChars="-41" w:hanging="569" w:hangingChars="270"/>
        <w:jc w:val="left"/>
        <w:rPr>
          <w:rFonts w:hint="eastAsia" w:ascii="宋体" w:hAnsi="宋体" w:eastAsia="宋体" w:cs="宋体"/>
          <w:b/>
          <w:bCs/>
          <w:color w:val="auto"/>
          <w:highlight w:val="none"/>
          <w:lang w:eastAsia="zh-CN"/>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3</w:t>
      </w:r>
      <w:r>
        <w:rPr>
          <w:rFonts w:hint="eastAsia" w:ascii="宋体" w:hAnsi="宋体" w:eastAsia="宋体" w:cs="宋体"/>
          <w:b/>
          <w:bCs/>
          <w:color w:val="auto"/>
          <w:szCs w:val="24"/>
          <w:highlight w:val="none"/>
          <w:lang w:val="zh-CN"/>
        </w:rPr>
        <w:t>）</w:t>
      </w:r>
      <w:r>
        <w:rPr>
          <w:rFonts w:hint="eastAsia" w:ascii="宋体" w:hAnsi="宋体" w:eastAsia="宋体"/>
          <w:b/>
          <w:bCs/>
          <w:color w:val="auto"/>
          <w:sz w:val="21"/>
          <w:szCs w:val="21"/>
          <w:highlight w:val="none"/>
          <w:u w:val="single"/>
        </w:rPr>
        <w:t>若合同业绩内容为非单一类型</w:t>
      </w:r>
      <w:r>
        <w:rPr>
          <w:rFonts w:hint="eastAsia" w:ascii="宋体" w:hAnsi="宋体" w:eastAsia="宋体"/>
          <w:b/>
          <w:bCs/>
          <w:color w:val="auto"/>
          <w:sz w:val="21"/>
          <w:szCs w:val="21"/>
          <w:highlight w:val="none"/>
          <w:u w:val="single"/>
          <w:lang w:eastAsia="zh-CN"/>
        </w:rPr>
        <w:t>（如业绩合同包括清扫、收运、处置等全过程服务）</w:t>
      </w:r>
      <w:r>
        <w:rPr>
          <w:rFonts w:hint="eastAsia" w:ascii="宋体" w:hAnsi="宋体" w:eastAsia="宋体"/>
          <w:b/>
          <w:bCs/>
          <w:color w:val="auto"/>
          <w:sz w:val="21"/>
          <w:szCs w:val="21"/>
          <w:highlight w:val="none"/>
          <w:u w:val="single"/>
        </w:rPr>
        <w:t>，且合同内容无法反应符合本项目评审要求（</w:t>
      </w:r>
      <w:r>
        <w:rPr>
          <w:rFonts w:hint="eastAsia" w:ascii="宋体" w:hAnsi="宋体" w:eastAsia="宋体"/>
          <w:b/>
          <w:bCs/>
          <w:color w:val="auto"/>
          <w:sz w:val="21"/>
          <w:szCs w:val="21"/>
          <w:highlight w:val="none"/>
          <w:u w:val="single"/>
          <w:lang w:eastAsia="zh-CN"/>
        </w:rPr>
        <w:t>生活垃圾收运服务</w:t>
      </w:r>
      <w:r>
        <w:rPr>
          <w:rFonts w:hint="eastAsia" w:ascii="宋体" w:hAnsi="宋体" w:eastAsia="宋体"/>
          <w:b/>
          <w:bCs/>
          <w:color w:val="auto"/>
          <w:sz w:val="21"/>
          <w:szCs w:val="21"/>
          <w:highlight w:val="none"/>
          <w:u w:val="single"/>
        </w:rPr>
        <w:t>）的合同金额，需须同时提供服务购买方出具的书面补充情况说明文件复印件</w:t>
      </w:r>
      <w:r>
        <w:rPr>
          <w:rFonts w:hint="eastAsia" w:ascii="宋体" w:hAnsi="宋体" w:eastAsia="宋体" w:cs="宋体"/>
          <w:b/>
          <w:bCs/>
          <w:color w:val="auto"/>
          <w:highlight w:val="none"/>
          <w:u w:val="single"/>
        </w:rPr>
        <w:t>,否则在评标时将不予考虑</w:t>
      </w:r>
      <w:r>
        <w:rPr>
          <w:rFonts w:hint="eastAsia" w:ascii="宋体" w:hAnsi="宋体" w:eastAsia="宋体" w:cs="宋体"/>
          <w:b/>
          <w:bCs/>
          <w:color w:val="auto"/>
          <w:highlight w:val="none"/>
          <w:lang w:eastAsia="zh-CN"/>
        </w:rPr>
        <w:t>。</w:t>
      </w:r>
    </w:p>
    <w:p>
      <w:pPr>
        <w:snapToGrid w:val="0"/>
        <w:spacing w:line="360" w:lineRule="auto"/>
        <w:ind w:left="483" w:leftChars="-41" w:hanging="569" w:hangingChars="270"/>
        <w:jc w:val="left"/>
        <w:rPr>
          <w:rFonts w:hint="eastAsia" w:eastAsia="+中文正文"/>
          <w:b/>
          <w:bCs/>
          <w:color w:val="auto"/>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u w:val="single"/>
          <w:lang w:val="zh-CN"/>
        </w:rPr>
        <w:t>餐厨废弃物为餐饮垃圾或厨余垃圾</w:t>
      </w:r>
      <w:r>
        <w:rPr>
          <w:rFonts w:hint="eastAsia" w:ascii="宋体" w:hAnsi="宋体" w:eastAsia="宋体" w:cs="宋体"/>
          <w:b/>
          <w:bCs/>
          <w:color w:val="auto"/>
          <w:szCs w:val="21"/>
          <w:highlight w:val="none"/>
          <w:lang w:val="zh-CN"/>
        </w:rPr>
        <w:t>。</w:t>
      </w:r>
    </w:p>
    <w:p>
      <w:pPr>
        <w:autoSpaceDE w:val="0"/>
        <w:autoSpaceDN w:val="0"/>
        <w:adjustRightInd w:val="0"/>
        <w:snapToGrid w:val="0"/>
        <w:spacing w:line="360" w:lineRule="auto"/>
        <w:ind w:left="483" w:leftChars="-41" w:hanging="569" w:hangingChars="270"/>
        <w:jc w:val="left"/>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5</w:t>
      </w: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1"/>
          <w:highlight w:val="none"/>
          <w:u w:val="single"/>
          <w:lang w:val="zh-CN"/>
        </w:rPr>
        <w:t>若业绩为框架式协议或资格入围无明确金额的合同，必须同时提供合同期限内已服务发票金额统计表和发票复印件</w:t>
      </w:r>
      <w:r>
        <w:rPr>
          <w:rFonts w:hint="eastAsia" w:ascii="宋体" w:hAnsi="宋体" w:eastAsia="宋体" w:cs="宋体"/>
          <w:b/>
          <w:bCs/>
          <w:color w:val="auto"/>
          <w:szCs w:val="24"/>
          <w:highlight w:val="none"/>
          <w:lang w:val="zh-CN"/>
        </w:rPr>
        <w:t>；</w:t>
      </w:r>
    </w:p>
    <w:p>
      <w:pPr>
        <w:autoSpaceDE w:val="0"/>
        <w:autoSpaceDN w:val="0"/>
        <w:adjustRightInd w:val="0"/>
        <w:snapToGrid w:val="0"/>
        <w:spacing w:line="360" w:lineRule="auto"/>
        <w:ind w:left="483" w:leftChars="-41"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6</w:t>
      </w: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u w:val="single"/>
          <w:lang w:val="zh-CN"/>
        </w:rPr>
        <w:t>未按上述要求在此格式下提供证明材料的业绩，或在此格式下</w:t>
      </w:r>
      <w:r>
        <w:rPr>
          <w:rFonts w:hint="eastAsia" w:ascii="宋体" w:hAnsi="宋体" w:eastAsia="宋体" w:cs="宋体"/>
          <w:b/>
          <w:bCs/>
          <w:color w:val="auto"/>
          <w:highlight w:val="none"/>
          <w:u w:val="single"/>
        </w:rPr>
        <w:t>所附材料无法证明填报项目属投标人完成的或不符合本项评分要求的业绩</w:t>
      </w:r>
      <w:r>
        <w:rPr>
          <w:rFonts w:hint="eastAsia" w:ascii="宋体" w:hAnsi="宋体" w:eastAsia="宋体" w:cs="宋体"/>
          <w:b/>
          <w:bCs/>
          <w:color w:val="auto"/>
          <w:szCs w:val="24"/>
          <w:highlight w:val="none"/>
          <w:u w:val="single"/>
          <w:lang w:val="zh-CN"/>
        </w:rPr>
        <w:t>，在评标时将不予考虑</w:t>
      </w:r>
      <w:r>
        <w:rPr>
          <w:rFonts w:hint="eastAsia" w:ascii="宋体" w:hAnsi="宋体" w:eastAsia="宋体" w:cs="宋体"/>
          <w:b/>
          <w:bCs/>
          <w:color w:val="auto"/>
          <w:kern w:val="0"/>
          <w:szCs w:val="21"/>
          <w:highlight w:val="none"/>
        </w:rPr>
        <w:t>。</w:t>
      </w:r>
    </w:p>
    <w:p>
      <w:pPr>
        <w:snapToGrid w:val="0"/>
        <w:spacing w:line="360" w:lineRule="auto"/>
        <w:ind w:left="399" w:leftChars="-58" w:hanging="521" w:hangingChars="247"/>
        <w:outlineLvl w:val="9"/>
        <w:rPr>
          <w:rFonts w:ascii="宋体" w:hAnsi="宋体" w:eastAsia="宋体" w:cs="宋体"/>
          <w:b/>
          <w:bCs/>
          <w:color w:val="auto"/>
          <w:highlight w:val="none"/>
          <w:lang w:val="zh-CN"/>
        </w:rPr>
      </w:pP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u w:val="single"/>
          <w:lang w:val="zh-CN"/>
        </w:rPr>
        <w:t>招标人有权对投标人提供的业绩进行核查，若发现弄虚作假，有权按照评标委员会推荐的中标候选人名单排序依次确定其他中标候选人为中标人或重新招标，并不予退还投标保证金；若合同履行过程中发现弄虚作假，将没收履约担保，并将上报监督管理部门，从严处理</w:t>
      </w:r>
      <w:r>
        <w:rPr>
          <w:rFonts w:hint="eastAsia" w:ascii="宋体" w:hAnsi="宋体" w:eastAsia="宋体" w:cs="宋体"/>
          <w:b/>
          <w:bCs/>
          <w:color w:val="auto"/>
          <w:highlight w:val="none"/>
          <w:lang w:val="zh-CN"/>
        </w:rPr>
        <w:t>。</w:t>
      </w:r>
    </w:p>
    <w:p>
      <w:pPr>
        <w:autoSpaceDE/>
        <w:autoSpaceDN/>
        <w:adjustRightInd w:val="0"/>
        <w:snapToGrid w:val="0"/>
        <w:spacing w:line="360" w:lineRule="auto"/>
        <w:ind w:left="525" w:leftChars="-41" w:hanging="611" w:hangingChars="290"/>
        <w:jc w:val="left"/>
        <w:rPr>
          <w:rFonts w:hint="eastAsia" w:ascii="宋体" w:hAnsi="宋体" w:eastAsia="宋体" w:cs="宋体"/>
          <w:color w:val="auto"/>
          <w:kern w:val="0"/>
          <w:szCs w:val="21"/>
          <w:highlight w:val="none"/>
        </w:rPr>
      </w:pP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u w:val="single"/>
        </w:rPr>
        <w:t>在接到招标人通知之日起3个工作日内</w:t>
      </w:r>
      <w:r>
        <w:rPr>
          <w:rFonts w:hint="eastAsia" w:ascii="宋体" w:hAnsi="宋体" w:eastAsia="宋体" w:cs="宋体"/>
          <w:b/>
          <w:bCs/>
          <w:color w:val="auto"/>
          <w:highlight w:val="none"/>
          <w:u w:val="single"/>
          <w:lang w:val="zh-CN"/>
        </w:rPr>
        <w:t>，</w:t>
      </w:r>
      <w:r>
        <w:rPr>
          <w:rFonts w:hint="eastAsia" w:ascii="宋体" w:hAnsi="宋体" w:eastAsia="宋体" w:cs="宋体"/>
          <w:b/>
          <w:bCs/>
          <w:color w:val="auto"/>
          <w:highlight w:val="none"/>
          <w:u w:val="single"/>
        </w:rPr>
        <w:t>投标人必须提供上述合同及其证明材料的原件供招标人核对其真实性</w:t>
      </w:r>
      <w:r>
        <w:rPr>
          <w:rFonts w:hint="eastAsia" w:ascii="宋体" w:hAnsi="宋体" w:eastAsia="宋体" w:cs="宋体"/>
          <w:color w:val="auto"/>
          <w:highlight w:val="none"/>
        </w:rPr>
        <w:t>。</w:t>
      </w:r>
    </w:p>
    <w:p>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p>
      <w:pPr>
        <w:autoSpaceDE w:val="0"/>
        <w:autoSpaceDN w:val="0"/>
        <w:adjustRightInd w:val="0"/>
        <w:spacing w:line="360" w:lineRule="auto"/>
        <w:ind w:firstLine="5040" w:firstLineChars="240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pPr>
        <w:autoSpaceDE/>
        <w:autoSpaceDN/>
        <w:adjustRightInd/>
        <w:spacing w:line="240" w:lineRule="auto"/>
        <w:ind w:firstLine="0" w:firstLineChars="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pPr>
        <w:pStyle w:val="47"/>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附表：已服务发票金额统计表</w:t>
      </w:r>
    </w:p>
    <w:tbl>
      <w:tblPr>
        <w:tblStyle w:val="38"/>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586"/>
        <w:gridCol w:w="1274"/>
        <w:gridCol w:w="1558"/>
        <w:gridCol w:w="1241"/>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r>
              <w:rPr>
                <w:rFonts w:hint="eastAsia" w:ascii="宋体" w:hAnsi="宋体"/>
                <w:color w:val="auto"/>
                <w:sz w:val="21"/>
                <w:szCs w:val="21"/>
                <w:highlight w:val="none"/>
              </w:rPr>
              <w:t>项目名称</w:t>
            </w:r>
          </w:p>
        </w:tc>
        <w:tc>
          <w:tcPr>
            <w:tcW w:w="5668" w:type="dxa"/>
            <w:gridSpan w:val="5"/>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r>
              <w:rPr>
                <w:rFonts w:hint="eastAsia" w:ascii="宋体" w:hAnsi="宋体"/>
                <w:color w:val="auto"/>
                <w:sz w:val="21"/>
                <w:szCs w:val="21"/>
                <w:highlight w:val="none"/>
              </w:rPr>
              <w:t>合同约定的供货期</w:t>
            </w:r>
          </w:p>
        </w:tc>
        <w:tc>
          <w:tcPr>
            <w:tcW w:w="5668" w:type="dxa"/>
            <w:gridSpan w:val="5"/>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r>
              <w:rPr>
                <w:rFonts w:hint="eastAsia" w:ascii="宋体" w:hAnsi="宋体"/>
                <w:color w:val="auto"/>
                <w:sz w:val="21"/>
                <w:szCs w:val="21"/>
                <w:highlight w:val="none"/>
              </w:rPr>
              <w:t>发票抬头（合同购买方）</w:t>
            </w:r>
          </w:p>
        </w:tc>
        <w:tc>
          <w:tcPr>
            <w:tcW w:w="5668" w:type="dxa"/>
            <w:gridSpan w:val="5"/>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3202"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发票名目</w:t>
            </w:r>
          </w:p>
        </w:tc>
        <w:tc>
          <w:tcPr>
            <w:tcW w:w="1586"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w:t>
            </w:r>
          </w:p>
        </w:tc>
        <w:tc>
          <w:tcPr>
            <w:tcW w:w="1274"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发票号码</w:t>
            </w:r>
          </w:p>
        </w:tc>
        <w:tc>
          <w:tcPr>
            <w:tcW w:w="1558"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发票所属时期</w:t>
            </w:r>
          </w:p>
        </w:tc>
        <w:tc>
          <w:tcPr>
            <w:tcW w:w="1241"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1</w:t>
            </w:r>
          </w:p>
        </w:tc>
        <w:tc>
          <w:tcPr>
            <w:tcW w:w="3202"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2</w:t>
            </w:r>
          </w:p>
        </w:tc>
        <w:tc>
          <w:tcPr>
            <w:tcW w:w="3202"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3</w:t>
            </w:r>
          </w:p>
        </w:tc>
        <w:tc>
          <w:tcPr>
            <w:tcW w:w="3202"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w:t>
            </w:r>
          </w:p>
        </w:tc>
        <w:tc>
          <w:tcPr>
            <w:tcW w:w="3202"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发票金额合计</w:t>
            </w:r>
          </w:p>
        </w:tc>
        <w:tc>
          <w:tcPr>
            <w:tcW w:w="1586"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r>
    </w:tbl>
    <w:p>
      <w:pPr>
        <w:snapToGrid w:val="0"/>
        <w:spacing w:line="360" w:lineRule="auto"/>
        <w:ind w:left="491" w:leftChars="-57" w:hanging="611" w:hangingChars="291"/>
        <w:rPr>
          <w:rFonts w:hAnsi="宋体" w:eastAsia="+中文正文"/>
          <w:color w:val="auto"/>
          <w:sz w:val="21"/>
          <w:szCs w:val="21"/>
          <w:highlight w:val="none"/>
        </w:rPr>
      </w:pPr>
    </w:p>
    <w:p>
      <w:pPr>
        <w:snapToGrid w:val="0"/>
        <w:spacing w:line="360" w:lineRule="auto"/>
        <w:ind w:left="491" w:leftChars="-57" w:hanging="611" w:hangingChars="2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napToGrid w:val="0"/>
        <w:spacing w:line="360" w:lineRule="auto"/>
        <w:ind w:left="548" w:leftChars="59"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（1）投标人提供框架式协议或资格入围无明确金额的合同时，须同时提供本统计表及服务发票复印件，本统计表及发票复印件应后附于合同复印件。</w:t>
      </w:r>
    </w:p>
    <w:p>
      <w:pPr>
        <w:snapToGrid w:val="0"/>
        <w:spacing w:line="360" w:lineRule="auto"/>
        <w:ind w:left="548" w:leftChars="59"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（2）发票抬头应为合同购买方，收款人应为投标人，且发票名目、所属时期应与合同约定内容一致，否则不计分。</w:t>
      </w:r>
    </w:p>
    <w:p>
      <w:pPr>
        <w:snapToGrid w:val="0"/>
        <w:spacing w:line="360" w:lineRule="auto"/>
        <w:ind w:left="548" w:leftChars="59"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（3）发票合计金额视为投标人所提供该项服务业绩的金额，并按此金额进行评审。</w:t>
      </w:r>
    </w:p>
    <w:p>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bookmarkEnd w:id="703"/>
    <w:bookmarkEnd w:id="704"/>
    <w:p>
      <w:pPr>
        <w:pageBreakBefore/>
        <w:spacing w:before="120" w:after="120" w:line="360" w:lineRule="auto"/>
        <w:jc w:val="left"/>
        <w:outlineLvl w:val="2"/>
        <w:rPr>
          <w:rFonts w:hint="eastAsia" w:ascii="宋体" w:hAnsi="宋体" w:eastAsia="宋体" w:cs="宋体"/>
          <w:b/>
          <w:bCs/>
          <w:color w:val="auto"/>
          <w:kern w:val="0"/>
          <w:sz w:val="32"/>
          <w:szCs w:val="32"/>
          <w:highlight w:val="none"/>
          <w:lang w:val="zh-CN"/>
        </w:rPr>
      </w:pPr>
      <w:bookmarkStart w:id="705" w:name="_Toc142508378"/>
      <w:bookmarkStart w:id="706" w:name="_Toc31965"/>
      <w:bookmarkStart w:id="707" w:name="_Toc102860427"/>
      <w:bookmarkStart w:id="708" w:name="_Toc2433"/>
      <w:bookmarkStart w:id="709" w:name="_Toc1977737"/>
      <w:bookmarkStart w:id="710" w:name="_Toc102860083"/>
      <w:bookmarkStart w:id="711" w:name="_Toc486167719"/>
      <w:bookmarkStart w:id="712" w:name="_Toc16185"/>
      <w:bookmarkStart w:id="713" w:name="_Toc18175_WPSOffice_Level2"/>
      <w:bookmarkStart w:id="714" w:name="_Toc18413"/>
      <w:bookmarkStart w:id="715" w:name="_Toc94107220"/>
      <w:bookmarkStart w:id="716" w:name="_Toc533708132"/>
      <w:bookmarkStart w:id="717" w:name="_Toc104991885"/>
      <w:bookmarkStart w:id="718" w:name="_Toc19890"/>
      <w:bookmarkStart w:id="719" w:name="_Toc140596938"/>
      <w:r>
        <w:rPr>
          <w:rFonts w:hint="eastAsia" w:ascii="宋体" w:hAnsi="宋体" w:eastAsia="宋体" w:cs="宋体"/>
          <w:b/>
          <w:bCs/>
          <w:color w:val="auto"/>
          <w:kern w:val="0"/>
          <w:sz w:val="32"/>
          <w:szCs w:val="32"/>
          <w:highlight w:val="none"/>
          <w:lang w:val="zh-CN"/>
        </w:rPr>
        <w:t>十一、投标保证金汇入情况说明</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pPr>
        <w:autoSpaceDE w:val="0"/>
        <w:autoSpaceDN w:val="0"/>
        <w:adjustRightInd w:val="0"/>
        <w:spacing w:line="360" w:lineRule="auto"/>
        <w:jc w:val="left"/>
        <w:rPr>
          <w:rFonts w:hint="eastAsia" w:ascii="宋体" w:hAnsi="宋体" w:eastAsia="宋体" w:cs="宋体"/>
          <w:color w:val="auto"/>
          <w:szCs w:val="24"/>
          <w:highlight w:val="none"/>
        </w:rPr>
      </w:pPr>
    </w:p>
    <w:p>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bookmarkStart w:id="720" w:name="_Toc31832_WPSOffice_Level3"/>
      <w:r>
        <w:rPr>
          <w:rFonts w:hint="eastAsia" w:ascii="宋体" w:hAnsi="宋体" w:eastAsia="宋体" w:cs="宋体"/>
          <w:b/>
          <w:bCs/>
          <w:color w:val="auto"/>
          <w:kern w:val="0"/>
          <w:sz w:val="24"/>
          <w:szCs w:val="24"/>
          <w:highlight w:val="none"/>
        </w:rPr>
        <w:t>投标保证金汇入情况说明</w:t>
      </w:r>
      <w:bookmarkEnd w:id="720"/>
    </w:p>
    <w:p>
      <w:pPr>
        <w:autoSpaceDE w:val="0"/>
        <w:autoSpaceDN w:val="0"/>
        <w:adjustRightInd w:val="0"/>
        <w:spacing w:line="360" w:lineRule="auto"/>
        <w:jc w:val="center"/>
        <w:rPr>
          <w:rFonts w:hint="eastAsia" w:ascii="宋体" w:hAnsi="宋体" w:eastAsia="宋体" w:cs="宋体"/>
          <w:b/>
          <w:bCs/>
          <w:color w:val="auto"/>
          <w:kern w:val="0"/>
          <w:szCs w:val="24"/>
          <w:highlight w:val="none"/>
        </w:rPr>
      </w:pP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东莞市利源有机资源再生利用有限公司</w:t>
      </w:r>
      <w:r>
        <w:rPr>
          <w:rFonts w:hint="eastAsia" w:ascii="宋体" w:hAnsi="宋体" w:eastAsia="宋体" w:cs="宋体"/>
          <w:color w:val="auto"/>
          <w:szCs w:val="21"/>
          <w:highlight w:val="none"/>
        </w:rPr>
        <w:t>：</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东莞市利源有机资源再生利用有限公司2024-2025年餐厨垃圾收运服务采购项目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0832-SFCX24DG024C</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hint="eastAsia" w:ascii="宋体" w:hAnsi="宋体" w:eastAsia="宋体" w:cs="宋体"/>
          <w:b/>
          <w:bCs/>
          <w:color w:val="auto"/>
          <w:szCs w:val="21"/>
          <w:highlight w:val="none"/>
        </w:rPr>
      </w:pPr>
      <w:bookmarkStart w:id="721" w:name="_Toc26208_WPSOffice_Level3"/>
      <w:r>
        <w:rPr>
          <w:rFonts w:hint="eastAsia" w:ascii="宋体" w:hAnsi="宋体" w:eastAsia="宋体" w:cs="宋体"/>
          <w:b/>
          <w:bCs/>
          <w:color w:val="auto"/>
          <w:szCs w:val="21"/>
          <w:highlight w:val="none"/>
        </w:rPr>
        <w:t>附：1、我方投标保证金汇款凭证（复印件）</w:t>
      </w:r>
      <w:bookmarkEnd w:id="721"/>
    </w:p>
    <w:p>
      <w:pPr>
        <w:spacing w:line="360" w:lineRule="auto"/>
        <w:ind w:left="340" w:leftChars="162" w:firstLine="839" w:firstLineChars="398"/>
        <w:rPr>
          <w:rFonts w:hint="eastAsia" w:ascii="宋体" w:hAnsi="宋体" w:eastAsia="宋体" w:cs="宋体"/>
          <w:b/>
          <w:bCs/>
          <w:color w:val="auto"/>
          <w:szCs w:val="21"/>
          <w:highlight w:val="none"/>
        </w:rPr>
      </w:pPr>
      <w:bookmarkStart w:id="722" w:name="_Toc12992_WPSOffice_Level3"/>
      <w:r>
        <w:rPr>
          <w:rFonts w:hint="eastAsia" w:ascii="宋体" w:hAnsi="宋体" w:eastAsia="宋体" w:cs="宋体"/>
          <w:b/>
          <w:bCs/>
          <w:color w:val="auto"/>
          <w:szCs w:val="21"/>
          <w:highlight w:val="none"/>
        </w:rPr>
        <w:t>2、我方基本账户开户许可证（复印件）</w:t>
      </w:r>
      <w:bookmarkEnd w:id="722"/>
    </w:p>
    <w:p>
      <w:pPr>
        <w:spacing w:line="360" w:lineRule="auto"/>
        <w:ind w:left="340" w:leftChars="162" w:firstLine="736" w:firstLineChars="34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hint="eastAsia" w:ascii="宋体" w:hAnsi="宋体" w:eastAsia="宋体" w:cs="宋体"/>
          <w:color w:val="auto"/>
          <w:szCs w:val="24"/>
          <w:highlight w:val="none"/>
          <w:lang w:val="zh-CN"/>
        </w:rPr>
      </w:pPr>
    </w:p>
    <w:p>
      <w:pPr>
        <w:spacing w:line="360" w:lineRule="auto"/>
        <w:rPr>
          <w:rFonts w:hint="eastAsia" w:ascii="宋体" w:hAnsi="宋体" w:eastAsia="宋体" w:cs="宋体"/>
          <w:b/>
          <w:color w:val="auto"/>
          <w:kern w:val="0"/>
          <w:szCs w:val="21"/>
          <w:highlight w:val="none"/>
        </w:rPr>
      </w:pPr>
      <w:bookmarkStart w:id="723" w:name="_Toc533708134"/>
      <w:bookmarkStart w:id="724" w:name="_Toc486167721"/>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725" w:name="_Toc102860084"/>
      <w:bookmarkStart w:id="726" w:name="_Toc140596939"/>
      <w:bookmarkStart w:id="727" w:name="_Toc102860428"/>
      <w:bookmarkStart w:id="728" w:name="_Toc142508379"/>
      <w:bookmarkStart w:id="729" w:name="_Toc24616"/>
      <w:bookmarkStart w:id="730" w:name="_Toc104991886"/>
      <w:bookmarkStart w:id="731" w:name="_Toc94107221"/>
      <w:bookmarkStart w:id="732" w:name="_Toc1977738"/>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33" w:name="_Toc11074"/>
      <w:bookmarkStart w:id="734" w:name="_Toc29652"/>
      <w:bookmarkStart w:id="735" w:name="_Toc2007"/>
      <w:bookmarkStart w:id="736" w:name="_Toc7420"/>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725"/>
      <w:bookmarkEnd w:id="726"/>
      <w:bookmarkEnd w:id="727"/>
      <w:bookmarkEnd w:id="728"/>
      <w:bookmarkEnd w:id="729"/>
      <w:bookmarkEnd w:id="730"/>
      <w:bookmarkEnd w:id="731"/>
      <w:bookmarkEnd w:id="732"/>
      <w:bookmarkEnd w:id="733"/>
      <w:bookmarkEnd w:id="734"/>
      <w:bookmarkEnd w:id="735"/>
      <w:bookmarkEnd w:id="736"/>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bookmarkStart w:id="737" w:name="_Toc18038"/>
      <w:bookmarkStart w:id="738" w:name="_Toc10308"/>
      <w:bookmarkStart w:id="739" w:name="_Toc27482"/>
      <w:bookmarkStart w:id="740" w:name="_Toc104991887"/>
      <w:bookmarkStart w:id="741" w:name="_Toc102860429"/>
      <w:bookmarkStart w:id="742" w:name="_Toc102860085"/>
      <w:bookmarkStart w:id="743" w:name="_Toc31389"/>
      <w:bookmarkStart w:id="744" w:name="_Toc142508380"/>
      <w:bookmarkStart w:id="745" w:name="_Toc94107222"/>
      <w:bookmarkStart w:id="746" w:name="_Toc140596940"/>
      <w:bookmarkStart w:id="747" w:name="_Toc31916"/>
      <w:bookmarkStart w:id="748" w:name="_Toc1977739"/>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723"/>
      <w:bookmarkEnd w:id="737"/>
      <w:bookmarkEnd w:id="738"/>
      <w:bookmarkEnd w:id="739"/>
      <w:bookmarkEnd w:id="740"/>
      <w:bookmarkEnd w:id="741"/>
      <w:bookmarkEnd w:id="742"/>
      <w:bookmarkEnd w:id="743"/>
      <w:bookmarkEnd w:id="744"/>
      <w:bookmarkEnd w:id="745"/>
      <w:bookmarkEnd w:id="746"/>
      <w:bookmarkEnd w:id="747"/>
      <w:bookmarkEnd w:id="748"/>
    </w:p>
    <w:p>
      <w:pPr>
        <w:tabs>
          <w:tab w:val="left" w:pos="864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.1用户需求偏离表格式）；</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2、总体服务方案；</w:t>
      </w:r>
    </w:p>
    <w:p>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拟投入的人员情况</w:t>
      </w:r>
      <w:r>
        <w:rPr>
          <w:rFonts w:hint="eastAsia" w:ascii="宋体" w:hAnsi="宋体" w:eastAsia="宋体" w:cs="宋体"/>
          <w:color w:val="auto"/>
          <w:kern w:val="0"/>
          <w:szCs w:val="21"/>
          <w:highlight w:val="none"/>
          <w:lang w:eastAsia="zh-CN"/>
        </w:rPr>
        <w:t>；</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安全管理方案</w:t>
      </w:r>
      <w:r>
        <w:rPr>
          <w:rFonts w:hint="eastAsia" w:ascii="宋体" w:hAnsi="宋体" w:eastAsia="宋体" w:cs="宋体"/>
          <w:color w:val="auto"/>
          <w:kern w:val="0"/>
          <w:szCs w:val="21"/>
          <w:highlight w:val="none"/>
        </w:rPr>
        <w:t>；</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应急预案和保障措施</w:t>
      </w:r>
      <w:r>
        <w:rPr>
          <w:rFonts w:hint="eastAsia" w:ascii="宋体" w:hAnsi="宋体" w:eastAsia="宋体" w:cs="宋体"/>
          <w:color w:val="auto"/>
          <w:kern w:val="0"/>
          <w:szCs w:val="21"/>
          <w:highlight w:val="none"/>
        </w:rPr>
        <w:t>；</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pPr>
        <w:pStyle w:val="19"/>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724"/>
      <w:bookmarkStart w:id="749" w:name="_Toc94107223"/>
      <w:bookmarkStart w:id="750" w:name="_Toc102860086"/>
      <w:bookmarkStart w:id="751" w:name="_Toc140596941"/>
      <w:bookmarkStart w:id="752" w:name="_Toc104991888"/>
      <w:bookmarkStart w:id="753" w:name="_Toc102860430"/>
      <w:bookmarkStart w:id="754" w:name="_Toc533708135"/>
      <w:bookmarkStart w:id="755" w:name="_Toc1977740"/>
      <w:bookmarkStart w:id="756" w:name="_Toc142508381"/>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9"/>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253"/>
        <w:gridCol w:w="2522"/>
        <w:gridCol w:w="1975"/>
        <w:gridCol w:w="36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04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color w:val="auto"/>
                <w:szCs w:val="21"/>
                <w:highlight w:val="none"/>
              </w:rPr>
            </w:pPr>
          </w:p>
        </w:tc>
        <w:tc>
          <w:tcPr>
            <w:tcW w:w="1337" w:type="pct"/>
            <w:vAlign w:val="center"/>
          </w:tcPr>
          <w:p>
            <w:pPr>
              <w:rPr>
                <w:rFonts w:hint="eastAsia" w:ascii="宋体" w:hAnsi="宋体" w:eastAsia="宋体" w:cs="宋体"/>
                <w:bCs/>
                <w:color w:val="auto"/>
                <w:szCs w:val="21"/>
                <w:highlight w:val="none"/>
              </w:rPr>
            </w:pPr>
          </w:p>
        </w:tc>
        <w:tc>
          <w:tcPr>
            <w:tcW w:w="1047" w:type="pct"/>
            <w:vAlign w:val="center"/>
          </w:tcPr>
          <w:p>
            <w:pPr>
              <w:rPr>
                <w:rFonts w:hint="eastAsia" w:ascii="宋体" w:hAnsi="宋体" w:eastAsia="宋体" w:cs="宋体"/>
                <w:bCs/>
                <w:color w:val="auto"/>
                <w:szCs w:val="21"/>
                <w:highlight w:val="none"/>
              </w:rPr>
            </w:pPr>
          </w:p>
        </w:tc>
        <w:tc>
          <w:tcPr>
            <w:tcW w:w="1950"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rPr>
                <w:rFonts w:hint="eastAsia" w:ascii="宋体" w:hAnsi="宋体" w:eastAsia="宋体" w:cs="宋体"/>
                <w:bCs/>
                <w:color w:val="auto"/>
                <w:szCs w:val="21"/>
                <w:highlight w:val="none"/>
              </w:rPr>
            </w:pPr>
          </w:p>
        </w:tc>
        <w:tc>
          <w:tcPr>
            <w:tcW w:w="104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757" w:name="_Toc23512"/>
      <w:bookmarkStart w:id="758" w:name="_Toc18999"/>
      <w:bookmarkStart w:id="759" w:name="_Toc30448"/>
      <w:bookmarkStart w:id="760" w:name="_Toc27934"/>
      <w:bookmarkStart w:id="761" w:name="_Toc11447"/>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749"/>
      <w:bookmarkEnd w:id="750"/>
      <w:bookmarkEnd w:id="751"/>
      <w:bookmarkEnd w:id="752"/>
      <w:bookmarkEnd w:id="753"/>
      <w:bookmarkEnd w:id="754"/>
      <w:bookmarkEnd w:id="755"/>
      <w:bookmarkEnd w:id="756"/>
      <w:bookmarkEnd w:id="757"/>
      <w:bookmarkEnd w:id="758"/>
      <w:bookmarkEnd w:id="759"/>
      <w:bookmarkEnd w:id="760"/>
      <w:bookmarkEnd w:id="761"/>
    </w:p>
    <w:p>
      <w:pPr>
        <w:spacing w:before="120" w:after="120" w:line="360" w:lineRule="auto"/>
        <w:jc w:val="center"/>
        <w:rPr>
          <w:rFonts w:ascii="宋体" w:hAnsi="宋体" w:eastAsia="宋体" w:cs="Times New Roman"/>
          <w:color w:val="auto"/>
          <w:kern w:val="0"/>
          <w:szCs w:val="21"/>
          <w:highlight w:val="none"/>
        </w:rPr>
      </w:pPr>
      <w:bookmarkStart w:id="762" w:name="_Toc17449_WPSOffice_Level3"/>
      <w:r>
        <w:rPr>
          <w:rFonts w:hint="eastAsia" w:ascii="宋体" w:hAnsi="宋体" w:eastAsia="宋体" w:cs="宋体"/>
          <w:b/>
          <w:color w:val="auto"/>
          <w:kern w:val="0"/>
          <w:sz w:val="30"/>
          <w:szCs w:val="30"/>
          <w:highlight w:val="none"/>
          <w:lang w:val="zh-CN"/>
        </w:rPr>
        <w:t>用户需求偏离表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866"/>
        <w:gridCol w:w="5832"/>
        <w:gridCol w:w="656"/>
        <w:gridCol w:w="790"/>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restar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59" w:type="pct"/>
            <w:gridSpan w:val="3"/>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continue"/>
            <w:vAlign w:val="center"/>
          </w:tcPr>
          <w:p>
            <w:pPr>
              <w:keepNext/>
              <w:keepLines/>
              <w:spacing w:line="400" w:lineRule="exact"/>
              <w:jc w:val="center"/>
              <w:outlineLvl w:val="0"/>
              <w:rPr>
                <w:rFonts w:ascii="宋体" w:hAnsi="宋体" w:eastAsia="宋体" w:cs="宋体"/>
                <w:color w:val="auto"/>
                <w:kern w:val="0"/>
                <w:sz w:val="18"/>
                <w:szCs w:val="18"/>
                <w:highlight w:val="none"/>
              </w:rPr>
            </w:pPr>
          </w:p>
        </w:tc>
        <w:tc>
          <w:tcPr>
            <w:tcW w:w="459"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9"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2"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90" w:type="pct"/>
            <w:vAlign w:val="center"/>
          </w:tcPr>
          <w:p>
            <w:pPr>
              <w:spacing w:line="400" w:lineRule="exact"/>
              <w:jc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952" w:type="dxa"/>
            <w:vAlign w:val="center"/>
          </w:tcPr>
          <w:p>
            <w:pPr>
              <w:spacing w:line="400" w:lineRule="exact"/>
              <w:jc w:val="center"/>
              <w:rPr>
                <w:rFonts w:ascii="宋体" w:hAnsi="宋体" w:eastAsia="宋体" w:cs="Times New Roman"/>
                <w:b/>
                <w:color w:val="auto"/>
                <w:kern w:val="0"/>
                <w:sz w:val="18"/>
                <w:szCs w:val="18"/>
                <w:highlight w:val="none"/>
              </w:rPr>
            </w:pPr>
          </w:p>
        </w:tc>
        <w:tc>
          <w:tcPr>
            <w:tcW w:w="6413" w:type="dxa"/>
            <w:vAlign w:val="center"/>
          </w:tcPr>
          <w:p>
            <w:pPr>
              <w:autoSpaceDE w:val="0"/>
              <w:autoSpaceDN w:val="0"/>
              <w:adjustRightInd w:val="0"/>
              <w:spacing w:line="400" w:lineRule="exact"/>
              <w:jc w:val="left"/>
              <w:rPr>
                <w:rFonts w:ascii="宋体" w:hAnsi="宋体" w:eastAsia="宋体" w:cs="Times New Roman"/>
                <w:color w:val="auto"/>
                <w:kern w:val="0"/>
                <w:sz w:val="18"/>
                <w:szCs w:val="18"/>
                <w:highlight w:val="none"/>
              </w:rPr>
            </w:pPr>
          </w:p>
        </w:tc>
        <w:tc>
          <w:tcPr>
            <w:tcW w:w="348"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952" w:type="dxa"/>
            <w:vAlign w:val="center"/>
          </w:tcPr>
          <w:p>
            <w:pPr>
              <w:spacing w:line="400" w:lineRule="exact"/>
              <w:jc w:val="center"/>
              <w:rPr>
                <w:rFonts w:ascii="宋体" w:hAnsi="宋体" w:eastAsia="宋体" w:cs="Times New Roman"/>
                <w:color w:val="auto"/>
                <w:kern w:val="0"/>
                <w:sz w:val="18"/>
                <w:szCs w:val="18"/>
                <w:highlight w:val="none"/>
                <w:lang w:val="zh-CN"/>
              </w:rPr>
            </w:pPr>
          </w:p>
        </w:tc>
        <w:tc>
          <w:tcPr>
            <w:tcW w:w="6413" w:type="dxa"/>
            <w:vAlign w:val="center"/>
          </w:tcPr>
          <w:p>
            <w:pPr>
              <w:autoSpaceDE w:val="0"/>
              <w:autoSpaceDN w:val="0"/>
              <w:adjustRightInd w:val="0"/>
              <w:spacing w:line="400" w:lineRule="exact"/>
              <w:jc w:val="left"/>
              <w:rPr>
                <w:rFonts w:ascii="宋体" w:hAnsi="宋体" w:eastAsia="宋体" w:cs="Times New Roman"/>
                <w:color w:val="auto"/>
                <w:sz w:val="18"/>
                <w:szCs w:val="18"/>
                <w:highlight w:val="none"/>
              </w:rPr>
            </w:pPr>
          </w:p>
        </w:tc>
        <w:tc>
          <w:tcPr>
            <w:tcW w:w="348"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952" w:type="dxa"/>
            <w:vAlign w:val="center"/>
          </w:tcPr>
          <w:p>
            <w:pPr>
              <w:spacing w:line="400" w:lineRule="exact"/>
              <w:jc w:val="center"/>
              <w:rPr>
                <w:rFonts w:ascii="宋体" w:hAnsi="宋体" w:eastAsia="宋体"/>
                <w:b/>
                <w:color w:val="auto"/>
                <w:sz w:val="18"/>
                <w:szCs w:val="18"/>
                <w:highlight w:val="none"/>
                <w:lang w:val="zh-CN"/>
              </w:rPr>
            </w:pPr>
          </w:p>
        </w:tc>
        <w:tc>
          <w:tcPr>
            <w:tcW w:w="6413" w:type="dxa"/>
            <w:vAlign w:val="center"/>
          </w:tcPr>
          <w:p>
            <w:pPr>
              <w:autoSpaceDE w:val="0"/>
              <w:autoSpaceDN w:val="0"/>
              <w:adjustRightInd w:val="0"/>
              <w:spacing w:line="400" w:lineRule="exact"/>
              <w:jc w:val="left"/>
              <w:rPr>
                <w:rFonts w:ascii="宋体" w:hAnsi="宋体" w:eastAsia="宋体"/>
                <w:color w:val="auto"/>
                <w:sz w:val="18"/>
                <w:szCs w:val="18"/>
                <w:highlight w:val="none"/>
              </w:rPr>
            </w:pPr>
          </w:p>
        </w:tc>
        <w:tc>
          <w:tcPr>
            <w:tcW w:w="348"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952" w:type="dxa"/>
            <w:vAlign w:val="center"/>
          </w:tcPr>
          <w:p>
            <w:pPr>
              <w:spacing w:line="400" w:lineRule="exact"/>
              <w:jc w:val="center"/>
              <w:rPr>
                <w:rFonts w:ascii="宋体" w:hAnsi="宋体" w:eastAsia="宋体"/>
                <w:b/>
                <w:color w:val="auto"/>
                <w:sz w:val="18"/>
                <w:szCs w:val="18"/>
                <w:highlight w:val="none"/>
                <w:lang w:val="zh-CN"/>
              </w:rPr>
            </w:pPr>
          </w:p>
        </w:tc>
        <w:tc>
          <w:tcPr>
            <w:tcW w:w="6413" w:type="dxa"/>
            <w:vAlign w:val="center"/>
          </w:tcPr>
          <w:p>
            <w:pPr>
              <w:autoSpaceDE w:val="0"/>
              <w:autoSpaceDN w:val="0"/>
              <w:adjustRightInd w:val="0"/>
              <w:spacing w:line="400" w:lineRule="exact"/>
              <w:jc w:val="left"/>
              <w:rPr>
                <w:rFonts w:ascii="宋体" w:hAnsi="宋体" w:eastAsia="宋体"/>
                <w:color w:val="auto"/>
                <w:sz w:val="18"/>
                <w:szCs w:val="18"/>
                <w:highlight w:val="none"/>
              </w:rPr>
            </w:pPr>
          </w:p>
        </w:tc>
        <w:tc>
          <w:tcPr>
            <w:tcW w:w="348"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952" w:type="dxa"/>
            <w:vAlign w:val="center"/>
          </w:tcPr>
          <w:p>
            <w:pPr>
              <w:spacing w:line="400" w:lineRule="exact"/>
              <w:jc w:val="center"/>
              <w:rPr>
                <w:rFonts w:ascii="宋体" w:hAnsi="宋体" w:eastAsia="宋体" w:cs="Times New Roman"/>
                <w:color w:val="auto"/>
                <w:kern w:val="0"/>
                <w:sz w:val="18"/>
                <w:szCs w:val="18"/>
                <w:highlight w:val="none"/>
              </w:rPr>
            </w:pPr>
          </w:p>
        </w:tc>
        <w:tc>
          <w:tcPr>
            <w:tcW w:w="6413" w:type="dxa"/>
            <w:vAlign w:val="center"/>
          </w:tcPr>
          <w:p>
            <w:pPr>
              <w:autoSpaceDE w:val="0"/>
              <w:autoSpaceDN w:val="0"/>
              <w:adjustRightInd w:val="0"/>
              <w:spacing w:line="400" w:lineRule="exact"/>
              <w:jc w:val="left"/>
              <w:rPr>
                <w:rFonts w:ascii="宋体" w:hAnsi="宋体" w:eastAsia="宋体"/>
                <w:color w:val="auto"/>
                <w:sz w:val="18"/>
                <w:szCs w:val="18"/>
                <w:highlight w:val="none"/>
              </w:rPr>
            </w:pPr>
          </w:p>
        </w:tc>
        <w:tc>
          <w:tcPr>
            <w:tcW w:w="348"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952" w:type="dxa"/>
            <w:vAlign w:val="center"/>
          </w:tcPr>
          <w:p>
            <w:pPr>
              <w:spacing w:line="400" w:lineRule="exact"/>
              <w:jc w:val="center"/>
              <w:rPr>
                <w:rFonts w:ascii="宋体" w:hAnsi="宋体" w:eastAsia="宋体" w:cs="Times New Roman"/>
                <w:color w:val="auto"/>
                <w:kern w:val="0"/>
                <w:sz w:val="18"/>
                <w:szCs w:val="18"/>
                <w:highlight w:val="none"/>
              </w:rPr>
            </w:pPr>
          </w:p>
        </w:tc>
        <w:tc>
          <w:tcPr>
            <w:tcW w:w="6413" w:type="dxa"/>
            <w:vAlign w:val="center"/>
          </w:tcPr>
          <w:p>
            <w:pPr>
              <w:autoSpaceDE w:val="0"/>
              <w:autoSpaceDN w:val="0"/>
              <w:adjustRightInd w:val="0"/>
              <w:spacing w:line="400" w:lineRule="exact"/>
              <w:jc w:val="left"/>
              <w:rPr>
                <w:rFonts w:ascii="宋体" w:hAnsi="宋体" w:eastAsia="宋体"/>
                <w:color w:val="auto"/>
                <w:sz w:val="18"/>
                <w:szCs w:val="18"/>
                <w:highlight w:val="none"/>
              </w:rPr>
            </w:pPr>
          </w:p>
        </w:tc>
        <w:tc>
          <w:tcPr>
            <w:tcW w:w="348"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952" w:type="dxa"/>
            <w:vAlign w:val="center"/>
          </w:tcPr>
          <w:p>
            <w:pPr>
              <w:spacing w:line="400" w:lineRule="exact"/>
              <w:jc w:val="center"/>
              <w:rPr>
                <w:rFonts w:hint="default" w:ascii="宋体" w:hAnsi="宋体" w:eastAsia="宋体" w:cs="宋体"/>
                <w:color w:val="auto"/>
                <w:kern w:val="0"/>
                <w:sz w:val="21"/>
                <w:szCs w:val="21"/>
                <w:highlight w:val="none"/>
                <w:lang w:val="en-US" w:eastAsia="zh-CN"/>
              </w:rPr>
            </w:pPr>
          </w:p>
        </w:tc>
        <w:tc>
          <w:tcPr>
            <w:tcW w:w="6413" w:type="dxa"/>
            <w:vAlign w:val="center"/>
          </w:tcPr>
          <w:p>
            <w:pPr>
              <w:autoSpaceDE w:val="0"/>
              <w:autoSpaceDN w:val="0"/>
              <w:adjustRightInd w:val="0"/>
              <w:spacing w:line="400" w:lineRule="exact"/>
              <w:jc w:val="left"/>
              <w:rPr>
                <w:rFonts w:hint="eastAsia" w:ascii="宋体" w:hAnsi="宋体" w:eastAsia="宋体" w:cs="宋体"/>
                <w:color w:val="auto"/>
                <w:kern w:val="0"/>
                <w:sz w:val="21"/>
                <w:szCs w:val="21"/>
                <w:highlight w:val="none"/>
              </w:rPr>
            </w:pPr>
          </w:p>
        </w:tc>
        <w:tc>
          <w:tcPr>
            <w:tcW w:w="348"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bookmarkEnd w:id="762"/>
    </w:tbl>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7" w:leftChars="18" w:hanging="569" w:hangingChars="270"/>
        <w:rPr>
          <w:rFonts w:hint="eastAsia" w:ascii="宋体" w:hAnsi="宋体" w:eastAsia="宋体" w:cs="宋体"/>
          <w:b/>
          <w:bCs w:val="0"/>
          <w:color w:val="auto"/>
          <w:szCs w:val="21"/>
          <w:highlight w:val="none"/>
          <w:u w:val="single"/>
        </w:rPr>
      </w:pPr>
      <w:r>
        <w:rPr>
          <w:rFonts w:hint="eastAsia" w:ascii="宋体" w:hAnsi="宋体" w:eastAsia="宋体" w:cs="宋体"/>
          <w:b/>
          <w:bCs/>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pPr>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pPr>
        <w:spacing w:line="360" w:lineRule="auto"/>
        <w:rPr>
          <w:rFonts w:hint="eastAsia" w:ascii="宋体" w:hAnsi="宋体" w:eastAsia="宋体" w:cs="宋体"/>
          <w:color w:val="auto"/>
          <w:szCs w:val="21"/>
          <w:highlight w:val="none"/>
        </w:rPr>
      </w:pPr>
    </w:p>
    <w:p>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2"/>
        <w:rPr>
          <w:rFonts w:eastAsia="+中文正文"/>
          <w:color w:val="auto"/>
          <w:highlight w:val="none"/>
        </w:rPr>
      </w:pPr>
      <w:r>
        <w:rPr>
          <w:rFonts w:hint="eastAsia" w:ascii="宋体" w:hAnsi="宋体" w:eastAsia="宋体" w:cs="宋体"/>
          <w:b/>
          <w:color w:val="auto"/>
          <w:kern w:val="0"/>
          <w:sz w:val="30"/>
          <w:szCs w:val="30"/>
          <w:highlight w:val="none"/>
        </w:rPr>
        <w:br w:type="page"/>
      </w:r>
      <w:bookmarkStart w:id="763" w:name="_Toc140596942"/>
      <w:bookmarkStart w:id="764" w:name="_Toc142508382"/>
      <w:bookmarkStart w:id="765" w:name="_Toc94107224"/>
      <w:bookmarkStart w:id="766" w:name="_Toc102860087"/>
      <w:bookmarkStart w:id="767" w:name="_Toc23150"/>
      <w:bookmarkStart w:id="768" w:name="_Toc3593"/>
      <w:bookmarkStart w:id="769" w:name="_Toc104991889"/>
      <w:bookmarkStart w:id="770" w:name="_Toc5046"/>
      <w:bookmarkStart w:id="771" w:name="_Toc102860431"/>
      <w:bookmarkStart w:id="772" w:name="_Toc27955"/>
      <w:bookmarkStart w:id="773" w:name="_Toc158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 xml:space="preserve">.2 </w:t>
      </w:r>
      <w:bookmarkEnd w:id="763"/>
      <w:bookmarkEnd w:id="764"/>
      <w:bookmarkEnd w:id="765"/>
      <w:bookmarkEnd w:id="766"/>
      <w:bookmarkEnd w:id="767"/>
      <w:bookmarkEnd w:id="768"/>
      <w:bookmarkEnd w:id="769"/>
      <w:bookmarkEnd w:id="770"/>
      <w:bookmarkEnd w:id="771"/>
      <w:r>
        <w:rPr>
          <w:rFonts w:hint="eastAsia" w:ascii="宋体" w:hAnsi="宋体" w:eastAsia="宋体" w:cs="宋体"/>
          <w:b/>
          <w:color w:val="auto"/>
          <w:kern w:val="0"/>
          <w:sz w:val="30"/>
          <w:szCs w:val="30"/>
          <w:highlight w:val="none"/>
          <w:lang w:eastAsia="zh-CN"/>
        </w:rPr>
        <w:t>总体服务方案</w:t>
      </w:r>
      <w:bookmarkEnd w:id="772"/>
      <w:bookmarkEnd w:id="773"/>
    </w:p>
    <w:p>
      <w:pPr>
        <w:spacing w:before="120" w:beforeLines="50"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说明：投标人应根据本项目采购内容和评标工作大纲技术评审细则的要求，自行编制，总体服务方案主要包括但不限于以下内容：</w:t>
      </w:r>
    </w:p>
    <w:p>
      <w:pPr>
        <w:spacing w:before="120" w:beforeLines="50" w:line="360" w:lineRule="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（1）针对本项目服务的组织实施方案；</w:t>
      </w:r>
    </w:p>
    <w:p>
      <w:pPr>
        <w:spacing w:before="120" w:beforeLines="50"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（格式自拟，包括对项目的理解、服务的重点及难点等内容。）</w:t>
      </w:r>
    </w:p>
    <w:p>
      <w:pPr>
        <w:spacing w:before="120" w:beforeLines="50" w:line="360" w:lineRule="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收运服务</w:t>
      </w:r>
      <w:r>
        <w:rPr>
          <w:rFonts w:hint="eastAsia" w:ascii="宋体" w:hAnsi="宋体" w:eastAsia="宋体" w:cs="宋体"/>
          <w:b/>
          <w:bCs/>
          <w:color w:val="auto"/>
          <w:szCs w:val="21"/>
          <w:highlight w:val="none"/>
        </w:rPr>
        <w:t>方案、服务质量保证措施；</w:t>
      </w:r>
    </w:p>
    <w:p>
      <w:pPr>
        <w:spacing w:before="120" w:beforeLines="50"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（格式自拟，包括设立的组织机构、收运服务方案、服务质量管理方案及与之配套的管理制度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投入的</w:t>
      </w:r>
      <w:r>
        <w:rPr>
          <w:rFonts w:hint="eastAsia" w:ascii="宋体" w:hAnsi="宋体" w:eastAsia="宋体" w:cs="宋体"/>
          <w:color w:val="auto"/>
          <w:szCs w:val="21"/>
          <w:highlight w:val="none"/>
          <w:lang w:eastAsia="zh-CN"/>
        </w:rPr>
        <w:t>资源情况和</w:t>
      </w:r>
      <w:r>
        <w:rPr>
          <w:rFonts w:hint="eastAsia" w:ascii="宋体" w:hAnsi="宋体" w:eastAsia="宋体" w:cs="Times New Roman"/>
          <w:color w:val="auto"/>
          <w:kern w:val="2"/>
          <w:sz w:val="21"/>
          <w:szCs w:val="21"/>
          <w:highlight w:val="none"/>
          <w:lang w:val="zh-CN"/>
        </w:rPr>
        <w:t>服务质量保证措施</w:t>
      </w:r>
      <w:r>
        <w:rPr>
          <w:rFonts w:hint="eastAsia" w:eastAsia="+中文正文"/>
          <w:color w:val="auto"/>
          <w:highlight w:val="none"/>
          <w:lang w:val="en-US" w:eastAsia="zh-CN"/>
        </w:rPr>
        <w:t>等</w:t>
      </w:r>
      <w:r>
        <w:rPr>
          <w:rFonts w:hint="eastAsia" w:ascii="宋体" w:hAnsi="宋体" w:eastAsia="宋体" w:cs="宋体"/>
          <w:color w:val="auto"/>
          <w:szCs w:val="21"/>
          <w:highlight w:val="none"/>
        </w:rPr>
        <w:t>内容。）</w:t>
      </w:r>
    </w:p>
    <w:p>
      <w:pPr>
        <w:widowControl/>
        <w:jc w:val="left"/>
        <w:rPr>
          <w:rFonts w:hint="eastAsia" w:ascii="宋体" w:hAnsi="宋体" w:eastAsia="宋体" w:cs="宋体"/>
          <w:color w:val="auto"/>
          <w:kern w:val="0"/>
          <w:szCs w:val="21"/>
          <w:highlight w:val="none"/>
        </w:rPr>
      </w:pPr>
      <w:bookmarkStart w:id="774" w:name="_Toc94107225"/>
      <w:r>
        <w:rPr>
          <w:rFonts w:hint="eastAsia" w:ascii="宋体" w:hAnsi="宋体" w:eastAsia="宋体" w:cs="宋体"/>
          <w:color w:val="auto"/>
          <w:kern w:val="0"/>
          <w:szCs w:val="21"/>
          <w:highlight w:val="none"/>
        </w:rPr>
        <w:br w:type="page"/>
      </w:r>
    </w:p>
    <w:bookmarkEnd w:id="774"/>
    <w:p>
      <w:pPr>
        <w:rPr>
          <w:rFonts w:hint="eastAsia" w:ascii="宋体" w:hAnsi="宋体" w:eastAsia="宋体" w:cs="宋体"/>
          <w:b/>
          <w:color w:val="auto"/>
          <w:kern w:val="0"/>
          <w:sz w:val="30"/>
          <w:szCs w:val="30"/>
          <w:highlight w:val="none"/>
          <w:lang w:eastAsia="zh-CN"/>
        </w:rPr>
      </w:pPr>
      <w:bookmarkStart w:id="775" w:name="_Toc102860094"/>
      <w:bookmarkStart w:id="776" w:name="_Toc102860438"/>
      <w:bookmarkStart w:id="777" w:name="_Toc142508389"/>
      <w:bookmarkStart w:id="778" w:name="_Toc104991896"/>
      <w:bookmarkStart w:id="779" w:name="_Toc140596949"/>
      <w:bookmarkStart w:id="780" w:name="_Toc53370813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bCs/>
          <w:color w:val="auto"/>
          <w:sz w:val="30"/>
          <w:szCs w:val="30"/>
          <w:highlight w:val="none"/>
        </w:rPr>
        <w:t>拟投入的人员情况</w:t>
      </w:r>
    </w:p>
    <w:p>
      <w:pPr>
        <w:autoSpaceDE w:val="0"/>
        <w:autoSpaceDN w:val="0"/>
        <w:adjustRightInd w:val="0"/>
        <w:spacing w:before="120" w:beforeLines="50" w:line="360" w:lineRule="auto"/>
        <w:jc w:val="center"/>
        <w:rPr>
          <w:rFonts w:hint="eastAsia"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拟投入本项目的收运司机情况一览表</w:t>
      </w:r>
    </w:p>
    <w:tbl>
      <w:tblPr>
        <w:tblStyle w:val="38"/>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387"/>
        <w:gridCol w:w="802"/>
        <w:gridCol w:w="802"/>
        <w:gridCol w:w="1348"/>
        <w:gridCol w:w="1409"/>
        <w:gridCol w:w="1579"/>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序号</w:t>
            </w: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姓名</w:t>
            </w: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性别</w:t>
            </w: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年龄</w:t>
            </w: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驾驶证类型</w:t>
            </w: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取得驾驶证日期</w:t>
            </w:r>
          </w:p>
        </w:tc>
        <w:tc>
          <w:tcPr>
            <w:tcW w:w="856"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驾龄(年)</w:t>
            </w: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856" w:type="pct"/>
            <w:noWrap w:val="0"/>
            <w:vAlign w:val="center"/>
          </w:tcPr>
          <w:p>
            <w:pPr>
              <w:autoSpaceDE w:val="0"/>
              <w:autoSpaceDN w:val="0"/>
              <w:adjustRightInd w:val="0"/>
              <w:spacing w:line="360" w:lineRule="auto"/>
              <w:jc w:val="center"/>
              <w:rPr>
                <w:rFonts w:ascii="宋体" w:hAnsi="宋体" w:eastAsia="宋体" w:cs="Times New Roman"/>
                <w:color w:val="auto"/>
                <w:kern w:val="0"/>
                <w:sz w:val="21"/>
                <w:szCs w:val="21"/>
                <w:highlight w:val="none"/>
              </w:rPr>
            </w:pP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856"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856"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856"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856"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856"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856"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856"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856"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r>
    </w:tbl>
    <w:p>
      <w:pPr>
        <w:overflowPunct w:val="0"/>
        <w:autoSpaceDE/>
        <w:autoSpaceDN/>
        <w:adjustRightInd/>
        <w:spacing w:before="120" w:line="360" w:lineRule="auto"/>
        <w:ind w:left="267" w:leftChars="-73" w:hanging="420" w:hangingChars="200"/>
        <w:jc w:val="left"/>
        <w:rPr>
          <w:rFonts w:hint="eastAsia" w:ascii="宋体" w:hAnsi="宋体" w:eastAsia="宋体" w:cs="Times New Roman"/>
          <w:color w:val="auto"/>
          <w:kern w:val="2"/>
          <w:sz w:val="21"/>
          <w:szCs w:val="21"/>
          <w:highlight w:val="none"/>
        </w:rPr>
      </w:pPr>
    </w:p>
    <w:p>
      <w:pPr>
        <w:overflowPunct w:val="0"/>
        <w:autoSpaceDE/>
        <w:autoSpaceDN/>
        <w:adjustRightInd/>
        <w:spacing w:before="120" w:line="360" w:lineRule="auto"/>
        <w:ind w:left="267" w:leftChars="-73" w:hanging="420" w:hangingChars="200"/>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备注：</w:t>
      </w:r>
    </w:p>
    <w:p>
      <w:pPr>
        <w:numPr>
          <w:ilvl w:val="0"/>
          <w:numId w:val="3"/>
        </w:numPr>
        <w:overflowPunct w:val="0"/>
        <w:autoSpaceDE/>
        <w:autoSpaceDN/>
        <w:adjustRightInd/>
        <w:spacing w:before="120" w:line="360" w:lineRule="auto"/>
        <w:ind w:left="267" w:leftChars="-73" w:hanging="420" w:hangingChars="200"/>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此表格式供参照，投标人可以根据本表格式内容自行划表填写。</w:t>
      </w:r>
    </w:p>
    <w:p>
      <w:pPr>
        <w:numPr>
          <w:ilvl w:val="0"/>
          <w:numId w:val="3"/>
        </w:numPr>
        <w:overflowPunct w:val="0"/>
        <w:autoSpaceDE/>
        <w:autoSpaceDN/>
        <w:adjustRightInd/>
        <w:spacing w:before="120" w:line="360" w:lineRule="auto"/>
        <w:ind w:left="269" w:leftChars="-73" w:hanging="422" w:hangingChars="200"/>
        <w:jc w:val="left"/>
        <w:rPr>
          <w:rFonts w:hint="eastAsia" w:ascii="宋体" w:hAnsi="宋体" w:eastAsia="宋体" w:cs="Times New Roman"/>
          <w:color w:val="auto"/>
          <w:kern w:val="2"/>
          <w:sz w:val="21"/>
          <w:szCs w:val="21"/>
          <w:highlight w:val="none"/>
        </w:rPr>
      </w:pPr>
      <w:r>
        <w:rPr>
          <w:rFonts w:hint="eastAsia" w:ascii="宋体" w:hAnsi="宋体" w:eastAsia="宋体" w:cs="Times New Roman"/>
          <w:b/>
          <w:bCs/>
          <w:color w:val="auto"/>
          <w:kern w:val="2"/>
          <w:sz w:val="21"/>
          <w:szCs w:val="21"/>
          <w:highlight w:val="none"/>
          <w:u w:val="single"/>
        </w:rPr>
        <w:t>驾龄按取得B2或A2或A1驾驶证的年份计算，驾龄不足2年的运输人员数量不列入评审。</w:t>
      </w:r>
    </w:p>
    <w:p>
      <w:pPr>
        <w:numPr>
          <w:ilvl w:val="0"/>
          <w:numId w:val="3"/>
        </w:numPr>
        <w:overflowPunct w:val="0"/>
        <w:autoSpaceDE/>
        <w:autoSpaceDN/>
        <w:adjustRightInd/>
        <w:spacing w:before="120" w:line="360" w:lineRule="auto"/>
        <w:ind w:left="269" w:leftChars="-73" w:hanging="422" w:hangingChars="200"/>
        <w:jc w:val="left"/>
        <w:rPr>
          <w:rFonts w:ascii="宋体" w:hAnsi="宋体" w:eastAsia="宋体" w:cs="Times New Roman"/>
          <w:color w:val="auto"/>
          <w:kern w:val="2"/>
          <w:sz w:val="21"/>
          <w:szCs w:val="21"/>
          <w:highlight w:val="none"/>
        </w:rPr>
      </w:pPr>
      <w:r>
        <w:rPr>
          <w:rFonts w:hint="eastAsia" w:ascii="宋体" w:hAnsi="宋体" w:eastAsia="宋体" w:cs="Times New Roman"/>
          <w:b/>
          <w:bCs/>
          <w:color w:val="auto"/>
          <w:kern w:val="2"/>
          <w:sz w:val="21"/>
          <w:szCs w:val="21"/>
          <w:highlight w:val="none"/>
          <w:u w:val="single"/>
        </w:rPr>
        <w:t>上述人员需提供上述人员的身份证、劳动合同的复印件、人力资源和社会保障部门（或税务部门）出具的近六个月（</w:t>
      </w:r>
      <w:r>
        <w:rPr>
          <w:rFonts w:hint="eastAsia" w:ascii="宋体" w:hAnsi="宋体" w:eastAsia="宋体" w:cs="宋体"/>
          <w:b/>
          <w:bCs/>
          <w:color w:val="auto"/>
          <w:szCs w:val="21"/>
          <w:highlight w:val="none"/>
          <w:u w:val="single"/>
          <w:lang w:val="en-US" w:eastAsia="zh-CN"/>
        </w:rPr>
        <w:t>2023年9月、</w:t>
      </w:r>
      <w:r>
        <w:rPr>
          <w:rFonts w:hint="eastAsia" w:ascii="宋体" w:hAnsi="宋体" w:eastAsia="宋体" w:cs="宋体"/>
          <w:b/>
          <w:bCs/>
          <w:color w:val="auto"/>
          <w:szCs w:val="21"/>
          <w:highlight w:val="none"/>
          <w:u w:val="single"/>
          <w:lang w:val="zh-CN"/>
        </w:rPr>
        <w:t>2023年</w:t>
      </w:r>
      <w:r>
        <w:rPr>
          <w:rFonts w:hint="eastAsia" w:ascii="宋体" w:hAnsi="宋体" w:eastAsia="宋体" w:cs="宋体"/>
          <w:b/>
          <w:bCs/>
          <w:color w:val="auto"/>
          <w:szCs w:val="21"/>
          <w:highlight w:val="none"/>
          <w:u w:val="single"/>
        </w:rPr>
        <w:t>10</w:t>
      </w:r>
      <w:r>
        <w:rPr>
          <w:rFonts w:hint="eastAsia" w:ascii="宋体" w:hAnsi="宋体" w:eastAsia="宋体" w:cs="宋体"/>
          <w:b/>
          <w:bCs/>
          <w:color w:val="auto"/>
          <w:szCs w:val="21"/>
          <w:highlight w:val="none"/>
          <w:u w:val="single"/>
          <w:lang w:val="zh-CN"/>
        </w:rPr>
        <w:t>月、2023年</w:t>
      </w:r>
      <w:r>
        <w:rPr>
          <w:rFonts w:hint="eastAsia" w:ascii="宋体" w:hAnsi="宋体" w:eastAsia="宋体" w:cs="宋体"/>
          <w:b/>
          <w:bCs/>
          <w:color w:val="auto"/>
          <w:szCs w:val="21"/>
          <w:highlight w:val="none"/>
          <w:u w:val="single"/>
        </w:rPr>
        <w:t>11</w:t>
      </w:r>
      <w:r>
        <w:rPr>
          <w:rFonts w:hint="eastAsia" w:ascii="宋体" w:hAnsi="宋体" w:eastAsia="宋体" w:cs="宋体"/>
          <w:b/>
          <w:bCs/>
          <w:color w:val="auto"/>
          <w:szCs w:val="21"/>
          <w:highlight w:val="none"/>
          <w:u w:val="single"/>
          <w:lang w:val="zh-CN"/>
        </w:rPr>
        <w:t>月、2023年</w:t>
      </w:r>
      <w:r>
        <w:rPr>
          <w:rFonts w:hint="eastAsia" w:ascii="宋体" w:hAnsi="宋体" w:eastAsia="宋体" w:cs="宋体"/>
          <w:b/>
          <w:bCs/>
          <w:color w:val="auto"/>
          <w:szCs w:val="21"/>
          <w:highlight w:val="none"/>
          <w:u w:val="single"/>
        </w:rPr>
        <w:t>12</w:t>
      </w:r>
      <w:r>
        <w:rPr>
          <w:rFonts w:hint="eastAsia" w:ascii="宋体" w:hAnsi="宋体" w:eastAsia="宋体" w:cs="宋体"/>
          <w:b/>
          <w:bCs/>
          <w:color w:val="auto"/>
          <w:szCs w:val="21"/>
          <w:highlight w:val="none"/>
          <w:u w:val="single"/>
          <w:lang w:val="zh-CN"/>
        </w:rPr>
        <w:t>月、</w:t>
      </w:r>
      <w:r>
        <w:rPr>
          <w:rFonts w:hint="eastAsia" w:ascii="宋体" w:hAnsi="宋体" w:eastAsia="宋体" w:cs="宋体"/>
          <w:b/>
          <w:bCs/>
          <w:color w:val="auto"/>
          <w:szCs w:val="21"/>
          <w:highlight w:val="none"/>
          <w:u w:val="single"/>
          <w:lang w:val="en-US" w:eastAsia="zh-CN"/>
        </w:rPr>
        <w:t>2024年1月、2024年2月</w:t>
      </w:r>
      <w:r>
        <w:rPr>
          <w:rFonts w:hint="eastAsia" w:ascii="宋体" w:hAnsi="宋体" w:eastAsia="宋体" w:cs="Times New Roman"/>
          <w:b/>
          <w:bCs/>
          <w:color w:val="auto"/>
          <w:kern w:val="2"/>
          <w:sz w:val="21"/>
          <w:szCs w:val="21"/>
          <w:highlight w:val="none"/>
          <w:u w:val="single"/>
        </w:rPr>
        <w:t>）投标人为其缴纳的社保证明复印件</w:t>
      </w:r>
      <w:r>
        <w:rPr>
          <w:rFonts w:hint="eastAsia" w:ascii="宋体" w:hAnsi="宋体" w:eastAsia="宋体" w:cs="Times New Roman"/>
          <w:b/>
          <w:bCs/>
          <w:color w:val="auto"/>
          <w:kern w:val="2"/>
          <w:sz w:val="21"/>
          <w:szCs w:val="21"/>
          <w:highlight w:val="none"/>
          <w:u w:val="single"/>
          <w:lang w:eastAsia="zh-CN"/>
        </w:rPr>
        <w:t>、</w:t>
      </w:r>
      <w:r>
        <w:rPr>
          <w:rFonts w:hint="eastAsia" w:ascii="宋体" w:hAnsi="宋体" w:eastAsia="宋体" w:cs="Times New Roman"/>
          <w:b/>
          <w:bCs/>
          <w:color w:val="auto"/>
          <w:kern w:val="2"/>
          <w:sz w:val="21"/>
          <w:szCs w:val="21"/>
          <w:highlight w:val="none"/>
          <w:u w:val="single"/>
        </w:rPr>
        <w:t>驾驶证复印件，提供的</w:t>
      </w:r>
      <w:r>
        <w:rPr>
          <w:rFonts w:hint="eastAsia" w:ascii="宋体" w:hAnsi="宋体" w:eastAsia="宋体" w:cs="Times New Roman"/>
          <w:b/>
          <w:bCs/>
          <w:color w:val="auto"/>
          <w:kern w:val="2"/>
          <w:sz w:val="21"/>
          <w:szCs w:val="21"/>
          <w:highlight w:val="none"/>
          <w:u w:val="single"/>
          <w:lang w:val="zh-CN"/>
        </w:rPr>
        <w:t>身份证、劳动合同、</w:t>
      </w:r>
      <w:r>
        <w:rPr>
          <w:rFonts w:hint="eastAsia" w:ascii="宋体" w:hAnsi="宋体" w:eastAsia="宋体" w:cs="Times New Roman"/>
          <w:b/>
          <w:bCs/>
          <w:color w:val="auto"/>
          <w:kern w:val="2"/>
          <w:sz w:val="21"/>
          <w:szCs w:val="21"/>
          <w:highlight w:val="none"/>
          <w:u w:val="single"/>
        </w:rPr>
        <w:t>驾驶证</w:t>
      </w:r>
      <w:r>
        <w:rPr>
          <w:rFonts w:hint="eastAsia" w:ascii="宋体" w:hAnsi="宋体" w:eastAsia="宋体" w:cs="Times New Roman"/>
          <w:b/>
          <w:bCs/>
          <w:color w:val="auto"/>
          <w:kern w:val="2"/>
          <w:sz w:val="21"/>
          <w:szCs w:val="21"/>
          <w:highlight w:val="none"/>
          <w:u w:val="single"/>
          <w:lang w:val="zh-CN"/>
        </w:rPr>
        <w:t>、社保证明的人员名称需一致时才统计得分，不提供或人员名称不一致不得分</w:t>
      </w:r>
      <w:r>
        <w:rPr>
          <w:rFonts w:hint="eastAsia" w:ascii="宋体" w:hAnsi="宋体" w:eastAsia="宋体" w:cs="Times New Roman"/>
          <w:color w:val="auto"/>
          <w:kern w:val="2"/>
          <w:sz w:val="21"/>
          <w:szCs w:val="21"/>
          <w:highlight w:val="none"/>
        </w:rPr>
        <w:t>。</w:t>
      </w:r>
    </w:p>
    <w:p>
      <w:pPr>
        <w:autoSpaceDE/>
        <w:autoSpaceDN/>
        <w:adjustRightInd/>
        <w:spacing w:line="360" w:lineRule="auto"/>
        <w:ind w:right="420" w:firstLine="4935" w:firstLineChars="2350"/>
        <w:jc w:val="left"/>
        <w:rPr>
          <w:rFonts w:hint="eastAsia" w:ascii="宋体" w:hAnsi="宋体" w:eastAsia="宋体" w:cs="Times New Roman"/>
          <w:color w:val="auto"/>
          <w:kern w:val="2"/>
          <w:sz w:val="21"/>
          <w:szCs w:val="21"/>
          <w:highlight w:val="none"/>
          <w:lang w:val="zh-CN"/>
        </w:rPr>
      </w:pPr>
    </w:p>
    <w:p>
      <w:pPr>
        <w:autoSpaceDE/>
        <w:autoSpaceDN/>
        <w:adjustRightInd/>
        <w:spacing w:line="360" w:lineRule="auto"/>
        <w:ind w:right="420" w:firstLine="4935" w:firstLineChars="2350"/>
        <w:jc w:val="left"/>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lang w:val="zh-CN"/>
        </w:rPr>
        <w:t>投标人：</w:t>
      </w:r>
      <w:r>
        <w:rPr>
          <w:rFonts w:hint="eastAsia" w:ascii="宋体" w:hAnsi="宋体" w:eastAsia="宋体" w:cs="Times New Roman"/>
          <w:color w:val="auto"/>
          <w:kern w:val="0"/>
          <w:sz w:val="21"/>
          <w:szCs w:val="21"/>
          <w:highlight w:val="none"/>
          <w:lang w:val="zh-CN"/>
        </w:rPr>
        <w:t>（加盖投标人法人公章）</w:t>
      </w:r>
    </w:p>
    <w:p>
      <w:pPr>
        <w:autoSpaceDE w:val="0"/>
        <w:autoSpaceDN w:val="0"/>
        <w:adjustRightInd w:val="0"/>
        <w:spacing w:line="360" w:lineRule="auto"/>
        <w:ind w:firstLine="4935" w:firstLineChars="2350"/>
        <w:jc w:val="both"/>
        <w:rPr>
          <w:rFonts w:ascii="宋体" w:hAnsi="宋体" w:eastAsia="宋体" w:cs="Times New Roman"/>
          <w:color w:val="auto"/>
          <w:kern w:val="2"/>
          <w:sz w:val="21"/>
          <w:szCs w:val="24"/>
          <w:highlight w:val="none"/>
          <w:lang w:val="zh-CN"/>
        </w:rPr>
      </w:pPr>
      <w:r>
        <w:rPr>
          <w:rFonts w:hint="eastAsia" w:ascii="宋体" w:hAnsi="宋体" w:eastAsia="宋体" w:cs="Times New Roman"/>
          <w:color w:val="auto"/>
          <w:kern w:val="0"/>
          <w:sz w:val="21"/>
          <w:szCs w:val="21"/>
          <w:highlight w:val="none"/>
        </w:rPr>
        <w:t xml:space="preserve">日  期：  </w:t>
      </w:r>
      <w:r>
        <w:rPr>
          <w:rFonts w:hint="eastAsia" w:ascii="宋体" w:hAnsi="宋体" w:eastAsia="宋体" w:cs="Times New Roman"/>
          <w:color w:val="auto"/>
          <w:kern w:val="2"/>
          <w:sz w:val="21"/>
          <w:szCs w:val="24"/>
          <w:highlight w:val="none"/>
          <w:lang w:val="zh-CN"/>
        </w:rPr>
        <w:t>年</w:t>
      </w:r>
      <w:r>
        <w:rPr>
          <w:rFonts w:ascii="宋体" w:hAnsi="宋体" w:eastAsia="宋体" w:cs="Times New Roman"/>
          <w:color w:val="auto"/>
          <w:kern w:val="2"/>
          <w:sz w:val="21"/>
          <w:szCs w:val="24"/>
          <w:highlight w:val="none"/>
          <w:lang w:val="zh-CN"/>
        </w:rPr>
        <w:t xml:space="preserve">  </w:t>
      </w:r>
      <w:r>
        <w:rPr>
          <w:rFonts w:hint="eastAsia" w:ascii="宋体" w:hAnsi="宋体" w:eastAsia="宋体" w:cs="Times New Roman"/>
          <w:color w:val="auto"/>
          <w:kern w:val="2"/>
          <w:sz w:val="21"/>
          <w:szCs w:val="24"/>
          <w:highlight w:val="none"/>
          <w:lang w:val="zh-CN"/>
        </w:rPr>
        <w:t>月</w:t>
      </w:r>
      <w:r>
        <w:rPr>
          <w:rFonts w:ascii="宋体" w:hAnsi="宋体" w:eastAsia="宋体" w:cs="Times New Roman"/>
          <w:color w:val="auto"/>
          <w:kern w:val="2"/>
          <w:sz w:val="21"/>
          <w:szCs w:val="24"/>
          <w:highlight w:val="none"/>
          <w:lang w:val="zh-CN"/>
        </w:rPr>
        <w:t xml:space="preserve">  </w:t>
      </w:r>
      <w:r>
        <w:rPr>
          <w:rFonts w:hint="eastAsia" w:ascii="宋体" w:hAnsi="宋体" w:eastAsia="宋体" w:cs="Times New Roman"/>
          <w:color w:val="auto"/>
          <w:kern w:val="2"/>
          <w:sz w:val="21"/>
          <w:szCs w:val="24"/>
          <w:highlight w:val="none"/>
          <w:lang w:val="zh-CN"/>
        </w:rPr>
        <w:t>日</w:t>
      </w: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rPr>
          <w:rFonts w:eastAsia="+中文正文"/>
          <w:color w:val="auto"/>
          <w:highlight w:val="none"/>
        </w:rPr>
      </w:pPr>
      <w:r>
        <w:rPr>
          <w:rFonts w:hint="eastAsia" w:ascii="宋体" w:hAnsi="宋体" w:eastAsia="宋体" w:cs="宋体"/>
          <w:b/>
          <w:color w:val="auto"/>
          <w:kern w:val="0"/>
          <w:sz w:val="30"/>
          <w:szCs w:val="30"/>
          <w:highlight w:val="none"/>
          <w:lang w:val="en-US" w:eastAsia="zh-CN"/>
        </w:rPr>
        <w:t>13.4 安全管理方案</w:t>
      </w:r>
    </w:p>
    <w:p>
      <w:pPr>
        <w:spacing w:line="360" w:lineRule="auto"/>
        <w:ind w:firstLine="420" w:firstLineChars="200"/>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val="0"/>
          <w:color w:val="auto"/>
          <w:szCs w:val="21"/>
          <w:highlight w:val="none"/>
        </w:rPr>
        <w:t>说明：投标人自行编制，格式不限。内容包括</w:t>
      </w:r>
      <w:r>
        <w:rPr>
          <w:rFonts w:hint="eastAsia" w:ascii="宋体" w:hAnsi="宋体" w:eastAsia="宋体"/>
          <w:color w:val="auto"/>
          <w:sz w:val="21"/>
          <w:szCs w:val="21"/>
          <w:highlight w:val="none"/>
          <w:lang w:val="zh-CN"/>
        </w:rPr>
        <w:t>垃圾收运安全操作、管理的手段和措施、作业防护措施、安全管理制度及贯彻</w:t>
      </w:r>
      <w:r>
        <w:rPr>
          <w:rFonts w:hint="eastAsia" w:ascii="宋体" w:hAnsi="宋体" w:eastAsia="宋体" w:cs="宋体"/>
          <w:color w:val="auto"/>
          <w:szCs w:val="21"/>
          <w:highlight w:val="none"/>
        </w:rPr>
        <w:t>等内容</w:t>
      </w:r>
      <w:r>
        <w:rPr>
          <w:rFonts w:hint="eastAsia" w:ascii="宋体" w:hAnsi="宋体" w:eastAsia="宋体" w:cs="宋体"/>
          <w:b w:val="0"/>
          <w:color w:val="auto"/>
          <w:szCs w:val="21"/>
          <w:highlight w:val="none"/>
        </w:rPr>
        <w:t>。</w:t>
      </w:r>
      <w:r>
        <w:rPr>
          <w:rFonts w:hint="eastAsia" w:ascii="宋体" w:hAnsi="宋体" w:eastAsia="宋体" w:cs="宋体"/>
          <w:b/>
          <w:color w:val="auto"/>
          <w:kern w:val="0"/>
          <w:sz w:val="30"/>
          <w:szCs w:val="30"/>
          <w:highlight w:val="none"/>
          <w:lang w:val="en-US" w:eastAsia="zh-CN"/>
        </w:rPr>
        <w:br w:type="page"/>
      </w:r>
    </w:p>
    <w:p>
      <w:pPr>
        <w:rPr>
          <w:rFonts w:eastAsia="+中文正文"/>
          <w:color w:val="auto"/>
          <w:highlight w:val="none"/>
        </w:rPr>
      </w:pPr>
      <w:r>
        <w:rPr>
          <w:rFonts w:hint="eastAsia" w:ascii="宋体" w:hAnsi="宋体" w:eastAsia="宋体" w:cs="宋体"/>
          <w:b/>
          <w:color w:val="auto"/>
          <w:kern w:val="0"/>
          <w:sz w:val="30"/>
          <w:szCs w:val="30"/>
          <w:highlight w:val="none"/>
          <w:lang w:val="en-US" w:eastAsia="zh-CN"/>
        </w:rPr>
        <w:t xml:space="preserve">13.5 </w:t>
      </w:r>
      <w:r>
        <w:rPr>
          <w:rFonts w:hint="eastAsia" w:ascii="宋体" w:hAnsi="宋体" w:eastAsia="宋体" w:cs="宋体"/>
          <w:b/>
          <w:bCs/>
          <w:color w:val="auto"/>
          <w:sz w:val="32"/>
          <w:szCs w:val="32"/>
          <w:highlight w:val="none"/>
        </w:rPr>
        <w:t>应急预案和保障措施</w:t>
      </w:r>
    </w:p>
    <w:p>
      <w:pPr>
        <w:pStyle w:val="47"/>
        <w:spacing w:before="240" w:beforeLines="100" w:line="360" w:lineRule="auto"/>
        <w:ind w:firstLine="420" w:firstLineChars="200"/>
        <w:jc w:val="left"/>
        <w:outlineLvl w:val="9"/>
        <w:rPr>
          <w:rFonts w:ascii="宋体" w:hAnsi="宋体" w:eastAsia="宋体" w:cs="宋体"/>
          <w:color w:val="auto"/>
          <w:szCs w:val="21"/>
          <w:highlight w:val="none"/>
          <w:lang w:val="zh-CN"/>
        </w:rPr>
        <w:sectPr>
          <w:pgSz w:w="11907" w:h="16839"/>
          <w:pgMar w:top="1417" w:right="1276" w:bottom="1417" w:left="1417" w:header="720" w:footer="1003" w:gutter="0"/>
          <w:cols w:space="720" w:num="1"/>
          <w:titlePg/>
          <w:docGrid w:linePitch="326" w:charSpace="0"/>
        </w:sectPr>
      </w:pPr>
      <w:r>
        <w:rPr>
          <w:rFonts w:hint="eastAsia" w:ascii="宋体" w:hAnsi="宋体" w:eastAsia="宋体" w:cs="宋体"/>
          <w:b w:val="0"/>
          <w:color w:val="auto"/>
          <w:szCs w:val="21"/>
          <w:highlight w:val="none"/>
        </w:rPr>
        <w:t>说明：投标人自行编制，格式不限。内容包括针对特殊天气、公共卫生事件、车辆故障、交通事故、人员应急调配、劳务纠纷、工伤事故等的应急方案和保障措施。</w:t>
      </w: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781" w:name="_Toc30794"/>
      <w:bookmarkStart w:id="782" w:name="_Toc30545"/>
      <w:bookmarkStart w:id="783" w:name="_Toc18180"/>
      <w:bookmarkStart w:id="784" w:name="_Toc28973"/>
      <w:bookmarkStart w:id="785" w:name="_Toc3750"/>
      <w:r>
        <w:rPr>
          <w:rFonts w:hint="eastAsia" w:ascii="宋体" w:hAnsi="宋体" w:eastAsia="宋体" w:cs="宋体"/>
          <w:b/>
          <w:color w:val="auto"/>
          <w:kern w:val="0"/>
          <w:sz w:val="30"/>
          <w:szCs w:val="30"/>
          <w:highlight w:val="none"/>
          <w:lang w:val="en-US" w:eastAsia="zh-CN"/>
        </w:rPr>
        <w:t xml:space="preserve">13.6 </w:t>
      </w:r>
      <w:r>
        <w:rPr>
          <w:rFonts w:hint="eastAsia" w:ascii="宋体" w:hAnsi="宋体" w:eastAsia="宋体" w:cs="宋体"/>
          <w:b/>
          <w:color w:val="auto"/>
          <w:kern w:val="0"/>
          <w:sz w:val="30"/>
          <w:szCs w:val="30"/>
          <w:highlight w:val="none"/>
        </w:rPr>
        <w:t>投标人认为有必要提供的其它材料（不做强制要求）</w:t>
      </w:r>
      <w:bookmarkEnd w:id="775"/>
      <w:bookmarkEnd w:id="776"/>
      <w:bookmarkEnd w:id="777"/>
      <w:bookmarkEnd w:id="778"/>
      <w:bookmarkEnd w:id="779"/>
      <w:bookmarkEnd w:id="781"/>
      <w:bookmarkEnd w:id="782"/>
      <w:bookmarkEnd w:id="783"/>
      <w:bookmarkEnd w:id="784"/>
      <w:bookmarkEnd w:id="785"/>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autoSpaceDE w:val="0"/>
        <w:autoSpaceDN w:val="0"/>
        <w:adjustRightInd w:val="0"/>
        <w:jc w:val="left"/>
        <w:rPr>
          <w:rFonts w:hint="eastAsia" w:ascii="宋体" w:hAnsi="宋体" w:eastAsia="宋体" w:cs="宋体"/>
          <w:color w:val="auto"/>
          <w:kern w:val="0"/>
          <w:sz w:val="24"/>
          <w:szCs w:val="24"/>
          <w:highlight w:val="none"/>
        </w:rPr>
      </w:pPr>
    </w:p>
    <w:p>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786" w:name="_Toc19877"/>
      <w:bookmarkStart w:id="787" w:name="_Toc21059"/>
      <w:bookmarkStart w:id="788" w:name="_Toc30548"/>
      <w:bookmarkStart w:id="789" w:name="_Toc14977"/>
      <w:bookmarkStart w:id="790" w:name="_Toc30605"/>
      <w:bookmarkStart w:id="791" w:name="_Toc142508390"/>
      <w:bookmarkStart w:id="792" w:name="_Toc521918141"/>
      <w:bookmarkStart w:id="793" w:name="_Toc522047402"/>
      <w:bookmarkStart w:id="794" w:name="_Toc22601_WPSOffice_Level1"/>
      <w:r>
        <w:rPr>
          <w:rFonts w:hint="eastAsia" w:ascii="宋体" w:hAnsi="宋体" w:eastAsia="宋体" w:cs="宋体"/>
          <w:b/>
          <w:bCs/>
          <w:color w:val="auto"/>
          <w:kern w:val="44"/>
          <w:sz w:val="32"/>
          <w:szCs w:val="32"/>
          <w:highlight w:val="none"/>
          <w:lang w:val="zh-CN"/>
        </w:rPr>
        <w:t>附件一：评标工作大纲</w:t>
      </w:r>
      <w:bookmarkEnd w:id="786"/>
      <w:bookmarkEnd w:id="787"/>
      <w:bookmarkEnd w:id="788"/>
      <w:bookmarkEnd w:id="789"/>
      <w:bookmarkEnd w:id="790"/>
      <w:bookmarkEnd w:id="791"/>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东莞市利源有机资源再生利用有限公司2024-2025年餐厨垃圾收运服务采购项目</w:t>
      </w:r>
    </w:p>
    <w:p>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795" w:name="_Toc14752_WPSOffice_Level1"/>
      <w:r>
        <w:rPr>
          <w:rFonts w:hint="eastAsia" w:ascii="宋体" w:hAnsi="宋体" w:eastAsia="宋体" w:cs="宋体"/>
          <w:b/>
          <w:bCs/>
          <w:color w:val="auto"/>
          <w:sz w:val="36"/>
          <w:szCs w:val="36"/>
          <w:highlight w:val="none"/>
          <w:lang w:val="zh-CN"/>
        </w:rPr>
        <w:t>（招标编号：0832-SFCX24DG024C）</w:t>
      </w:r>
      <w:bookmarkEnd w:id="795"/>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796" w:name="_Toc18947_WPSOffice_Level2"/>
      <w:r>
        <w:rPr>
          <w:rFonts w:hint="eastAsia" w:ascii="宋体" w:hAnsi="宋体" w:eastAsia="宋体" w:cs="宋体"/>
          <w:b/>
          <w:bCs/>
          <w:color w:val="auto"/>
          <w:sz w:val="72"/>
          <w:szCs w:val="72"/>
          <w:highlight w:val="none"/>
          <w:lang w:val="zh-CN"/>
        </w:rPr>
        <w:t>评标工作大纲</w:t>
      </w:r>
      <w:bookmarkEnd w:id="796"/>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97" w:name="_Toc32395_WPSOffice_Level1"/>
      <w:r>
        <w:rPr>
          <w:rFonts w:hint="eastAsia" w:ascii="宋体" w:hAnsi="宋体" w:eastAsia="宋体" w:cs="宋体"/>
          <w:b/>
          <w:bCs/>
          <w:color w:val="auto"/>
          <w:sz w:val="36"/>
          <w:szCs w:val="36"/>
          <w:highlight w:val="none"/>
          <w:lang w:val="zh-CN"/>
        </w:rPr>
        <w:t>目录</w:t>
      </w:r>
      <w:bookmarkEnd w:id="797"/>
    </w:p>
    <w:p>
      <w:pPr>
        <w:autoSpaceDE w:val="0"/>
        <w:autoSpaceDN w:val="0"/>
        <w:adjustRightInd w:val="0"/>
        <w:spacing w:line="400" w:lineRule="atLeast"/>
        <w:jc w:val="center"/>
        <w:rPr>
          <w:rFonts w:hint="eastAsia" w:ascii="宋体" w:hAnsi="宋体" w:eastAsia="宋体" w:cs="宋体"/>
          <w:color w:val="auto"/>
          <w:sz w:val="44"/>
          <w:szCs w:val="44"/>
          <w:highlight w:val="none"/>
        </w:rPr>
      </w:pPr>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98"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98"/>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99"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99"/>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00"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00"/>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01" w:name="_Toc1206_WPSOffice_Level1"/>
      <w:r>
        <w:rPr>
          <w:rFonts w:hint="eastAsia" w:ascii="宋体" w:hAnsi="宋体" w:eastAsia="宋体" w:cs="宋体"/>
          <w:color w:val="auto"/>
          <w:szCs w:val="30"/>
          <w:highlight w:val="none"/>
        </w:rPr>
        <w:t>四、 比较和评价</w:t>
      </w:r>
      <w:bookmarkEnd w:id="801"/>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02"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02"/>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03"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03"/>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04"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04"/>
    </w:p>
    <w:p>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05"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05"/>
    </w:p>
    <w:p>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东莞市利源有机资源再生利用有限公司2024-2025年餐厨垃圾收运服务采购项目</w:t>
      </w:r>
      <w:r>
        <w:rPr>
          <w:rFonts w:hint="eastAsia" w:ascii="宋体" w:hAnsi="宋体" w:eastAsia="宋体" w:cs="宋体"/>
          <w:color w:val="auto"/>
          <w:szCs w:val="21"/>
          <w:highlight w:val="none"/>
          <w:lang w:val="zh-CN"/>
        </w:rPr>
        <w:t>(招标编号：0832-SFCX24DG024C</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4"/>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hint="eastAsia"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w:t>
      </w:r>
      <w:r>
        <w:rPr>
          <w:rFonts w:hint="eastAsia" w:ascii="宋体" w:hAnsi="宋体" w:eastAsia="宋体" w:cs="宋体"/>
          <w:b w:val="0"/>
          <w:bCs w:val="0"/>
          <w:color w:val="auto"/>
          <w:kern w:val="0"/>
          <w:szCs w:val="24"/>
          <w:highlight w:val="none"/>
        </w:rPr>
        <w:t>为5人以上（含5人）单数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hint="eastAsia" w:ascii="宋体" w:hAnsi="宋体" w:eastAsia="宋体" w:cs="宋体"/>
          <w:color w:val="auto"/>
          <w:sz w:val="24"/>
          <w:szCs w:val="24"/>
          <w:highlight w:val="none"/>
          <w:lang w:val="zh-CN"/>
        </w:rPr>
      </w:pPr>
    </w:p>
    <w:p>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806" w:name="_Toc19435_WPSOffice_Level1"/>
      <w:r>
        <w:rPr>
          <w:rFonts w:hint="eastAsia" w:ascii="宋体" w:hAnsi="宋体" w:eastAsia="宋体" w:cs="宋体"/>
          <w:b/>
          <w:bCs/>
          <w:color w:val="auto"/>
          <w:sz w:val="28"/>
          <w:szCs w:val="28"/>
          <w:highlight w:val="none"/>
          <w:lang w:val="zh-CN"/>
        </w:rPr>
        <w:t>二、投标文件的初审</w:t>
      </w:r>
      <w:bookmarkEnd w:id="806"/>
    </w:p>
    <w:p>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u w:val="singl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u w:val="single"/>
          <w:lang w:val="en-US" w:eastAsia="zh-CN"/>
        </w:rPr>
        <w:t>从</w:t>
      </w:r>
      <w:r>
        <w:rPr>
          <w:rFonts w:hint="eastAsia" w:ascii="宋体" w:hAnsi="宋体" w:eastAsia="宋体" w:cs="宋体"/>
          <w:b/>
          <w:color w:val="auto"/>
          <w:szCs w:val="24"/>
          <w:highlight w:val="none"/>
          <w:u w:val="single"/>
          <w:lang w:val="zh-CN"/>
        </w:rPr>
        <w:t>多数的原则，获多数表决通过的投标人才有资格进入下一阶段的评审,否则将被认定为无效投标文件</w:t>
      </w:r>
      <w:r>
        <w:rPr>
          <w:rFonts w:hint="eastAsia" w:ascii="宋体" w:hAnsi="宋体" w:eastAsia="宋体" w:cs="宋体"/>
          <w:b/>
          <w:color w:val="auto"/>
          <w:szCs w:val="24"/>
          <w:highlight w:val="none"/>
          <w:lang w:val="zh-CN"/>
        </w:rPr>
        <w:t>。</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u w:val="single"/>
        </w:rPr>
        <w:t>投标人未按招标文件要求交纳投标保证金的</w:t>
      </w:r>
      <w:r>
        <w:rPr>
          <w:rFonts w:hint="eastAsia" w:ascii="宋体" w:hAnsi="宋体" w:eastAsia="宋体" w:cs="宋体"/>
          <w:b/>
          <w:bCs/>
          <w:color w:val="auto"/>
          <w:kern w:val="0"/>
          <w:szCs w:val="21"/>
          <w:highlight w:val="none"/>
        </w:rPr>
        <w:t>；</w:t>
      </w:r>
    </w:p>
    <w:p>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u w:val="single"/>
        </w:rPr>
        <w:t>投标文件中的投标报价高于</w:t>
      </w:r>
      <w:r>
        <w:rPr>
          <w:rFonts w:hint="eastAsia" w:ascii="宋体" w:hAnsi="宋体" w:eastAsia="宋体" w:cs="Times New Roman"/>
          <w:b/>
          <w:bCs/>
          <w:color w:val="auto"/>
          <w:kern w:val="0"/>
          <w:szCs w:val="24"/>
          <w:highlight w:val="none"/>
          <w:u w:val="single"/>
        </w:rPr>
        <w:t>最高</w:t>
      </w:r>
      <w:r>
        <w:rPr>
          <w:rFonts w:hint="eastAsia" w:ascii="宋体" w:hAnsi="宋体" w:eastAsia="宋体" w:cs="Times New Roman"/>
          <w:b/>
          <w:bCs/>
          <w:color w:val="auto"/>
          <w:kern w:val="0"/>
          <w:szCs w:val="24"/>
          <w:highlight w:val="none"/>
          <w:u w:val="single"/>
          <w:lang w:val="en-US" w:eastAsia="zh-CN"/>
        </w:rPr>
        <w:t>投标</w:t>
      </w:r>
      <w:r>
        <w:rPr>
          <w:rFonts w:hint="eastAsia" w:ascii="宋体" w:hAnsi="宋体" w:eastAsia="宋体" w:cs="Times New Roman"/>
          <w:b/>
          <w:bCs/>
          <w:color w:val="auto"/>
          <w:kern w:val="0"/>
          <w:szCs w:val="24"/>
          <w:highlight w:val="none"/>
          <w:u w:val="single"/>
        </w:rPr>
        <w:t>限价</w:t>
      </w:r>
      <w:r>
        <w:rPr>
          <w:rFonts w:hint="eastAsia" w:ascii="宋体" w:hAnsi="宋体" w:eastAsia="宋体" w:cs="宋体"/>
          <w:b/>
          <w:color w:val="auto"/>
          <w:kern w:val="0"/>
          <w:szCs w:val="21"/>
          <w:highlight w:val="none"/>
          <w:u w:val="single"/>
        </w:rPr>
        <w:t>的</w:t>
      </w:r>
      <w:r>
        <w:rPr>
          <w:rFonts w:hint="eastAsia" w:ascii="宋体" w:hAnsi="宋体" w:eastAsia="宋体" w:cs="宋体"/>
          <w:b/>
          <w:bCs/>
          <w:color w:val="auto"/>
          <w:kern w:val="0"/>
          <w:szCs w:val="21"/>
          <w:highlight w:val="none"/>
        </w:rPr>
        <w:t>；</w:t>
      </w:r>
    </w:p>
    <w:p>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7.3  </w:t>
      </w:r>
      <w:r>
        <w:rPr>
          <w:rFonts w:hint="eastAsia" w:ascii="宋体" w:hAnsi="宋体" w:eastAsia="宋体" w:cs="宋体"/>
          <w:b/>
          <w:color w:val="auto"/>
          <w:kern w:val="0"/>
          <w:szCs w:val="21"/>
          <w:highlight w:val="none"/>
          <w:u w:val="single"/>
        </w:rPr>
        <w:t>投标人以低于企业成本价报价，且投标人不能合理说明或不能提供相关证明材料</w:t>
      </w:r>
      <w:r>
        <w:rPr>
          <w:rFonts w:hint="eastAsia" w:ascii="宋体" w:hAnsi="宋体" w:eastAsia="宋体" w:cs="宋体"/>
          <w:b/>
          <w:color w:val="auto"/>
          <w:kern w:val="0"/>
          <w:szCs w:val="21"/>
          <w:highlight w:val="none"/>
        </w:rPr>
        <w:t>；</w:t>
      </w:r>
    </w:p>
    <w:p>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7.4  </w:t>
      </w:r>
      <w:r>
        <w:rPr>
          <w:rFonts w:hint="eastAsia" w:ascii="宋体" w:hAnsi="宋体" w:eastAsia="宋体" w:cs="宋体"/>
          <w:b/>
          <w:color w:val="auto"/>
          <w:kern w:val="0"/>
          <w:szCs w:val="21"/>
          <w:highlight w:val="none"/>
          <w:u w:val="single"/>
        </w:rPr>
        <w:t>投标人递交两份或多份内容不同的投标文件，或在一份投标文件中报有两个或多个报价，且未书面声明哪一个有效</w:t>
      </w:r>
      <w:r>
        <w:rPr>
          <w:rFonts w:hint="eastAsia" w:ascii="宋体" w:hAnsi="宋体" w:eastAsia="宋体" w:cs="宋体"/>
          <w:b/>
          <w:color w:val="auto"/>
          <w:kern w:val="0"/>
          <w:szCs w:val="21"/>
          <w:highlight w:val="none"/>
        </w:rPr>
        <w:t>；</w:t>
      </w:r>
    </w:p>
    <w:p>
      <w:pPr>
        <w:tabs>
          <w:tab w:val="left" w:pos="567"/>
        </w:tabs>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u w:val="singl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u w:val="single"/>
          <w:lang w:val="en-US" w:eastAsia="zh-CN"/>
        </w:rPr>
        <w:t>政府采购</w:t>
      </w:r>
      <w:r>
        <w:rPr>
          <w:rFonts w:hint="eastAsia" w:ascii="宋体" w:hAnsi="宋体" w:eastAsia="宋体" w:cs="宋体"/>
          <w:b/>
          <w:color w:val="auto"/>
          <w:kern w:val="0"/>
          <w:szCs w:val="21"/>
          <w:highlight w:val="none"/>
          <w:u w:val="single"/>
        </w:rPr>
        <w:t>严重违法失信行为记录名单（处罚期限届满的除外）]</w:t>
      </w:r>
      <w:r>
        <w:rPr>
          <w:rFonts w:hint="eastAsia" w:ascii="宋体" w:hAnsi="宋体" w:eastAsia="宋体" w:cs="宋体"/>
          <w:b/>
          <w:color w:val="auto"/>
          <w:kern w:val="0"/>
          <w:szCs w:val="21"/>
          <w:highlight w:val="none"/>
        </w:rPr>
        <w:t>；</w:t>
      </w:r>
    </w:p>
    <w:p>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u w:val="single"/>
        </w:rPr>
        <w:t>投标文件未按照招标文件规定要求密封；投标文件无法定代表人或其授权代表签字（或盖私章），或签字人无法定代表人有效授权的；签字盖章不符合招标文件要求的</w:t>
      </w:r>
      <w:r>
        <w:rPr>
          <w:rFonts w:hint="eastAsia" w:ascii="宋体" w:hAnsi="宋体" w:eastAsia="宋体" w:cs="宋体"/>
          <w:b/>
          <w:bCs/>
          <w:color w:val="auto"/>
          <w:kern w:val="0"/>
          <w:szCs w:val="21"/>
          <w:highlight w:val="none"/>
        </w:rPr>
        <w:t xml:space="preserve">； </w:t>
      </w:r>
    </w:p>
    <w:p>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7.7  </w:t>
      </w:r>
      <w:r>
        <w:rPr>
          <w:rFonts w:hint="eastAsia" w:ascii="宋体" w:hAnsi="宋体" w:eastAsia="宋体" w:cs="宋体"/>
          <w:b/>
          <w:bCs/>
          <w:color w:val="auto"/>
          <w:kern w:val="0"/>
          <w:szCs w:val="21"/>
          <w:highlight w:val="none"/>
          <w:u w:val="single"/>
        </w:rPr>
        <w:t>投标有效期限不符合要求</w:t>
      </w:r>
      <w:r>
        <w:rPr>
          <w:rFonts w:hint="eastAsia" w:ascii="宋体" w:hAnsi="宋体" w:eastAsia="宋体" w:cs="宋体"/>
          <w:b/>
          <w:bCs/>
          <w:color w:val="auto"/>
          <w:kern w:val="0"/>
          <w:szCs w:val="21"/>
          <w:highlight w:val="none"/>
        </w:rPr>
        <w:t>；</w:t>
      </w:r>
    </w:p>
    <w:p>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7.8  </w:t>
      </w:r>
      <w:r>
        <w:rPr>
          <w:rFonts w:hint="eastAsia" w:ascii="宋体" w:hAnsi="宋体" w:eastAsia="宋体" w:cs="宋体"/>
          <w:b/>
          <w:bCs/>
          <w:color w:val="auto"/>
          <w:kern w:val="0"/>
          <w:szCs w:val="21"/>
          <w:highlight w:val="none"/>
          <w:u w:val="single"/>
        </w:rPr>
        <w:t>投标文件未对招标范围内的全部内容进行投标报价</w:t>
      </w:r>
      <w:r>
        <w:rPr>
          <w:rFonts w:hint="eastAsia" w:ascii="宋体" w:hAnsi="宋体" w:eastAsia="宋体" w:cs="宋体"/>
          <w:b/>
          <w:color w:val="auto"/>
          <w:kern w:val="0"/>
          <w:szCs w:val="21"/>
          <w:highlight w:val="none"/>
          <w:u w:val="singl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7.9  </w:t>
      </w:r>
      <w:r>
        <w:rPr>
          <w:rFonts w:hint="eastAsia" w:ascii="宋体" w:hAnsi="宋体" w:eastAsia="宋体" w:cs="宋体"/>
          <w:b/>
          <w:color w:val="auto"/>
          <w:kern w:val="0"/>
          <w:szCs w:val="21"/>
          <w:highlight w:val="none"/>
          <w:u w:val="single"/>
        </w:rPr>
        <w:t>未提供或虚假填写《合同条款偏离表》，或对《合同条款偏离表》有负偏离的</w:t>
      </w:r>
      <w:r>
        <w:rPr>
          <w:rFonts w:hint="eastAsia" w:ascii="宋体" w:hAnsi="宋体" w:eastAsia="宋体" w:cs="宋体"/>
          <w:b/>
          <w:color w:val="auto"/>
          <w:kern w:val="0"/>
          <w:szCs w:val="21"/>
          <w:highlight w:val="none"/>
        </w:rPr>
        <w:t>；</w:t>
      </w:r>
    </w:p>
    <w:p>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7.10  </w:t>
      </w:r>
      <w:r>
        <w:rPr>
          <w:rFonts w:hint="eastAsia" w:ascii="宋体" w:hAnsi="宋体" w:eastAsia="宋体" w:cs="宋体"/>
          <w:b/>
          <w:color w:val="auto"/>
          <w:kern w:val="0"/>
          <w:szCs w:val="21"/>
          <w:highlight w:val="none"/>
          <w:u w:val="single"/>
        </w:rPr>
        <w:t>未填写或虚假填写《用户需求偏离表》的</w:t>
      </w:r>
      <w:r>
        <w:rPr>
          <w:rFonts w:hint="eastAsia" w:ascii="宋体" w:hAnsi="宋体" w:eastAsia="宋体" w:cs="宋体"/>
          <w:b/>
          <w:color w:val="auto"/>
          <w:kern w:val="0"/>
          <w:szCs w:val="21"/>
          <w:highlight w:val="none"/>
        </w:rPr>
        <w:t>；</w:t>
      </w:r>
    </w:p>
    <w:p>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7.11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u w:val="single"/>
        </w:rPr>
        <w:t>未响应招标文件提出的实质性要求和条件（标注★的条款）</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hint="eastAsia"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807" w:name="_Toc4109_WPSOffice_Level1"/>
      <w:r>
        <w:rPr>
          <w:rFonts w:hint="eastAsia" w:ascii="宋体" w:hAnsi="宋体" w:eastAsia="宋体" w:cs="宋体"/>
          <w:b/>
          <w:bCs/>
          <w:color w:val="auto"/>
          <w:sz w:val="28"/>
          <w:szCs w:val="28"/>
          <w:highlight w:val="none"/>
          <w:lang w:val="zh-CN"/>
        </w:rPr>
        <w:t>三、澄清有关问题</w:t>
      </w:r>
      <w:bookmarkEnd w:id="807"/>
    </w:p>
    <w:p>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pPr>
        <w:autoSpaceDE/>
        <w:autoSpaceDN/>
        <w:adjustRightInd/>
        <w:spacing w:line="360" w:lineRule="auto"/>
        <w:ind w:left="0" w:firstLine="42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u w:val="single"/>
          <w:lang w:val="zh-CN"/>
        </w:rPr>
        <w:t>若投标人不能合理说明或不能提供相关证明材料的，评标委员会将认定其投标报价低于成本，同时否决其投标</w:t>
      </w:r>
      <w:r>
        <w:rPr>
          <w:rFonts w:hint="eastAsia" w:ascii="宋体" w:hAnsi="宋体" w:eastAsia="宋体" w:cs="宋体"/>
          <w:b/>
          <w:color w:val="auto"/>
          <w:szCs w:val="21"/>
          <w:highlight w:val="none"/>
          <w:lang w:val="zh-CN"/>
        </w:rPr>
        <w:t>。</w:t>
      </w:r>
    </w:p>
    <w:p>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808" w:name="_Toc8518_WPSOffice_Level1"/>
    </w:p>
    <w:p>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08"/>
    </w:p>
    <w:p>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pPr>
        <w:autoSpaceDE w:val="0"/>
        <w:autoSpaceDN w:val="0"/>
        <w:adjustRightInd w:val="0"/>
        <w:spacing w:line="360" w:lineRule="auto"/>
        <w:rPr>
          <w:rFonts w:hint="eastAsia" w:ascii="宋体" w:hAnsi="宋体" w:eastAsia="宋体" w:cs="宋体"/>
          <w:color w:val="auto"/>
          <w:szCs w:val="24"/>
          <w:highlight w:val="none"/>
          <w:lang w:val="zh-CN"/>
        </w:rPr>
      </w:pPr>
    </w:p>
    <w:p>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809" w:name="_Toc18349_WPSOffice_Level2"/>
    </w:p>
    <w:p>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09"/>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theme="minorBidi"/>
                <w:color w:val="auto"/>
                <w:kern w:val="2"/>
                <w:sz w:val="21"/>
                <w:szCs w:val="21"/>
                <w:highlight w:val="none"/>
                <w:lang w:val="zh-CN" w:eastAsia="zh-CN" w:bidi="ar-SA"/>
              </w:rPr>
            </w:pPr>
            <w:r>
              <w:rPr>
                <w:rFonts w:hint="eastAsia" w:ascii="宋体" w:hAnsi="宋体" w:eastAsia="宋体" w:cs="黑体"/>
                <w:color w:val="auto"/>
                <w:sz w:val="21"/>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both"/>
              <w:rPr>
                <w:rFonts w:ascii="宋体" w:hAnsi="宋体" w:eastAsia="宋体" w:cs="黑体"/>
                <w:color w:val="auto"/>
                <w:sz w:val="21"/>
                <w:szCs w:val="21"/>
                <w:highlight w:val="none"/>
                <w:lang w:val="zh-CN"/>
              </w:rPr>
            </w:pPr>
            <w:r>
              <w:rPr>
                <w:rFonts w:hint="eastAsia" w:ascii="宋体" w:hAnsi="宋体" w:eastAsia="宋体" w:cs="黑体"/>
                <w:color w:val="auto"/>
                <w:sz w:val="21"/>
                <w:szCs w:val="21"/>
                <w:highlight w:val="none"/>
                <w:lang w:val="zh-CN"/>
              </w:rPr>
              <w:t>投标人20</w:t>
            </w:r>
            <w:r>
              <w:rPr>
                <w:rFonts w:hint="eastAsia" w:ascii="宋体" w:hAnsi="宋体" w:eastAsia="宋体" w:cs="黑体"/>
                <w:color w:val="auto"/>
                <w:sz w:val="21"/>
                <w:szCs w:val="21"/>
                <w:highlight w:val="none"/>
                <w:lang w:val="en-US" w:eastAsia="zh-CN"/>
              </w:rPr>
              <w:t>20</w:t>
            </w:r>
            <w:r>
              <w:rPr>
                <w:rFonts w:hint="eastAsia" w:ascii="宋体" w:hAnsi="宋体" w:eastAsia="宋体" w:cs="黑体"/>
                <w:color w:val="auto"/>
                <w:sz w:val="21"/>
                <w:szCs w:val="21"/>
                <w:highlight w:val="none"/>
                <w:lang w:val="zh-CN"/>
              </w:rPr>
              <w:t>年-20</w:t>
            </w:r>
            <w:r>
              <w:rPr>
                <w:rFonts w:ascii="宋体" w:hAnsi="宋体" w:eastAsia="宋体" w:cs="黑体"/>
                <w:color w:val="auto"/>
                <w:sz w:val="21"/>
                <w:szCs w:val="21"/>
                <w:highlight w:val="none"/>
              </w:rPr>
              <w:t>2</w:t>
            </w:r>
            <w:r>
              <w:rPr>
                <w:rFonts w:hint="eastAsia" w:ascii="宋体" w:hAnsi="宋体" w:eastAsia="宋体" w:cs="黑体"/>
                <w:color w:val="auto"/>
                <w:sz w:val="21"/>
                <w:szCs w:val="21"/>
                <w:highlight w:val="none"/>
                <w:lang w:val="en-US" w:eastAsia="zh-CN"/>
              </w:rPr>
              <w:t>2</w:t>
            </w:r>
            <w:r>
              <w:rPr>
                <w:rFonts w:hint="eastAsia" w:ascii="宋体" w:hAnsi="宋体" w:eastAsia="宋体" w:cs="黑体"/>
                <w:color w:val="auto"/>
                <w:sz w:val="21"/>
                <w:szCs w:val="21"/>
                <w:highlight w:val="none"/>
                <w:lang w:val="zh-CN"/>
              </w:rPr>
              <w:t>年三个年度，每具有1个年度盈利的得1分，满分</w:t>
            </w:r>
            <w:r>
              <w:rPr>
                <w:rFonts w:hint="eastAsia" w:ascii="宋体" w:hAnsi="宋体" w:eastAsia="宋体" w:cs="黑体"/>
                <w:color w:val="auto"/>
                <w:sz w:val="21"/>
                <w:szCs w:val="21"/>
                <w:highlight w:val="none"/>
              </w:rPr>
              <w:t>3</w:t>
            </w:r>
            <w:r>
              <w:rPr>
                <w:rFonts w:hint="eastAsia" w:ascii="宋体" w:hAnsi="宋体" w:eastAsia="宋体" w:cs="黑体"/>
                <w:color w:val="auto"/>
                <w:sz w:val="21"/>
                <w:szCs w:val="21"/>
                <w:highlight w:val="none"/>
                <w:lang w:val="zh-CN"/>
              </w:rPr>
              <w:t>分。</w:t>
            </w:r>
          </w:p>
          <w:p>
            <w:pPr>
              <w:snapToGrid w:val="0"/>
              <w:spacing w:line="360" w:lineRule="auto"/>
              <w:jc w:val="both"/>
              <w:rPr>
                <w:rFonts w:hint="eastAsia" w:ascii="宋体" w:hAnsi="宋体" w:eastAsia="宋体" w:cs="黑体"/>
                <w:b/>
                <w:color w:val="auto"/>
                <w:sz w:val="21"/>
                <w:szCs w:val="21"/>
                <w:highlight w:val="none"/>
                <w:lang w:val="zh-CN"/>
              </w:rPr>
            </w:pPr>
            <w:r>
              <w:rPr>
                <w:rFonts w:hint="eastAsia" w:ascii="宋体" w:hAnsi="宋体" w:eastAsia="宋体" w:cs="黑体"/>
                <w:b/>
                <w:color w:val="auto"/>
                <w:sz w:val="21"/>
                <w:szCs w:val="21"/>
                <w:highlight w:val="none"/>
                <w:lang w:val="zh-CN"/>
              </w:rPr>
              <w:t>备注：</w:t>
            </w:r>
          </w:p>
          <w:p>
            <w:pPr>
              <w:snapToGrid w:val="0"/>
              <w:spacing w:line="360" w:lineRule="auto"/>
              <w:jc w:val="both"/>
              <w:rPr>
                <w:rFonts w:hint="eastAsia" w:ascii="宋体" w:hAnsi="宋体" w:eastAsia="宋体" w:cstheme="minorBidi"/>
                <w:color w:val="auto"/>
                <w:kern w:val="2"/>
                <w:sz w:val="21"/>
                <w:szCs w:val="21"/>
                <w:highlight w:val="none"/>
                <w:lang w:val="zh-CN" w:eastAsia="zh-CN" w:bidi="ar-SA"/>
              </w:rPr>
            </w:pPr>
            <w:r>
              <w:rPr>
                <w:rFonts w:hint="eastAsia" w:ascii="宋体" w:hAnsi="宋体" w:eastAsia="宋体" w:cs="黑体"/>
                <w:bCs/>
                <w:color w:val="auto"/>
                <w:sz w:val="21"/>
                <w:szCs w:val="21"/>
                <w:highlight w:val="none"/>
                <w:lang w:val="zh-CN"/>
              </w:rPr>
              <w:t>盈利指净利润为正数（非零、非负数），投标人应提供2020年、2021年、2022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theme="minorBidi"/>
                <w:color w:val="auto"/>
                <w:kern w:val="2"/>
                <w:sz w:val="21"/>
                <w:szCs w:val="21"/>
                <w:highlight w:val="none"/>
                <w:lang w:val="en-US" w:eastAsia="zh-CN" w:bidi="ar-SA"/>
              </w:rPr>
            </w:pPr>
            <w:r>
              <w:rPr>
                <w:rFonts w:ascii="宋体" w:hAnsi="宋体" w:eastAsia="宋体"/>
                <w:color w:val="auto"/>
                <w:sz w:val="21"/>
                <w:szCs w:val="21"/>
                <w:highlight w:val="none"/>
              </w:rPr>
              <w:t>3</w:t>
            </w:r>
            <w:r>
              <w:rPr>
                <w:rFonts w:hint="eastAsia" w:ascii="宋体" w:hAnsi="宋体" w:eastAsia="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8"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theme="minorBidi"/>
                <w:color w:val="auto"/>
                <w:kern w:val="2"/>
                <w:sz w:val="21"/>
                <w:szCs w:val="21"/>
                <w:highlight w:val="none"/>
                <w:lang w:val="zh-CN" w:eastAsia="zh-CN" w:bidi="ar-SA"/>
              </w:rPr>
            </w:pPr>
            <w:r>
              <w:rPr>
                <w:rFonts w:hint="eastAsia" w:ascii="宋体" w:hAnsi="宋体" w:eastAsia="宋体" w:cs="黑体"/>
                <w:color w:val="auto"/>
                <w:sz w:val="21"/>
                <w:szCs w:val="21"/>
                <w:highlight w:val="none"/>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both"/>
              <w:rPr>
                <w:rFonts w:hint="eastAsia" w:ascii="宋体" w:hAnsi="宋体" w:eastAsia="宋体" w:cs="黑体"/>
                <w:color w:val="auto"/>
                <w:sz w:val="21"/>
                <w:szCs w:val="21"/>
                <w:highlight w:val="none"/>
                <w:lang w:val="zh-CN"/>
              </w:rPr>
            </w:pPr>
            <w:r>
              <w:rPr>
                <w:rFonts w:hint="eastAsia" w:ascii="宋体" w:hAnsi="宋体" w:eastAsia="宋体" w:cs="黑体"/>
                <w:color w:val="auto"/>
                <w:sz w:val="21"/>
                <w:szCs w:val="21"/>
                <w:highlight w:val="none"/>
                <w:lang w:val="zh-CN"/>
              </w:rPr>
              <w:t>（1）投标人具有有效期内的ISO9001质量管理体系认证证书得1分；</w:t>
            </w:r>
          </w:p>
          <w:p>
            <w:pPr>
              <w:snapToGrid w:val="0"/>
              <w:spacing w:line="360" w:lineRule="auto"/>
              <w:jc w:val="both"/>
              <w:rPr>
                <w:rFonts w:hint="eastAsia" w:ascii="宋体" w:hAnsi="宋体" w:eastAsia="宋体" w:cs="黑体"/>
                <w:color w:val="auto"/>
                <w:sz w:val="21"/>
                <w:szCs w:val="21"/>
                <w:highlight w:val="none"/>
                <w:lang w:val="zh-CN"/>
              </w:rPr>
            </w:pPr>
            <w:r>
              <w:rPr>
                <w:rFonts w:hint="eastAsia" w:ascii="宋体" w:hAnsi="宋体" w:eastAsia="宋体" w:cs="黑体"/>
                <w:color w:val="auto"/>
                <w:sz w:val="21"/>
                <w:szCs w:val="21"/>
                <w:highlight w:val="none"/>
                <w:lang w:val="zh-CN"/>
              </w:rPr>
              <w:t>（2</w:t>
            </w:r>
            <w:r>
              <w:rPr>
                <w:rFonts w:hint="eastAsia" w:ascii="宋体" w:hAnsi="宋体" w:eastAsia="宋体" w:cs="黑体"/>
                <w:color w:val="auto"/>
                <w:sz w:val="21"/>
                <w:szCs w:val="21"/>
                <w:highlight w:val="none"/>
                <w:lang w:val="zh-CN" w:eastAsia="zh-CN"/>
              </w:rPr>
              <w:t>）</w:t>
            </w:r>
            <w:r>
              <w:rPr>
                <w:rFonts w:hint="eastAsia" w:ascii="宋体" w:hAnsi="宋体" w:eastAsia="宋体" w:cs="黑体"/>
                <w:color w:val="auto"/>
                <w:sz w:val="21"/>
                <w:szCs w:val="21"/>
                <w:highlight w:val="none"/>
                <w:lang w:val="zh-CN"/>
              </w:rPr>
              <w:t>投标人具有有效期内的ISO14001环境管理体系认证证书得1分；</w:t>
            </w:r>
          </w:p>
          <w:p>
            <w:pPr>
              <w:snapToGrid w:val="0"/>
              <w:spacing w:line="360" w:lineRule="auto"/>
              <w:jc w:val="both"/>
              <w:rPr>
                <w:rFonts w:hint="eastAsia" w:ascii="宋体" w:hAnsi="宋体" w:eastAsia="宋体" w:cs="黑体"/>
                <w:color w:val="auto"/>
                <w:sz w:val="21"/>
                <w:szCs w:val="21"/>
                <w:highlight w:val="none"/>
                <w:lang w:val="zh-CN"/>
              </w:rPr>
            </w:pPr>
            <w:r>
              <w:rPr>
                <w:rFonts w:hint="eastAsia" w:ascii="宋体" w:hAnsi="宋体" w:eastAsia="宋体" w:cs="黑体"/>
                <w:color w:val="auto"/>
                <w:sz w:val="21"/>
                <w:szCs w:val="21"/>
                <w:highlight w:val="none"/>
                <w:lang w:val="zh-CN"/>
              </w:rPr>
              <w:t>（3）投标人具有有效期内的OHSAS18001（或GB/T45001-2020，或IS045001）职业健康安全管理体系认证证书得1分。</w:t>
            </w:r>
          </w:p>
          <w:p>
            <w:pPr>
              <w:snapToGrid w:val="0"/>
              <w:spacing w:line="360" w:lineRule="auto"/>
              <w:jc w:val="both"/>
              <w:rPr>
                <w:rFonts w:ascii="宋体" w:hAnsi="宋体" w:eastAsia="宋体"/>
                <w:b/>
                <w:color w:val="auto"/>
                <w:sz w:val="21"/>
                <w:szCs w:val="21"/>
                <w:highlight w:val="none"/>
              </w:rPr>
            </w:pPr>
            <w:r>
              <w:rPr>
                <w:rFonts w:ascii="宋体" w:hAnsi="宋体" w:eastAsia="宋体"/>
                <w:b/>
                <w:color w:val="auto"/>
                <w:sz w:val="21"/>
                <w:szCs w:val="21"/>
                <w:highlight w:val="none"/>
              </w:rPr>
              <w:t>备注：</w:t>
            </w:r>
          </w:p>
          <w:p>
            <w:pPr>
              <w:snapToGrid w:val="0"/>
              <w:spacing w:line="360" w:lineRule="auto"/>
              <w:jc w:val="both"/>
              <w:rPr>
                <w:rFonts w:hint="eastAsia" w:ascii="宋体" w:hAnsi="宋体" w:eastAsia="宋体" w:cstheme="minorBidi"/>
                <w:b/>
                <w:color w:val="auto"/>
                <w:kern w:val="2"/>
                <w:sz w:val="21"/>
                <w:szCs w:val="21"/>
                <w:highlight w:val="none"/>
                <w:lang w:val="zh-CN" w:eastAsia="zh-CN" w:bidi="ar-SA"/>
              </w:rPr>
            </w:pPr>
            <w:r>
              <w:rPr>
                <w:rFonts w:hint="eastAsia" w:ascii="宋体" w:hAnsi="宋体" w:eastAsia="宋体" w:cs="宋体"/>
                <w:b w:val="0"/>
                <w:bCs/>
                <w:color w:val="auto"/>
                <w:sz w:val="21"/>
                <w:szCs w:val="21"/>
                <w:highlight w:val="none"/>
                <w:lang w:eastAsia="zh-CN"/>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theme="minorBidi"/>
                <w:color w:val="auto"/>
                <w:kern w:val="2"/>
                <w:sz w:val="21"/>
                <w:szCs w:val="21"/>
                <w:highlight w:val="none"/>
                <w:lang w:val="en-US" w:eastAsia="zh-CN" w:bidi="ar-SA"/>
              </w:rPr>
            </w:pPr>
            <w:r>
              <w:rPr>
                <w:rFonts w:ascii="宋体" w:hAnsi="宋体" w:eastAsia="宋体"/>
                <w:color w:val="auto"/>
                <w:sz w:val="21"/>
                <w:szCs w:val="21"/>
                <w:highlight w:val="none"/>
              </w:rPr>
              <w:t>3</w:t>
            </w:r>
            <w:r>
              <w:rPr>
                <w:rFonts w:hint="eastAsia" w:ascii="宋体" w:hAnsi="宋体" w:eastAsia="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bookmarkStart w:id="810" w:name="_Hlk104987354"/>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pPr>
              <w:autoSpaceDE/>
              <w:autoSpaceDN/>
              <w:adjustRightInd/>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olor w:val="auto"/>
                <w:sz w:val="21"/>
                <w:szCs w:val="21"/>
                <w:highlight w:val="none"/>
              </w:rPr>
              <w:t>业绩</w:t>
            </w:r>
          </w:p>
        </w:tc>
        <w:tc>
          <w:tcPr>
            <w:tcW w:w="3691"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rPr>
              <w:t>1</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投标人202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年1月1日（以合同签订日期为准）至今</w:t>
            </w:r>
            <w:r>
              <w:rPr>
                <w:rFonts w:hint="eastAsia" w:ascii="宋体" w:hAnsi="宋体" w:eastAsia="宋体" w:cs="宋体"/>
                <w:color w:val="auto"/>
                <w:sz w:val="21"/>
                <w:szCs w:val="21"/>
                <w:highlight w:val="none"/>
                <w:lang w:val="en-US" w:eastAsia="zh-CN"/>
              </w:rPr>
              <w:t>承接</w:t>
            </w:r>
            <w:r>
              <w:rPr>
                <w:rFonts w:hint="eastAsia" w:ascii="宋体" w:hAnsi="宋体" w:eastAsia="宋体" w:cs="宋体"/>
                <w:color w:val="auto"/>
                <w:sz w:val="21"/>
                <w:szCs w:val="21"/>
                <w:highlight w:val="none"/>
              </w:rPr>
              <w:t>的生活垃圾</w:t>
            </w:r>
            <w:r>
              <w:rPr>
                <w:rFonts w:hint="eastAsia" w:ascii="宋体" w:hAnsi="宋体" w:eastAsia="宋体" w:cs="宋体"/>
                <w:color w:val="auto"/>
                <w:sz w:val="21"/>
                <w:szCs w:val="21"/>
                <w:highlight w:val="none"/>
                <w:lang w:eastAsia="zh-CN"/>
              </w:rPr>
              <w:t>收运服务</w:t>
            </w:r>
            <w:r>
              <w:rPr>
                <w:rFonts w:hint="eastAsia" w:ascii="宋体" w:hAnsi="宋体" w:eastAsia="宋体" w:cs="宋体"/>
                <w:color w:val="auto"/>
                <w:sz w:val="21"/>
                <w:szCs w:val="21"/>
                <w:highlight w:val="none"/>
              </w:rPr>
              <w:t>业绩</w:t>
            </w:r>
            <w:r>
              <w:rPr>
                <w:rFonts w:hint="eastAsia" w:ascii="宋体" w:hAnsi="宋体" w:eastAsia="宋体" w:cs="宋体"/>
                <w:color w:val="auto"/>
                <w:kern w:val="0"/>
                <w:szCs w:val="21"/>
                <w:highlight w:val="none"/>
                <w:lang w:val="en-US" w:eastAsia="zh-CN"/>
              </w:rPr>
              <w:t>进行评审</w:t>
            </w:r>
            <w:r>
              <w:rPr>
                <w:rFonts w:hint="eastAsia" w:ascii="宋体" w:hAnsi="宋体" w:eastAsia="宋体" w:cs="宋体"/>
                <w:color w:val="auto"/>
                <w:sz w:val="21"/>
                <w:szCs w:val="21"/>
                <w:highlight w:val="none"/>
              </w:rPr>
              <w:t>，本小项满分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highlight w:val="none"/>
              </w:rPr>
              <w:t>①</w:t>
            </w:r>
            <w:r>
              <w:rPr>
                <w:rFonts w:hint="eastAsia" w:ascii="宋体" w:hAnsi="宋体" w:eastAsia="宋体" w:cs="宋体"/>
                <w:color w:val="auto"/>
                <w:sz w:val="21"/>
                <w:szCs w:val="21"/>
                <w:highlight w:val="none"/>
              </w:rPr>
              <w:t>【单项合同金额≥</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00万元】的前述业绩的，每项得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highlight w:val="none"/>
              </w:rPr>
              <w:t>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00万元】的前述业绩的，每项得2分；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highlight w:val="none"/>
              </w:rPr>
              <w:t>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rPr>
              <w:t>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万元】的前述业绩的，每项得1分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本子项</w:t>
            </w:r>
            <w:r>
              <w:rPr>
                <w:rFonts w:hint="eastAsia" w:ascii="宋体" w:hAnsi="宋体" w:eastAsia="宋体" w:cs="宋体"/>
                <w:color w:val="auto"/>
                <w:sz w:val="21"/>
                <w:szCs w:val="21"/>
                <w:highlight w:val="none"/>
                <w:lang w:val="en-US" w:eastAsia="zh-CN"/>
              </w:rPr>
              <w:t>最高得10</w:t>
            </w:r>
            <w:r>
              <w:rPr>
                <w:rFonts w:hint="eastAsia" w:ascii="宋体" w:hAnsi="宋体" w:eastAsia="宋体" w:cs="宋体"/>
                <w:color w:val="auto"/>
                <w:sz w:val="21"/>
                <w:szCs w:val="21"/>
                <w:highlight w:val="none"/>
              </w:rPr>
              <w:t>分。</w:t>
            </w:r>
          </w:p>
          <w:p>
            <w:pPr>
              <w:spacing w:line="360" w:lineRule="auto"/>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（2）投标人提供的上述第(1)项业绩服务内容全部</w:t>
            </w:r>
            <w:r>
              <w:rPr>
                <w:rFonts w:hint="default" w:ascii="宋体" w:hAnsi="宋体" w:eastAsia="宋体" w:cs="宋体"/>
                <w:b w:val="0"/>
                <w:bCs w:val="0"/>
                <w:color w:val="auto"/>
                <w:szCs w:val="21"/>
                <w:highlight w:val="none"/>
                <w:lang w:val="en-US"/>
              </w:rPr>
              <w:t>为</w:t>
            </w:r>
            <w:r>
              <w:rPr>
                <w:rFonts w:hint="eastAsia" w:ascii="宋体" w:hAnsi="宋体" w:eastAsia="宋体" w:cs="宋体"/>
                <w:b w:val="0"/>
                <w:bCs w:val="0"/>
                <w:color w:val="auto"/>
                <w:szCs w:val="21"/>
                <w:highlight w:val="none"/>
                <w:lang w:val="zh-CN"/>
              </w:rPr>
              <w:t>餐厨废弃物收运服务</w:t>
            </w:r>
            <w:r>
              <w:rPr>
                <w:rFonts w:hint="eastAsia" w:ascii="宋体" w:hAnsi="宋体" w:eastAsia="宋体" w:cs="宋体"/>
                <w:b w:val="0"/>
                <w:bCs w:val="0"/>
                <w:color w:val="auto"/>
                <w:szCs w:val="21"/>
                <w:highlight w:val="none"/>
                <w:lang w:val="en-US" w:eastAsia="zh-CN"/>
              </w:rPr>
              <w:t>的</w:t>
            </w:r>
            <w:r>
              <w:rPr>
                <w:rFonts w:hint="eastAsia" w:ascii="宋体" w:hAnsi="宋体" w:eastAsia="宋体" w:cs="宋体"/>
                <w:b w:val="0"/>
                <w:bCs w:val="0"/>
                <w:color w:val="auto"/>
                <w:szCs w:val="21"/>
                <w:highlight w:val="none"/>
                <w:lang w:val="zh-CN"/>
              </w:rPr>
              <w:t>业绩，在上述得分基础上进行加1分，本小项满分</w:t>
            </w: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val="zh-CN"/>
              </w:rPr>
              <w:t>分。</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spacing w:line="360" w:lineRule="auto"/>
              <w:outlineLvl w:val="9"/>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rPr>
              <w:t>1</w:t>
            </w:r>
            <w:r>
              <w:rPr>
                <w:rFonts w:hint="eastAsia" w:ascii="宋体" w:hAnsi="宋体" w:eastAsia="宋体" w:cs="宋体"/>
                <w:b w:val="0"/>
                <w:bCs w:val="0"/>
                <w:color w:val="auto"/>
                <w:szCs w:val="21"/>
                <w:highlight w:val="none"/>
                <w:lang w:val="zh-CN"/>
              </w:rPr>
              <w:t>）业绩必须附合同复印件（</w:t>
            </w:r>
            <w:r>
              <w:rPr>
                <w:rFonts w:hint="eastAsia" w:ascii="宋体" w:hAnsi="宋体" w:eastAsia="宋体" w:cs="宋体"/>
                <w:b w:val="0"/>
                <w:bCs w:val="0"/>
                <w:color w:val="auto"/>
                <w:szCs w:val="21"/>
                <w:highlight w:val="none"/>
              </w:rPr>
              <w:t>合同服务提供方为投标人</w:t>
            </w:r>
            <w:r>
              <w:rPr>
                <w:rFonts w:hint="eastAsia" w:ascii="宋体" w:hAnsi="宋体" w:eastAsia="宋体" w:cs="宋体"/>
                <w:b w:val="0"/>
                <w:bCs w:val="0"/>
                <w:color w:val="auto"/>
                <w:szCs w:val="21"/>
                <w:highlight w:val="none"/>
                <w:lang w:val="zh-CN"/>
              </w:rPr>
              <w:t>）。合同必须能反映评分条件（</w:t>
            </w:r>
            <w:r>
              <w:rPr>
                <w:rFonts w:hint="eastAsia" w:ascii="宋体" w:hAnsi="宋体" w:eastAsia="宋体" w:cs="宋体"/>
                <w:b w:val="0"/>
                <w:bCs w:val="0"/>
                <w:color w:val="auto"/>
                <w:szCs w:val="21"/>
                <w:highlight w:val="none"/>
              </w:rPr>
              <w:t>合同签订日期、服务内容、</w:t>
            </w:r>
            <w:r>
              <w:rPr>
                <w:rFonts w:hint="eastAsia" w:ascii="宋体" w:hAnsi="宋体" w:eastAsia="宋体" w:cs="宋体"/>
                <w:color w:val="auto"/>
                <w:sz w:val="21"/>
                <w:szCs w:val="21"/>
                <w:highlight w:val="none"/>
              </w:rPr>
              <w:t>收运</w:t>
            </w:r>
            <w:r>
              <w:rPr>
                <w:rFonts w:hint="eastAsia" w:ascii="宋体" w:hAnsi="宋体" w:eastAsia="宋体" w:cs="宋体"/>
                <w:color w:val="auto"/>
                <w:sz w:val="21"/>
                <w:szCs w:val="21"/>
                <w:highlight w:val="none"/>
                <w:lang w:val="en-US" w:eastAsia="zh-CN"/>
              </w:rPr>
              <w:t>垃圾类别、</w:t>
            </w:r>
            <w:r>
              <w:rPr>
                <w:rFonts w:hint="eastAsia" w:ascii="宋体" w:hAnsi="宋体" w:eastAsia="宋体" w:cs="宋体"/>
                <w:b w:val="0"/>
                <w:bCs w:val="0"/>
                <w:color w:val="auto"/>
                <w:szCs w:val="21"/>
                <w:highlight w:val="none"/>
                <w:lang w:val="en-US" w:eastAsia="zh-CN"/>
              </w:rPr>
              <w:t>合同金额</w:t>
            </w:r>
            <w:r>
              <w:rPr>
                <w:rFonts w:hint="eastAsia" w:ascii="宋体" w:hAnsi="宋体" w:eastAsia="宋体" w:cs="宋体"/>
                <w:b w:val="0"/>
                <w:bCs w:val="0"/>
                <w:color w:val="auto"/>
                <w:szCs w:val="21"/>
                <w:highlight w:val="none"/>
                <w:lang w:val="zh-CN"/>
              </w:rPr>
              <w:t>），否则，需同时提供服务购买方出具的书面补充情况说明文件复印件（</w:t>
            </w:r>
            <w:r>
              <w:rPr>
                <w:rFonts w:hint="eastAsia" w:ascii="宋体" w:hAnsi="宋体" w:eastAsia="宋体" w:cs="宋体"/>
                <w:b w:val="0"/>
                <w:bCs w:val="0"/>
                <w:color w:val="auto"/>
                <w:szCs w:val="21"/>
                <w:highlight w:val="none"/>
              </w:rPr>
              <w:t>需加盖服务购买方公章，即复印件能显示服务购买方公章</w:t>
            </w: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rPr>
              <w:t>否则不得分</w:t>
            </w:r>
            <w:r>
              <w:rPr>
                <w:rFonts w:hint="eastAsia" w:ascii="宋体" w:hAnsi="宋体" w:eastAsia="宋体" w:cs="宋体"/>
                <w:b w:val="0"/>
                <w:bCs w:val="0"/>
                <w:color w:val="auto"/>
                <w:szCs w:val="21"/>
                <w:highlight w:val="none"/>
                <w:lang w:val="zh-CN"/>
              </w:rPr>
              <w:t>。</w:t>
            </w:r>
          </w:p>
          <w:p>
            <w:pPr>
              <w:spacing w:line="360" w:lineRule="auto"/>
              <w:rPr>
                <w:rFonts w:hint="eastAsia" w:ascii="宋体" w:hAnsi="宋体" w:eastAsia="宋体" w:cs="宋体"/>
                <w:color w:val="auto"/>
                <w:highlight w:val="none"/>
                <w:lang w:eastAsia="zh-CN"/>
              </w:rPr>
            </w:pP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lang w:val="zh-CN"/>
              </w:rPr>
              <w:t>）</w:t>
            </w:r>
            <w:r>
              <w:rPr>
                <w:rFonts w:hint="eastAsia" w:ascii="宋体" w:hAnsi="宋体" w:eastAsia="宋体"/>
                <w:b w:val="0"/>
                <w:bCs w:val="0"/>
                <w:color w:val="auto"/>
                <w:sz w:val="21"/>
                <w:szCs w:val="21"/>
                <w:highlight w:val="none"/>
              </w:rPr>
              <w:t>若合同业绩内容为非单一类型</w:t>
            </w:r>
            <w:r>
              <w:rPr>
                <w:rFonts w:hint="eastAsia" w:ascii="宋体" w:hAnsi="宋体" w:eastAsia="宋体"/>
                <w:b w:val="0"/>
                <w:bCs w:val="0"/>
                <w:color w:val="auto"/>
                <w:sz w:val="21"/>
                <w:szCs w:val="21"/>
                <w:highlight w:val="none"/>
                <w:lang w:eastAsia="zh-CN"/>
              </w:rPr>
              <w:t>（如业绩合同包括清扫、收运、处置等全过程服务）</w:t>
            </w:r>
            <w:r>
              <w:rPr>
                <w:rFonts w:hint="eastAsia" w:ascii="宋体" w:hAnsi="宋体" w:eastAsia="宋体"/>
                <w:b w:val="0"/>
                <w:bCs w:val="0"/>
                <w:color w:val="auto"/>
                <w:sz w:val="21"/>
                <w:szCs w:val="21"/>
                <w:highlight w:val="none"/>
              </w:rPr>
              <w:t>，且合同内容无法反应符合本项目评审要求（</w:t>
            </w:r>
            <w:r>
              <w:rPr>
                <w:rFonts w:hint="eastAsia" w:ascii="宋体" w:hAnsi="宋体" w:eastAsia="宋体"/>
                <w:color w:val="auto"/>
                <w:sz w:val="21"/>
                <w:szCs w:val="21"/>
                <w:highlight w:val="none"/>
                <w:lang w:eastAsia="zh-CN"/>
              </w:rPr>
              <w:t>生活垃圾收运服务</w:t>
            </w:r>
            <w:r>
              <w:rPr>
                <w:rFonts w:hint="eastAsia" w:ascii="宋体" w:hAnsi="宋体" w:eastAsia="宋体"/>
                <w:b w:val="0"/>
                <w:bCs w:val="0"/>
                <w:color w:val="auto"/>
                <w:sz w:val="21"/>
                <w:szCs w:val="21"/>
                <w:highlight w:val="none"/>
              </w:rPr>
              <w:t>）的合同金额，需须同时提供服务购买方出具的书面补充情况说明文件复印件</w:t>
            </w:r>
            <w:r>
              <w:rPr>
                <w:rFonts w:hint="eastAsia" w:ascii="宋体" w:hAnsi="宋体" w:eastAsia="宋体" w:cs="宋体"/>
                <w:color w:val="auto"/>
                <w:highlight w:val="none"/>
              </w:rPr>
              <w:t>,否则在评标时将不予考虑</w:t>
            </w:r>
            <w:r>
              <w:rPr>
                <w:rFonts w:hint="eastAsia" w:ascii="宋体" w:hAnsi="宋体" w:eastAsia="宋体" w:cs="宋体"/>
                <w:color w:val="auto"/>
                <w:highlight w:val="none"/>
                <w:lang w:eastAsia="zh-CN"/>
              </w:rPr>
              <w:t>。</w:t>
            </w:r>
          </w:p>
          <w:p>
            <w:pPr>
              <w:pStyle w:val="47"/>
              <w:spacing w:line="360" w:lineRule="auto"/>
              <w:jc w:val="lef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val="zh-CN"/>
              </w:rPr>
              <w:t>）餐厨废弃物</w:t>
            </w:r>
            <w:r>
              <w:rPr>
                <w:rFonts w:hint="eastAsia" w:ascii="宋体" w:hAnsi="宋体" w:eastAsia="宋体" w:cs="宋体"/>
                <w:b w:val="0"/>
                <w:bCs/>
                <w:color w:val="auto"/>
                <w:szCs w:val="21"/>
                <w:highlight w:val="none"/>
                <w:lang w:val="en-US" w:eastAsia="zh-CN"/>
              </w:rPr>
              <w:t>为餐饮垃圾或厨余垃圾。</w:t>
            </w:r>
          </w:p>
          <w:p>
            <w:pPr>
              <w:spacing w:line="360" w:lineRule="auto"/>
              <w:jc w:val="left"/>
              <w:rPr>
                <w:rFonts w:hint="eastAsia" w:ascii="宋体" w:hAnsi="宋体" w:eastAsia="宋体" w:cs="宋体"/>
                <w:b w:val="0"/>
                <w:bCs w:val="0"/>
                <w:color w:val="auto"/>
                <w:szCs w:val="21"/>
                <w:highlight w:val="none"/>
                <w:lang w:val="zh-CN"/>
              </w:rPr>
            </w:pPr>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lang w:val="zh-CN"/>
              </w:rPr>
              <w:t>）</w:t>
            </w:r>
            <w:r>
              <w:rPr>
                <w:rFonts w:hint="eastAsia" w:ascii="宋体" w:hAnsi="宋体" w:eastAsia="宋体" w:cs="宋体"/>
                <w:b w:val="0"/>
                <w:bCs w:val="0"/>
                <w:color w:val="auto"/>
                <w:szCs w:val="21"/>
                <w:highlight w:val="none"/>
                <w:lang w:val="zh-CN"/>
              </w:rPr>
              <w:t>若业绩为框架式协议或资格入围无明确金额的合同，必须同时提供合同期限内已服务发票金额统计表和发票复印件。</w:t>
            </w:r>
          </w:p>
          <w:p>
            <w:pPr>
              <w:spacing w:line="360" w:lineRule="auto"/>
              <w:rPr>
                <w:rFonts w:hint="eastAsia" w:ascii="宋体" w:hAnsi="宋体" w:eastAsia="宋体"/>
                <w:b w:val="0"/>
                <w:bCs w:val="0"/>
                <w:color w:val="auto"/>
                <w:sz w:val="21"/>
                <w:szCs w:val="21"/>
                <w:highlight w:val="none"/>
              </w:rPr>
            </w:pP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lang w:val="zh-CN"/>
              </w:rPr>
              <w:t>）</w:t>
            </w:r>
            <w:r>
              <w:rPr>
                <w:rFonts w:hint="eastAsia" w:ascii="宋体" w:hAnsi="宋体" w:eastAsia="宋体"/>
                <w:b w:val="0"/>
                <w:bCs w:val="0"/>
                <w:color w:val="auto"/>
                <w:sz w:val="21"/>
                <w:szCs w:val="21"/>
                <w:highlight w:val="none"/>
              </w:rPr>
              <w:t>未按上述要求提供证明材料的业绩，</w:t>
            </w:r>
            <w:r>
              <w:rPr>
                <w:rFonts w:hint="eastAsia" w:ascii="宋体" w:hAnsi="宋体" w:eastAsia="宋体" w:cs="宋体"/>
                <w:color w:val="auto"/>
                <w:szCs w:val="21"/>
                <w:highlight w:val="none"/>
                <w:lang w:val="zh-CN"/>
              </w:rPr>
              <w:t>或所附材料无法证明填报项目属投标人完成的或不符合本项评分要求的业绩</w:t>
            </w:r>
            <w:r>
              <w:rPr>
                <w:rFonts w:hint="eastAsia" w:ascii="宋体" w:hAnsi="宋体" w:eastAsia="宋体"/>
                <w:b w:val="0"/>
                <w:bCs w:val="0"/>
                <w:color w:val="auto"/>
                <w:sz w:val="21"/>
                <w:szCs w:val="21"/>
                <w:highlight w:val="none"/>
              </w:rPr>
              <w:t>，在评标时将不予考虑。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Cs w:val="24"/>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分</w:t>
            </w:r>
          </w:p>
        </w:tc>
      </w:tr>
      <w:bookmarkEnd w:id="810"/>
    </w:tbl>
    <w:p>
      <w:pPr>
        <w:autoSpaceDE w:val="0"/>
        <w:autoSpaceDN w:val="0"/>
        <w:adjustRightInd w:val="0"/>
        <w:ind w:right="-26" w:firstLine="480"/>
        <w:jc w:val="center"/>
        <w:rPr>
          <w:rFonts w:hint="eastAsia" w:ascii="宋体" w:hAnsi="宋体" w:eastAsia="宋体" w:cs="宋体"/>
          <w:b/>
          <w:bCs/>
          <w:color w:val="auto"/>
          <w:kern w:val="0"/>
          <w:sz w:val="24"/>
          <w:szCs w:val="24"/>
          <w:highlight w:val="none"/>
        </w:rPr>
      </w:pPr>
      <w:bookmarkStart w:id="811" w:name="_Toc11639_WPSOffice_Level2"/>
    </w:p>
    <w:p>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11"/>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
                <w:color w:val="auto"/>
                <w:kern w:val="0"/>
                <w:szCs w:val="21"/>
                <w:highlight w:val="none"/>
              </w:rPr>
            </w:pPr>
            <w:bookmarkStart w:id="812" w:name="_Hlk104987779"/>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olor w:val="auto"/>
                <w:sz w:val="21"/>
                <w:szCs w:val="21"/>
                <w:highlight w:val="none"/>
              </w:rPr>
              <w:t>用户需求的响应程度</w:t>
            </w:r>
          </w:p>
        </w:tc>
        <w:tc>
          <w:tcPr>
            <w:tcW w:w="76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olor w:val="auto"/>
                <w:sz w:val="21"/>
                <w:szCs w:val="21"/>
                <w:highlight w:val="none"/>
                <w:lang w:val="zh-CN"/>
              </w:rPr>
              <w:t>对用户需求偏离表的偏离情况进行评审计分，完全满足用户需求书的要求得满分；每一处负偏离扣1分；同时参照其投标文件中其它部分的内容进行对比，每发现一处投标人填写为无偏离或正偏离，但评标委员会评审认定其为负偏离的，每处扣5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总体服务方案</w:t>
            </w:r>
          </w:p>
        </w:tc>
        <w:tc>
          <w:tcPr>
            <w:tcW w:w="76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olor w:val="auto"/>
                <w:sz w:val="21"/>
                <w:szCs w:val="21"/>
                <w:highlight w:val="none"/>
              </w:rPr>
              <w:t>根据各投标人提供的总体服务方案（包括针对本项目服务的组织实施方案、</w:t>
            </w:r>
            <w:r>
              <w:rPr>
                <w:rFonts w:hint="eastAsia" w:ascii="宋体" w:hAnsi="宋体" w:eastAsia="宋体" w:cstheme="minorBidi"/>
                <w:color w:val="auto"/>
                <w:szCs w:val="21"/>
                <w:highlight w:val="none"/>
                <w:lang w:val="en-US" w:eastAsia="zh-CN"/>
              </w:rPr>
              <w:t>收运服务</w:t>
            </w:r>
            <w:r>
              <w:rPr>
                <w:rFonts w:hint="eastAsia" w:ascii="宋体" w:hAnsi="宋体" w:eastAsia="宋体"/>
                <w:color w:val="auto"/>
                <w:sz w:val="21"/>
                <w:szCs w:val="21"/>
                <w:highlight w:val="none"/>
              </w:rPr>
              <w:t>方案</w:t>
            </w:r>
            <w:r>
              <w:rPr>
                <w:rFonts w:hint="eastAsia" w:ascii="宋体" w:hAnsi="宋体" w:eastAsia="宋体"/>
                <w:color w:val="auto"/>
                <w:sz w:val="21"/>
                <w:szCs w:val="21"/>
                <w:highlight w:val="none"/>
                <w:lang w:eastAsia="zh-CN"/>
              </w:rPr>
              <w:t>、</w:t>
            </w:r>
            <w:r>
              <w:rPr>
                <w:rFonts w:hint="eastAsia" w:ascii="宋体" w:hAnsi="宋体" w:eastAsia="宋体" w:cstheme="minorBidi"/>
                <w:color w:val="auto"/>
                <w:kern w:val="2"/>
                <w:sz w:val="21"/>
                <w:szCs w:val="21"/>
                <w:highlight w:val="none"/>
                <w:lang w:val="zh-CN"/>
              </w:rPr>
              <w:t>服务质量保证措施</w:t>
            </w:r>
            <w:r>
              <w:rPr>
                <w:rFonts w:hint="eastAsia" w:ascii="宋体" w:hAnsi="宋体" w:eastAsia="宋体"/>
                <w:color w:val="auto"/>
                <w:sz w:val="21"/>
                <w:szCs w:val="21"/>
                <w:highlight w:val="none"/>
              </w:rPr>
              <w:t>等）进行横向对比，按优</w:t>
            </w:r>
            <w:r>
              <w:rPr>
                <w:rFonts w:hint="eastAsia" w:ascii="宋体" w:hAnsi="宋体" w:eastAsia="宋体" w:cstheme="minorBidi"/>
                <w:color w:val="auto"/>
                <w:szCs w:val="21"/>
                <w:highlight w:val="none"/>
              </w:rPr>
              <w:t>[</w:t>
            </w:r>
            <w:r>
              <w:rPr>
                <w:rFonts w:hint="eastAsia" w:ascii="宋体" w:hAnsi="宋体" w:eastAsia="宋体" w:cstheme="minorBidi"/>
                <w:color w:val="auto"/>
                <w:szCs w:val="21"/>
                <w:highlight w:val="none"/>
                <w:lang w:val="en-US" w:eastAsia="zh-CN"/>
              </w:rPr>
              <w:t>8</w:t>
            </w:r>
            <w:r>
              <w:rPr>
                <w:rFonts w:hint="eastAsia" w:ascii="宋体" w:hAnsi="宋体" w:eastAsia="宋体" w:cstheme="minorBidi"/>
                <w:color w:val="auto"/>
                <w:szCs w:val="21"/>
                <w:highlight w:val="none"/>
              </w:rPr>
              <w:t>-</w:t>
            </w:r>
            <w:r>
              <w:rPr>
                <w:rFonts w:hint="eastAsia" w:ascii="宋体" w:hAnsi="宋体" w:eastAsia="宋体" w:cstheme="minorBidi"/>
                <w:color w:val="auto"/>
                <w:szCs w:val="21"/>
                <w:highlight w:val="none"/>
                <w:lang w:val="en-US" w:eastAsia="zh-CN"/>
              </w:rPr>
              <w:t>6</w:t>
            </w:r>
            <w:r>
              <w:rPr>
                <w:rFonts w:hint="eastAsia" w:ascii="宋体" w:hAnsi="宋体" w:eastAsia="宋体" w:cstheme="minorBidi"/>
                <w:color w:val="auto"/>
                <w:szCs w:val="21"/>
                <w:highlight w:val="none"/>
              </w:rPr>
              <w:t>分]、良（</w:t>
            </w:r>
            <w:r>
              <w:rPr>
                <w:rFonts w:hint="eastAsia" w:ascii="宋体" w:hAnsi="宋体" w:eastAsia="宋体" w:cstheme="minorBidi"/>
                <w:color w:val="auto"/>
                <w:szCs w:val="21"/>
                <w:highlight w:val="none"/>
                <w:lang w:val="en-US" w:eastAsia="zh-CN"/>
              </w:rPr>
              <w:t>6</w:t>
            </w:r>
            <w:r>
              <w:rPr>
                <w:rFonts w:hint="eastAsia" w:ascii="宋体" w:hAnsi="宋体" w:eastAsia="宋体" w:cstheme="minorBidi"/>
                <w:color w:val="auto"/>
                <w:szCs w:val="21"/>
                <w:highlight w:val="none"/>
              </w:rPr>
              <w:t>-</w:t>
            </w:r>
            <w:r>
              <w:rPr>
                <w:rFonts w:hint="eastAsia" w:ascii="宋体" w:hAnsi="宋体" w:eastAsia="宋体" w:cstheme="minorBidi"/>
                <w:color w:val="auto"/>
                <w:szCs w:val="21"/>
                <w:highlight w:val="none"/>
                <w:lang w:val="en-US" w:eastAsia="zh-CN"/>
              </w:rPr>
              <w:t>4</w:t>
            </w:r>
            <w:r>
              <w:rPr>
                <w:rFonts w:hint="eastAsia" w:ascii="宋体" w:hAnsi="宋体" w:eastAsia="宋体" w:cstheme="minorBidi"/>
                <w:color w:val="auto"/>
                <w:szCs w:val="21"/>
                <w:highlight w:val="none"/>
              </w:rPr>
              <w:t>分]、中（</w:t>
            </w:r>
            <w:r>
              <w:rPr>
                <w:rFonts w:hint="eastAsia" w:ascii="宋体" w:hAnsi="宋体" w:eastAsia="宋体" w:cstheme="minorBidi"/>
                <w:color w:val="auto"/>
                <w:szCs w:val="21"/>
                <w:highlight w:val="none"/>
                <w:lang w:val="en-US" w:eastAsia="zh-CN"/>
              </w:rPr>
              <w:t>4</w:t>
            </w:r>
            <w:r>
              <w:rPr>
                <w:rFonts w:hint="eastAsia" w:ascii="宋体" w:hAnsi="宋体" w:eastAsia="宋体" w:cstheme="minorBidi"/>
                <w:color w:val="auto"/>
                <w:szCs w:val="21"/>
                <w:highlight w:val="none"/>
              </w:rPr>
              <w:t>-2分]、差（2-0分]</w:t>
            </w:r>
            <w:r>
              <w:rPr>
                <w:rFonts w:hint="eastAsia" w:ascii="宋体" w:hAnsi="宋体" w:eastAsia="宋体"/>
                <w:color w:val="auto"/>
                <w:sz w:val="21"/>
                <w:szCs w:val="21"/>
                <w:highlight w:val="none"/>
              </w:rPr>
              <w:t>进行评审。</w:t>
            </w:r>
          </w:p>
        </w:tc>
        <w:tc>
          <w:tcPr>
            <w:tcW w:w="90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Cs w:val="21"/>
                <w:highlight w:val="none"/>
              </w:rPr>
              <w:t>拟投入的人员情况</w:t>
            </w:r>
          </w:p>
        </w:tc>
        <w:tc>
          <w:tcPr>
            <w:tcW w:w="7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对投标人拟投入本项目的收运</w:t>
            </w:r>
            <w:r>
              <w:rPr>
                <w:rFonts w:hint="eastAsia" w:ascii="宋体" w:hAnsi="宋体" w:eastAsia="宋体" w:cs="宋体"/>
                <w:color w:val="auto"/>
                <w:highlight w:val="none"/>
                <w:lang w:val="en-US" w:eastAsia="zh-CN"/>
              </w:rPr>
              <w:t>司机中</w:t>
            </w:r>
            <w:r>
              <w:rPr>
                <w:rFonts w:hint="eastAsia" w:ascii="宋体" w:hAnsi="宋体" w:eastAsia="宋体" w:cs="宋体"/>
                <w:color w:val="auto"/>
                <w:highlight w:val="none"/>
              </w:rPr>
              <w:t>，投入驾龄超过</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年(含</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年)的</w:t>
            </w:r>
            <w:r>
              <w:rPr>
                <w:rFonts w:hint="eastAsia" w:ascii="宋体" w:hAnsi="宋体" w:eastAsia="宋体" w:cs="宋体"/>
                <w:color w:val="auto"/>
                <w:highlight w:val="none"/>
                <w:lang w:val="en-US" w:eastAsia="zh-CN"/>
              </w:rPr>
              <w:t>收运司机</w:t>
            </w:r>
            <w:r>
              <w:rPr>
                <w:rFonts w:hint="eastAsia" w:ascii="宋体" w:hAnsi="宋体" w:eastAsia="宋体" w:cs="宋体"/>
                <w:color w:val="auto"/>
                <w:highlight w:val="none"/>
              </w:rPr>
              <w:t>数量进行评审，每一位驾龄超过</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年(含</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年)的运输人员得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分，满分为</w:t>
            </w:r>
            <w:r>
              <w:rPr>
                <w:rFonts w:hint="eastAsia" w:ascii="宋体" w:hAnsi="宋体" w:eastAsia="宋体" w:cs="宋体"/>
                <w:color w:val="auto"/>
                <w:highlight w:val="none"/>
                <w:lang w:val="en-US" w:eastAsia="zh-CN"/>
              </w:rPr>
              <w:t>7分。</w:t>
            </w:r>
          </w:p>
          <w:p>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备注:</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(1)驾龄按取得</w:t>
            </w:r>
            <w:r>
              <w:rPr>
                <w:rFonts w:hint="eastAsia" w:ascii="宋体" w:hAnsi="宋体" w:eastAsia="宋体" w:cs="宋体"/>
                <w:color w:val="auto"/>
                <w:highlight w:val="none"/>
                <w:lang w:val="en-US" w:eastAsia="zh-CN"/>
              </w:rPr>
              <w:t>B</w:t>
            </w: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或A2或A1</w:t>
            </w:r>
            <w:r>
              <w:rPr>
                <w:rFonts w:hint="eastAsia" w:ascii="宋体" w:hAnsi="宋体" w:eastAsia="宋体" w:cs="宋体"/>
                <w:color w:val="auto"/>
                <w:highlight w:val="none"/>
              </w:rPr>
              <w:t>驾驶证的年份计算，驾龄不足</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年的运输人员数量不列入评审。</w:t>
            </w:r>
          </w:p>
          <w:p>
            <w:pPr>
              <w:autoSpaceDE w:val="0"/>
              <w:autoSpaceDN w:val="0"/>
              <w:spacing w:line="360" w:lineRule="auto"/>
              <w:rPr>
                <w:rFonts w:hint="eastAsia" w:ascii="宋体" w:hAnsi="宋体" w:eastAsia="宋体"/>
                <w:color w:val="auto"/>
                <w:sz w:val="21"/>
                <w:szCs w:val="21"/>
                <w:highlight w:val="none"/>
                <w:lang w:val="zh-CN"/>
              </w:rPr>
            </w:pPr>
            <w:r>
              <w:rPr>
                <w:rFonts w:hint="eastAsia" w:ascii="宋体" w:hAnsi="宋体" w:eastAsia="宋体" w:cs="宋体"/>
                <w:color w:val="auto"/>
                <w:highlight w:val="none"/>
              </w:rPr>
              <w:t>(2)</w:t>
            </w:r>
            <w:r>
              <w:rPr>
                <w:rFonts w:hint="eastAsia" w:ascii="宋体" w:hAnsi="宋体" w:eastAsia="宋体" w:cs="宋体"/>
                <w:color w:val="auto"/>
                <w:kern w:val="0"/>
                <w:szCs w:val="21"/>
                <w:highlight w:val="none"/>
              </w:rPr>
              <w:t>需提供上述人员</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szCs w:val="21"/>
                <w:highlight w:val="none"/>
                <w:lang w:val="zh-CN"/>
              </w:rPr>
              <w:t>身份证、劳动合同的复印件、人力资源和社会保障部门（或税务部门）出具的近</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lang w:val="zh-CN"/>
              </w:rPr>
              <w:t>个月（</w:t>
            </w:r>
            <w:r>
              <w:rPr>
                <w:rFonts w:hint="eastAsia" w:ascii="宋体" w:hAnsi="宋体" w:eastAsia="宋体" w:cs="宋体"/>
                <w:color w:val="auto"/>
                <w:szCs w:val="21"/>
                <w:highlight w:val="none"/>
                <w:lang w:val="en-US" w:eastAsia="zh-CN"/>
              </w:rPr>
              <w:t>2023年9月、</w:t>
            </w:r>
            <w:r>
              <w:rPr>
                <w:rFonts w:hint="eastAsia" w:ascii="宋体" w:hAnsi="宋体" w:eastAsia="宋体" w:cs="宋体"/>
                <w:color w:val="auto"/>
                <w:szCs w:val="21"/>
                <w:highlight w:val="none"/>
                <w:lang w:val="zh-CN"/>
              </w:rPr>
              <w:t>2023年</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月、2023年</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月、2023年</w:t>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en-US" w:eastAsia="zh-CN"/>
              </w:rPr>
              <w:t>2024年1月、2024年2月</w:t>
            </w:r>
            <w:r>
              <w:rPr>
                <w:rFonts w:hint="eastAsia" w:ascii="宋体" w:hAnsi="宋体" w:eastAsia="宋体" w:cs="宋体"/>
                <w:color w:val="auto"/>
                <w:szCs w:val="21"/>
                <w:highlight w:val="none"/>
                <w:lang w:val="zh-CN"/>
              </w:rPr>
              <w:t>）投标人为其缴纳的社保证明复印件</w:t>
            </w:r>
            <w:r>
              <w:rPr>
                <w:rFonts w:hint="eastAsia" w:ascii="宋体" w:hAnsi="宋体" w:eastAsia="宋体" w:cs="宋体"/>
                <w:color w:val="auto"/>
                <w:highlight w:val="none"/>
              </w:rPr>
              <w:t>、驾驶证复印件，提供的</w:t>
            </w:r>
            <w:r>
              <w:rPr>
                <w:rFonts w:hint="eastAsia" w:ascii="宋体" w:hAnsi="宋体" w:eastAsia="宋体" w:cs="宋体"/>
                <w:color w:val="auto"/>
                <w:szCs w:val="21"/>
                <w:highlight w:val="none"/>
                <w:lang w:val="zh-CN"/>
              </w:rPr>
              <w:t>身份证、劳动合同、</w:t>
            </w:r>
            <w:r>
              <w:rPr>
                <w:rFonts w:hint="eastAsia" w:ascii="宋体" w:hAnsi="宋体" w:eastAsia="宋体" w:cs="宋体"/>
                <w:color w:val="auto"/>
                <w:highlight w:val="none"/>
              </w:rPr>
              <w:t>驾驶证</w:t>
            </w:r>
            <w:r>
              <w:rPr>
                <w:rFonts w:hint="eastAsia" w:ascii="宋体" w:hAnsi="宋体" w:eastAsia="宋体" w:cs="宋体"/>
                <w:color w:val="auto"/>
                <w:szCs w:val="21"/>
                <w:highlight w:val="none"/>
                <w:lang w:val="zh-CN"/>
              </w:rPr>
              <w:t>、社保证明的人员名称需一致时才统计得分，不提供或人员名称不一致不得分。</w:t>
            </w:r>
          </w:p>
        </w:tc>
        <w:tc>
          <w:tcPr>
            <w:tcW w:w="90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134" w:type="dxa"/>
            <w:tcBorders>
              <w:top w:val="single" w:color="auto" w:sz="4" w:space="0"/>
              <w:left w:val="single" w:color="auto" w:sz="4" w:space="0"/>
              <w:bottom w:val="single" w:color="auto" w:sz="4" w:space="0"/>
              <w:right w:val="single" w:color="auto" w:sz="4" w:space="0"/>
            </w:tcBorders>
            <w:vAlign w:val="center"/>
          </w:tcPr>
          <w:p>
            <w:pPr>
              <w:pStyle w:val="65"/>
              <w:spacing w:line="36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安全管理方案</w:t>
            </w:r>
          </w:p>
        </w:tc>
        <w:tc>
          <w:tcPr>
            <w:tcW w:w="76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横向比较各投标人垃圾收运安全操作、管理的手段和措施、作业防护措施、安全管理制度及贯彻，根据方案及措施切合实际的程度、详细具体的程度及承诺情况，按优</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分]、良（</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分]、中（</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-1分]、差（1-0分]</w:t>
            </w:r>
            <w:r>
              <w:rPr>
                <w:rFonts w:hint="eastAsia" w:ascii="宋体" w:hAnsi="宋体" w:eastAsia="宋体"/>
                <w:color w:val="auto"/>
                <w:sz w:val="21"/>
                <w:szCs w:val="21"/>
                <w:highlight w:val="none"/>
                <w:lang w:val="zh-CN"/>
              </w:rPr>
              <w:t>进行评审。</w:t>
            </w:r>
          </w:p>
        </w:tc>
        <w:tc>
          <w:tcPr>
            <w:tcW w:w="90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7" w:type="pct"/>
            <w:tcBorders>
              <w:top w:val="single" w:color="auto" w:sz="4" w:space="0"/>
              <w:left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应急预案和保障措施</w:t>
            </w:r>
          </w:p>
        </w:tc>
        <w:tc>
          <w:tcPr>
            <w:tcW w:w="3691" w:type="pct"/>
            <w:tcBorders>
              <w:top w:val="single" w:color="auto" w:sz="4" w:space="0"/>
              <w:left w:val="single" w:color="auto" w:sz="4" w:space="0"/>
              <w:right w:val="single" w:color="auto" w:sz="4" w:space="0"/>
            </w:tcBorders>
            <w:vAlign w:val="center"/>
          </w:tcPr>
          <w:p>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highlight w:val="none"/>
                <w:lang w:val="en-US" w:eastAsia="zh-CN"/>
              </w:rPr>
              <w:t>横向比较各投标人应急预案和保障措施，包括针对特殊天气、公共卫生事件、车辆故障、交通事故、人员应急调配、劳务纠纷、工伤事故等的应急方案和保障措施切合实际的程度、详细具体的程度及可操作性情况</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rPr>
              <w:t>按优[</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分]、良（</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分]、中（</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-1分]、差（1-0分]进行评审</w:t>
            </w:r>
            <w:r>
              <w:rPr>
                <w:rFonts w:hint="eastAsia" w:ascii="宋体" w:hAnsi="宋体" w:eastAsia="宋体" w:cs="宋体"/>
                <w:color w:val="auto"/>
                <w:sz w:val="21"/>
                <w:szCs w:val="21"/>
                <w:highlight w:val="none"/>
                <w:lang w:val="zh-CN"/>
              </w:rPr>
              <w:t>。</w:t>
            </w:r>
          </w:p>
        </w:tc>
        <w:tc>
          <w:tcPr>
            <w:tcW w:w="437" w:type="pct"/>
            <w:tcBorders>
              <w:top w:val="single" w:color="auto" w:sz="4" w:space="0"/>
              <w:left w:val="single" w:color="auto" w:sz="4" w:space="0"/>
              <w:right w:val="single" w:color="auto" w:sz="4" w:space="0"/>
            </w:tcBorders>
            <w:vAlign w:val="center"/>
          </w:tcPr>
          <w:p>
            <w:pPr>
              <w:snapToGrid w:val="0"/>
              <w:spacing w:line="4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分</w:t>
            </w:r>
          </w:p>
        </w:tc>
      </w:tr>
      <w:bookmarkEnd w:id="812"/>
    </w:tbl>
    <w:p>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pPr>
        <w:autoSpaceDE w:val="0"/>
        <w:autoSpaceDN w:val="0"/>
        <w:adjustRightInd w:val="0"/>
        <w:spacing w:line="360" w:lineRule="auto"/>
        <w:ind w:left="420" w:leftChars="200"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20" w:leftChars="200" w:firstLine="420" w:firstLineChars="200"/>
        <w:rPr>
          <w:rFonts w:hint="eastAsia" w:ascii="宋体" w:hAnsi="宋体" w:eastAsia="宋体" w:cs="宋体"/>
          <w:color w:val="auto"/>
          <w:kern w:val="0"/>
          <w:szCs w:val="21"/>
          <w:highlight w:val="none"/>
          <w:lang w:val="zh-CN"/>
        </w:rPr>
      </w:pPr>
    </w:p>
    <w:p>
      <w:pPr>
        <w:spacing w:line="360" w:lineRule="auto"/>
        <w:ind w:left="480"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color w:val="auto"/>
          <w:szCs w:val="21"/>
          <w:highlight w:val="none"/>
          <w:lang w:val="en-US" w:eastAsia="zh-CN"/>
        </w:rPr>
        <w:t>40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rPr>
          <w:rFonts w:hint="eastAsia" w:ascii="宋体" w:hAnsi="宋体" w:eastAsia="宋体" w:cs="宋体"/>
          <w:color w:val="auto"/>
          <w:kern w:val="0"/>
          <w:szCs w:val="28"/>
          <w:highlight w:val="none"/>
          <w:lang w:val="zh-CN"/>
        </w:rPr>
      </w:pPr>
      <w:bookmarkStart w:id="813" w:name="_Toc31624_WPSOffice_Level2"/>
      <w:r>
        <w:rPr>
          <w:rFonts w:hint="eastAsia" w:ascii="宋体" w:hAnsi="宋体" w:eastAsia="宋体" w:cs="宋体"/>
          <w:color w:val="auto"/>
          <w:kern w:val="0"/>
          <w:szCs w:val="28"/>
          <w:highlight w:val="none"/>
          <w:lang w:val="zh-CN"/>
        </w:rPr>
        <w:t>评标总得分=F1＋F2＋……+Fn</w:t>
      </w:r>
      <w:bookmarkEnd w:id="813"/>
    </w:p>
    <w:p>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814" w:name="_Toc13236_WPSOffice_Level2"/>
      <w:r>
        <w:rPr>
          <w:rFonts w:hint="eastAsia" w:ascii="宋体" w:hAnsi="宋体" w:eastAsia="宋体" w:cs="宋体"/>
          <w:color w:val="auto"/>
          <w:kern w:val="0"/>
          <w:szCs w:val="21"/>
          <w:highlight w:val="none"/>
        </w:rPr>
        <w:t>F1、F2、……Fn分别为各项评分因素的得分</w:t>
      </w:r>
      <w:bookmarkEnd w:id="814"/>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815" w:name="_Toc518_WPSOffice_Level1"/>
      <w:r>
        <w:rPr>
          <w:rFonts w:hint="eastAsia" w:ascii="宋体" w:hAnsi="宋体" w:eastAsia="宋体" w:cs="宋体"/>
          <w:b/>
          <w:bCs/>
          <w:color w:val="auto"/>
          <w:sz w:val="28"/>
          <w:szCs w:val="28"/>
          <w:highlight w:val="none"/>
          <w:lang w:val="zh-CN"/>
        </w:rPr>
        <w:t>五、推荐中标人</w:t>
      </w:r>
      <w:bookmarkEnd w:id="815"/>
    </w:p>
    <w:p>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816" w:name="_Toc22724_WPSOffice_Level1"/>
      <w:r>
        <w:rPr>
          <w:rFonts w:hint="eastAsia" w:ascii="宋体" w:hAnsi="宋体" w:eastAsia="宋体" w:cs="宋体"/>
          <w:b/>
          <w:bCs/>
          <w:color w:val="auto"/>
          <w:sz w:val="28"/>
          <w:szCs w:val="28"/>
          <w:highlight w:val="none"/>
          <w:lang w:val="zh-CN"/>
        </w:rPr>
        <w:t>六、编写评标报告</w:t>
      </w:r>
      <w:bookmarkEnd w:id="816"/>
    </w:p>
    <w:p>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817" w:name="_Toc23773_WPSOffice_Level1"/>
      <w:r>
        <w:rPr>
          <w:rFonts w:hint="eastAsia" w:ascii="宋体" w:hAnsi="宋体" w:eastAsia="宋体" w:cs="宋体"/>
          <w:b/>
          <w:bCs/>
          <w:color w:val="auto"/>
          <w:sz w:val="28"/>
          <w:szCs w:val="28"/>
          <w:highlight w:val="none"/>
          <w:lang w:val="zh-CN"/>
        </w:rPr>
        <w:t>七、注意事项</w:t>
      </w:r>
      <w:bookmarkEnd w:id="817"/>
    </w:p>
    <w:p>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hint="eastAsia" w:ascii="宋体" w:hAnsi="宋体" w:eastAsia="宋体" w:cs="宋体"/>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780"/>
    <w:bookmarkEnd w:id="792"/>
    <w:bookmarkEnd w:id="793"/>
    <w:bookmarkEnd w:id="794"/>
    <w:p>
      <w:pPr>
        <w:widowControl/>
        <w:jc w:val="left"/>
        <w:rPr>
          <w:rFonts w:hint="eastAsia" w:ascii="宋体" w:hAnsi="宋体" w:eastAsia="宋体" w:cs="宋体"/>
          <w:color w:val="auto"/>
          <w:szCs w:val="24"/>
          <w:highlight w:val="none"/>
          <w:lang w:val="zh-CN"/>
        </w:rPr>
      </w:pPr>
    </w:p>
    <w:p>
      <w:pPr>
        <w:rPr>
          <w:rFonts w:eastAsia="+中文正文"/>
          <w:color w:val="auto"/>
          <w:highlight w:val="none"/>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中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C7295"/>
    <w:multiLevelType w:val="singleLevel"/>
    <w:tmpl w:val="A91C7295"/>
    <w:lvl w:ilvl="0" w:tentative="0">
      <w:start w:val="3"/>
      <w:numFmt w:val="chineseCounting"/>
      <w:suff w:val="nothing"/>
      <w:lvlText w:val="（%1）"/>
      <w:lvlJc w:val="left"/>
      <w:rPr>
        <w:rFonts w:hint="eastAsia"/>
      </w:rPr>
    </w:lvl>
  </w:abstractNum>
  <w:abstractNum w:abstractNumId="1">
    <w:nsid w:val="0DBEAF8D"/>
    <w:multiLevelType w:val="singleLevel"/>
    <w:tmpl w:val="0DBEAF8D"/>
    <w:lvl w:ilvl="0" w:tentative="0">
      <w:start w:val="1"/>
      <w:numFmt w:val="decimal"/>
      <w:suff w:val="nothing"/>
      <w:lvlText w:val="（%1）"/>
      <w:lvlJc w:val="left"/>
      <w:rPr>
        <w:rFonts w:hint="default"/>
        <w:sz w:val="21"/>
        <w:szCs w:val="21"/>
      </w:r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kZGMxMDkyNjQ5NTkzOTgyYjBmMjI5NGM0NGU3Zjc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348"/>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54589"/>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494E"/>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17684"/>
    <w:rsid w:val="012313A8"/>
    <w:rsid w:val="01473520"/>
    <w:rsid w:val="01487DF2"/>
    <w:rsid w:val="018F2A41"/>
    <w:rsid w:val="01F23A04"/>
    <w:rsid w:val="01F96365"/>
    <w:rsid w:val="022F3839"/>
    <w:rsid w:val="0256408D"/>
    <w:rsid w:val="027222F2"/>
    <w:rsid w:val="036335EF"/>
    <w:rsid w:val="03EF1BF3"/>
    <w:rsid w:val="040E11D0"/>
    <w:rsid w:val="040E4592"/>
    <w:rsid w:val="04446205"/>
    <w:rsid w:val="04582192"/>
    <w:rsid w:val="04AC7FD5"/>
    <w:rsid w:val="04B74C29"/>
    <w:rsid w:val="04E2157A"/>
    <w:rsid w:val="058F7720"/>
    <w:rsid w:val="059459D8"/>
    <w:rsid w:val="05C80A15"/>
    <w:rsid w:val="06707CA1"/>
    <w:rsid w:val="069D39AB"/>
    <w:rsid w:val="06A75D00"/>
    <w:rsid w:val="071874D5"/>
    <w:rsid w:val="07195727"/>
    <w:rsid w:val="07697D31"/>
    <w:rsid w:val="07F75D8B"/>
    <w:rsid w:val="08010F28"/>
    <w:rsid w:val="08B651F8"/>
    <w:rsid w:val="08D35DAA"/>
    <w:rsid w:val="08D85501"/>
    <w:rsid w:val="09061ADF"/>
    <w:rsid w:val="09267C87"/>
    <w:rsid w:val="095E1B17"/>
    <w:rsid w:val="09630EDC"/>
    <w:rsid w:val="096609CC"/>
    <w:rsid w:val="096B5FE2"/>
    <w:rsid w:val="09CD35A1"/>
    <w:rsid w:val="09E0077E"/>
    <w:rsid w:val="09E638BB"/>
    <w:rsid w:val="0A83110A"/>
    <w:rsid w:val="0B321D87"/>
    <w:rsid w:val="0C3C3C66"/>
    <w:rsid w:val="0CB43521"/>
    <w:rsid w:val="0D220D94"/>
    <w:rsid w:val="0D9553DC"/>
    <w:rsid w:val="0DC65E1C"/>
    <w:rsid w:val="0DCB6F7B"/>
    <w:rsid w:val="0DE0102D"/>
    <w:rsid w:val="0EAB141B"/>
    <w:rsid w:val="0EE23AFE"/>
    <w:rsid w:val="0F241091"/>
    <w:rsid w:val="0F331D95"/>
    <w:rsid w:val="0F8971C2"/>
    <w:rsid w:val="0FDC3796"/>
    <w:rsid w:val="1004348A"/>
    <w:rsid w:val="100E02A6"/>
    <w:rsid w:val="109930D0"/>
    <w:rsid w:val="10B8790D"/>
    <w:rsid w:val="10BC03C7"/>
    <w:rsid w:val="10DB7792"/>
    <w:rsid w:val="11457119"/>
    <w:rsid w:val="121511E1"/>
    <w:rsid w:val="127952CC"/>
    <w:rsid w:val="12E2395B"/>
    <w:rsid w:val="12F11306"/>
    <w:rsid w:val="130F4A87"/>
    <w:rsid w:val="13511DA5"/>
    <w:rsid w:val="137B1518"/>
    <w:rsid w:val="137B32C6"/>
    <w:rsid w:val="14237C67"/>
    <w:rsid w:val="147A360C"/>
    <w:rsid w:val="154020D1"/>
    <w:rsid w:val="15935443"/>
    <w:rsid w:val="15A13C38"/>
    <w:rsid w:val="15AC3C0A"/>
    <w:rsid w:val="15AD5965"/>
    <w:rsid w:val="16266CC9"/>
    <w:rsid w:val="16565924"/>
    <w:rsid w:val="168D0A72"/>
    <w:rsid w:val="16B60189"/>
    <w:rsid w:val="16DB6903"/>
    <w:rsid w:val="16F12E9F"/>
    <w:rsid w:val="174D6D27"/>
    <w:rsid w:val="182745FA"/>
    <w:rsid w:val="189173D4"/>
    <w:rsid w:val="18CF15C5"/>
    <w:rsid w:val="194B4C86"/>
    <w:rsid w:val="196B7938"/>
    <w:rsid w:val="19704F4F"/>
    <w:rsid w:val="1AB31597"/>
    <w:rsid w:val="1B0940FF"/>
    <w:rsid w:val="1B444FAC"/>
    <w:rsid w:val="1B55264E"/>
    <w:rsid w:val="1BB9498B"/>
    <w:rsid w:val="1BC021BE"/>
    <w:rsid w:val="1BD16DFE"/>
    <w:rsid w:val="1CAD0D86"/>
    <w:rsid w:val="1CE65C54"/>
    <w:rsid w:val="1D3B6217"/>
    <w:rsid w:val="1DA17DCD"/>
    <w:rsid w:val="1E0812B2"/>
    <w:rsid w:val="1E552DAD"/>
    <w:rsid w:val="1E8714F2"/>
    <w:rsid w:val="1EA54681"/>
    <w:rsid w:val="1EB761DF"/>
    <w:rsid w:val="1ED146E2"/>
    <w:rsid w:val="1FA45268"/>
    <w:rsid w:val="1FB5190D"/>
    <w:rsid w:val="1FD91AA0"/>
    <w:rsid w:val="20575FF4"/>
    <w:rsid w:val="207A1985"/>
    <w:rsid w:val="21607FF0"/>
    <w:rsid w:val="21771570"/>
    <w:rsid w:val="220F258C"/>
    <w:rsid w:val="226715E5"/>
    <w:rsid w:val="22C62CF4"/>
    <w:rsid w:val="22EF001E"/>
    <w:rsid w:val="23531B69"/>
    <w:rsid w:val="23A06120"/>
    <w:rsid w:val="23AB5501"/>
    <w:rsid w:val="23EF086D"/>
    <w:rsid w:val="243C319A"/>
    <w:rsid w:val="25787E99"/>
    <w:rsid w:val="268C17A5"/>
    <w:rsid w:val="26CF3B68"/>
    <w:rsid w:val="26D134D1"/>
    <w:rsid w:val="2751016E"/>
    <w:rsid w:val="2756665E"/>
    <w:rsid w:val="286E02B3"/>
    <w:rsid w:val="288B57BC"/>
    <w:rsid w:val="28AC24C6"/>
    <w:rsid w:val="28C301EC"/>
    <w:rsid w:val="28CA3E69"/>
    <w:rsid w:val="28CD7B64"/>
    <w:rsid w:val="28DA73F5"/>
    <w:rsid w:val="29017971"/>
    <w:rsid w:val="29AE6B2F"/>
    <w:rsid w:val="29F86FC6"/>
    <w:rsid w:val="2A612DBE"/>
    <w:rsid w:val="2A8B37C2"/>
    <w:rsid w:val="2A9A007E"/>
    <w:rsid w:val="2A9E4307"/>
    <w:rsid w:val="2B4A69C0"/>
    <w:rsid w:val="2C387B4E"/>
    <w:rsid w:val="2C78619D"/>
    <w:rsid w:val="2CB65D01"/>
    <w:rsid w:val="2CED26E7"/>
    <w:rsid w:val="2CFC2BFE"/>
    <w:rsid w:val="2E1415D6"/>
    <w:rsid w:val="2E4D6FF7"/>
    <w:rsid w:val="2E7B1F74"/>
    <w:rsid w:val="2E9F2106"/>
    <w:rsid w:val="2F882B9B"/>
    <w:rsid w:val="2FA057DA"/>
    <w:rsid w:val="2FAA40AC"/>
    <w:rsid w:val="2FB562DA"/>
    <w:rsid w:val="2FF24A22"/>
    <w:rsid w:val="2FFA0B39"/>
    <w:rsid w:val="2FFD0E93"/>
    <w:rsid w:val="30174E58"/>
    <w:rsid w:val="306E5A5C"/>
    <w:rsid w:val="30F32296"/>
    <w:rsid w:val="314D028A"/>
    <w:rsid w:val="31927D00"/>
    <w:rsid w:val="321220BF"/>
    <w:rsid w:val="32340DB8"/>
    <w:rsid w:val="32C95F7D"/>
    <w:rsid w:val="33155659"/>
    <w:rsid w:val="33171483"/>
    <w:rsid w:val="333A41AC"/>
    <w:rsid w:val="3352118A"/>
    <w:rsid w:val="338D3BB2"/>
    <w:rsid w:val="33C9525A"/>
    <w:rsid w:val="33E71452"/>
    <w:rsid w:val="34705484"/>
    <w:rsid w:val="3482405C"/>
    <w:rsid w:val="34AE2B9F"/>
    <w:rsid w:val="34E645EB"/>
    <w:rsid w:val="35145B72"/>
    <w:rsid w:val="355530AA"/>
    <w:rsid w:val="359A6C78"/>
    <w:rsid w:val="35A11836"/>
    <w:rsid w:val="35FC5E78"/>
    <w:rsid w:val="362B7D80"/>
    <w:rsid w:val="36405F7D"/>
    <w:rsid w:val="364631D7"/>
    <w:rsid w:val="368928C2"/>
    <w:rsid w:val="36EC3EEB"/>
    <w:rsid w:val="371D2C7C"/>
    <w:rsid w:val="37850378"/>
    <w:rsid w:val="37B07132"/>
    <w:rsid w:val="37D83F93"/>
    <w:rsid w:val="38165564"/>
    <w:rsid w:val="38657F1D"/>
    <w:rsid w:val="38AE3672"/>
    <w:rsid w:val="38CB784F"/>
    <w:rsid w:val="38F00B77"/>
    <w:rsid w:val="395064D7"/>
    <w:rsid w:val="3ADB2718"/>
    <w:rsid w:val="3B027CA5"/>
    <w:rsid w:val="3B1F29B6"/>
    <w:rsid w:val="3B6C511E"/>
    <w:rsid w:val="3BB014AF"/>
    <w:rsid w:val="3C7E335B"/>
    <w:rsid w:val="3CBC13D6"/>
    <w:rsid w:val="3CCB0C01"/>
    <w:rsid w:val="3CE67488"/>
    <w:rsid w:val="3D671B6F"/>
    <w:rsid w:val="3DAB60B8"/>
    <w:rsid w:val="3DD62C43"/>
    <w:rsid w:val="3DE43056"/>
    <w:rsid w:val="3DE87A75"/>
    <w:rsid w:val="3E317B0A"/>
    <w:rsid w:val="3E524A9F"/>
    <w:rsid w:val="3E7E5396"/>
    <w:rsid w:val="3EBC0434"/>
    <w:rsid w:val="3F22611D"/>
    <w:rsid w:val="3F4934CD"/>
    <w:rsid w:val="3F5B255F"/>
    <w:rsid w:val="3FF83CE6"/>
    <w:rsid w:val="40B030CD"/>
    <w:rsid w:val="40DC5A18"/>
    <w:rsid w:val="41406E31"/>
    <w:rsid w:val="41742F7F"/>
    <w:rsid w:val="41767F8A"/>
    <w:rsid w:val="41A05590"/>
    <w:rsid w:val="41FB36A0"/>
    <w:rsid w:val="4242307D"/>
    <w:rsid w:val="42ED361D"/>
    <w:rsid w:val="43B50E83"/>
    <w:rsid w:val="43E315D1"/>
    <w:rsid w:val="440A2AAE"/>
    <w:rsid w:val="44110F59"/>
    <w:rsid w:val="44137BF5"/>
    <w:rsid w:val="442962A2"/>
    <w:rsid w:val="44337121"/>
    <w:rsid w:val="44703F84"/>
    <w:rsid w:val="45483A10"/>
    <w:rsid w:val="46421E66"/>
    <w:rsid w:val="46865662"/>
    <w:rsid w:val="472B77C3"/>
    <w:rsid w:val="474E0314"/>
    <w:rsid w:val="47574ED5"/>
    <w:rsid w:val="475F022D"/>
    <w:rsid w:val="47B448F0"/>
    <w:rsid w:val="47EE25B8"/>
    <w:rsid w:val="481E1E96"/>
    <w:rsid w:val="48DC4216"/>
    <w:rsid w:val="490D72F8"/>
    <w:rsid w:val="494E2307"/>
    <w:rsid w:val="49641B2B"/>
    <w:rsid w:val="496A5A4B"/>
    <w:rsid w:val="498E4E99"/>
    <w:rsid w:val="49A11F60"/>
    <w:rsid w:val="49BD6D9E"/>
    <w:rsid w:val="49DB7A8B"/>
    <w:rsid w:val="4A264C7E"/>
    <w:rsid w:val="4A6A4F1F"/>
    <w:rsid w:val="4B8D1D61"/>
    <w:rsid w:val="4BC8467F"/>
    <w:rsid w:val="4BF421C1"/>
    <w:rsid w:val="4CAA5AA7"/>
    <w:rsid w:val="4CAD5597"/>
    <w:rsid w:val="4CFE53E3"/>
    <w:rsid w:val="4D60282D"/>
    <w:rsid w:val="4DAC2EF1"/>
    <w:rsid w:val="4F0A4599"/>
    <w:rsid w:val="4F532425"/>
    <w:rsid w:val="4F9662AF"/>
    <w:rsid w:val="4F9D1D84"/>
    <w:rsid w:val="4FBE01E7"/>
    <w:rsid w:val="4FC275AB"/>
    <w:rsid w:val="4FE63648"/>
    <w:rsid w:val="5015335A"/>
    <w:rsid w:val="5165679A"/>
    <w:rsid w:val="51DA532E"/>
    <w:rsid w:val="51F960F8"/>
    <w:rsid w:val="51FC3B59"/>
    <w:rsid w:val="524644C3"/>
    <w:rsid w:val="52727066"/>
    <w:rsid w:val="52946FDD"/>
    <w:rsid w:val="52B36040"/>
    <w:rsid w:val="52C957D5"/>
    <w:rsid w:val="535A6478"/>
    <w:rsid w:val="541E18DB"/>
    <w:rsid w:val="54B43966"/>
    <w:rsid w:val="54C17E31"/>
    <w:rsid w:val="54F06565"/>
    <w:rsid w:val="54FE5C21"/>
    <w:rsid w:val="553E2F3E"/>
    <w:rsid w:val="56281660"/>
    <w:rsid w:val="56813D1C"/>
    <w:rsid w:val="56867584"/>
    <w:rsid w:val="56B37004"/>
    <w:rsid w:val="56BA5480"/>
    <w:rsid w:val="578F06BB"/>
    <w:rsid w:val="57CF0AB7"/>
    <w:rsid w:val="58637281"/>
    <w:rsid w:val="58B06B3A"/>
    <w:rsid w:val="58CD3249"/>
    <w:rsid w:val="5934151A"/>
    <w:rsid w:val="59441031"/>
    <w:rsid w:val="59633BAD"/>
    <w:rsid w:val="5991071A"/>
    <w:rsid w:val="59957B00"/>
    <w:rsid w:val="59E335E6"/>
    <w:rsid w:val="59FB128F"/>
    <w:rsid w:val="5A8E4C59"/>
    <w:rsid w:val="5B01542B"/>
    <w:rsid w:val="5BB72341"/>
    <w:rsid w:val="5BE12FA3"/>
    <w:rsid w:val="5BF04500"/>
    <w:rsid w:val="5C043425"/>
    <w:rsid w:val="5C08347F"/>
    <w:rsid w:val="5C205D85"/>
    <w:rsid w:val="5C330F82"/>
    <w:rsid w:val="5C376EBF"/>
    <w:rsid w:val="5C425CFC"/>
    <w:rsid w:val="5C4D6613"/>
    <w:rsid w:val="5CB07453"/>
    <w:rsid w:val="5CC6692D"/>
    <w:rsid w:val="5D8866EC"/>
    <w:rsid w:val="5E451AD3"/>
    <w:rsid w:val="5E586465"/>
    <w:rsid w:val="5EBF421E"/>
    <w:rsid w:val="5F8E329E"/>
    <w:rsid w:val="5FD50C35"/>
    <w:rsid w:val="5FED3BFE"/>
    <w:rsid w:val="60635F5E"/>
    <w:rsid w:val="614C4F26"/>
    <w:rsid w:val="61CB6941"/>
    <w:rsid w:val="62103631"/>
    <w:rsid w:val="626C104E"/>
    <w:rsid w:val="629152E7"/>
    <w:rsid w:val="62B13874"/>
    <w:rsid w:val="62CA6D41"/>
    <w:rsid w:val="62E33669"/>
    <w:rsid w:val="63343EC4"/>
    <w:rsid w:val="63672753"/>
    <w:rsid w:val="63791AC3"/>
    <w:rsid w:val="64E828F6"/>
    <w:rsid w:val="655D74FA"/>
    <w:rsid w:val="65E62E7A"/>
    <w:rsid w:val="661C580F"/>
    <w:rsid w:val="66212E26"/>
    <w:rsid w:val="66276B36"/>
    <w:rsid w:val="664D101B"/>
    <w:rsid w:val="66551CC6"/>
    <w:rsid w:val="667B46D9"/>
    <w:rsid w:val="66EC7F6C"/>
    <w:rsid w:val="674C7A2E"/>
    <w:rsid w:val="67BB5990"/>
    <w:rsid w:val="67E759FE"/>
    <w:rsid w:val="67F307F2"/>
    <w:rsid w:val="68095396"/>
    <w:rsid w:val="68264723"/>
    <w:rsid w:val="68CE4375"/>
    <w:rsid w:val="68D0643D"/>
    <w:rsid w:val="69807E63"/>
    <w:rsid w:val="698711F2"/>
    <w:rsid w:val="69F452BC"/>
    <w:rsid w:val="6A860C13"/>
    <w:rsid w:val="6AAD178D"/>
    <w:rsid w:val="6AB73874"/>
    <w:rsid w:val="6ADA7BBA"/>
    <w:rsid w:val="6AE54422"/>
    <w:rsid w:val="6B315A3D"/>
    <w:rsid w:val="6B3D6996"/>
    <w:rsid w:val="6B4849B1"/>
    <w:rsid w:val="6B855C05"/>
    <w:rsid w:val="6BC248E3"/>
    <w:rsid w:val="6BEE2337"/>
    <w:rsid w:val="6C9368FF"/>
    <w:rsid w:val="6CC649E7"/>
    <w:rsid w:val="6CFF5543"/>
    <w:rsid w:val="6D880556"/>
    <w:rsid w:val="6D903FDF"/>
    <w:rsid w:val="6DDA5CDD"/>
    <w:rsid w:val="6DDB103E"/>
    <w:rsid w:val="6E9F559F"/>
    <w:rsid w:val="6EC951C0"/>
    <w:rsid w:val="6F196D90"/>
    <w:rsid w:val="6F5F71DE"/>
    <w:rsid w:val="6FC4095F"/>
    <w:rsid w:val="70586ED8"/>
    <w:rsid w:val="7087340C"/>
    <w:rsid w:val="70C1148D"/>
    <w:rsid w:val="7116346D"/>
    <w:rsid w:val="711F4406"/>
    <w:rsid w:val="719577D3"/>
    <w:rsid w:val="71EF453A"/>
    <w:rsid w:val="72897D89"/>
    <w:rsid w:val="735B4424"/>
    <w:rsid w:val="73A56E44"/>
    <w:rsid w:val="73A66718"/>
    <w:rsid w:val="73DA2785"/>
    <w:rsid w:val="74370D14"/>
    <w:rsid w:val="744D3DFA"/>
    <w:rsid w:val="74B12652"/>
    <w:rsid w:val="74DD616A"/>
    <w:rsid w:val="75036546"/>
    <w:rsid w:val="751D3132"/>
    <w:rsid w:val="76930B91"/>
    <w:rsid w:val="76A10B1C"/>
    <w:rsid w:val="76BD6253"/>
    <w:rsid w:val="76EC6F5D"/>
    <w:rsid w:val="770164D0"/>
    <w:rsid w:val="77281627"/>
    <w:rsid w:val="774023AA"/>
    <w:rsid w:val="775A7F45"/>
    <w:rsid w:val="77716FA4"/>
    <w:rsid w:val="778E1F92"/>
    <w:rsid w:val="77992A0A"/>
    <w:rsid w:val="78206963"/>
    <w:rsid w:val="786372CE"/>
    <w:rsid w:val="78AE0F69"/>
    <w:rsid w:val="78C80EDF"/>
    <w:rsid w:val="790243F1"/>
    <w:rsid w:val="790D22C6"/>
    <w:rsid w:val="795006A8"/>
    <w:rsid w:val="79C81004"/>
    <w:rsid w:val="79C93E35"/>
    <w:rsid w:val="79EF6B22"/>
    <w:rsid w:val="7A1F45B1"/>
    <w:rsid w:val="7AF406B1"/>
    <w:rsid w:val="7C4B60AF"/>
    <w:rsid w:val="7C81735D"/>
    <w:rsid w:val="7CFE5817"/>
    <w:rsid w:val="7D0F532E"/>
    <w:rsid w:val="7D1B4125"/>
    <w:rsid w:val="7D362A5B"/>
    <w:rsid w:val="7D592F5B"/>
    <w:rsid w:val="7D630A43"/>
    <w:rsid w:val="7D6457E7"/>
    <w:rsid w:val="7E186464"/>
    <w:rsid w:val="7E5F744D"/>
    <w:rsid w:val="7F635305"/>
    <w:rsid w:val="7F654C19"/>
    <w:rsid w:val="7FA3174E"/>
    <w:rsid w:val="7FFD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2"/>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50"/>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6"/>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2"/>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4"/>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4"/>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5"/>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6"/>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7"/>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20"/>
    <w:autoRedefine/>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6"/>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5"/>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8"/>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5"/>
    <w:autoRedefine/>
    <w:unhideWhenUsed/>
    <w:qFormat/>
    <w:uiPriority w:val="99"/>
    <w:pPr>
      <w:jc w:val="left"/>
    </w:pPr>
  </w:style>
  <w:style w:type="paragraph" w:styleId="18">
    <w:name w:val="Body Text 3"/>
    <w:basedOn w:val="1"/>
    <w:link w:val="158"/>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next w:val="2"/>
    <w:link w:val="94"/>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102"/>
    <w:autoRedefine/>
    <w:qFormat/>
    <w:uiPriority w:val="0"/>
    <w:rPr>
      <w:rFonts w:ascii="宋体" w:hAnsi="Courier New" w:eastAsia="宋体"/>
    </w:rPr>
  </w:style>
  <w:style w:type="paragraph" w:styleId="22">
    <w:name w:val="Date"/>
    <w:basedOn w:val="1"/>
    <w:next w:val="1"/>
    <w:link w:val="110"/>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3"/>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6"/>
    <w:autoRedefine/>
    <w:qFormat/>
    <w:uiPriority w:val="0"/>
    <w:rPr>
      <w:rFonts w:ascii="Times New Roman" w:hAnsi="Times New Roman" w:eastAsia="宋体" w:cs="Times New Roman"/>
      <w:sz w:val="18"/>
      <w:szCs w:val="18"/>
    </w:rPr>
  </w:style>
  <w:style w:type="paragraph" w:styleId="25">
    <w:name w:val="footer"/>
    <w:basedOn w:val="1"/>
    <w:link w:val="80"/>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22"/>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6"/>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autoRedefine/>
    <w:semiHidden/>
    <w:unhideWhenUsed/>
    <w:qFormat/>
    <w:uiPriority w:val="39"/>
    <w:pPr>
      <w:ind w:left="420" w:leftChars="200"/>
    </w:pPr>
  </w:style>
  <w:style w:type="paragraph" w:styleId="31">
    <w:name w:val="Body Text 2"/>
    <w:basedOn w:val="1"/>
    <w:link w:val="145"/>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5"/>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60"/>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7"/>
    <w:next w:val="17"/>
    <w:link w:val="112"/>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2"/>
    <w:link w:val="203"/>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7">
    <w:name w:val="Body Text First Indent 2"/>
    <w:basedOn w:val="19"/>
    <w:next w:val="13"/>
    <w:autoRedefine/>
    <w:qFormat/>
    <w:uiPriority w:val="0"/>
    <w:pPr>
      <w:ind w:firstLine="420" w:firstLineChars="200"/>
    </w:pPr>
    <w:rPr>
      <w:szCs w:val="24"/>
    </w:rPr>
  </w:style>
  <w:style w:type="table" w:styleId="39">
    <w:name w:val="Table Grid"/>
    <w:basedOn w:val="3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bCs/>
    </w:rPr>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basedOn w:val="40"/>
    <w:autoRedefine/>
    <w:qFormat/>
    <w:uiPriority w:val="99"/>
    <w:rPr>
      <w:rFonts w:hint="default" w:ascii="Arial" w:hAnsi="Arial" w:cs="Arial"/>
      <w:color w:val="000000"/>
      <w:sz w:val="20"/>
      <w:szCs w:val="20"/>
      <w:u w:val="none"/>
    </w:rPr>
  </w:style>
  <w:style w:type="character" w:styleId="45">
    <w:name w:val="HTML Code"/>
    <w:basedOn w:val="40"/>
    <w:autoRedefine/>
    <w:semiHidden/>
    <w:unhideWhenUsed/>
    <w:qFormat/>
    <w:uiPriority w:val="99"/>
    <w:rPr>
      <w:rFonts w:ascii="Courier New" w:hAnsi="Courier New"/>
      <w:sz w:val="20"/>
    </w:rPr>
  </w:style>
  <w:style w:type="character" w:styleId="46">
    <w:name w:val="annotation reference"/>
    <w:basedOn w:val="40"/>
    <w:autoRedefine/>
    <w:qFormat/>
    <w:uiPriority w:val="99"/>
    <w:rPr>
      <w:sz w:val="21"/>
      <w:szCs w:val="21"/>
    </w:rPr>
  </w:style>
  <w:style w:type="paragraph" w:customStyle="1" w:styleId="47">
    <w:name w:val="样式 宋体 行距: 1.5 倍行距"/>
    <w:basedOn w:val="1"/>
    <w:autoRedefine/>
    <w:qFormat/>
    <w:uiPriority w:val="0"/>
    <w:pPr>
      <w:jc w:val="center"/>
    </w:pPr>
    <w:rPr>
      <w:rFonts w:ascii="Times New Roman"/>
      <w:b/>
    </w:rPr>
  </w:style>
  <w:style w:type="paragraph" w:customStyle="1" w:styleId="48">
    <w:name w:val="首行缩进"/>
    <w:basedOn w:val="1"/>
    <w:autoRedefine/>
    <w:qFormat/>
    <w:uiPriority w:val="0"/>
    <w:pPr>
      <w:ind w:firstLine="480" w:firstLineChars="200"/>
    </w:pPr>
    <w:rPr>
      <w:lang w:val="zh-CN"/>
    </w:rPr>
  </w:style>
  <w:style w:type="character" w:customStyle="1" w:styleId="49">
    <w:name w:val="标题 1 字符"/>
    <w:basedOn w:val="40"/>
    <w:autoRedefine/>
    <w:qFormat/>
    <w:uiPriority w:val="0"/>
    <w:rPr>
      <w:b/>
      <w:bCs/>
      <w:kern w:val="44"/>
      <w:sz w:val="44"/>
      <w:szCs w:val="44"/>
    </w:rPr>
  </w:style>
  <w:style w:type="character" w:customStyle="1" w:styleId="50">
    <w:name w:val="标题 2 Char"/>
    <w:basedOn w:val="40"/>
    <w:link w:val="4"/>
    <w:autoRedefine/>
    <w:qFormat/>
    <w:uiPriority w:val="0"/>
    <w:rPr>
      <w:rFonts w:ascii="宋体" w:hAnsi="Calibri" w:eastAsia="宋体" w:cs="Times New Roman"/>
      <w:kern w:val="0"/>
      <w:sz w:val="24"/>
      <w:szCs w:val="24"/>
    </w:rPr>
  </w:style>
  <w:style w:type="character" w:customStyle="1" w:styleId="51">
    <w:name w:val="标题 3 字符"/>
    <w:basedOn w:val="40"/>
    <w:autoRedefine/>
    <w:qFormat/>
    <w:uiPriority w:val="0"/>
    <w:rPr>
      <w:b/>
      <w:bCs/>
      <w:sz w:val="32"/>
      <w:szCs w:val="32"/>
    </w:rPr>
  </w:style>
  <w:style w:type="character" w:customStyle="1" w:styleId="52">
    <w:name w:val="标题 4 Char1"/>
    <w:basedOn w:val="40"/>
    <w:link w:val="6"/>
    <w:autoRedefine/>
    <w:qFormat/>
    <w:uiPriority w:val="9"/>
    <w:rPr>
      <w:rFonts w:ascii="Arial" w:hAnsi="Arial" w:eastAsia="黑体" w:cs="Times New Roman"/>
      <w:b/>
      <w:bCs/>
      <w:kern w:val="0"/>
      <w:sz w:val="28"/>
      <w:szCs w:val="28"/>
    </w:rPr>
  </w:style>
  <w:style w:type="character" w:customStyle="1" w:styleId="53">
    <w:name w:val="标题 5 字符"/>
    <w:basedOn w:val="40"/>
    <w:autoRedefine/>
    <w:qFormat/>
    <w:uiPriority w:val="9"/>
    <w:rPr>
      <w:b/>
      <w:bCs/>
      <w:sz w:val="28"/>
      <w:szCs w:val="28"/>
    </w:rPr>
  </w:style>
  <w:style w:type="character" w:customStyle="1" w:styleId="54">
    <w:name w:val="标题 6 字符"/>
    <w:basedOn w:val="40"/>
    <w:autoRedefine/>
    <w:qFormat/>
    <w:uiPriority w:val="0"/>
    <w:rPr>
      <w:rFonts w:asciiTheme="majorHAnsi" w:hAnsiTheme="majorHAnsi" w:eastAsiaTheme="majorEastAsia" w:cstheme="majorBidi"/>
      <w:b/>
      <w:bCs/>
      <w:sz w:val="24"/>
      <w:szCs w:val="24"/>
    </w:rPr>
  </w:style>
  <w:style w:type="character" w:customStyle="1" w:styleId="55">
    <w:name w:val="标题 7 Char"/>
    <w:basedOn w:val="40"/>
    <w:link w:val="10"/>
    <w:autoRedefine/>
    <w:qFormat/>
    <w:uiPriority w:val="9"/>
    <w:rPr>
      <w:rFonts w:ascii="Times New Roman" w:hAnsi="Calibri" w:eastAsia="黑体" w:cs="Times New Roman"/>
      <w:b/>
      <w:bCs/>
      <w:kern w:val="0"/>
      <w:sz w:val="28"/>
      <w:szCs w:val="24"/>
    </w:rPr>
  </w:style>
  <w:style w:type="character" w:customStyle="1" w:styleId="56">
    <w:name w:val="标题 8 Char"/>
    <w:basedOn w:val="40"/>
    <w:link w:val="11"/>
    <w:autoRedefine/>
    <w:qFormat/>
    <w:uiPriority w:val="9"/>
    <w:rPr>
      <w:rFonts w:ascii="Times New Roman" w:hAnsi="Calibri" w:eastAsia="黑体" w:cs="Times New Roman"/>
      <w:b/>
      <w:kern w:val="0"/>
      <w:sz w:val="28"/>
      <w:szCs w:val="24"/>
    </w:rPr>
  </w:style>
  <w:style w:type="character" w:customStyle="1" w:styleId="57">
    <w:name w:val="标题 9 Char"/>
    <w:basedOn w:val="40"/>
    <w:link w:val="12"/>
    <w:autoRedefine/>
    <w:qFormat/>
    <w:uiPriority w:val="9"/>
    <w:rPr>
      <w:rFonts w:ascii="Times New Roman" w:hAnsi="Calibri" w:eastAsia="黑体" w:cs="Times New Roman"/>
      <w:b/>
      <w:kern w:val="0"/>
      <w:sz w:val="28"/>
      <w:szCs w:val="24"/>
    </w:rPr>
  </w:style>
  <w:style w:type="character" w:customStyle="1" w:styleId="58">
    <w:name w:val="正文文本缩进 字符"/>
    <w:autoRedefine/>
    <w:qFormat/>
    <w:uiPriority w:val="0"/>
    <w:rPr>
      <w:rFonts w:ascii="Times New Roman" w:hAnsi="Times New Roman" w:eastAsia="宋体" w:cs="Times New Roman"/>
      <w:szCs w:val="20"/>
    </w:rPr>
  </w:style>
  <w:style w:type="character" w:customStyle="1" w:styleId="59">
    <w:name w:val="普通(网站) Char"/>
    <w:autoRedefine/>
    <w:qFormat/>
    <w:locked/>
    <w:uiPriority w:val="0"/>
    <w:rPr>
      <w:rFonts w:ascii="宋体" w:hAnsi="宋体"/>
      <w:sz w:val="15"/>
      <w:szCs w:val="15"/>
    </w:rPr>
  </w:style>
  <w:style w:type="character" w:customStyle="1" w:styleId="60">
    <w:name w:val="标题 Char"/>
    <w:link w:val="34"/>
    <w:autoRedefine/>
    <w:qFormat/>
    <w:uiPriority w:val="10"/>
    <w:rPr>
      <w:rFonts w:ascii="等线 Light" w:hAnsi="等线 Light" w:eastAsia="仿宋"/>
      <w:b/>
      <w:bCs/>
      <w:sz w:val="28"/>
      <w:szCs w:val="32"/>
    </w:rPr>
  </w:style>
  <w:style w:type="character" w:customStyle="1" w:styleId="61">
    <w:name w:val="日期 Char"/>
    <w:autoRedefine/>
    <w:semiHidden/>
    <w:qFormat/>
    <w:uiPriority w:val="99"/>
    <w:rPr>
      <w:kern w:val="2"/>
      <w:sz w:val="21"/>
    </w:rPr>
  </w:style>
  <w:style w:type="character" w:customStyle="1" w:styleId="62">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3">
    <w:name w:val="批注文字 Char"/>
    <w:autoRedefine/>
    <w:semiHidden/>
    <w:qFormat/>
    <w:uiPriority w:val="99"/>
    <w:rPr>
      <w:kern w:val="2"/>
      <w:sz w:val="21"/>
    </w:rPr>
  </w:style>
  <w:style w:type="character" w:customStyle="1" w:styleId="64">
    <w:name w:val="正文缩进2格 Char"/>
    <w:link w:val="65"/>
    <w:autoRedefine/>
    <w:qFormat/>
    <w:uiPriority w:val="0"/>
    <w:rPr>
      <w:rFonts w:ascii="仿宋_GB2312" w:hAnsi="宋体" w:eastAsia="仿宋_GB2312"/>
      <w:sz w:val="31"/>
      <w:szCs w:val="28"/>
    </w:rPr>
  </w:style>
  <w:style w:type="paragraph" w:customStyle="1" w:styleId="65">
    <w:name w:val="正文缩进2格"/>
    <w:basedOn w:val="1"/>
    <w:link w:val="64"/>
    <w:autoRedefine/>
    <w:qFormat/>
    <w:uiPriority w:val="0"/>
    <w:pPr>
      <w:spacing w:line="600" w:lineRule="exact"/>
      <w:ind w:firstLine="639" w:firstLineChars="206"/>
    </w:pPr>
    <w:rPr>
      <w:rFonts w:ascii="仿宋_GB2312" w:hAnsi="宋体" w:eastAsia="仿宋_GB2312"/>
      <w:sz w:val="31"/>
      <w:szCs w:val="28"/>
    </w:rPr>
  </w:style>
  <w:style w:type="character" w:customStyle="1" w:styleId="66">
    <w:name w:val="批注文字 字符"/>
    <w:autoRedefine/>
    <w:semiHidden/>
    <w:qFormat/>
    <w:uiPriority w:val="99"/>
    <w:rPr>
      <w:rFonts w:ascii="Times New Roman" w:hAnsi="Times New Roman"/>
      <w:kern w:val="2"/>
      <w:sz w:val="24"/>
      <w:szCs w:val="24"/>
    </w:rPr>
  </w:style>
  <w:style w:type="character" w:customStyle="1" w:styleId="67">
    <w:name w:val="正文文本缩进 Char"/>
    <w:autoRedefine/>
    <w:qFormat/>
    <w:uiPriority w:val="0"/>
    <w:rPr>
      <w:rFonts w:ascii="Times New Roman" w:hAnsi="Times New Roman" w:eastAsia="宋体" w:cs="Times New Roman"/>
      <w:szCs w:val="20"/>
      <w:lang w:val="en-US" w:eastAsia="zh-CN"/>
    </w:rPr>
  </w:style>
  <w:style w:type="character" w:customStyle="1" w:styleId="68">
    <w:name w:val="批注框文本 字符1"/>
    <w:autoRedefine/>
    <w:semiHidden/>
    <w:qFormat/>
    <w:uiPriority w:val="99"/>
    <w:rPr>
      <w:rFonts w:ascii="宋体" w:hAnsi="Calibri" w:eastAsia="宋体" w:cs="Times New Roman"/>
      <w:kern w:val="0"/>
      <w:sz w:val="18"/>
      <w:szCs w:val="18"/>
    </w:rPr>
  </w:style>
  <w:style w:type="character" w:customStyle="1" w:styleId="69">
    <w:name w:val="List Paragraph Char"/>
    <w:link w:val="70"/>
    <w:autoRedefine/>
    <w:qFormat/>
    <w:uiPriority w:val="34"/>
    <w:rPr>
      <w:rFonts w:ascii="Calibri" w:hAnsi="Calibri"/>
    </w:rPr>
  </w:style>
  <w:style w:type="paragraph" w:customStyle="1" w:styleId="70">
    <w:name w:val="列出段落1"/>
    <w:basedOn w:val="1"/>
    <w:link w:val="69"/>
    <w:autoRedefine/>
    <w:qFormat/>
    <w:uiPriority w:val="34"/>
    <w:pPr>
      <w:ind w:firstLine="420" w:firstLineChars="200"/>
    </w:pPr>
    <w:rPr>
      <w:rFonts w:ascii="Calibri" w:hAnsi="Calibri"/>
    </w:rPr>
  </w:style>
  <w:style w:type="character" w:customStyle="1" w:styleId="71">
    <w:name w:val="标书正文 字符"/>
    <w:link w:val="72"/>
    <w:autoRedefine/>
    <w:qFormat/>
    <w:uiPriority w:val="0"/>
    <w:rPr>
      <w:rFonts w:ascii="Calibri" w:hAnsi="Calibri" w:eastAsia="仿宋"/>
      <w:sz w:val="24"/>
      <w:szCs w:val="21"/>
    </w:rPr>
  </w:style>
  <w:style w:type="paragraph" w:customStyle="1" w:styleId="72">
    <w:name w:val="标书正文"/>
    <w:basedOn w:val="1"/>
    <w:link w:val="71"/>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3">
    <w:name w:val="正文文本 字符"/>
    <w:autoRedefine/>
    <w:semiHidden/>
    <w:qFormat/>
    <w:uiPriority w:val="99"/>
    <w:rPr>
      <w:rFonts w:ascii="Times New Roman" w:hAnsi="Times New Roman"/>
      <w:kern w:val="2"/>
      <w:sz w:val="24"/>
      <w:szCs w:val="24"/>
    </w:rPr>
  </w:style>
  <w:style w:type="character" w:customStyle="1" w:styleId="74">
    <w:name w:val="页脚 Char"/>
    <w:autoRedefine/>
    <w:qFormat/>
    <w:uiPriority w:val="0"/>
    <w:rPr>
      <w:kern w:val="2"/>
      <w:sz w:val="18"/>
      <w:szCs w:val="18"/>
    </w:rPr>
  </w:style>
  <w:style w:type="character" w:customStyle="1" w:styleId="75">
    <w:name w:val="neir1"/>
    <w:autoRedefine/>
    <w:qFormat/>
    <w:uiPriority w:val="0"/>
    <w:rPr>
      <w:rFonts w:hint="default" w:ascii="ˎ̥" w:hAnsi="ˎ̥"/>
      <w:color w:val="333333"/>
      <w:sz w:val="21"/>
      <w:szCs w:val="21"/>
      <w:u w:val="none"/>
    </w:rPr>
  </w:style>
  <w:style w:type="character" w:customStyle="1" w:styleId="76">
    <w:name w:val="批注框文本 Char1"/>
    <w:link w:val="24"/>
    <w:autoRedefine/>
    <w:qFormat/>
    <w:uiPriority w:val="0"/>
    <w:rPr>
      <w:rFonts w:ascii="Times New Roman" w:hAnsi="Times New Roman" w:eastAsia="宋体" w:cs="Times New Roman"/>
      <w:sz w:val="18"/>
      <w:szCs w:val="18"/>
    </w:rPr>
  </w:style>
  <w:style w:type="character" w:customStyle="1" w:styleId="77">
    <w:name w:val="正文文本 3 字符1"/>
    <w:autoRedefine/>
    <w:semiHidden/>
    <w:qFormat/>
    <w:uiPriority w:val="99"/>
    <w:rPr>
      <w:rFonts w:ascii="宋体" w:hAnsi="Calibri" w:eastAsia="宋体" w:cs="Times New Roman"/>
      <w:kern w:val="0"/>
      <w:sz w:val="16"/>
      <w:szCs w:val="16"/>
    </w:rPr>
  </w:style>
  <w:style w:type="character" w:customStyle="1" w:styleId="78">
    <w:name w:val="正文文本 字符3"/>
    <w:autoRedefine/>
    <w:semiHidden/>
    <w:qFormat/>
    <w:uiPriority w:val="99"/>
    <w:rPr>
      <w:rFonts w:ascii="宋体" w:hAnsi="Calibri" w:eastAsia="宋体" w:cs="Times New Roman"/>
      <w:kern w:val="0"/>
      <w:sz w:val="24"/>
      <w:szCs w:val="24"/>
    </w:rPr>
  </w:style>
  <w:style w:type="character" w:customStyle="1" w:styleId="79">
    <w:name w:val="日期 字符1"/>
    <w:autoRedefine/>
    <w:semiHidden/>
    <w:qFormat/>
    <w:uiPriority w:val="99"/>
    <w:rPr>
      <w:rFonts w:ascii="宋体" w:hAnsi="Calibri" w:eastAsia="宋体" w:cs="Times New Roman"/>
      <w:kern w:val="0"/>
      <w:sz w:val="24"/>
      <w:szCs w:val="24"/>
    </w:rPr>
  </w:style>
  <w:style w:type="character" w:customStyle="1" w:styleId="80">
    <w:name w:val="页脚 Char2"/>
    <w:link w:val="25"/>
    <w:autoRedefine/>
    <w:qFormat/>
    <w:uiPriority w:val="99"/>
    <w:rPr>
      <w:rFonts w:ascii="宋体" w:eastAsia="宋体"/>
      <w:sz w:val="18"/>
      <w:szCs w:val="18"/>
    </w:rPr>
  </w:style>
  <w:style w:type="character" w:customStyle="1" w:styleId="81">
    <w:name w:val="吉奥正文 Char"/>
    <w:link w:val="82"/>
    <w:autoRedefine/>
    <w:qFormat/>
    <w:locked/>
    <w:uiPriority w:val="0"/>
    <w:rPr>
      <w:rFonts w:eastAsia="仿宋_GB2312"/>
      <w:sz w:val="28"/>
    </w:rPr>
  </w:style>
  <w:style w:type="paragraph" w:customStyle="1" w:styleId="82">
    <w:name w:val="吉奥正文"/>
    <w:basedOn w:val="1"/>
    <w:link w:val="81"/>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3">
    <w:name w:val="页脚 Char1"/>
    <w:autoRedefine/>
    <w:qFormat/>
    <w:uiPriority w:val="99"/>
    <w:rPr>
      <w:rFonts w:ascii="宋体" w:hAnsi="Times New Roman" w:eastAsia="宋体" w:cs="Times New Roman"/>
      <w:kern w:val="0"/>
      <w:sz w:val="18"/>
      <w:szCs w:val="18"/>
    </w:rPr>
  </w:style>
  <w:style w:type="character" w:customStyle="1" w:styleId="84">
    <w:name w:val="标题 字符"/>
    <w:autoRedefine/>
    <w:qFormat/>
    <w:uiPriority w:val="10"/>
    <w:rPr>
      <w:rFonts w:ascii="Cambria" w:hAnsi="Cambria" w:eastAsia="宋体" w:cs="Times New Roman"/>
      <w:b/>
      <w:bCs/>
      <w:kern w:val="0"/>
      <w:sz w:val="32"/>
      <w:szCs w:val="32"/>
      <w:lang w:val="en-US" w:eastAsia="zh-CN"/>
    </w:rPr>
  </w:style>
  <w:style w:type="character" w:customStyle="1" w:styleId="85">
    <w:name w:val="题注 Char"/>
    <w:link w:val="14"/>
    <w:autoRedefine/>
    <w:qFormat/>
    <w:uiPriority w:val="0"/>
    <w:rPr>
      <w:rFonts w:ascii="Arial" w:hAnsi="Arial" w:eastAsia="黑体" w:cs="Arial"/>
    </w:rPr>
  </w:style>
  <w:style w:type="character" w:customStyle="1" w:styleId="86">
    <w:name w:val="批注文字 字符2"/>
    <w:autoRedefine/>
    <w:qFormat/>
    <w:uiPriority w:val="99"/>
    <w:rPr>
      <w:rFonts w:ascii="宋体" w:hAnsi="Times New Roman" w:eastAsia="宋体" w:cs="Times New Roman"/>
      <w:kern w:val="0"/>
      <w:sz w:val="24"/>
      <w:szCs w:val="24"/>
    </w:rPr>
  </w:style>
  <w:style w:type="character" w:customStyle="1" w:styleId="87">
    <w:name w:val="批注主题 字符1"/>
    <w:autoRedefine/>
    <w:semiHidden/>
    <w:qFormat/>
    <w:uiPriority w:val="99"/>
    <w:rPr>
      <w:rFonts w:ascii="宋体" w:hAnsi="Calibri" w:eastAsia="宋体" w:cs="Times New Roman"/>
      <w:b/>
      <w:bCs/>
      <w:kern w:val="0"/>
      <w:sz w:val="24"/>
      <w:szCs w:val="24"/>
    </w:rPr>
  </w:style>
  <w:style w:type="character" w:customStyle="1" w:styleId="88">
    <w:name w:val="HTML 预设格式 Char"/>
    <w:link w:val="32"/>
    <w:autoRedefine/>
    <w:qFormat/>
    <w:uiPriority w:val="99"/>
    <w:rPr>
      <w:rFonts w:ascii="Arial" w:hAnsi="Arial" w:eastAsia="宋体" w:cs="Arial"/>
      <w:szCs w:val="21"/>
    </w:rPr>
  </w:style>
  <w:style w:type="character" w:customStyle="1" w:styleId="89">
    <w:name w:val="标题 3.1 Char"/>
    <w:link w:val="90"/>
    <w:autoRedefine/>
    <w:qFormat/>
    <w:uiPriority w:val="0"/>
    <w:rPr>
      <w:rFonts w:ascii="宋体" w:hAnsi="宋体"/>
      <w:b/>
      <w:bCs/>
      <w:sz w:val="32"/>
      <w:szCs w:val="32"/>
    </w:rPr>
  </w:style>
  <w:style w:type="paragraph" w:customStyle="1" w:styleId="90">
    <w:name w:val="标题 3.1"/>
    <w:basedOn w:val="5"/>
    <w:link w:val="89"/>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1">
    <w:name w:val="HTML 预设格式 Char1"/>
    <w:autoRedefine/>
    <w:semiHidden/>
    <w:qFormat/>
    <w:uiPriority w:val="99"/>
    <w:rPr>
      <w:rFonts w:ascii="Courier New" w:hAnsi="Courier New" w:eastAsia="宋体" w:cs="Courier New"/>
      <w:kern w:val="0"/>
      <w:sz w:val="20"/>
      <w:szCs w:val="20"/>
    </w:rPr>
  </w:style>
  <w:style w:type="character" w:customStyle="1" w:styleId="92">
    <w:name w:val="批注文字 字符1"/>
    <w:autoRedefine/>
    <w:qFormat/>
    <w:uiPriority w:val="0"/>
    <w:rPr>
      <w:rFonts w:eastAsia="宋体"/>
      <w:kern w:val="2"/>
      <w:sz w:val="24"/>
      <w:szCs w:val="24"/>
      <w:lang w:val="en-US" w:eastAsia="zh-CN" w:bidi="ar-SA"/>
    </w:rPr>
  </w:style>
  <w:style w:type="character" w:customStyle="1" w:styleId="93">
    <w:name w:val="正文文本缩进 字符2"/>
    <w:autoRedefine/>
    <w:semiHidden/>
    <w:qFormat/>
    <w:uiPriority w:val="99"/>
    <w:rPr>
      <w:rFonts w:ascii="宋体" w:hAnsi="Calibri" w:eastAsia="宋体" w:cs="Times New Roman"/>
      <w:kern w:val="0"/>
      <w:sz w:val="24"/>
      <w:szCs w:val="24"/>
    </w:rPr>
  </w:style>
  <w:style w:type="character" w:customStyle="1" w:styleId="94">
    <w:name w:val="正文文本缩进 Char1"/>
    <w:link w:val="19"/>
    <w:autoRedefine/>
    <w:qFormat/>
    <w:uiPriority w:val="0"/>
    <w:rPr>
      <w:rFonts w:ascii="Times New Roman" w:hAnsi="Times New Roman" w:eastAsia="宋体" w:cs="Times New Roman"/>
      <w:szCs w:val="20"/>
    </w:rPr>
  </w:style>
  <w:style w:type="character" w:customStyle="1" w:styleId="95">
    <w:name w:val="普通(网站) Char1"/>
    <w:link w:val="33"/>
    <w:autoRedefine/>
    <w:qFormat/>
    <w:locked/>
    <w:uiPriority w:val="0"/>
    <w:rPr>
      <w:rFonts w:ascii="宋体" w:hAnsi="宋体"/>
      <w:sz w:val="15"/>
      <w:szCs w:val="15"/>
    </w:rPr>
  </w:style>
  <w:style w:type="character" w:customStyle="1" w:styleId="96">
    <w:name w:val="模板正文 Char"/>
    <w:link w:val="9"/>
    <w:autoRedefine/>
    <w:qFormat/>
    <w:uiPriority w:val="0"/>
    <w:rPr>
      <w:rFonts w:ascii="宋体" w:eastAsia="仿宋"/>
      <w:sz w:val="24"/>
      <w:szCs w:val="21"/>
    </w:rPr>
  </w:style>
  <w:style w:type="character" w:customStyle="1" w:styleId="97">
    <w:name w:val="批注主题 Char"/>
    <w:autoRedefine/>
    <w:semiHidden/>
    <w:qFormat/>
    <w:uiPriority w:val="99"/>
    <w:rPr>
      <w:b/>
      <w:bCs/>
      <w:kern w:val="2"/>
      <w:sz w:val="21"/>
    </w:rPr>
  </w:style>
  <w:style w:type="character" w:customStyle="1" w:styleId="98">
    <w:name w:val="正文文本 Char1"/>
    <w:autoRedefine/>
    <w:qFormat/>
    <w:uiPriority w:val="0"/>
    <w:rPr>
      <w:rFonts w:ascii="宋体" w:hAnsi="Times New Roman" w:eastAsia="宋体" w:cs="Times New Roman"/>
      <w:kern w:val="0"/>
      <w:sz w:val="24"/>
      <w:szCs w:val="24"/>
    </w:rPr>
  </w:style>
  <w:style w:type="character" w:customStyle="1" w:styleId="99">
    <w:name w:val="正文文本 字符1"/>
    <w:autoRedefine/>
    <w:qFormat/>
    <w:uiPriority w:val="99"/>
    <w:rPr>
      <w:rFonts w:ascii="宋体" w:eastAsia="宋体"/>
      <w:b/>
      <w:bCs/>
      <w:sz w:val="84"/>
      <w:szCs w:val="84"/>
      <w:lang w:val="zh-CN"/>
    </w:rPr>
  </w:style>
  <w:style w:type="character" w:customStyle="1" w:styleId="100">
    <w:name w:val="标题 1 Char"/>
    <w:autoRedefine/>
    <w:qFormat/>
    <w:uiPriority w:val="9"/>
    <w:rPr>
      <w:rFonts w:ascii="宋体" w:hAnsi="Times New Roman" w:eastAsia="宋体" w:cs="Times New Roman"/>
      <w:kern w:val="0"/>
      <w:sz w:val="24"/>
      <w:szCs w:val="24"/>
    </w:rPr>
  </w:style>
  <w:style w:type="character" w:customStyle="1" w:styleId="101">
    <w:name w:val="正文文本 Char2"/>
    <w:autoRedefine/>
    <w:qFormat/>
    <w:uiPriority w:val="99"/>
    <w:rPr>
      <w:rFonts w:ascii="宋体" w:eastAsia="宋体"/>
      <w:b/>
      <w:bCs/>
      <w:sz w:val="84"/>
      <w:szCs w:val="84"/>
      <w:lang w:val="zh-CN"/>
    </w:rPr>
  </w:style>
  <w:style w:type="character" w:customStyle="1" w:styleId="102">
    <w:name w:val="纯文本 Char2"/>
    <w:link w:val="21"/>
    <w:autoRedefine/>
    <w:qFormat/>
    <w:uiPriority w:val="0"/>
    <w:rPr>
      <w:rFonts w:ascii="宋体" w:hAnsi="Courier New" w:eastAsia="宋体"/>
    </w:rPr>
  </w:style>
  <w:style w:type="character" w:customStyle="1" w:styleId="103">
    <w:name w:val="正文文本缩进 2 Char"/>
    <w:link w:val="23"/>
    <w:autoRedefine/>
    <w:qFormat/>
    <w:uiPriority w:val="0"/>
    <w:rPr>
      <w:rFonts w:ascii="宋体" w:hAnsi="Times New Roman" w:eastAsia="宋体" w:cs="Times New Roman"/>
      <w:szCs w:val="20"/>
    </w:rPr>
  </w:style>
  <w:style w:type="character" w:customStyle="1" w:styleId="104">
    <w:name w:val="HTML Markup"/>
    <w:autoRedefine/>
    <w:qFormat/>
    <w:uiPriority w:val="0"/>
    <w:rPr>
      <w:vanish/>
      <w:color w:val="FF0000"/>
    </w:rPr>
  </w:style>
  <w:style w:type="character" w:customStyle="1" w:styleId="105">
    <w:name w:val="页眉 Char1"/>
    <w:autoRedefine/>
    <w:qFormat/>
    <w:uiPriority w:val="0"/>
    <w:rPr>
      <w:rFonts w:ascii="宋体" w:hAnsi="Times New Roman" w:eastAsia="宋体" w:cs="Times New Roman"/>
      <w:kern w:val="0"/>
      <w:sz w:val="18"/>
      <w:szCs w:val="18"/>
    </w:rPr>
  </w:style>
  <w:style w:type="character" w:customStyle="1" w:styleId="106">
    <w:name w:val="font11"/>
    <w:basedOn w:val="40"/>
    <w:autoRedefine/>
    <w:qFormat/>
    <w:uiPriority w:val="0"/>
    <w:rPr>
      <w:rFonts w:hint="eastAsia" w:ascii="宋体" w:hAnsi="宋体" w:eastAsia="宋体" w:cs="宋体"/>
      <w:color w:val="FF0000"/>
      <w:sz w:val="22"/>
      <w:szCs w:val="22"/>
      <w:u w:val="none"/>
    </w:rPr>
  </w:style>
  <w:style w:type="character" w:customStyle="1" w:styleId="107">
    <w:name w:val="style61"/>
    <w:autoRedefine/>
    <w:qFormat/>
    <w:uiPriority w:val="0"/>
    <w:rPr>
      <w:b/>
      <w:bCs/>
    </w:rPr>
  </w:style>
  <w:style w:type="character" w:customStyle="1" w:styleId="108">
    <w:name w:val="表头文字 Char"/>
    <w:link w:val="109"/>
    <w:autoRedefine/>
    <w:qFormat/>
    <w:uiPriority w:val="0"/>
    <w:rPr>
      <w:rFonts w:eastAsia="仿宋_GB2312"/>
      <w:b/>
      <w:sz w:val="28"/>
      <w:szCs w:val="21"/>
    </w:rPr>
  </w:style>
  <w:style w:type="paragraph" w:customStyle="1" w:styleId="109">
    <w:name w:val="表头文字"/>
    <w:basedOn w:val="1"/>
    <w:link w:val="108"/>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0">
    <w:name w:val="日期 Char1"/>
    <w:link w:val="22"/>
    <w:autoRedefine/>
    <w:qFormat/>
    <w:uiPriority w:val="99"/>
    <w:rPr>
      <w:rFonts w:ascii="宋体" w:hAnsi="Times New Roman" w:eastAsia="宋体" w:cs="Times New Roman"/>
      <w:b/>
      <w:bCs/>
      <w:szCs w:val="21"/>
      <w:lang w:val="zh-CN"/>
    </w:rPr>
  </w:style>
  <w:style w:type="character" w:customStyle="1" w:styleId="111">
    <w:name w:val="纯文本 Char1"/>
    <w:autoRedefine/>
    <w:qFormat/>
    <w:uiPriority w:val="0"/>
    <w:rPr>
      <w:rFonts w:ascii="宋体" w:hAnsi="Courier New" w:eastAsia="宋体" w:cs="Courier New"/>
      <w:kern w:val="0"/>
      <w:szCs w:val="21"/>
    </w:rPr>
  </w:style>
  <w:style w:type="character" w:customStyle="1" w:styleId="112">
    <w:name w:val="批注主题 Char1"/>
    <w:link w:val="35"/>
    <w:autoRedefine/>
    <w:qFormat/>
    <w:uiPriority w:val="99"/>
    <w:rPr>
      <w:rFonts w:ascii="宋体" w:hAnsi="Times New Roman" w:eastAsia="宋体" w:cs="Times New Roman"/>
      <w:b/>
      <w:bCs/>
      <w:kern w:val="0"/>
      <w:sz w:val="24"/>
      <w:szCs w:val="24"/>
    </w:rPr>
  </w:style>
  <w:style w:type="character" w:customStyle="1" w:styleId="113">
    <w:name w:val="纯文本 字符"/>
    <w:autoRedefine/>
    <w:qFormat/>
    <w:uiPriority w:val="99"/>
    <w:rPr>
      <w:rFonts w:ascii="宋体" w:hAnsi="Courier New" w:eastAsia="宋体" w:cs="Times New Roman"/>
      <w:szCs w:val="20"/>
      <w:lang w:val="en-US" w:eastAsia="zh-CN"/>
    </w:rPr>
  </w:style>
  <w:style w:type="character" w:customStyle="1" w:styleId="114">
    <w:name w:val="font71"/>
    <w:autoRedefine/>
    <w:qFormat/>
    <w:uiPriority w:val="0"/>
    <w:rPr>
      <w:rFonts w:hint="eastAsia" w:ascii="宋体" w:hAnsi="宋体" w:eastAsia="宋体" w:cs="宋体"/>
      <w:color w:val="FF0000"/>
      <w:sz w:val="18"/>
      <w:szCs w:val="18"/>
      <w:u w:val="none"/>
    </w:rPr>
  </w:style>
  <w:style w:type="character" w:customStyle="1" w:styleId="115">
    <w:name w:val="font21"/>
    <w:autoRedefine/>
    <w:qFormat/>
    <w:uiPriority w:val="0"/>
    <w:rPr>
      <w:rFonts w:hint="eastAsia" w:ascii="宋体" w:hAnsi="宋体" w:eastAsia="宋体" w:cs="宋体"/>
      <w:b/>
      <w:color w:val="000000"/>
      <w:sz w:val="21"/>
      <w:szCs w:val="21"/>
      <w:u w:val="none"/>
    </w:rPr>
  </w:style>
  <w:style w:type="character" w:customStyle="1" w:styleId="116">
    <w:name w:val="纯文本 字符3"/>
    <w:autoRedefine/>
    <w:semiHidden/>
    <w:qFormat/>
    <w:uiPriority w:val="99"/>
    <w:rPr>
      <w:rFonts w:ascii="等线" w:hAnsi="Courier New" w:cs="Courier New"/>
      <w:kern w:val="0"/>
      <w:sz w:val="24"/>
      <w:szCs w:val="24"/>
    </w:rPr>
  </w:style>
  <w:style w:type="character" w:customStyle="1" w:styleId="117">
    <w:name w:val="font31"/>
    <w:autoRedefine/>
    <w:qFormat/>
    <w:uiPriority w:val="0"/>
    <w:rPr>
      <w:rFonts w:hint="eastAsia" w:ascii="宋体" w:hAnsi="宋体" w:eastAsia="宋体" w:cs="宋体"/>
      <w:color w:val="000000"/>
      <w:sz w:val="18"/>
      <w:szCs w:val="18"/>
      <w:u w:val="none"/>
    </w:rPr>
  </w:style>
  <w:style w:type="character" w:customStyle="1" w:styleId="118">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9">
    <w:name w:val="普通(网站) 字符1"/>
    <w:autoRedefine/>
    <w:qFormat/>
    <w:locked/>
    <w:uiPriority w:val="0"/>
    <w:rPr>
      <w:rFonts w:ascii="宋体" w:hAnsi="宋体"/>
      <w:sz w:val="15"/>
      <w:szCs w:val="15"/>
    </w:rPr>
  </w:style>
  <w:style w:type="character" w:customStyle="1" w:styleId="120">
    <w:name w:val="正文文本 Char3"/>
    <w:link w:val="2"/>
    <w:autoRedefine/>
    <w:qFormat/>
    <w:uiPriority w:val="99"/>
    <w:rPr>
      <w:rFonts w:ascii="宋体" w:eastAsia="宋体"/>
      <w:b/>
      <w:bCs/>
      <w:sz w:val="84"/>
      <w:szCs w:val="84"/>
      <w:lang w:val="zh-CN"/>
    </w:rPr>
  </w:style>
  <w:style w:type="character" w:customStyle="1" w:styleId="121">
    <w:name w:val="标题 5 Char"/>
    <w:autoRedefine/>
    <w:semiHidden/>
    <w:qFormat/>
    <w:uiPriority w:val="9"/>
    <w:rPr>
      <w:b/>
      <w:bCs/>
      <w:kern w:val="2"/>
      <w:sz w:val="28"/>
      <w:szCs w:val="28"/>
    </w:rPr>
  </w:style>
  <w:style w:type="character" w:customStyle="1" w:styleId="122">
    <w:name w:val="页眉 Char2"/>
    <w:link w:val="26"/>
    <w:autoRedefine/>
    <w:qFormat/>
    <w:uiPriority w:val="99"/>
    <w:rPr>
      <w:rFonts w:ascii="宋体" w:eastAsia="宋体"/>
      <w:sz w:val="18"/>
      <w:szCs w:val="18"/>
    </w:rPr>
  </w:style>
  <w:style w:type="character" w:customStyle="1" w:styleId="123">
    <w:name w:val="表格文字 Char"/>
    <w:link w:val="124"/>
    <w:autoRedefine/>
    <w:qFormat/>
    <w:uiPriority w:val="0"/>
    <w:rPr>
      <w:rFonts w:eastAsia="仿宋_GB2312"/>
      <w:sz w:val="28"/>
      <w:szCs w:val="24"/>
    </w:rPr>
  </w:style>
  <w:style w:type="paragraph" w:customStyle="1" w:styleId="124">
    <w:name w:val="表格文字"/>
    <w:basedOn w:val="1"/>
    <w:link w:val="123"/>
    <w:autoRedefine/>
    <w:qFormat/>
    <w:uiPriority w:val="0"/>
    <w:rPr>
      <w:rFonts w:eastAsia="仿宋_GB2312"/>
      <w:sz w:val="28"/>
      <w:szCs w:val="24"/>
    </w:rPr>
  </w:style>
  <w:style w:type="character" w:customStyle="1" w:styleId="125">
    <w:name w:val="标题 字符2"/>
    <w:autoRedefine/>
    <w:qFormat/>
    <w:uiPriority w:val="10"/>
    <w:rPr>
      <w:rFonts w:ascii="等线 Light" w:hAnsi="等线 Light" w:eastAsia="等线 Light" w:cs="Times New Roman"/>
      <w:b/>
      <w:bCs/>
      <w:kern w:val="0"/>
      <w:sz w:val="32"/>
      <w:szCs w:val="32"/>
    </w:rPr>
  </w:style>
  <w:style w:type="character" w:customStyle="1" w:styleId="126">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7">
    <w:name w:val="小 Char"/>
    <w:autoRedefine/>
    <w:qFormat/>
    <w:uiPriority w:val="0"/>
    <w:rPr>
      <w:rFonts w:ascii="宋体" w:hAnsi="Courier New" w:eastAsia="宋体"/>
      <w:kern w:val="2"/>
      <w:sz w:val="21"/>
      <w:lang w:val="en-US" w:eastAsia="zh-CN" w:bidi="ar-SA"/>
    </w:rPr>
  </w:style>
  <w:style w:type="character" w:customStyle="1" w:styleId="128">
    <w:name w:val="themebody1"/>
    <w:autoRedefine/>
    <w:qFormat/>
    <w:uiPriority w:val="0"/>
    <w:rPr>
      <w:color w:val="FFFFFF"/>
    </w:rPr>
  </w:style>
  <w:style w:type="character" w:customStyle="1" w:styleId="129">
    <w:name w:val="页脚 字符1"/>
    <w:autoRedefine/>
    <w:semiHidden/>
    <w:qFormat/>
    <w:uiPriority w:val="99"/>
    <w:rPr>
      <w:rFonts w:ascii="宋体" w:hAnsi="Calibri" w:eastAsia="宋体" w:cs="Times New Roman"/>
      <w:kern w:val="0"/>
      <w:sz w:val="18"/>
      <w:szCs w:val="18"/>
    </w:rPr>
  </w:style>
  <w:style w:type="character" w:customStyle="1" w:styleId="130">
    <w:name w:val="列出段落 Char"/>
    <w:link w:val="131"/>
    <w:autoRedefine/>
    <w:qFormat/>
    <w:uiPriority w:val="34"/>
    <w:rPr>
      <w:kern w:val="2"/>
      <w:sz w:val="21"/>
      <w:szCs w:val="22"/>
    </w:rPr>
  </w:style>
  <w:style w:type="paragraph" w:styleId="131">
    <w:name w:val="List Paragraph"/>
    <w:basedOn w:val="1"/>
    <w:link w:val="130"/>
    <w:autoRedefine/>
    <w:qFormat/>
    <w:uiPriority w:val="34"/>
    <w:pPr>
      <w:ind w:firstLine="420" w:firstLineChars="200"/>
    </w:pPr>
  </w:style>
  <w:style w:type="character" w:customStyle="1" w:styleId="132">
    <w:name w:val="正文文本 Char"/>
    <w:autoRedefine/>
    <w:qFormat/>
    <w:uiPriority w:val="99"/>
    <w:rPr>
      <w:rFonts w:ascii="宋体" w:eastAsia="宋体"/>
      <w:b/>
      <w:bCs/>
      <w:sz w:val="84"/>
      <w:szCs w:val="84"/>
      <w:lang w:val="zh-CN"/>
    </w:rPr>
  </w:style>
  <w:style w:type="character" w:customStyle="1" w:styleId="133">
    <w:name w:val="页眉 字符1"/>
    <w:autoRedefine/>
    <w:semiHidden/>
    <w:qFormat/>
    <w:uiPriority w:val="99"/>
    <w:rPr>
      <w:rFonts w:ascii="宋体" w:hAnsi="Calibri" w:eastAsia="宋体" w:cs="Times New Roman"/>
      <w:kern w:val="0"/>
      <w:sz w:val="18"/>
      <w:szCs w:val="18"/>
    </w:rPr>
  </w:style>
  <w:style w:type="character" w:customStyle="1" w:styleId="134">
    <w:name w:val="标题 5 Char1"/>
    <w:link w:val="7"/>
    <w:autoRedefine/>
    <w:qFormat/>
    <w:uiPriority w:val="9"/>
    <w:rPr>
      <w:rFonts w:ascii="宋体" w:hAnsi="Calibri" w:eastAsia="宋体" w:cs="Times New Roman"/>
      <w:b/>
      <w:bCs/>
      <w:kern w:val="0"/>
      <w:sz w:val="28"/>
      <w:szCs w:val="28"/>
    </w:rPr>
  </w:style>
  <w:style w:type="character" w:customStyle="1" w:styleId="135">
    <w:name w:val="keyfeatures1"/>
    <w:autoRedefine/>
    <w:qFormat/>
    <w:uiPriority w:val="0"/>
    <w:rPr>
      <w:rFonts w:hint="default" w:ascii="Arial" w:hAnsi="Arial" w:cs="Arial"/>
      <w:color w:val="003366"/>
      <w:sz w:val="17"/>
      <w:szCs w:val="17"/>
      <w:u w:val="none"/>
    </w:rPr>
  </w:style>
  <w:style w:type="character" w:customStyle="1" w:styleId="136">
    <w:name w:val="题注 字符"/>
    <w:autoRedefine/>
    <w:qFormat/>
    <w:uiPriority w:val="0"/>
    <w:rPr>
      <w:rFonts w:ascii="宋体" w:hAnsi="宋体" w:eastAsia="黑体" w:cs="Times New Roman"/>
      <w:b/>
      <w:szCs w:val="21"/>
    </w:rPr>
  </w:style>
  <w:style w:type="character" w:customStyle="1" w:styleId="137">
    <w:name w:val="标题 4 Char"/>
    <w:autoRedefine/>
    <w:qFormat/>
    <w:uiPriority w:val="0"/>
    <w:rPr>
      <w:rFonts w:ascii="宋体" w:hAnsi="宋体" w:eastAsia="宋体"/>
      <w:b/>
      <w:kern w:val="2"/>
      <w:sz w:val="21"/>
      <w:szCs w:val="24"/>
      <w:lang w:val="en-US" w:eastAsia="zh-CN" w:bidi="ar-SA"/>
    </w:rPr>
  </w:style>
  <w:style w:type="character" w:customStyle="1" w:styleId="138">
    <w:name w:val="批注文字 字符3"/>
    <w:autoRedefine/>
    <w:semiHidden/>
    <w:qFormat/>
    <w:uiPriority w:val="99"/>
    <w:rPr>
      <w:rFonts w:ascii="宋体" w:hAnsi="Calibri" w:eastAsia="宋体" w:cs="Times New Roman"/>
      <w:kern w:val="0"/>
      <w:sz w:val="24"/>
      <w:szCs w:val="24"/>
    </w:rPr>
  </w:style>
  <w:style w:type="character" w:customStyle="1" w:styleId="139">
    <w:name w:val="纯文本 字符1"/>
    <w:autoRedefine/>
    <w:qFormat/>
    <w:uiPriority w:val="0"/>
    <w:rPr>
      <w:rFonts w:ascii="宋体" w:hAnsi="Courier New" w:eastAsia="宋体"/>
      <w:kern w:val="2"/>
      <w:sz w:val="21"/>
      <w:szCs w:val="24"/>
      <w:lang w:val="en-US" w:eastAsia="zh-CN" w:bidi="ar-SA"/>
    </w:rPr>
  </w:style>
  <w:style w:type="character" w:customStyle="1" w:styleId="140">
    <w:name w:val="列出段落 Char1"/>
    <w:autoRedefine/>
    <w:qFormat/>
    <w:uiPriority w:val="34"/>
    <w:rPr>
      <w:rFonts w:ascii="宋体"/>
      <w:sz w:val="24"/>
      <w:szCs w:val="24"/>
    </w:rPr>
  </w:style>
  <w:style w:type="character" w:customStyle="1" w:styleId="141">
    <w:name w:val="彩色列表 - 着色 1 字符"/>
    <w:link w:val="142"/>
    <w:autoRedefine/>
    <w:qFormat/>
    <w:uiPriority w:val="0"/>
    <w:rPr>
      <w:rFonts w:ascii="Calibri" w:hAnsi="Calibri"/>
    </w:rPr>
  </w:style>
  <w:style w:type="paragraph" w:customStyle="1" w:styleId="142">
    <w:name w:val="彩色列表 - 着色 11"/>
    <w:basedOn w:val="1"/>
    <w:link w:val="141"/>
    <w:autoRedefine/>
    <w:qFormat/>
    <w:uiPriority w:val="0"/>
    <w:pPr>
      <w:ind w:firstLine="420" w:firstLineChars="200"/>
    </w:pPr>
    <w:rPr>
      <w:rFonts w:ascii="Calibri" w:hAnsi="Calibri"/>
    </w:rPr>
  </w:style>
  <w:style w:type="character" w:customStyle="1" w:styleId="143">
    <w:name w:val="纯文本 Char"/>
    <w:autoRedefine/>
    <w:qFormat/>
    <w:uiPriority w:val="0"/>
    <w:rPr>
      <w:rFonts w:ascii="宋体" w:hAnsi="Courier New" w:eastAsia="宋体" w:cs="Times New Roman"/>
      <w:szCs w:val="20"/>
    </w:rPr>
  </w:style>
  <w:style w:type="character" w:customStyle="1" w:styleId="144">
    <w:name w:val="标题 6 Char"/>
    <w:link w:val="8"/>
    <w:autoRedefine/>
    <w:qFormat/>
    <w:uiPriority w:val="9"/>
    <w:rPr>
      <w:rFonts w:ascii="Times New Roman" w:hAnsi="Calibri" w:eastAsia="黑体" w:cs="Times New Roman"/>
      <w:b/>
      <w:bCs/>
      <w:kern w:val="0"/>
      <w:sz w:val="28"/>
      <w:szCs w:val="24"/>
    </w:rPr>
  </w:style>
  <w:style w:type="character" w:customStyle="1" w:styleId="145">
    <w:name w:val="正文文本 2 Char"/>
    <w:link w:val="31"/>
    <w:autoRedefine/>
    <w:qFormat/>
    <w:uiPriority w:val="0"/>
    <w:rPr>
      <w:rFonts w:ascii="Arial" w:hAnsi="Arial" w:eastAsia="宋体" w:cs="Times New Roman"/>
      <w:color w:val="000000"/>
      <w:szCs w:val="24"/>
    </w:rPr>
  </w:style>
  <w:style w:type="character" w:customStyle="1" w:styleId="146">
    <w:name w:val="标题 3 Char"/>
    <w:link w:val="5"/>
    <w:autoRedefine/>
    <w:qFormat/>
    <w:uiPriority w:val="0"/>
    <w:rPr>
      <w:rFonts w:ascii="宋体" w:hAnsi="Calibri" w:eastAsia="宋体" w:cs="Times New Roman"/>
      <w:kern w:val="0"/>
      <w:sz w:val="24"/>
      <w:szCs w:val="24"/>
    </w:rPr>
  </w:style>
  <w:style w:type="character" w:customStyle="1" w:styleId="147">
    <w:name w:val="正文文本缩进 2 字符1"/>
    <w:autoRedefine/>
    <w:semiHidden/>
    <w:qFormat/>
    <w:uiPriority w:val="99"/>
    <w:rPr>
      <w:rFonts w:ascii="宋体" w:hAnsi="Calibri" w:eastAsia="宋体" w:cs="Times New Roman"/>
      <w:kern w:val="0"/>
      <w:sz w:val="24"/>
      <w:szCs w:val="24"/>
    </w:rPr>
  </w:style>
  <w:style w:type="character" w:customStyle="1" w:styleId="148">
    <w:name w:val="正文文本缩进 3 字符1"/>
    <w:autoRedefine/>
    <w:semiHidden/>
    <w:qFormat/>
    <w:uiPriority w:val="99"/>
    <w:rPr>
      <w:rFonts w:ascii="宋体" w:hAnsi="Calibri" w:eastAsia="宋体" w:cs="Times New Roman"/>
      <w:kern w:val="0"/>
      <w:sz w:val="16"/>
      <w:szCs w:val="16"/>
    </w:rPr>
  </w:style>
  <w:style w:type="character" w:customStyle="1" w:styleId="149">
    <w:name w:val="正文文本 2 字符1"/>
    <w:autoRedefine/>
    <w:semiHidden/>
    <w:qFormat/>
    <w:uiPriority w:val="99"/>
    <w:rPr>
      <w:rFonts w:ascii="宋体" w:hAnsi="Calibri" w:eastAsia="宋体" w:cs="Times New Roman"/>
      <w:kern w:val="0"/>
      <w:sz w:val="24"/>
      <w:szCs w:val="24"/>
    </w:rPr>
  </w:style>
  <w:style w:type="character" w:customStyle="1" w:styleId="150">
    <w:name w:val="eschoolnr"/>
    <w:autoRedefine/>
    <w:qFormat/>
    <w:uiPriority w:val="0"/>
    <w:rPr>
      <w:sz w:val="23"/>
      <w:szCs w:val="23"/>
    </w:rPr>
  </w:style>
  <w:style w:type="character" w:customStyle="1" w:styleId="151">
    <w:name w:val="访问过的超链接1"/>
    <w:autoRedefine/>
    <w:qFormat/>
    <w:uiPriority w:val="0"/>
    <w:rPr>
      <w:rFonts w:ascii="Arial" w:hAnsi="Arial" w:cs="Arial"/>
      <w:color w:val="000000"/>
      <w:sz w:val="20"/>
      <w:szCs w:val="20"/>
      <w:u w:val="none"/>
    </w:rPr>
  </w:style>
  <w:style w:type="character" w:customStyle="1" w:styleId="152">
    <w:name w:val="标题 1 Char1"/>
    <w:link w:val="3"/>
    <w:autoRedefine/>
    <w:qFormat/>
    <w:uiPriority w:val="0"/>
    <w:rPr>
      <w:rFonts w:ascii="宋体" w:hAnsi="Calibri" w:eastAsia="宋体" w:cs="Times New Roman"/>
      <w:kern w:val="0"/>
      <w:sz w:val="24"/>
      <w:szCs w:val="24"/>
    </w:rPr>
  </w:style>
  <w:style w:type="character" w:customStyle="1" w:styleId="153">
    <w:name w:val="批注文字 Char1"/>
    <w:autoRedefine/>
    <w:qFormat/>
    <w:uiPriority w:val="0"/>
    <w:rPr>
      <w:kern w:val="2"/>
      <w:sz w:val="21"/>
      <w:szCs w:val="24"/>
    </w:rPr>
  </w:style>
  <w:style w:type="character" w:customStyle="1" w:styleId="154">
    <w:name w:val="批注框文本 Char"/>
    <w:autoRedefine/>
    <w:semiHidden/>
    <w:qFormat/>
    <w:uiPriority w:val="99"/>
    <w:rPr>
      <w:kern w:val="2"/>
      <w:sz w:val="18"/>
      <w:szCs w:val="18"/>
    </w:rPr>
  </w:style>
  <w:style w:type="character" w:customStyle="1" w:styleId="155">
    <w:name w:val="DAS正文 Char"/>
    <w:autoRedefine/>
    <w:qFormat/>
    <w:uiPriority w:val="0"/>
    <w:rPr>
      <w:rFonts w:ascii="Verdana" w:hAnsi="Verdana" w:eastAsia="宋体"/>
      <w:kern w:val="2"/>
      <w:sz w:val="21"/>
      <w:szCs w:val="21"/>
      <w:lang w:val="en-US" w:eastAsia="zh-CN" w:bidi="ar-SA"/>
    </w:rPr>
  </w:style>
  <w:style w:type="character" w:customStyle="1" w:styleId="156">
    <w:name w:val="正文文本缩进 3 Char"/>
    <w:link w:val="29"/>
    <w:autoRedefine/>
    <w:qFormat/>
    <w:uiPriority w:val="0"/>
    <w:rPr>
      <w:rFonts w:ascii="宋体" w:hAnsi="Times New Roman" w:eastAsia="宋体" w:cs="Times New Roman"/>
      <w:kern w:val="0"/>
      <w:sz w:val="24"/>
      <w:szCs w:val="24"/>
    </w:rPr>
  </w:style>
  <w:style w:type="character" w:customStyle="1" w:styleId="157">
    <w:name w:val="页眉 Char"/>
    <w:autoRedefine/>
    <w:qFormat/>
    <w:uiPriority w:val="99"/>
    <w:rPr>
      <w:kern w:val="2"/>
      <w:sz w:val="18"/>
      <w:szCs w:val="18"/>
    </w:rPr>
  </w:style>
  <w:style w:type="character" w:customStyle="1" w:styleId="158">
    <w:name w:val="正文文本 3 Char"/>
    <w:link w:val="18"/>
    <w:autoRedefine/>
    <w:qFormat/>
    <w:uiPriority w:val="0"/>
    <w:rPr>
      <w:rFonts w:ascii="宋体" w:hAnsi="Times New Roman" w:eastAsia="宋体" w:cs="Times New Roman"/>
      <w:b/>
      <w:bCs/>
      <w:color w:val="3366FF"/>
      <w:sz w:val="52"/>
      <w:szCs w:val="52"/>
      <w:lang w:val="zh-CN"/>
    </w:rPr>
  </w:style>
  <w:style w:type="character" w:customStyle="1" w:styleId="159">
    <w:name w:val="HTML 预设格式 字符1"/>
    <w:autoRedefine/>
    <w:semiHidden/>
    <w:qFormat/>
    <w:uiPriority w:val="99"/>
    <w:rPr>
      <w:rFonts w:ascii="Courier New" w:hAnsi="Courier New" w:eastAsia="宋体" w:cs="Courier New"/>
      <w:kern w:val="0"/>
      <w:sz w:val="20"/>
      <w:szCs w:val="20"/>
    </w:rPr>
  </w:style>
  <w:style w:type="character" w:customStyle="1" w:styleId="160">
    <w:name w:val="彩色列表 - 强调文字颜色 1 Char"/>
    <w:link w:val="161"/>
    <w:autoRedefine/>
    <w:qFormat/>
    <w:uiPriority w:val="0"/>
    <w:rPr>
      <w:rFonts w:ascii="宋体"/>
      <w:sz w:val="24"/>
      <w:szCs w:val="24"/>
    </w:rPr>
  </w:style>
  <w:style w:type="paragraph" w:customStyle="1" w:styleId="161">
    <w:name w:val="彩色列表 - 强调文字颜色 11"/>
    <w:basedOn w:val="1"/>
    <w:link w:val="160"/>
    <w:autoRedefine/>
    <w:qFormat/>
    <w:uiPriority w:val="0"/>
    <w:pPr>
      <w:autoSpaceDE w:val="0"/>
      <w:autoSpaceDN w:val="0"/>
      <w:adjustRightInd w:val="0"/>
      <w:ind w:firstLine="420" w:firstLineChars="200"/>
      <w:jc w:val="left"/>
    </w:pPr>
    <w:rPr>
      <w:rFonts w:ascii="宋体"/>
      <w:sz w:val="24"/>
      <w:szCs w:val="24"/>
    </w:rPr>
  </w:style>
  <w:style w:type="character" w:customStyle="1" w:styleId="162">
    <w:name w:val="普通(网站) 字符"/>
    <w:autoRedefine/>
    <w:qFormat/>
    <w:locked/>
    <w:uiPriority w:val="99"/>
    <w:rPr>
      <w:rFonts w:ascii="宋体" w:hAnsi="宋体" w:eastAsia="宋体" w:cs="Times New Roman"/>
      <w:kern w:val="0"/>
      <w:sz w:val="15"/>
      <w:szCs w:val="15"/>
      <w:lang w:val="en-US" w:eastAsia="zh-CN"/>
    </w:rPr>
  </w:style>
  <w:style w:type="paragraph" w:customStyle="1" w:styleId="163">
    <w:name w:val="_Style 123"/>
    <w:basedOn w:val="1"/>
    <w:next w:val="131"/>
    <w:autoRedefine/>
    <w:qFormat/>
    <w:uiPriority w:val="34"/>
    <w:pPr>
      <w:spacing w:line="360" w:lineRule="auto"/>
      <w:ind w:firstLine="420" w:firstLineChars="200"/>
    </w:pPr>
    <w:rPr>
      <w:rFonts w:ascii="Calibri" w:hAnsi="Calibri" w:eastAsia="宋体" w:cs="Times New Roman"/>
    </w:rPr>
  </w:style>
  <w:style w:type="character" w:customStyle="1" w:styleId="164">
    <w:name w:val="纯文本 字符4"/>
    <w:basedOn w:val="40"/>
    <w:autoRedefine/>
    <w:semiHidden/>
    <w:qFormat/>
    <w:uiPriority w:val="99"/>
    <w:rPr>
      <w:rFonts w:hAnsi="Courier New" w:cs="Courier New" w:asciiTheme="minorEastAsia"/>
    </w:rPr>
  </w:style>
  <w:style w:type="character" w:customStyle="1" w:styleId="165">
    <w:name w:val="批注文字 Char2"/>
    <w:basedOn w:val="40"/>
    <w:link w:val="17"/>
    <w:autoRedefine/>
    <w:semiHidden/>
    <w:qFormat/>
    <w:uiPriority w:val="99"/>
  </w:style>
  <w:style w:type="character" w:customStyle="1" w:styleId="166">
    <w:name w:val="批注主题 字符2"/>
    <w:basedOn w:val="165"/>
    <w:autoRedefine/>
    <w:semiHidden/>
    <w:qFormat/>
    <w:uiPriority w:val="99"/>
    <w:rPr>
      <w:b/>
      <w:bCs/>
    </w:rPr>
  </w:style>
  <w:style w:type="character" w:customStyle="1" w:styleId="167">
    <w:name w:val="标题 字符3"/>
    <w:basedOn w:val="40"/>
    <w:autoRedefine/>
    <w:qFormat/>
    <w:uiPriority w:val="10"/>
    <w:rPr>
      <w:rFonts w:asciiTheme="majorHAnsi" w:hAnsiTheme="majorHAnsi" w:eastAsiaTheme="majorEastAsia" w:cstheme="majorBidi"/>
      <w:b/>
      <w:bCs/>
      <w:sz w:val="32"/>
      <w:szCs w:val="32"/>
    </w:rPr>
  </w:style>
  <w:style w:type="character" w:customStyle="1" w:styleId="168">
    <w:name w:val="正文文本缩进 字符3"/>
    <w:basedOn w:val="40"/>
    <w:autoRedefine/>
    <w:semiHidden/>
    <w:qFormat/>
    <w:uiPriority w:val="99"/>
  </w:style>
  <w:style w:type="character" w:customStyle="1" w:styleId="169">
    <w:name w:val="正文文本 字符4"/>
    <w:basedOn w:val="40"/>
    <w:autoRedefine/>
    <w:semiHidden/>
    <w:qFormat/>
    <w:uiPriority w:val="99"/>
  </w:style>
  <w:style w:type="character" w:customStyle="1" w:styleId="170">
    <w:name w:val="正文文本缩进 3 字符2"/>
    <w:basedOn w:val="40"/>
    <w:autoRedefine/>
    <w:semiHidden/>
    <w:qFormat/>
    <w:uiPriority w:val="99"/>
    <w:rPr>
      <w:sz w:val="16"/>
      <w:szCs w:val="16"/>
    </w:rPr>
  </w:style>
  <w:style w:type="character" w:customStyle="1" w:styleId="171">
    <w:name w:val="页眉 字符2"/>
    <w:basedOn w:val="40"/>
    <w:autoRedefine/>
    <w:semiHidden/>
    <w:qFormat/>
    <w:uiPriority w:val="99"/>
    <w:rPr>
      <w:sz w:val="18"/>
      <w:szCs w:val="18"/>
    </w:rPr>
  </w:style>
  <w:style w:type="character" w:customStyle="1" w:styleId="172">
    <w:name w:val="批注框文本 字符2"/>
    <w:basedOn w:val="40"/>
    <w:autoRedefine/>
    <w:semiHidden/>
    <w:qFormat/>
    <w:uiPriority w:val="99"/>
    <w:rPr>
      <w:sz w:val="18"/>
      <w:szCs w:val="18"/>
    </w:rPr>
  </w:style>
  <w:style w:type="character" w:customStyle="1" w:styleId="173">
    <w:name w:val="HTML 预设格式 字符2"/>
    <w:basedOn w:val="40"/>
    <w:autoRedefine/>
    <w:semiHidden/>
    <w:qFormat/>
    <w:uiPriority w:val="99"/>
    <w:rPr>
      <w:rFonts w:ascii="Courier New" w:hAnsi="Courier New" w:cs="Courier New"/>
      <w:sz w:val="20"/>
      <w:szCs w:val="20"/>
    </w:rPr>
  </w:style>
  <w:style w:type="character" w:customStyle="1" w:styleId="174">
    <w:name w:val="页脚 字符2"/>
    <w:basedOn w:val="40"/>
    <w:autoRedefine/>
    <w:semiHidden/>
    <w:qFormat/>
    <w:uiPriority w:val="99"/>
    <w:rPr>
      <w:sz w:val="18"/>
      <w:szCs w:val="18"/>
    </w:rPr>
  </w:style>
  <w:style w:type="character" w:customStyle="1" w:styleId="175">
    <w:name w:val="正文文本缩进 2 字符2"/>
    <w:basedOn w:val="40"/>
    <w:autoRedefine/>
    <w:semiHidden/>
    <w:qFormat/>
    <w:uiPriority w:val="99"/>
  </w:style>
  <w:style w:type="character" w:customStyle="1" w:styleId="176">
    <w:name w:val="正文文本 3 字符2"/>
    <w:basedOn w:val="40"/>
    <w:autoRedefine/>
    <w:semiHidden/>
    <w:qFormat/>
    <w:uiPriority w:val="99"/>
    <w:rPr>
      <w:sz w:val="16"/>
      <w:szCs w:val="16"/>
    </w:rPr>
  </w:style>
  <w:style w:type="character" w:customStyle="1" w:styleId="177">
    <w:name w:val="正文文本 2 字符2"/>
    <w:basedOn w:val="40"/>
    <w:autoRedefine/>
    <w:semiHidden/>
    <w:qFormat/>
    <w:uiPriority w:val="99"/>
  </w:style>
  <w:style w:type="paragraph" w:customStyle="1" w:styleId="178">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9">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80">
    <w:name w:val="文档结构图 字符2"/>
    <w:basedOn w:val="40"/>
    <w:autoRedefine/>
    <w:semiHidden/>
    <w:qFormat/>
    <w:uiPriority w:val="99"/>
    <w:rPr>
      <w:rFonts w:ascii="Microsoft YaHei UI" w:eastAsia="Microsoft YaHei UI"/>
      <w:sz w:val="18"/>
      <w:szCs w:val="18"/>
    </w:rPr>
  </w:style>
  <w:style w:type="character" w:customStyle="1" w:styleId="181">
    <w:name w:val="日期 字符2"/>
    <w:basedOn w:val="40"/>
    <w:autoRedefine/>
    <w:semiHidden/>
    <w:qFormat/>
    <w:uiPriority w:val="99"/>
  </w:style>
  <w:style w:type="paragraph" w:customStyle="1" w:styleId="182">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3">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4">
    <w:name w:val="修订1"/>
    <w:autoRedefine/>
    <w:semiHidden/>
    <w:qFormat/>
    <w:uiPriority w:val="99"/>
    <w:rPr>
      <w:rFonts w:ascii="宋体" w:hAnsi="Calibri" w:eastAsia="宋体" w:cs="Times New Roman"/>
      <w:sz w:val="24"/>
      <w:szCs w:val="24"/>
      <w:lang w:val="en-US" w:eastAsia="zh-CN" w:bidi="ar-SA"/>
    </w:rPr>
  </w:style>
  <w:style w:type="paragraph" w:customStyle="1" w:styleId="185">
    <w:name w:val="图/图注"/>
    <w:basedOn w:val="9"/>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6">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7">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8">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9">
    <w:name w:val="p0"/>
    <w:basedOn w:val="1"/>
    <w:autoRedefine/>
    <w:qFormat/>
    <w:uiPriority w:val="0"/>
    <w:pPr>
      <w:widowControl/>
    </w:pPr>
    <w:rPr>
      <w:rFonts w:ascii="Times New Roman" w:hAnsi="Calibri" w:eastAsia="宋体" w:cs="Times New Roman"/>
      <w:kern w:val="0"/>
      <w:szCs w:val="20"/>
    </w:rPr>
  </w:style>
  <w:style w:type="paragraph" w:customStyle="1" w:styleId="190">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2">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3">
    <w:name w:val="WPSOffice手动目录 1"/>
    <w:autoRedefine/>
    <w:qFormat/>
    <w:uiPriority w:val="0"/>
    <w:rPr>
      <w:rFonts w:ascii="Calibri" w:hAnsi="Calibri" w:eastAsia="宋体" w:cs="Times New Roman"/>
      <w:lang w:val="en-US" w:eastAsia="zh-CN" w:bidi="ar-SA"/>
    </w:rPr>
  </w:style>
  <w:style w:type="paragraph" w:customStyle="1" w:styleId="194">
    <w:name w:val="_Style 69"/>
    <w:basedOn w:val="1"/>
    <w:next w:val="131"/>
    <w:autoRedefine/>
    <w:qFormat/>
    <w:uiPriority w:val="34"/>
    <w:pPr>
      <w:spacing w:line="360" w:lineRule="auto"/>
      <w:ind w:firstLine="420" w:firstLineChars="200"/>
    </w:pPr>
    <w:rPr>
      <w:rFonts w:ascii="Calibri" w:hAnsi="Calibri" w:eastAsia="宋体" w:cs="Times New Roman"/>
    </w:rPr>
  </w:style>
  <w:style w:type="paragraph" w:customStyle="1" w:styleId="195">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6">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7">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8">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9">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表格文字居中"/>
    <w:basedOn w:val="124"/>
    <w:autoRedefine/>
    <w:qFormat/>
    <w:uiPriority w:val="0"/>
    <w:pPr>
      <w:jc w:val="center"/>
    </w:pPr>
    <w:rPr>
      <w:rFonts w:cs="宋体"/>
      <w:szCs w:val="20"/>
    </w:rPr>
  </w:style>
  <w:style w:type="paragraph" w:customStyle="1" w:styleId="201">
    <w:name w:val="正文缩进4格"/>
    <w:basedOn w:val="65"/>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2">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3">
    <w:name w:val="正文首行缩进 Char"/>
    <w:basedOn w:val="120"/>
    <w:link w:val="36"/>
    <w:autoRedefine/>
    <w:semiHidden/>
    <w:qFormat/>
    <w:uiPriority w:val="99"/>
    <w:rPr>
      <w:rFonts w:ascii="宋体" w:eastAsia="宋体"/>
      <w:b w:val="0"/>
      <w:bCs w:val="0"/>
      <w:sz w:val="84"/>
      <w:szCs w:val="84"/>
      <w:lang w:val="zh-CN"/>
    </w:rPr>
  </w:style>
  <w:style w:type="paragraph" w:customStyle="1" w:styleId="20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5">
    <w:name w:val="正文_0"/>
    <w:autoRedefine/>
    <w:qFormat/>
    <w:uiPriority w:val="0"/>
    <w:pPr>
      <w:adjustRightInd w:val="0"/>
      <w:snapToGrid w:val="0"/>
      <w:spacing w:after="200"/>
    </w:pPr>
    <w:rPr>
      <w:rFonts w:ascii="Tahoma" w:hAnsi="Tahoma" w:eastAsia="宋体" w:cs="Times New Roman"/>
      <w:sz w:val="22"/>
      <w:szCs w:val="22"/>
      <w:lang w:val="en-US" w:eastAsia="zh-CN" w:bidi="ar-SA"/>
    </w:rPr>
  </w:style>
  <w:style w:type="paragraph" w:customStyle="1" w:styleId="206">
    <w:name w:val="文档正文"/>
    <w:basedOn w:val="1"/>
    <w:autoRedefine/>
    <w:qFormat/>
    <w:uiPriority w:val="0"/>
    <w:pPr>
      <w:spacing w:line="360" w:lineRule="auto"/>
    </w:pPr>
    <w:rPr>
      <w:rFonts w:cs="Arial"/>
      <w:bCs/>
    </w:rPr>
  </w:style>
  <w:style w:type="character" w:customStyle="1" w:styleId="207">
    <w:name w:val="font61"/>
    <w:basedOn w:val="40"/>
    <w:autoRedefine/>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6628</Words>
  <Characters>37785</Characters>
  <Lines>314</Lines>
  <Paragraphs>88</Paragraphs>
  <TotalTime>39</TotalTime>
  <ScaleCrop>false</ScaleCrop>
  <LinksUpToDate>false</LinksUpToDate>
  <CharactersWithSpaces>44325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王工</cp:lastModifiedBy>
  <cp:lastPrinted>2024-03-29T11:05:00Z</cp:lastPrinted>
  <dcterms:modified xsi:type="dcterms:W3CDTF">2024-04-02T09:16:59Z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1BE87AAAB6784C4CA313FA1102A080DE_13</vt:lpwstr>
  </property>
</Properties>
</file>