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hint="eastAsia" w:ascii="宋体" w:hAnsi="宋体" w:eastAsia="宋体" w:cs="宋体"/>
          <w:b/>
          <w:bCs/>
          <w:kern w:val="0"/>
          <w:sz w:val="52"/>
          <w:szCs w:val="52"/>
          <w:highlight w:val="none"/>
          <w:lang w:val="en-US" w:eastAsia="zh-CN"/>
        </w:rPr>
      </w:pPr>
      <w:r>
        <w:rPr>
          <w:rFonts w:hint="eastAsia" w:ascii="宋体" w:hAnsi="宋体" w:eastAsia="宋体" w:cs="宋体"/>
          <w:b/>
          <w:bCs/>
          <w:kern w:val="0"/>
          <w:sz w:val="52"/>
          <w:szCs w:val="52"/>
          <w:highlight w:val="none"/>
          <w:lang w:val="en-US" w:eastAsia="zh-CN"/>
        </w:rPr>
        <w:t xml:space="preserve"> </w:t>
      </w:r>
    </w:p>
    <w:p>
      <w:pPr>
        <w:autoSpaceDE w:val="0"/>
        <w:autoSpaceDN w:val="0"/>
        <w:adjustRightInd w:val="0"/>
        <w:spacing w:line="276" w:lineRule="auto"/>
        <w:ind w:left="357" w:leftChars="170" w:right="-23" w:rightChars="-11"/>
        <w:jc w:val="center"/>
        <w:outlineLvl w:val="9"/>
        <w:rPr>
          <w:rFonts w:ascii="宋体" w:hAnsi="宋体" w:eastAsia="宋体" w:cs="宋体"/>
          <w:b/>
          <w:bCs/>
          <w:kern w:val="0"/>
          <w:sz w:val="60"/>
          <w:szCs w:val="60"/>
          <w:highlight w:val="none"/>
          <w:lang w:val="zh-CN"/>
        </w:rPr>
      </w:pPr>
      <w:r>
        <w:rPr>
          <w:rFonts w:hint="eastAsia" w:ascii="宋体" w:hAnsi="宋体" w:eastAsia="宋体" w:cs="宋体"/>
          <w:b/>
          <w:bCs/>
          <w:kern w:val="0"/>
          <w:sz w:val="60"/>
          <w:szCs w:val="60"/>
          <w:highlight w:val="none"/>
          <w:lang w:val="zh-CN"/>
        </w:rPr>
        <w:t>东莞市众源环境投资有限公司五金配件及劳保物资采购项目</w:t>
      </w:r>
    </w:p>
    <w:p>
      <w:pPr>
        <w:autoSpaceDE w:val="0"/>
        <w:autoSpaceDN w:val="0"/>
        <w:adjustRightInd w:val="0"/>
        <w:spacing w:line="276" w:lineRule="auto"/>
        <w:ind w:left="357" w:leftChars="170" w:right="-23" w:rightChars="-11"/>
        <w:jc w:val="center"/>
        <w:outlineLvl w:val="9"/>
        <w:rPr>
          <w:rFonts w:ascii="宋体" w:hAnsi="宋体" w:eastAsia="宋体" w:cs="宋体"/>
          <w:b/>
          <w:bCs/>
          <w:kern w:val="0"/>
          <w:sz w:val="44"/>
          <w:szCs w:val="44"/>
          <w:highlight w:val="none"/>
          <w:lang w:val="zh-CN"/>
        </w:rPr>
      </w:pPr>
    </w:p>
    <w:p>
      <w:pPr>
        <w:autoSpaceDE w:val="0"/>
        <w:autoSpaceDN w:val="0"/>
        <w:adjustRightInd w:val="0"/>
        <w:ind w:right="-23" w:rightChars="-11"/>
        <w:jc w:val="left"/>
        <w:outlineLvl w:val="9"/>
        <w:rPr>
          <w:rFonts w:ascii="宋体" w:hAnsi="宋体" w:eastAsia="宋体" w:cs="宋体"/>
          <w:b/>
          <w:bCs/>
          <w:sz w:val="44"/>
          <w:szCs w:val="44"/>
          <w:highlight w:val="none"/>
          <w:lang w:val="zh-CN"/>
        </w:rPr>
      </w:pPr>
    </w:p>
    <w:p>
      <w:pPr>
        <w:autoSpaceDE w:val="0"/>
        <w:autoSpaceDN w:val="0"/>
        <w:adjustRightInd w:val="0"/>
        <w:ind w:right="-23" w:rightChars="-11"/>
        <w:jc w:val="center"/>
        <w:outlineLvl w:val="9"/>
        <w:rPr>
          <w:rFonts w:hint="eastAsia" w:ascii="宋体" w:hAnsi="宋体" w:eastAsia="宋体" w:cs="Times New Roman"/>
          <w:b/>
          <w:bCs/>
          <w:sz w:val="72"/>
          <w:szCs w:val="72"/>
          <w:highlight w:val="none"/>
          <w:lang w:val="en-US" w:eastAsia="zh-CN"/>
        </w:rPr>
      </w:pPr>
    </w:p>
    <w:p>
      <w:pPr>
        <w:autoSpaceDE w:val="0"/>
        <w:autoSpaceDN w:val="0"/>
        <w:adjustRightInd w:val="0"/>
        <w:ind w:right="-23" w:rightChars="-11"/>
        <w:jc w:val="center"/>
        <w:outlineLvl w:val="9"/>
        <w:rPr>
          <w:rFonts w:ascii="宋体" w:hAnsi="宋体" w:eastAsia="宋体" w:cs="Times New Roman"/>
          <w:b/>
          <w:bCs/>
          <w:sz w:val="72"/>
          <w:szCs w:val="72"/>
          <w:highlight w:val="none"/>
          <w:lang w:val="zh-CN"/>
        </w:rPr>
      </w:pPr>
      <w:r>
        <w:rPr>
          <w:rFonts w:hint="eastAsia" w:ascii="宋体" w:hAnsi="宋体" w:eastAsia="宋体" w:cs="Times New Roman"/>
          <w:b/>
          <w:bCs/>
          <w:sz w:val="72"/>
          <w:szCs w:val="72"/>
          <w:highlight w:val="none"/>
          <w:lang w:val="zh-CN"/>
        </w:rPr>
        <w:t>招</w:t>
      </w:r>
      <w:r>
        <w:rPr>
          <w:rFonts w:hint="eastAsia" w:ascii="宋体" w:hAnsi="宋体" w:eastAsia="宋体" w:cs="Times New Roman"/>
          <w:b/>
          <w:bCs/>
          <w:sz w:val="72"/>
          <w:szCs w:val="72"/>
          <w:highlight w:val="none"/>
        </w:rPr>
        <w:t xml:space="preserve"> </w:t>
      </w:r>
      <w:r>
        <w:rPr>
          <w:rFonts w:hint="eastAsia" w:ascii="宋体" w:hAnsi="宋体" w:eastAsia="宋体" w:cs="Times New Roman"/>
          <w:b/>
          <w:bCs/>
          <w:sz w:val="72"/>
          <w:szCs w:val="72"/>
          <w:highlight w:val="none"/>
          <w:lang w:val="zh-CN"/>
        </w:rPr>
        <w:t>标</w:t>
      </w:r>
      <w:r>
        <w:rPr>
          <w:rFonts w:hint="eastAsia" w:ascii="宋体" w:hAnsi="宋体" w:eastAsia="宋体" w:cs="Times New Roman"/>
          <w:b/>
          <w:bCs/>
          <w:sz w:val="72"/>
          <w:szCs w:val="72"/>
          <w:highlight w:val="none"/>
        </w:rPr>
        <w:t xml:space="preserve"> </w:t>
      </w:r>
      <w:r>
        <w:rPr>
          <w:rFonts w:hint="eastAsia" w:ascii="宋体" w:hAnsi="宋体" w:eastAsia="宋体" w:cs="Times New Roman"/>
          <w:b/>
          <w:bCs/>
          <w:sz w:val="72"/>
          <w:szCs w:val="72"/>
          <w:highlight w:val="none"/>
          <w:lang w:val="zh-CN"/>
        </w:rPr>
        <w:t>文</w:t>
      </w:r>
      <w:r>
        <w:rPr>
          <w:rFonts w:hint="eastAsia" w:ascii="宋体" w:hAnsi="宋体" w:eastAsia="宋体" w:cs="Times New Roman"/>
          <w:b/>
          <w:bCs/>
          <w:sz w:val="72"/>
          <w:szCs w:val="72"/>
          <w:highlight w:val="none"/>
        </w:rPr>
        <w:t xml:space="preserve"> </w:t>
      </w:r>
      <w:r>
        <w:rPr>
          <w:rFonts w:hint="eastAsia" w:ascii="宋体" w:hAnsi="宋体" w:eastAsia="宋体" w:cs="Times New Roman"/>
          <w:b/>
          <w:bCs/>
          <w:sz w:val="72"/>
          <w:szCs w:val="72"/>
          <w:highlight w:val="none"/>
          <w:lang w:val="zh-CN"/>
        </w:rPr>
        <w:t>件</w:t>
      </w:r>
    </w:p>
    <w:p>
      <w:pPr>
        <w:autoSpaceDE w:val="0"/>
        <w:autoSpaceDN w:val="0"/>
        <w:adjustRightInd w:val="0"/>
        <w:ind w:right="-23" w:rightChars="-11"/>
        <w:jc w:val="center"/>
        <w:outlineLvl w:val="9"/>
        <w:rPr>
          <w:rFonts w:ascii="宋体" w:hAnsi="宋体" w:eastAsia="宋体" w:cs="宋体"/>
          <w:b/>
          <w:bCs/>
          <w:sz w:val="32"/>
          <w:szCs w:val="32"/>
          <w:highlight w:val="none"/>
          <w:lang w:val="zh-CN"/>
        </w:rPr>
      </w:pPr>
    </w:p>
    <w:p>
      <w:pPr>
        <w:autoSpaceDE w:val="0"/>
        <w:autoSpaceDN w:val="0"/>
        <w:adjustRightInd w:val="0"/>
        <w:ind w:right="-23" w:rightChars="-11"/>
        <w:jc w:val="center"/>
        <w:outlineLvl w:val="9"/>
        <w:rPr>
          <w:rFonts w:ascii="宋体" w:hAnsi="宋体" w:eastAsia="宋体" w:cs="宋体"/>
          <w:b/>
          <w:bCs/>
          <w:sz w:val="44"/>
          <w:szCs w:val="44"/>
          <w:highlight w:val="none"/>
          <w:lang w:val="zh-CN"/>
        </w:rPr>
      </w:pPr>
    </w:p>
    <w:p>
      <w:pPr>
        <w:autoSpaceDE w:val="0"/>
        <w:autoSpaceDN w:val="0"/>
        <w:adjustRightInd w:val="0"/>
        <w:ind w:right="-23" w:rightChars="-11"/>
        <w:jc w:val="left"/>
        <w:outlineLvl w:val="9"/>
        <w:rPr>
          <w:rFonts w:ascii="宋体" w:hAnsi="宋体" w:eastAsia="宋体" w:cs="宋体"/>
          <w:b/>
          <w:bCs/>
          <w:sz w:val="32"/>
          <w:szCs w:val="32"/>
          <w:highlight w:val="none"/>
          <w:u w:val="single"/>
          <w:lang w:val="zh-CN"/>
        </w:rPr>
      </w:pPr>
    </w:p>
    <w:p>
      <w:pPr>
        <w:tabs>
          <w:tab w:val="left" w:pos="9240"/>
        </w:tabs>
        <w:autoSpaceDE w:val="0"/>
        <w:autoSpaceDN w:val="0"/>
        <w:adjustRightInd w:val="0"/>
        <w:spacing w:line="700" w:lineRule="exact"/>
        <w:ind w:right="-23" w:rightChars="-11"/>
        <w:jc w:val="left"/>
        <w:outlineLvl w:val="9"/>
        <w:rPr>
          <w:rFonts w:ascii="宋体" w:hAnsi="宋体" w:eastAsia="宋体" w:cs="宋体"/>
          <w:b/>
          <w:bCs/>
          <w:sz w:val="32"/>
          <w:szCs w:val="32"/>
          <w:highlight w:val="none"/>
          <w:lang w:val="zh-CN"/>
        </w:rPr>
      </w:pPr>
    </w:p>
    <w:p>
      <w:pPr>
        <w:autoSpaceDE w:val="0"/>
        <w:autoSpaceDN w:val="0"/>
        <w:adjustRightInd w:val="0"/>
        <w:spacing w:line="480" w:lineRule="auto"/>
        <w:ind w:left="1842" w:leftChars="877" w:firstLine="19" w:firstLineChars="6"/>
        <w:jc w:val="left"/>
        <w:outlineLvl w:val="9"/>
        <w:rPr>
          <w:rFonts w:ascii="宋体" w:hAnsi="宋体" w:eastAsia="宋体" w:cs="Times New Roman"/>
          <w:b/>
          <w:bCs/>
          <w:sz w:val="32"/>
          <w:szCs w:val="32"/>
          <w:highlight w:val="none"/>
          <w:lang w:val="zh-CN"/>
        </w:rPr>
      </w:pPr>
      <w:r>
        <w:rPr>
          <w:rFonts w:hint="eastAsia" w:ascii="宋体" w:hAnsi="宋体" w:eastAsia="宋体" w:cs="Times New Roman"/>
          <w:b/>
          <w:bCs/>
          <w:sz w:val="32"/>
          <w:szCs w:val="32"/>
          <w:highlight w:val="none"/>
          <w:lang w:val="zh-CN"/>
        </w:rPr>
        <w:t>招</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标</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编</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号：0832-SFCX24DG010A</w:t>
      </w:r>
    </w:p>
    <w:p>
      <w:pPr>
        <w:autoSpaceDE w:val="0"/>
        <w:autoSpaceDN w:val="0"/>
        <w:adjustRightInd w:val="0"/>
        <w:spacing w:line="480" w:lineRule="auto"/>
        <w:ind w:left="1842" w:leftChars="877" w:firstLine="19" w:firstLineChars="6"/>
        <w:jc w:val="left"/>
        <w:outlineLvl w:val="9"/>
        <w:rPr>
          <w:rFonts w:ascii="宋体" w:hAnsi="宋体" w:eastAsia="宋体" w:cs="Times New Roman"/>
          <w:b/>
          <w:bCs/>
          <w:sz w:val="32"/>
          <w:szCs w:val="32"/>
          <w:highlight w:val="none"/>
          <w:lang w:val="zh-CN"/>
        </w:rPr>
      </w:pPr>
      <w:r>
        <w:rPr>
          <w:rFonts w:hint="eastAsia" w:ascii="宋体" w:hAnsi="宋体" w:eastAsia="宋体" w:cs="Times New Roman"/>
          <w:b/>
          <w:bCs/>
          <w:sz w:val="32"/>
          <w:szCs w:val="32"/>
          <w:highlight w:val="none"/>
          <w:lang w:val="zh-CN"/>
        </w:rPr>
        <w:t>招</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标</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人：东莞市众源环境投资有限公司</w:t>
      </w:r>
    </w:p>
    <w:p>
      <w:pPr>
        <w:autoSpaceDE w:val="0"/>
        <w:autoSpaceDN w:val="0"/>
        <w:adjustRightInd w:val="0"/>
        <w:spacing w:line="480" w:lineRule="auto"/>
        <w:ind w:left="1842" w:leftChars="877" w:firstLine="19" w:firstLineChars="6"/>
        <w:jc w:val="left"/>
        <w:outlineLvl w:val="9"/>
        <w:rPr>
          <w:rFonts w:ascii="宋体" w:hAnsi="宋体" w:eastAsia="宋体" w:cs="Times New Roman"/>
          <w:b/>
          <w:bCs/>
          <w:sz w:val="32"/>
          <w:szCs w:val="32"/>
          <w:highlight w:val="none"/>
          <w:lang w:val="zh-CN"/>
        </w:rPr>
      </w:pPr>
      <w:r>
        <w:rPr>
          <w:rFonts w:hint="eastAsia" w:ascii="宋体" w:hAnsi="宋体" w:eastAsia="宋体" w:cs="Times New Roman"/>
          <w:b/>
          <w:bCs/>
          <w:sz w:val="32"/>
          <w:szCs w:val="32"/>
          <w:highlight w:val="none"/>
          <w:lang w:val="zh-CN"/>
        </w:rPr>
        <w:t>招标代理机构：三方诚信招标有限公司</w:t>
      </w:r>
    </w:p>
    <w:p>
      <w:pPr>
        <w:autoSpaceDE w:val="0"/>
        <w:autoSpaceDN w:val="0"/>
        <w:adjustRightInd w:val="0"/>
        <w:ind w:right="-23" w:rightChars="-11"/>
        <w:jc w:val="left"/>
        <w:outlineLvl w:val="9"/>
        <w:rPr>
          <w:rFonts w:ascii="宋体" w:hAnsi="宋体" w:eastAsia="宋体" w:cs="Times New Roman"/>
          <w:b/>
          <w:bCs/>
          <w:kern w:val="0"/>
          <w:sz w:val="32"/>
          <w:szCs w:val="32"/>
          <w:highlight w:val="none"/>
          <w:lang w:val="zh-CN"/>
        </w:rPr>
      </w:pPr>
    </w:p>
    <w:p>
      <w:pPr>
        <w:autoSpaceDE w:val="0"/>
        <w:autoSpaceDN w:val="0"/>
        <w:adjustRightInd w:val="0"/>
        <w:ind w:right="-23" w:rightChars="-11"/>
        <w:jc w:val="center"/>
        <w:rPr>
          <w:rFonts w:ascii="宋体" w:hAnsi="宋体" w:eastAsia="宋体" w:cs="Times New Roman"/>
          <w:b/>
          <w:bCs/>
          <w:kern w:val="0"/>
          <w:sz w:val="84"/>
          <w:szCs w:val="84"/>
          <w:highlight w:val="none"/>
          <w:lang w:val="zh-CN"/>
        </w:rPr>
      </w:pPr>
    </w:p>
    <w:p>
      <w:pPr>
        <w:autoSpaceDE w:val="0"/>
        <w:autoSpaceDN w:val="0"/>
        <w:adjustRightInd w:val="0"/>
        <w:spacing w:line="360" w:lineRule="auto"/>
        <w:ind w:left="357" w:leftChars="170" w:right="-23" w:rightChars="-11" w:firstLine="321" w:firstLineChars="100"/>
        <w:jc w:val="center"/>
        <w:rPr>
          <w:rFonts w:ascii="宋体" w:hAnsi="宋体" w:eastAsia="宋体" w:cs="宋体"/>
          <w:b/>
          <w:bCs/>
          <w:kern w:val="0"/>
          <w:sz w:val="52"/>
          <w:szCs w:val="52"/>
          <w:highlight w:val="none"/>
        </w:rPr>
      </w:pPr>
      <w:r>
        <w:rPr>
          <w:rFonts w:hint="eastAsia" w:ascii="宋体" w:hAnsi="宋体" w:eastAsia="宋体" w:cs="宋体"/>
          <w:b/>
          <w:bCs/>
          <w:sz w:val="32"/>
          <w:szCs w:val="32"/>
          <w:highlight w:val="none"/>
          <w:lang w:val="en-US" w:eastAsia="zh-CN"/>
        </w:rPr>
        <w:t>2024</w:t>
      </w:r>
      <w:r>
        <w:rPr>
          <w:rFonts w:hint="eastAsia" w:ascii="宋体" w:hAnsi="宋体" w:eastAsia="宋体" w:cs="宋体"/>
          <w:b/>
          <w:bCs/>
          <w:sz w:val="32"/>
          <w:szCs w:val="32"/>
          <w:highlight w:val="none"/>
          <w:lang w:val="zh-CN"/>
        </w:rPr>
        <w:t>年</w:t>
      </w:r>
      <w:r>
        <w:rPr>
          <w:rFonts w:hint="eastAsia" w:ascii="宋体" w:hAnsi="宋体" w:eastAsia="宋体" w:cs="宋体"/>
          <w:b/>
          <w:bCs/>
          <w:sz w:val="32"/>
          <w:szCs w:val="32"/>
          <w:highlight w:val="none"/>
          <w:lang w:val="en-US" w:eastAsia="zh-CN"/>
        </w:rPr>
        <w:t>4</w:t>
      </w:r>
      <w:r>
        <w:rPr>
          <w:rFonts w:hint="eastAsia" w:ascii="宋体" w:hAnsi="宋体" w:eastAsia="宋体" w:cs="宋体"/>
          <w:b/>
          <w:bCs/>
          <w:sz w:val="32"/>
          <w:szCs w:val="32"/>
          <w:highlight w:val="none"/>
          <w:lang w:val="zh-CN"/>
        </w:rPr>
        <w:t>月</w:t>
      </w:r>
      <w:r>
        <w:rPr>
          <w:rFonts w:hint="eastAsia" w:ascii="宋体" w:hAnsi="宋体" w:eastAsia="宋体" w:cs="宋体"/>
          <w:b/>
          <w:bCs/>
          <w:sz w:val="32"/>
          <w:szCs w:val="32"/>
          <w:highlight w:val="none"/>
          <w:lang w:val="en-US" w:eastAsia="zh-CN"/>
        </w:rPr>
        <w:t>1</w:t>
      </w:r>
      <w:r>
        <w:rPr>
          <w:rFonts w:hint="eastAsia" w:ascii="宋体" w:hAnsi="宋体" w:eastAsia="宋体" w:cs="宋体"/>
          <w:b/>
          <w:bCs/>
          <w:sz w:val="32"/>
          <w:szCs w:val="32"/>
          <w:highlight w:val="none"/>
          <w:lang w:val="zh-CN"/>
        </w:rPr>
        <w:t>日</w:t>
      </w:r>
    </w:p>
    <w:sdt>
      <w:sdtPr>
        <w:rPr>
          <w:rFonts w:ascii="宋体" w:hAnsi="宋体" w:eastAsia="宋体" w:cstheme="minorBidi"/>
          <w:kern w:val="2"/>
          <w:sz w:val="21"/>
          <w:szCs w:val="22"/>
          <w:lang w:val="en-US" w:eastAsia="zh-CN" w:bidi="ar-SA"/>
        </w:rPr>
        <w:id w:val="147466251"/>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lang w:val="en-US" w:eastAsia="zh-CN" w:bidi="ar-SA"/>
            </w:rPr>
          </w:pPr>
          <w:bookmarkStart w:id="0" w:name="_Toc2723_WPSOffice_Level1"/>
          <w:bookmarkStart w:id="1" w:name="_Toc486167660"/>
          <w:bookmarkStart w:id="2" w:name="_Toc142508310"/>
          <w:bookmarkStart w:id="3" w:name="_Toc28404"/>
          <w:bookmarkStart w:id="4" w:name="_Toc16892"/>
          <w:bookmarkStart w:id="5" w:name="_Toc450662846"/>
          <w:bookmarkStart w:id="6" w:name="_Toc2486"/>
          <w:bookmarkStart w:id="7" w:name="_Toc11112"/>
          <w:bookmarkStart w:id="8" w:name="_Toc11638"/>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lang w:val="en-US" w:eastAsia="zh-CN" w:bidi="ar-SA"/>
            </w:rPr>
          </w:pP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目录</w:t>
          </w:r>
        </w:p>
        <w:p>
          <w:pPr>
            <w:pStyle w:val="29"/>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"1-3"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_Toc16796 </w:instrText>
          </w:r>
          <w:r>
            <w:rPr>
              <w:rFonts w:hint="eastAsia" w:ascii="宋体" w:hAnsi="宋体" w:eastAsia="宋体" w:cs="宋体"/>
            </w:rPr>
            <w:fldChar w:fldCharType="separate"/>
          </w:r>
          <w:r>
            <w:rPr>
              <w:rFonts w:hint="eastAsia" w:ascii="宋体" w:hAnsi="宋体" w:eastAsia="宋体" w:cs="宋体"/>
              <w:bCs/>
              <w:kern w:val="44"/>
              <w:szCs w:val="32"/>
              <w:highlight w:val="none"/>
              <w:lang w:val="zh-CN"/>
            </w:rPr>
            <w:t>第一篇 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_Toc16796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29"/>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_Toc29649 </w:instrText>
          </w:r>
          <w:r>
            <w:rPr>
              <w:rFonts w:hint="eastAsia" w:ascii="宋体" w:hAnsi="宋体" w:eastAsia="宋体" w:cs="宋体"/>
            </w:rPr>
            <w:fldChar w:fldCharType="separate"/>
          </w:r>
          <w:r>
            <w:rPr>
              <w:rFonts w:hint="eastAsia" w:ascii="宋体" w:hAnsi="宋体" w:eastAsia="宋体" w:cs="宋体"/>
              <w:bCs/>
              <w:kern w:val="44"/>
              <w:szCs w:val="32"/>
              <w:highlight w:val="none"/>
              <w:lang w:val="zh-CN"/>
            </w:rPr>
            <w:t>第二篇</w:t>
          </w:r>
          <w:r>
            <w:rPr>
              <w:rFonts w:hint="eastAsia" w:ascii="宋体" w:hAnsi="宋体" w:eastAsia="宋体" w:cs="宋体"/>
              <w:bCs/>
              <w:kern w:val="44"/>
              <w:szCs w:val="32"/>
              <w:highlight w:val="none"/>
            </w:rPr>
            <w:t xml:space="preserve"> </w:t>
          </w:r>
          <w:r>
            <w:rPr>
              <w:rFonts w:hint="eastAsia" w:ascii="宋体" w:hAnsi="宋体" w:eastAsia="宋体" w:cs="宋体"/>
              <w:bCs/>
              <w:kern w:val="44"/>
              <w:szCs w:val="32"/>
              <w:highlight w:val="none"/>
              <w:lang w:val="zh-CN"/>
            </w:rPr>
            <w:t>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_Toc29649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_Toc29330 </w:instrText>
          </w:r>
          <w:r>
            <w:rPr>
              <w:rFonts w:hint="eastAsia" w:ascii="宋体" w:hAnsi="宋体" w:eastAsia="宋体" w:cs="宋体"/>
            </w:rPr>
            <w:fldChar w:fldCharType="separate"/>
          </w:r>
          <w:r>
            <w:rPr>
              <w:rFonts w:hint="eastAsia" w:ascii="宋体" w:hAnsi="宋体" w:eastAsia="宋体" w:cs="宋体"/>
              <w:bCs/>
              <w:kern w:val="44"/>
              <w:szCs w:val="21"/>
              <w:highlight w:val="none"/>
              <w:lang w:val="zh-CN"/>
            </w:rPr>
            <w:t>一、总则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_Toc29330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_Toc31907 </w:instrText>
          </w:r>
          <w:r>
            <w:rPr>
              <w:rFonts w:hint="eastAsia" w:ascii="宋体" w:hAnsi="宋体" w:eastAsia="宋体" w:cs="宋体"/>
            </w:rPr>
            <w:fldChar w:fldCharType="separate"/>
          </w:r>
          <w:r>
            <w:rPr>
              <w:rFonts w:hint="eastAsia" w:ascii="宋体" w:hAnsi="宋体" w:eastAsia="宋体" w:cs="宋体"/>
              <w:szCs w:val="21"/>
              <w:highlight w:val="none"/>
              <w:lang w:val="zh-CN"/>
            </w:rPr>
            <w:t>1 资金来源：企业自筹资金。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_Toc31907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_Toc14373 </w:instrText>
          </w:r>
          <w:r>
            <w:rPr>
              <w:rFonts w:hint="eastAsia" w:ascii="宋体" w:hAnsi="宋体" w:eastAsia="宋体" w:cs="宋体"/>
            </w:rPr>
            <w:fldChar w:fldCharType="separate"/>
          </w:r>
          <w:r>
            <w:rPr>
              <w:rFonts w:hint="eastAsia" w:ascii="宋体" w:hAnsi="宋体" w:eastAsia="宋体" w:cs="宋体"/>
              <w:szCs w:val="21"/>
              <w:highlight w:val="none"/>
              <w:lang w:val="zh-CN"/>
            </w:rPr>
            <w:t>2 合格的投标人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_Toc14373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_Toc29293 </w:instrText>
          </w:r>
          <w:r>
            <w:rPr>
              <w:rFonts w:hint="eastAsia" w:ascii="宋体" w:hAnsi="宋体" w:eastAsia="宋体" w:cs="宋体"/>
            </w:rPr>
            <w:fldChar w:fldCharType="separate"/>
          </w:r>
          <w:r>
            <w:rPr>
              <w:rFonts w:hint="eastAsia" w:ascii="宋体" w:hAnsi="宋体" w:eastAsia="宋体" w:cs="宋体"/>
              <w:szCs w:val="21"/>
              <w:highlight w:val="none"/>
              <w:lang w:val="zh-CN"/>
            </w:rPr>
            <w:t>3 合格的货物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_Toc29293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_Toc20314 </w:instrText>
          </w:r>
          <w:r>
            <w:rPr>
              <w:rFonts w:hint="eastAsia" w:ascii="宋体" w:hAnsi="宋体" w:eastAsia="宋体" w:cs="宋体"/>
            </w:rPr>
            <w:fldChar w:fldCharType="separate"/>
          </w:r>
          <w:r>
            <w:rPr>
              <w:rFonts w:hint="eastAsia" w:ascii="宋体" w:hAnsi="宋体" w:eastAsia="宋体" w:cs="宋体"/>
              <w:szCs w:val="21"/>
              <w:highlight w:val="none"/>
              <w:lang w:val="zh-CN"/>
            </w:rPr>
            <w:t>4 其它说明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_Toc20314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_Toc24248 </w:instrText>
          </w:r>
          <w:r>
            <w:rPr>
              <w:rFonts w:hint="eastAsia" w:ascii="宋体" w:hAnsi="宋体" w:eastAsia="宋体" w:cs="宋体"/>
            </w:rPr>
            <w:fldChar w:fldCharType="separate"/>
          </w:r>
          <w:r>
            <w:rPr>
              <w:rFonts w:hint="eastAsia" w:ascii="宋体" w:hAnsi="宋体" w:eastAsia="宋体" w:cs="宋体"/>
              <w:bCs/>
              <w:kern w:val="44"/>
              <w:szCs w:val="21"/>
              <w:highlight w:val="none"/>
              <w:lang w:val="zh-CN"/>
            </w:rPr>
            <w:t>二、招标文件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_Toc24248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_Toc8670 </w:instrText>
          </w:r>
          <w:r>
            <w:rPr>
              <w:rFonts w:hint="eastAsia" w:ascii="宋体" w:hAnsi="宋体" w:eastAsia="宋体" w:cs="宋体"/>
            </w:rPr>
            <w:fldChar w:fldCharType="separate"/>
          </w:r>
          <w:r>
            <w:rPr>
              <w:rFonts w:hint="eastAsia" w:ascii="宋体" w:hAnsi="宋体" w:eastAsia="宋体" w:cs="宋体"/>
              <w:szCs w:val="21"/>
              <w:highlight w:val="none"/>
              <w:lang w:val="zh-CN"/>
            </w:rPr>
            <w:t>5 招标文件的构成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_Toc8670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_Toc6553 </w:instrText>
          </w:r>
          <w:r>
            <w:rPr>
              <w:rFonts w:hint="eastAsia" w:ascii="宋体" w:hAnsi="宋体" w:eastAsia="宋体" w:cs="宋体"/>
            </w:rPr>
            <w:fldChar w:fldCharType="separate"/>
          </w:r>
          <w:r>
            <w:rPr>
              <w:rFonts w:hint="eastAsia" w:ascii="宋体" w:hAnsi="宋体" w:eastAsia="宋体" w:cs="宋体"/>
              <w:szCs w:val="21"/>
              <w:highlight w:val="none"/>
              <w:lang w:val="zh-CN"/>
            </w:rPr>
            <w:t>6 招标文件的异议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_Toc6553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_Toc28685 </w:instrText>
          </w:r>
          <w:r>
            <w:rPr>
              <w:rFonts w:hint="eastAsia" w:ascii="宋体" w:hAnsi="宋体" w:eastAsia="宋体" w:cs="宋体"/>
            </w:rPr>
            <w:fldChar w:fldCharType="separate"/>
          </w:r>
          <w:r>
            <w:rPr>
              <w:rFonts w:hint="eastAsia" w:ascii="宋体" w:hAnsi="宋体" w:eastAsia="宋体" w:cs="宋体"/>
              <w:szCs w:val="21"/>
              <w:highlight w:val="none"/>
              <w:lang w:val="zh-CN"/>
            </w:rPr>
            <w:t>7 招标文件的澄清及修改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_Toc28685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_Toc28726 </w:instrText>
          </w:r>
          <w:r>
            <w:rPr>
              <w:rFonts w:hint="eastAsia" w:ascii="宋体" w:hAnsi="宋体" w:eastAsia="宋体" w:cs="宋体"/>
            </w:rPr>
            <w:fldChar w:fldCharType="separate"/>
          </w:r>
          <w:r>
            <w:rPr>
              <w:rFonts w:hint="eastAsia" w:ascii="宋体" w:hAnsi="宋体" w:eastAsia="宋体" w:cs="宋体"/>
              <w:bCs/>
              <w:kern w:val="44"/>
              <w:szCs w:val="21"/>
              <w:highlight w:val="none"/>
              <w:lang w:val="zh-CN"/>
            </w:rPr>
            <w:t>三、投标文件的编制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_Toc28726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_Toc28642 </w:instrText>
          </w:r>
          <w:r>
            <w:rPr>
              <w:rFonts w:hint="eastAsia" w:ascii="宋体" w:hAnsi="宋体" w:eastAsia="宋体" w:cs="宋体"/>
            </w:rPr>
            <w:fldChar w:fldCharType="separate"/>
          </w:r>
          <w:r>
            <w:rPr>
              <w:rFonts w:hint="eastAsia" w:ascii="宋体" w:hAnsi="宋体" w:eastAsia="宋体" w:cs="宋体"/>
              <w:szCs w:val="21"/>
              <w:highlight w:val="none"/>
              <w:lang w:val="zh-CN"/>
            </w:rPr>
            <w:t>8 投标使用的文字及度量衡单位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_Toc28642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_Toc4184 </w:instrText>
          </w:r>
          <w:r>
            <w:rPr>
              <w:rFonts w:hint="eastAsia" w:ascii="宋体" w:hAnsi="宋体" w:eastAsia="宋体" w:cs="宋体"/>
            </w:rPr>
            <w:fldChar w:fldCharType="separate"/>
          </w:r>
          <w:r>
            <w:rPr>
              <w:rFonts w:hint="eastAsia" w:ascii="宋体" w:hAnsi="宋体" w:eastAsia="宋体" w:cs="宋体"/>
              <w:szCs w:val="21"/>
              <w:highlight w:val="none"/>
              <w:lang w:val="zh-CN"/>
            </w:rPr>
            <w:t>9</w:t>
          </w:r>
          <w:r>
            <w:rPr>
              <w:rFonts w:hint="eastAsia" w:ascii="宋体" w:hAnsi="宋体" w:eastAsia="宋体" w:cs="宋体"/>
              <w:szCs w:val="24"/>
              <w:highlight w:val="none"/>
              <w:lang w:val="zh-CN"/>
            </w:rPr>
            <w:t xml:space="preserve"> </w:t>
          </w:r>
          <w:r>
            <w:rPr>
              <w:rFonts w:hint="eastAsia" w:ascii="宋体" w:hAnsi="宋体" w:eastAsia="宋体" w:cs="宋体"/>
              <w:szCs w:val="21"/>
              <w:highlight w:val="none"/>
              <w:lang w:val="zh-CN"/>
            </w:rPr>
            <w:t>投标文件的组成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_Toc4184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_Toc12471 </w:instrText>
          </w:r>
          <w:r>
            <w:rPr>
              <w:rFonts w:hint="eastAsia" w:ascii="宋体" w:hAnsi="宋体" w:eastAsia="宋体" w:cs="宋体"/>
            </w:rPr>
            <w:fldChar w:fldCharType="separate"/>
          </w:r>
          <w:r>
            <w:rPr>
              <w:rFonts w:hint="eastAsia" w:ascii="宋体" w:hAnsi="宋体" w:eastAsia="宋体" w:cs="宋体"/>
              <w:szCs w:val="21"/>
              <w:highlight w:val="none"/>
              <w:lang w:val="zh-CN"/>
            </w:rPr>
            <w:t>10 投标函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_Toc12471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_Toc27078 </w:instrText>
          </w:r>
          <w:r>
            <w:rPr>
              <w:rFonts w:hint="eastAsia" w:ascii="宋体" w:hAnsi="宋体" w:eastAsia="宋体" w:cs="宋体"/>
            </w:rPr>
            <w:fldChar w:fldCharType="separate"/>
          </w:r>
          <w:r>
            <w:rPr>
              <w:rFonts w:hint="eastAsia" w:ascii="宋体" w:hAnsi="宋体" w:eastAsia="宋体" w:cs="宋体"/>
              <w:szCs w:val="21"/>
              <w:highlight w:val="none"/>
              <w:lang w:val="zh-CN"/>
            </w:rPr>
            <w:t>11 投标报价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_Toc27078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_Toc20932 </w:instrText>
          </w:r>
          <w:r>
            <w:rPr>
              <w:rFonts w:hint="eastAsia" w:ascii="宋体" w:hAnsi="宋体" w:eastAsia="宋体" w:cs="宋体"/>
            </w:rPr>
            <w:fldChar w:fldCharType="separate"/>
          </w:r>
          <w:r>
            <w:rPr>
              <w:rFonts w:hint="eastAsia" w:ascii="宋体" w:hAnsi="宋体" w:eastAsia="宋体" w:cs="宋体"/>
              <w:szCs w:val="21"/>
              <w:highlight w:val="none"/>
              <w:lang w:val="zh-CN"/>
            </w:rPr>
            <w:t>12 投标报价货币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_Toc20932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_Toc31546 </w:instrText>
          </w:r>
          <w:r>
            <w:rPr>
              <w:rFonts w:hint="eastAsia" w:ascii="宋体" w:hAnsi="宋体" w:eastAsia="宋体" w:cs="宋体"/>
            </w:rPr>
            <w:fldChar w:fldCharType="separate"/>
          </w:r>
          <w:r>
            <w:rPr>
              <w:rFonts w:hint="eastAsia" w:ascii="宋体" w:hAnsi="宋体" w:eastAsia="宋体" w:cs="宋体"/>
              <w:szCs w:val="21"/>
              <w:highlight w:val="none"/>
              <w:lang w:val="zh-CN"/>
            </w:rPr>
            <w:t>13 证明投标人的合格性和资格的声明文件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_Toc31546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_Toc18867 </w:instrText>
          </w:r>
          <w:r>
            <w:rPr>
              <w:rFonts w:hint="eastAsia" w:ascii="宋体" w:hAnsi="宋体" w:eastAsia="宋体" w:cs="宋体"/>
            </w:rPr>
            <w:fldChar w:fldCharType="separate"/>
          </w:r>
          <w:r>
            <w:rPr>
              <w:rFonts w:hint="eastAsia" w:ascii="宋体" w:hAnsi="宋体" w:eastAsia="宋体" w:cs="宋体"/>
              <w:szCs w:val="21"/>
              <w:highlight w:val="none"/>
              <w:lang w:val="zh-CN"/>
            </w:rPr>
            <w:t>14 证明货物的合格性并符合招标文件规定的声明文件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_Toc18867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_Toc28716 </w:instrText>
          </w:r>
          <w:r>
            <w:rPr>
              <w:rFonts w:hint="eastAsia" w:ascii="宋体" w:hAnsi="宋体" w:eastAsia="宋体" w:cs="宋体"/>
            </w:rPr>
            <w:fldChar w:fldCharType="separate"/>
          </w:r>
          <w:r>
            <w:rPr>
              <w:rFonts w:hint="eastAsia" w:ascii="宋体" w:hAnsi="宋体" w:eastAsia="宋体" w:cs="宋体"/>
              <w:szCs w:val="21"/>
              <w:highlight w:val="none"/>
              <w:lang w:val="zh-CN"/>
            </w:rPr>
            <w:t>15 投标保证金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_Toc28716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_Toc12233 </w:instrText>
          </w:r>
          <w:r>
            <w:rPr>
              <w:rFonts w:hint="eastAsia" w:ascii="宋体" w:hAnsi="宋体" w:eastAsia="宋体" w:cs="宋体"/>
            </w:rPr>
            <w:fldChar w:fldCharType="separate"/>
          </w:r>
          <w:r>
            <w:rPr>
              <w:rFonts w:hint="eastAsia" w:ascii="宋体" w:hAnsi="宋体" w:eastAsia="宋体" w:cs="宋体"/>
              <w:szCs w:val="21"/>
              <w:highlight w:val="none"/>
              <w:lang w:val="zh-CN"/>
            </w:rPr>
            <w:t>16 投标有效期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_Toc12233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_Toc24008 </w:instrText>
          </w:r>
          <w:r>
            <w:rPr>
              <w:rFonts w:hint="eastAsia" w:ascii="宋体" w:hAnsi="宋体" w:eastAsia="宋体" w:cs="宋体"/>
            </w:rPr>
            <w:fldChar w:fldCharType="separate"/>
          </w:r>
          <w:r>
            <w:rPr>
              <w:rFonts w:hint="eastAsia" w:ascii="宋体" w:hAnsi="宋体" w:eastAsia="宋体" w:cs="宋体"/>
              <w:szCs w:val="21"/>
              <w:highlight w:val="none"/>
              <w:lang w:val="zh-CN"/>
            </w:rPr>
            <w:t>17 投标文件的式样和签署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_Toc24008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_Toc15224 </w:instrText>
          </w:r>
          <w:r>
            <w:rPr>
              <w:rFonts w:hint="eastAsia" w:ascii="宋体" w:hAnsi="宋体" w:eastAsia="宋体" w:cs="宋体"/>
            </w:rPr>
            <w:fldChar w:fldCharType="separate"/>
          </w:r>
          <w:r>
            <w:rPr>
              <w:rFonts w:hint="eastAsia" w:ascii="宋体" w:hAnsi="宋体" w:eastAsia="宋体" w:cs="宋体"/>
              <w:bCs/>
              <w:kern w:val="44"/>
              <w:szCs w:val="21"/>
              <w:highlight w:val="none"/>
              <w:lang w:val="zh-CN"/>
            </w:rPr>
            <w:t>四、投标文件的递交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_Toc15224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_Toc8396 </w:instrText>
          </w:r>
          <w:r>
            <w:rPr>
              <w:rFonts w:hint="eastAsia" w:ascii="宋体" w:hAnsi="宋体" w:eastAsia="宋体" w:cs="宋体"/>
            </w:rPr>
            <w:fldChar w:fldCharType="separate"/>
          </w:r>
          <w:r>
            <w:rPr>
              <w:rFonts w:hint="eastAsia" w:ascii="宋体" w:hAnsi="宋体" w:eastAsia="宋体" w:cs="宋体"/>
              <w:szCs w:val="21"/>
              <w:highlight w:val="none"/>
              <w:lang w:val="zh-CN"/>
            </w:rPr>
            <w:t>18 投标文件的密封和标记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_Toc8396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_Toc5460 </w:instrText>
          </w:r>
          <w:r>
            <w:rPr>
              <w:rFonts w:hint="eastAsia" w:ascii="宋体" w:hAnsi="宋体" w:eastAsia="宋体" w:cs="宋体"/>
            </w:rPr>
            <w:fldChar w:fldCharType="separate"/>
          </w:r>
          <w:r>
            <w:rPr>
              <w:rFonts w:hint="eastAsia" w:ascii="宋体" w:hAnsi="宋体" w:eastAsia="宋体" w:cs="宋体"/>
              <w:szCs w:val="21"/>
              <w:highlight w:val="none"/>
              <w:lang w:val="zh-CN"/>
            </w:rPr>
            <w:t>19 递交投标文件的截止日期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_Toc5460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_Toc11042 </w:instrText>
          </w:r>
          <w:r>
            <w:rPr>
              <w:rFonts w:hint="eastAsia" w:ascii="宋体" w:hAnsi="宋体" w:eastAsia="宋体" w:cs="宋体"/>
            </w:rPr>
            <w:fldChar w:fldCharType="separate"/>
          </w:r>
          <w:r>
            <w:rPr>
              <w:rFonts w:hint="eastAsia" w:ascii="宋体" w:hAnsi="宋体" w:eastAsia="宋体" w:cs="宋体"/>
              <w:szCs w:val="21"/>
              <w:highlight w:val="none"/>
              <w:lang w:val="zh-CN"/>
            </w:rPr>
            <w:t>20 迟交的投标文件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_Toc11042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_Toc11446 </w:instrText>
          </w:r>
          <w:r>
            <w:rPr>
              <w:rFonts w:hint="eastAsia" w:ascii="宋体" w:hAnsi="宋体" w:eastAsia="宋体" w:cs="宋体"/>
            </w:rPr>
            <w:fldChar w:fldCharType="separate"/>
          </w:r>
          <w:r>
            <w:rPr>
              <w:rFonts w:hint="eastAsia" w:ascii="宋体" w:hAnsi="宋体" w:eastAsia="宋体" w:cs="宋体"/>
              <w:szCs w:val="21"/>
              <w:highlight w:val="none"/>
              <w:lang w:val="zh-CN"/>
            </w:rPr>
            <w:t>21 投标文件的修改和撤回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_Toc11446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_Toc18285 </w:instrText>
          </w:r>
          <w:r>
            <w:rPr>
              <w:rFonts w:hint="eastAsia" w:ascii="宋体" w:hAnsi="宋体" w:eastAsia="宋体" w:cs="宋体"/>
            </w:rPr>
            <w:fldChar w:fldCharType="separate"/>
          </w:r>
          <w:r>
            <w:rPr>
              <w:rFonts w:hint="eastAsia" w:ascii="宋体" w:hAnsi="宋体" w:eastAsia="宋体" w:cs="宋体"/>
              <w:bCs/>
              <w:kern w:val="44"/>
              <w:szCs w:val="21"/>
              <w:highlight w:val="none"/>
              <w:lang w:val="zh-CN"/>
            </w:rPr>
            <w:t>五、开标与评标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_Toc18285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_Toc8097 </w:instrText>
          </w:r>
          <w:r>
            <w:rPr>
              <w:rFonts w:hint="eastAsia" w:ascii="宋体" w:hAnsi="宋体" w:eastAsia="宋体" w:cs="宋体"/>
            </w:rPr>
            <w:fldChar w:fldCharType="separate"/>
          </w:r>
          <w:r>
            <w:rPr>
              <w:rFonts w:hint="eastAsia" w:ascii="宋体" w:hAnsi="宋体" w:eastAsia="宋体" w:cs="宋体"/>
              <w:szCs w:val="21"/>
              <w:highlight w:val="none"/>
              <w:lang w:val="zh-CN"/>
            </w:rPr>
            <w:t>22 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_Toc8097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_Toc18919 </w:instrText>
          </w:r>
          <w:r>
            <w:rPr>
              <w:rFonts w:hint="eastAsia" w:ascii="宋体" w:hAnsi="宋体" w:eastAsia="宋体" w:cs="宋体"/>
            </w:rPr>
            <w:fldChar w:fldCharType="separate"/>
          </w:r>
          <w:r>
            <w:rPr>
              <w:rFonts w:hint="eastAsia" w:ascii="宋体" w:hAnsi="宋体" w:eastAsia="宋体" w:cs="宋体"/>
              <w:szCs w:val="21"/>
              <w:highlight w:val="none"/>
              <w:lang w:val="zh-CN"/>
            </w:rPr>
            <w:t xml:space="preserve">23 </w:t>
          </w:r>
          <w:r>
            <w:rPr>
              <w:rFonts w:hint="eastAsia" w:ascii="宋体" w:hAnsi="宋体" w:eastAsia="宋体" w:cs="宋体"/>
              <w:kern w:val="0"/>
              <w:szCs w:val="24"/>
              <w:highlight w:val="none"/>
            </w:rPr>
            <w:t>评标过程的保密性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_Toc18919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_Toc28322 </w:instrText>
          </w:r>
          <w:r>
            <w:rPr>
              <w:rFonts w:hint="eastAsia" w:ascii="宋体" w:hAnsi="宋体" w:eastAsia="宋体" w:cs="宋体"/>
            </w:rPr>
            <w:fldChar w:fldCharType="separate"/>
          </w:r>
          <w:r>
            <w:rPr>
              <w:rFonts w:hint="eastAsia" w:ascii="宋体" w:hAnsi="宋体" w:eastAsia="宋体" w:cs="宋体"/>
              <w:szCs w:val="21"/>
              <w:highlight w:val="none"/>
              <w:lang w:val="zh-CN"/>
            </w:rPr>
            <w:t>24 评标委员会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_Toc28322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_Toc8510 </w:instrText>
          </w:r>
          <w:r>
            <w:rPr>
              <w:rFonts w:hint="eastAsia" w:ascii="宋体" w:hAnsi="宋体" w:eastAsia="宋体" w:cs="宋体"/>
            </w:rPr>
            <w:fldChar w:fldCharType="separate"/>
          </w:r>
          <w:r>
            <w:rPr>
              <w:rFonts w:hint="eastAsia" w:ascii="宋体" w:hAnsi="宋体" w:eastAsia="宋体" w:cs="宋体"/>
              <w:szCs w:val="21"/>
              <w:highlight w:val="none"/>
              <w:lang w:val="zh-CN"/>
            </w:rPr>
            <w:t>25 投标文件的初审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_Toc8510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_Toc17590 </w:instrText>
          </w:r>
          <w:r>
            <w:rPr>
              <w:rFonts w:hint="eastAsia" w:ascii="宋体" w:hAnsi="宋体" w:eastAsia="宋体" w:cs="宋体"/>
            </w:rPr>
            <w:fldChar w:fldCharType="separate"/>
          </w:r>
          <w:r>
            <w:rPr>
              <w:rFonts w:hint="eastAsia" w:ascii="宋体" w:hAnsi="宋体" w:eastAsia="宋体" w:cs="宋体"/>
              <w:szCs w:val="21"/>
              <w:highlight w:val="none"/>
              <w:lang w:val="zh-CN"/>
            </w:rPr>
            <w:t>26 投标文件的澄清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_Toc17590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_Toc3925 </w:instrText>
          </w:r>
          <w:r>
            <w:rPr>
              <w:rFonts w:hint="eastAsia" w:ascii="宋体" w:hAnsi="宋体" w:eastAsia="宋体" w:cs="宋体"/>
            </w:rPr>
            <w:fldChar w:fldCharType="separate"/>
          </w:r>
          <w:r>
            <w:rPr>
              <w:rFonts w:hint="eastAsia" w:ascii="宋体" w:hAnsi="宋体" w:eastAsia="宋体" w:cs="宋体"/>
              <w:szCs w:val="21"/>
              <w:highlight w:val="none"/>
              <w:lang w:val="zh-CN"/>
            </w:rPr>
            <w:t>27 对投标文件的比较和评价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_Toc3925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_Toc7053 </w:instrText>
          </w:r>
          <w:r>
            <w:rPr>
              <w:rFonts w:hint="eastAsia" w:ascii="宋体" w:hAnsi="宋体" w:eastAsia="宋体" w:cs="宋体"/>
            </w:rPr>
            <w:fldChar w:fldCharType="separate"/>
          </w:r>
          <w:r>
            <w:rPr>
              <w:rFonts w:hint="eastAsia" w:ascii="宋体" w:hAnsi="宋体" w:eastAsia="宋体" w:cs="宋体"/>
              <w:szCs w:val="21"/>
              <w:highlight w:val="none"/>
              <w:lang w:val="zh-CN"/>
            </w:rPr>
            <w:t>28 评标原则及方法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_Toc7053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_Toc20758 </w:instrText>
          </w:r>
          <w:r>
            <w:rPr>
              <w:rFonts w:hint="eastAsia" w:ascii="宋体" w:hAnsi="宋体" w:eastAsia="宋体" w:cs="宋体"/>
            </w:rPr>
            <w:fldChar w:fldCharType="separate"/>
          </w:r>
          <w:r>
            <w:rPr>
              <w:rFonts w:hint="eastAsia" w:ascii="宋体" w:hAnsi="宋体" w:eastAsia="宋体" w:cs="宋体"/>
              <w:szCs w:val="21"/>
              <w:highlight w:val="none"/>
              <w:lang w:val="zh-CN"/>
            </w:rPr>
            <w:t>2</w:t>
          </w:r>
          <w:r>
            <w:rPr>
              <w:rFonts w:hint="eastAsia" w:ascii="宋体" w:hAnsi="宋体" w:eastAsia="宋体" w:cs="宋体"/>
              <w:szCs w:val="21"/>
              <w:highlight w:val="none"/>
            </w:rPr>
            <w:t xml:space="preserve">9 </w:t>
          </w:r>
          <w:r>
            <w:rPr>
              <w:rFonts w:hint="eastAsia" w:ascii="宋体" w:hAnsi="宋体" w:eastAsia="宋体" w:cs="宋体"/>
              <w:szCs w:val="21"/>
              <w:highlight w:val="none"/>
              <w:lang w:val="zh-CN"/>
            </w:rPr>
            <w:t>评标结果公示及异议、投诉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_Toc20758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_Toc1687 </w:instrText>
          </w:r>
          <w:r>
            <w:rPr>
              <w:rFonts w:hint="eastAsia" w:ascii="宋体" w:hAnsi="宋体" w:eastAsia="宋体" w:cs="宋体"/>
            </w:rPr>
            <w:fldChar w:fldCharType="separate"/>
          </w:r>
          <w:r>
            <w:rPr>
              <w:rFonts w:hint="eastAsia" w:ascii="宋体" w:hAnsi="宋体" w:eastAsia="宋体" w:cs="宋体"/>
              <w:szCs w:val="21"/>
              <w:highlight w:val="none"/>
            </w:rPr>
            <w:t>30</w:t>
          </w:r>
          <w:r>
            <w:rPr>
              <w:rFonts w:hint="eastAsia" w:ascii="宋体" w:hAnsi="宋体" w:eastAsia="宋体" w:cs="宋体"/>
              <w:szCs w:val="21"/>
              <w:highlight w:val="none"/>
              <w:lang w:val="zh-CN"/>
            </w:rPr>
            <w:t xml:space="preserve"> 真实性审查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_Toc1687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_Toc30130 </w:instrText>
          </w:r>
          <w:r>
            <w:rPr>
              <w:rFonts w:hint="eastAsia" w:ascii="宋体" w:hAnsi="宋体" w:eastAsia="宋体" w:cs="宋体"/>
            </w:rPr>
            <w:fldChar w:fldCharType="separate"/>
          </w:r>
          <w:r>
            <w:rPr>
              <w:rFonts w:hint="eastAsia" w:ascii="宋体" w:hAnsi="宋体" w:eastAsia="宋体" w:cs="宋体"/>
              <w:szCs w:val="21"/>
              <w:highlight w:val="none"/>
            </w:rPr>
            <w:t>31</w:t>
          </w:r>
          <w:r>
            <w:rPr>
              <w:rFonts w:hint="eastAsia" w:ascii="宋体" w:hAnsi="宋体" w:eastAsia="宋体" w:cs="宋体"/>
              <w:szCs w:val="21"/>
              <w:highlight w:val="none"/>
              <w:lang w:val="zh-CN"/>
            </w:rPr>
            <w:t xml:space="preserve"> 评标委员会和招标人接受或拒绝任何投标或所有投标的权利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_Toc30130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_Toc956 </w:instrText>
          </w:r>
          <w:r>
            <w:rPr>
              <w:rFonts w:hint="eastAsia" w:ascii="宋体" w:hAnsi="宋体" w:eastAsia="宋体" w:cs="宋体"/>
            </w:rPr>
            <w:fldChar w:fldCharType="separate"/>
          </w:r>
          <w:r>
            <w:rPr>
              <w:rFonts w:hint="eastAsia" w:ascii="宋体" w:hAnsi="宋体" w:eastAsia="宋体" w:cs="宋体"/>
              <w:bCs/>
              <w:kern w:val="44"/>
              <w:szCs w:val="21"/>
              <w:highlight w:val="none"/>
              <w:lang w:val="zh-CN"/>
            </w:rPr>
            <w:t>六、授予合同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_Toc956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_Toc26880 </w:instrText>
          </w:r>
          <w:r>
            <w:rPr>
              <w:rFonts w:hint="eastAsia" w:ascii="宋体" w:hAnsi="宋体" w:eastAsia="宋体" w:cs="宋体"/>
            </w:rPr>
            <w:fldChar w:fldCharType="separate"/>
          </w:r>
          <w:r>
            <w:rPr>
              <w:rFonts w:hint="eastAsia" w:ascii="宋体" w:hAnsi="宋体" w:eastAsia="宋体" w:cs="宋体"/>
              <w:szCs w:val="21"/>
              <w:highlight w:val="none"/>
            </w:rPr>
            <w:t>32</w:t>
          </w:r>
          <w:r>
            <w:rPr>
              <w:rFonts w:hint="eastAsia" w:ascii="宋体" w:hAnsi="宋体" w:eastAsia="宋体" w:cs="宋体"/>
              <w:szCs w:val="21"/>
              <w:highlight w:val="none"/>
              <w:lang w:val="zh-CN"/>
            </w:rPr>
            <w:t xml:space="preserve"> 授予合同的准则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_Toc26880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_Toc26298 </w:instrText>
          </w:r>
          <w:r>
            <w:rPr>
              <w:rFonts w:hint="eastAsia" w:ascii="宋体" w:hAnsi="宋体" w:eastAsia="宋体" w:cs="宋体"/>
            </w:rPr>
            <w:fldChar w:fldCharType="separate"/>
          </w:r>
          <w:r>
            <w:rPr>
              <w:rFonts w:hint="eastAsia" w:ascii="宋体" w:hAnsi="宋体" w:eastAsia="宋体" w:cs="宋体"/>
              <w:szCs w:val="21"/>
              <w:highlight w:val="none"/>
              <w:lang w:val="zh-CN"/>
            </w:rPr>
            <w:t>33 中标通知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_Toc26298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_Toc4586 </w:instrText>
          </w:r>
          <w:r>
            <w:rPr>
              <w:rFonts w:hint="eastAsia" w:ascii="宋体" w:hAnsi="宋体" w:eastAsia="宋体" w:cs="宋体"/>
            </w:rPr>
            <w:fldChar w:fldCharType="separate"/>
          </w:r>
          <w:r>
            <w:rPr>
              <w:rFonts w:hint="eastAsia" w:ascii="宋体" w:hAnsi="宋体" w:eastAsia="宋体" w:cs="宋体"/>
              <w:szCs w:val="21"/>
              <w:highlight w:val="none"/>
            </w:rPr>
            <w:t>34</w:t>
          </w:r>
          <w:r>
            <w:rPr>
              <w:rFonts w:hint="eastAsia" w:ascii="宋体" w:hAnsi="宋体" w:eastAsia="宋体" w:cs="宋体"/>
              <w:szCs w:val="21"/>
              <w:highlight w:val="none"/>
              <w:lang w:val="zh-CN"/>
            </w:rPr>
            <w:t xml:space="preserve"> 签署合同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_Toc4586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_Toc23668 </w:instrText>
          </w:r>
          <w:r>
            <w:rPr>
              <w:rFonts w:hint="eastAsia" w:ascii="宋体" w:hAnsi="宋体" w:eastAsia="宋体" w:cs="宋体"/>
            </w:rPr>
            <w:fldChar w:fldCharType="separate"/>
          </w:r>
          <w:r>
            <w:rPr>
              <w:rFonts w:hint="eastAsia" w:ascii="宋体" w:hAnsi="宋体" w:eastAsia="宋体" w:cs="宋体"/>
              <w:szCs w:val="21"/>
              <w:highlight w:val="none"/>
            </w:rPr>
            <w:t xml:space="preserve">35 </w:t>
          </w:r>
          <w:r>
            <w:rPr>
              <w:rFonts w:hint="eastAsia" w:ascii="宋体" w:hAnsi="宋体" w:eastAsia="宋体" w:cs="宋体"/>
              <w:szCs w:val="21"/>
              <w:highlight w:val="none"/>
              <w:lang w:val="zh-CN"/>
            </w:rPr>
            <w:t>履约担保</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_Toc23668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_Toc11511 </w:instrText>
          </w:r>
          <w:r>
            <w:rPr>
              <w:rFonts w:hint="eastAsia" w:ascii="宋体" w:hAnsi="宋体" w:eastAsia="宋体" w:cs="宋体"/>
            </w:rPr>
            <w:fldChar w:fldCharType="separate"/>
          </w:r>
          <w:r>
            <w:rPr>
              <w:rFonts w:hint="eastAsia" w:ascii="宋体" w:hAnsi="宋体" w:eastAsia="宋体" w:cs="宋体"/>
              <w:szCs w:val="21"/>
              <w:highlight w:val="none"/>
            </w:rPr>
            <w:t>36</w:t>
          </w:r>
          <w:r>
            <w:rPr>
              <w:rFonts w:hint="eastAsia" w:ascii="宋体" w:hAnsi="宋体" w:eastAsia="宋体" w:cs="宋体"/>
              <w:szCs w:val="21"/>
              <w:highlight w:val="none"/>
              <w:lang w:val="zh-CN"/>
            </w:rPr>
            <w:t xml:space="preserve"> 在合同履行中变更采购范围的权利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_Toc11511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_Toc11706 </w:instrText>
          </w:r>
          <w:r>
            <w:rPr>
              <w:rFonts w:hint="eastAsia" w:ascii="宋体" w:hAnsi="宋体" w:eastAsia="宋体" w:cs="宋体"/>
            </w:rPr>
            <w:fldChar w:fldCharType="separate"/>
          </w:r>
          <w:r>
            <w:rPr>
              <w:rFonts w:hint="eastAsia" w:ascii="宋体" w:hAnsi="宋体" w:eastAsia="宋体" w:cs="宋体"/>
              <w:szCs w:val="21"/>
              <w:highlight w:val="none"/>
            </w:rPr>
            <w:t>37</w:t>
          </w:r>
          <w:r>
            <w:rPr>
              <w:rFonts w:hint="eastAsia" w:ascii="宋体" w:hAnsi="宋体" w:eastAsia="宋体" w:cs="宋体"/>
              <w:szCs w:val="21"/>
              <w:highlight w:val="none"/>
              <w:lang w:val="zh-CN"/>
            </w:rPr>
            <w:t xml:space="preserve"> 中标服务费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_Toc11706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_Toc3193 </w:instrText>
          </w:r>
          <w:r>
            <w:rPr>
              <w:rFonts w:hint="eastAsia" w:ascii="宋体" w:hAnsi="宋体" w:eastAsia="宋体" w:cs="宋体"/>
            </w:rPr>
            <w:fldChar w:fldCharType="separate"/>
          </w:r>
          <w:r>
            <w:rPr>
              <w:rFonts w:hint="eastAsia" w:ascii="宋体" w:hAnsi="宋体" w:eastAsia="宋体" w:cs="宋体"/>
              <w:szCs w:val="21"/>
              <w:highlight w:val="none"/>
            </w:rPr>
            <w:t>38</w:t>
          </w:r>
          <w:r>
            <w:rPr>
              <w:rFonts w:hint="eastAsia" w:ascii="宋体" w:hAnsi="宋体" w:eastAsia="宋体" w:cs="宋体"/>
              <w:szCs w:val="21"/>
              <w:highlight w:val="none"/>
              <w:lang w:val="zh-CN"/>
            </w:rPr>
            <w:t xml:space="preserve"> 发票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_Toc3193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_Toc25940 </w:instrText>
          </w:r>
          <w:r>
            <w:rPr>
              <w:rFonts w:hint="eastAsia" w:ascii="宋体" w:hAnsi="宋体" w:eastAsia="宋体" w:cs="宋体"/>
            </w:rPr>
            <w:fldChar w:fldCharType="separate"/>
          </w:r>
          <w:r>
            <w:rPr>
              <w:rFonts w:hint="eastAsia" w:ascii="宋体" w:hAnsi="宋体" w:eastAsia="宋体" w:cs="宋体"/>
              <w:szCs w:val="21"/>
              <w:highlight w:val="none"/>
            </w:rPr>
            <w:t>39 招标相关补充约定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_Toc25940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_Toc29422 </w:instrText>
          </w:r>
          <w:r>
            <w:rPr>
              <w:rFonts w:hint="eastAsia" w:ascii="宋体" w:hAnsi="宋体" w:eastAsia="宋体" w:cs="宋体"/>
            </w:rPr>
            <w:fldChar w:fldCharType="separate"/>
          </w:r>
          <w:r>
            <w:rPr>
              <w:rFonts w:hint="eastAsia" w:ascii="宋体" w:hAnsi="宋体" w:eastAsia="宋体" w:cs="宋体"/>
              <w:szCs w:val="21"/>
              <w:highlight w:val="none"/>
            </w:rPr>
            <w:t>40 本次招标活动的最终解释权归招标代理机构及招标人所有。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_Toc29422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29"/>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_Toc23375 </w:instrText>
          </w:r>
          <w:r>
            <w:rPr>
              <w:rFonts w:hint="eastAsia" w:ascii="宋体" w:hAnsi="宋体" w:eastAsia="宋体" w:cs="宋体"/>
            </w:rPr>
            <w:fldChar w:fldCharType="separate"/>
          </w:r>
          <w:r>
            <w:rPr>
              <w:rFonts w:hint="eastAsia" w:ascii="宋体" w:hAnsi="宋体" w:eastAsia="宋体" w:cs="宋体"/>
              <w:bCs/>
              <w:kern w:val="44"/>
              <w:szCs w:val="32"/>
              <w:highlight w:val="none"/>
              <w:lang w:val="zh-CN"/>
            </w:rPr>
            <w:t>第三篇 用户需求书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_Toc23375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29"/>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_Toc8587 </w:instrText>
          </w:r>
          <w:r>
            <w:rPr>
              <w:rFonts w:hint="eastAsia" w:ascii="宋体" w:hAnsi="宋体" w:eastAsia="宋体" w:cs="宋体"/>
            </w:rPr>
            <w:fldChar w:fldCharType="separate"/>
          </w:r>
          <w:r>
            <w:rPr>
              <w:rFonts w:hint="eastAsia" w:ascii="宋体" w:hAnsi="宋体" w:eastAsia="宋体" w:cs="宋体"/>
              <w:bCs/>
              <w:kern w:val="44"/>
              <w:szCs w:val="32"/>
              <w:highlight w:val="none"/>
              <w:lang w:val="zh-CN"/>
            </w:rPr>
            <w:t>第四篇 合同条款格式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_Toc8587 \h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rPr>
            <w:fldChar w:fldCharType="end"/>
          </w:r>
        </w:p>
        <w:p>
          <w:pPr>
            <w:pStyle w:val="29"/>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_Toc30696 </w:instrText>
          </w:r>
          <w:r>
            <w:rPr>
              <w:rFonts w:hint="eastAsia" w:ascii="宋体" w:hAnsi="宋体" w:eastAsia="宋体" w:cs="宋体"/>
            </w:rPr>
            <w:fldChar w:fldCharType="separate"/>
          </w:r>
          <w:r>
            <w:rPr>
              <w:rFonts w:hint="eastAsia" w:ascii="宋体" w:hAnsi="宋体" w:eastAsia="宋体" w:cs="宋体"/>
              <w:bCs/>
              <w:szCs w:val="32"/>
              <w:highlight w:val="none"/>
              <w:lang w:val="zh-CN"/>
            </w:rPr>
            <w:t>第五篇 相关保函格式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_Toc30696 \h </w:instrText>
          </w:r>
          <w:r>
            <w:rPr>
              <w:rFonts w:hint="eastAsia" w:ascii="宋体" w:hAnsi="宋体" w:eastAsia="宋体" w:cs="宋体"/>
            </w:rPr>
            <w:fldChar w:fldCharType="separate"/>
          </w:r>
          <w:r>
            <w:rPr>
              <w:rFonts w:hint="eastAsia" w:ascii="宋体" w:hAnsi="宋体" w:eastAsia="宋体" w:cs="宋体"/>
            </w:rPr>
            <w:t>85</w:t>
          </w:r>
          <w:r>
            <w:rPr>
              <w:rFonts w:hint="eastAsia" w:ascii="宋体" w:hAnsi="宋体" w:eastAsia="宋体" w:cs="宋体"/>
            </w:rPr>
            <w:fldChar w:fldCharType="end"/>
          </w:r>
          <w:r>
            <w:rPr>
              <w:rFonts w:hint="eastAsia" w:ascii="宋体" w:hAnsi="宋体" w:eastAsia="宋体" w:cs="宋体"/>
            </w:rPr>
            <w:fldChar w:fldCharType="end"/>
          </w:r>
        </w:p>
        <w:p>
          <w:pPr>
            <w:pStyle w:val="29"/>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_Toc17428 </w:instrText>
          </w:r>
          <w:r>
            <w:rPr>
              <w:rFonts w:hint="eastAsia" w:ascii="宋体" w:hAnsi="宋体" w:eastAsia="宋体" w:cs="宋体"/>
            </w:rPr>
            <w:fldChar w:fldCharType="separate"/>
          </w:r>
          <w:r>
            <w:rPr>
              <w:rFonts w:hint="eastAsia" w:ascii="宋体" w:hAnsi="宋体" w:eastAsia="宋体" w:cs="宋体"/>
              <w:bCs/>
              <w:kern w:val="44"/>
              <w:szCs w:val="32"/>
              <w:highlight w:val="none"/>
              <w:lang w:val="zh-CN"/>
            </w:rPr>
            <w:t>第六篇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_Toc17428 \h </w:instrText>
          </w:r>
          <w:r>
            <w:rPr>
              <w:rFonts w:hint="eastAsia" w:ascii="宋体" w:hAnsi="宋体" w:eastAsia="宋体" w:cs="宋体"/>
            </w:rPr>
            <w:fldChar w:fldCharType="separate"/>
          </w:r>
          <w:r>
            <w:rPr>
              <w:rFonts w:hint="eastAsia" w:ascii="宋体" w:hAnsi="宋体" w:eastAsia="宋体" w:cs="宋体"/>
            </w:rPr>
            <w:t>88</w:t>
          </w:r>
          <w:r>
            <w:rPr>
              <w:rFonts w:hint="eastAsia" w:ascii="宋体" w:hAnsi="宋体" w:eastAsia="宋体" w:cs="宋体"/>
            </w:rPr>
            <w:fldChar w:fldCharType="end"/>
          </w:r>
          <w:r>
            <w:rPr>
              <w:rFonts w:hint="eastAsia" w:ascii="宋体" w:hAnsi="宋体" w:eastAsia="宋体" w:cs="宋体"/>
            </w:rPr>
            <w:fldChar w:fldCharType="end"/>
          </w:r>
        </w:p>
        <w:p>
          <w:pPr>
            <w:pStyle w:val="29"/>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_Toc21118 </w:instrText>
          </w:r>
          <w:r>
            <w:rPr>
              <w:rFonts w:hint="eastAsia" w:ascii="宋体" w:hAnsi="宋体" w:eastAsia="宋体" w:cs="宋体"/>
            </w:rPr>
            <w:fldChar w:fldCharType="separate"/>
          </w:r>
          <w:r>
            <w:rPr>
              <w:rFonts w:hint="eastAsia" w:ascii="宋体" w:hAnsi="宋体" w:eastAsia="宋体" w:cs="宋体"/>
              <w:bCs/>
              <w:kern w:val="44"/>
              <w:szCs w:val="32"/>
              <w:highlight w:val="none"/>
              <w:lang w:val="zh-CN"/>
            </w:rPr>
            <w:t>附件一：评标工作大纲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_Toc21118 \h </w:instrText>
          </w:r>
          <w:r>
            <w:rPr>
              <w:rFonts w:hint="eastAsia" w:ascii="宋体" w:hAnsi="宋体" w:eastAsia="宋体" w:cs="宋体"/>
            </w:rPr>
            <w:fldChar w:fldCharType="separate"/>
          </w:r>
          <w:r>
            <w:rPr>
              <w:rFonts w:hint="eastAsia" w:ascii="宋体" w:hAnsi="宋体" w:eastAsia="宋体" w:cs="宋体"/>
            </w:rPr>
            <w:t>152</w:t>
          </w:r>
          <w:r>
            <w:rPr>
              <w:rFonts w:hint="eastAsia" w:ascii="宋体" w:hAnsi="宋体" w:eastAsia="宋体" w:cs="宋体"/>
            </w:rPr>
            <w:fldChar w:fldCharType="end"/>
          </w:r>
          <w:r>
            <w:rPr>
              <w:rFonts w:hint="eastAsia" w:ascii="宋体" w:hAnsi="宋体" w:eastAsia="宋体" w:cs="宋体"/>
            </w:rPr>
            <w:fldChar w:fldCharType="end"/>
          </w:r>
        </w:p>
        <w:p>
          <w:pPr>
            <w:keepNext w:val="0"/>
            <w:keepLines w:val="0"/>
            <w:pageBreakBefore w:val="0"/>
            <w:kinsoku/>
            <w:wordWrap/>
            <w:overflowPunct/>
            <w:topLinePunct w:val="0"/>
            <w:autoSpaceDE/>
            <w:autoSpaceDN/>
            <w:bidi w:val="0"/>
            <w:adjustRightInd/>
            <w:snapToGrid/>
            <w:spacing w:line="360" w:lineRule="auto"/>
            <w:textAlignment w:val="auto"/>
          </w:pPr>
          <w:r>
            <w:rPr>
              <w:rFonts w:hint="eastAsia" w:ascii="宋体" w:hAnsi="宋体" w:eastAsia="宋体" w:cs="宋体"/>
            </w:rPr>
            <w:fldChar w:fldCharType="end"/>
          </w:r>
        </w:p>
      </w:sdtContent>
    </w:sdt>
    <w:p>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kern w:val="44"/>
          <w:sz w:val="44"/>
          <w:szCs w:val="44"/>
          <w:highlight w:val="none"/>
          <w:lang w:val="zh-CN"/>
        </w:rPr>
      </w:pPr>
      <w:bookmarkStart w:id="9" w:name="_Toc16796"/>
      <w:r>
        <w:rPr>
          <w:rFonts w:ascii="宋体" w:hAnsi="宋体" w:eastAsia="宋体" w:cs="Times New Roman"/>
          <w:b/>
          <w:bCs/>
          <w:kern w:val="44"/>
          <w:sz w:val="32"/>
          <w:szCs w:val="32"/>
          <w:highlight w:val="none"/>
          <w:lang w:val="zh-CN"/>
        </w:rPr>
        <w:t>第一篇 招标公告</w:t>
      </w:r>
      <w:bookmarkEnd w:id="0"/>
      <w:bookmarkEnd w:id="1"/>
      <w:bookmarkEnd w:id="2"/>
      <w:bookmarkEnd w:id="3"/>
      <w:bookmarkEnd w:id="4"/>
      <w:bookmarkEnd w:id="5"/>
      <w:bookmarkEnd w:id="6"/>
      <w:bookmarkEnd w:id="7"/>
      <w:bookmarkEnd w:id="8"/>
      <w:bookmarkEnd w:id="9"/>
    </w:p>
    <w:p>
      <w:pPr>
        <w:autoSpaceDE w:val="0"/>
        <w:autoSpaceDN w:val="0"/>
        <w:adjustRightInd w:val="0"/>
        <w:snapToGrid w:val="0"/>
        <w:spacing w:line="360" w:lineRule="auto"/>
        <w:ind w:right="-34" w:firstLine="420" w:firstLineChars="200"/>
        <w:outlineLvl w:val="9"/>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东莞市众源环境投资有限公司</w:t>
      </w:r>
      <w:r>
        <w:rPr>
          <w:rFonts w:ascii="宋体" w:hAnsi="宋体" w:eastAsia="宋体" w:cs="Times New Roman"/>
          <w:color w:val="auto"/>
          <w:szCs w:val="21"/>
          <w:highlight w:val="none"/>
          <w:lang w:val="zh-CN"/>
        </w:rPr>
        <w:t>（以下简称“招标人”）的委托，对</w:t>
      </w:r>
      <w:bookmarkStart w:id="10" w:name="_Hlk41903390"/>
      <w:r>
        <w:rPr>
          <w:rFonts w:hint="eastAsia" w:ascii="宋体" w:hAnsi="宋体" w:eastAsia="宋体" w:cs="Times New Roman"/>
          <w:color w:val="auto"/>
          <w:kern w:val="0"/>
          <w:szCs w:val="21"/>
          <w:highlight w:val="none"/>
        </w:rPr>
        <w:t>东莞市众源环境投资有限公司五金配件及劳保物资采购项目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0832-SFCX24DG010A</w:t>
      </w:r>
      <w:r>
        <w:rPr>
          <w:rFonts w:ascii="宋体" w:hAnsi="宋体" w:eastAsia="宋体" w:cs="Times New Roman"/>
          <w:color w:val="auto"/>
          <w:szCs w:val="21"/>
          <w:highlight w:val="none"/>
          <w:lang w:val="zh-CN"/>
        </w:rPr>
        <w:t>)</w:t>
      </w:r>
      <w:bookmarkEnd w:id="10"/>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pPr>
        <w:autoSpaceDE w:val="0"/>
        <w:autoSpaceDN w:val="0"/>
        <w:adjustRightInd w:val="0"/>
        <w:spacing w:line="360" w:lineRule="auto"/>
        <w:ind w:right="-29" w:rightChars="-14" w:firstLine="420" w:firstLineChars="200"/>
        <w:outlineLvl w:val="9"/>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p>
      <w:pPr>
        <w:numPr>
          <w:ilvl w:val="0"/>
          <w:numId w:val="0"/>
        </w:numPr>
        <w:autoSpaceDE w:val="0"/>
        <w:autoSpaceDN w:val="0"/>
        <w:adjustRightInd w:val="0"/>
        <w:snapToGrid w:val="0"/>
        <w:spacing w:line="360" w:lineRule="auto"/>
        <w:ind w:leftChars="0" w:right="-34" w:rightChars="0" w:firstLine="420" w:firstLineChars="200"/>
        <w:jc w:val="left"/>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eastAsia="zh-CN"/>
        </w:rPr>
        <w:t>东莞市众源环境投资有限公司五金配件及劳保物资</w:t>
      </w:r>
      <w:r>
        <w:rPr>
          <w:rFonts w:hint="eastAsia" w:ascii="宋体" w:hAnsi="宋体" w:eastAsia="宋体" w:cs="Times New Roman"/>
          <w:color w:val="auto"/>
          <w:szCs w:val="21"/>
          <w:highlight w:val="none"/>
          <w:lang w:val="zh-CN"/>
        </w:rPr>
        <w:t>的</w:t>
      </w:r>
      <w:r>
        <w:rPr>
          <w:rFonts w:hint="eastAsia" w:ascii="宋体" w:hAnsi="宋体" w:eastAsia="宋体" w:cs="Times New Roman"/>
          <w:color w:val="auto"/>
          <w:szCs w:val="21"/>
          <w:highlight w:val="none"/>
          <w:lang w:val="zh-CN" w:eastAsia="zh-CN"/>
        </w:rPr>
        <w:t>供货</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eastAsia="zh-CN"/>
        </w:rPr>
        <w:t>含配送和</w:t>
      </w:r>
      <w:r>
        <w:rPr>
          <w:rFonts w:hint="eastAsia" w:ascii="宋体" w:hAnsi="宋体" w:eastAsia="宋体" w:cs="Times New Roman"/>
          <w:color w:val="auto"/>
          <w:szCs w:val="21"/>
          <w:highlight w:val="none"/>
          <w:lang w:val="zh-CN"/>
        </w:rPr>
        <w:t>运输。（具体内容详见：第三篇用户需求书）。</w:t>
      </w:r>
    </w:p>
    <w:p>
      <w:pPr>
        <w:autoSpaceDE w:val="0"/>
        <w:autoSpaceDN w:val="0"/>
        <w:adjustRightInd w:val="0"/>
        <w:spacing w:line="360" w:lineRule="auto"/>
        <w:ind w:right="-29" w:rightChars="-14"/>
        <w:outlineLvl w:val="9"/>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outlineLvl w:val="9"/>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pPr>
        <w:pStyle w:val="158"/>
        <w:spacing w:line="360" w:lineRule="auto"/>
        <w:ind w:right="-29" w:rightChars="-14" w:firstLine="0" w:firstLineChars="0"/>
        <w:jc w:val="both"/>
        <w:outlineLvl w:val="9"/>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pPr>
        <w:pStyle w:val="158"/>
        <w:spacing w:line="360" w:lineRule="auto"/>
        <w:ind w:right="-29" w:rightChars="-14" w:firstLine="0" w:firstLineChars="0"/>
        <w:jc w:val="both"/>
        <w:outlineLvl w:val="9"/>
        <w:rPr>
          <w:rFonts w:hint="eastAsia" w:hAnsi="宋体" w:eastAsia="宋体"/>
          <w:b/>
          <w:color w:val="auto"/>
          <w:sz w:val="21"/>
          <w:szCs w:val="21"/>
          <w:highlight w:val="none"/>
          <w:lang w:val="en-US" w:eastAsia="zh-CN"/>
        </w:rPr>
      </w:pPr>
      <w:bookmarkStart w:id="11" w:name="_Toc25819"/>
      <w:r>
        <w:rPr>
          <w:rFonts w:hint="eastAsia" w:hAnsi="宋体" w:eastAsia="宋体"/>
          <w:b/>
          <w:color w:val="auto"/>
          <w:sz w:val="21"/>
          <w:szCs w:val="21"/>
          <w:highlight w:val="none"/>
          <w:lang w:val="zh-CN"/>
        </w:rPr>
        <w:t>2.2 投标人</w:t>
      </w:r>
      <w:r>
        <w:rPr>
          <w:rFonts w:hint="eastAsia" w:hAnsi="宋体" w:eastAsia="宋体"/>
          <w:b/>
          <w:color w:val="auto"/>
          <w:sz w:val="21"/>
          <w:szCs w:val="21"/>
          <w:highlight w:val="none"/>
          <w:lang w:val="en-US" w:eastAsia="zh-CN"/>
        </w:rPr>
        <w:t>2021</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日以来具有一份五金配件</w:t>
      </w:r>
      <w:r>
        <w:rPr>
          <w:rFonts w:hint="eastAsia" w:hAnsi="宋体" w:eastAsia="宋体"/>
          <w:b/>
          <w:color w:val="auto"/>
          <w:sz w:val="21"/>
          <w:szCs w:val="21"/>
          <w:highlight w:val="none"/>
          <w:lang w:val="en-US" w:eastAsia="zh-CN"/>
        </w:rPr>
        <w:t>销售业</w:t>
      </w:r>
      <w:r>
        <w:rPr>
          <w:rFonts w:hint="eastAsia" w:hAnsi="宋体" w:eastAsia="宋体"/>
          <w:b/>
          <w:color w:val="auto"/>
          <w:sz w:val="21"/>
          <w:szCs w:val="21"/>
          <w:highlight w:val="none"/>
          <w:lang w:val="zh-CN"/>
        </w:rPr>
        <w:t>绩（合同签订日期为</w:t>
      </w:r>
      <w:r>
        <w:rPr>
          <w:rFonts w:hint="eastAsia" w:hAnsi="宋体" w:eastAsia="宋体"/>
          <w:b/>
          <w:color w:val="auto"/>
          <w:sz w:val="21"/>
          <w:szCs w:val="21"/>
          <w:highlight w:val="none"/>
          <w:lang w:val="en-US" w:eastAsia="zh-CN"/>
        </w:rPr>
        <w:t>2021</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pPr>
        <w:pStyle w:val="158"/>
        <w:spacing w:line="360" w:lineRule="auto"/>
        <w:ind w:right="-29" w:rightChars="-14" w:firstLine="0" w:firstLineChars="0"/>
        <w:jc w:val="both"/>
        <w:outlineLvl w:val="9"/>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本项目不接受联合体投标。</w:t>
      </w:r>
      <w:bookmarkEnd w:id="11"/>
    </w:p>
    <w:p>
      <w:pPr>
        <w:autoSpaceDE w:val="0"/>
        <w:autoSpaceDN w:val="0"/>
        <w:adjustRightInd w:val="0"/>
        <w:spacing w:line="360" w:lineRule="auto"/>
        <w:ind w:right="-29" w:rightChars="-14" w:firstLine="420" w:firstLineChars="200"/>
        <w:outlineLvl w:val="9"/>
        <w:rPr>
          <w:rFonts w:ascii="宋体" w:hAnsi="宋体" w:eastAsia="宋体" w:cs="Times New Roman"/>
          <w:color w:val="auto"/>
          <w:szCs w:val="21"/>
          <w:highlight w:val="none"/>
          <w:lang w:val="zh-CN"/>
        </w:rPr>
      </w:pPr>
    </w:p>
    <w:p>
      <w:pPr>
        <w:pStyle w:val="176"/>
        <w:numPr>
          <w:ilvl w:val="0"/>
          <w:numId w:val="1"/>
        </w:numPr>
        <w:spacing w:line="360" w:lineRule="auto"/>
        <w:ind w:left="426" w:right="-34" w:hanging="426" w:firstLineChars="0"/>
        <w:jc w:val="both"/>
        <w:outlineLvl w:val="9"/>
        <w:rPr>
          <w:rFonts w:ascii="宋体" w:hAnsi="宋体" w:eastAsia="宋体" w:cs="Times New Roman"/>
          <w:color w:val="auto"/>
          <w:szCs w:val="21"/>
          <w:highlight w:val="none"/>
          <w:lang w:val="zh-CN"/>
        </w:rPr>
      </w:pPr>
      <w:r>
        <w:rPr>
          <w:rFonts w:hint="eastAsia" w:ascii="宋体" w:hAnsi="宋体" w:eastAsia="宋体" w:cs="宋体"/>
          <w:color w:val="auto"/>
          <w:szCs w:val="21"/>
          <w:lang w:val="zh-CN"/>
        </w:rPr>
        <w:t>获取招标文件的</w:t>
      </w:r>
      <w:r>
        <w:rPr>
          <w:rFonts w:hint="eastAsia" w:ascii="宋体" w:hAnsi="宋体" w:eastAsia="宋体" w:cs="宋体"/>
          <w:color w:val="auto"/>
          <w:szCs w:val="21"/>
          <w:lang w:val="en-US" w:eastAsia="zh-CN"/>
        </w:rPr>
        <w:t>方式</w:t>
      </w:r>
      <w:r>
        <w:rPr>
          <w:rFonts w:hint="eastAsia" w:ascii="宋体" w:hAnsi="宋体" w:eastAsia="宋体" w:cs="宋体"/>
          <w:color w:val="auto"/>
          <w:szCs w:val="21"/>
          <w:lang w:val="zh-CN"/>
        </w:rPr>
        <w:t>：本项目采用“不记名网上下载”的方式发布招标文件，有意向的投标人可于本项目投标截止时间前，在本项目招标信息发布媒介</w:t>
      </w:r>
      <w:r>
        <w:rPr>
          <w:rFonts w:hint="eastAsia" w:ascii="宋体" w:hAnsi="宋体" w:eastAsia="宋体" w:cs="宋体"/>
          <w:color w:val="auto"/>
          <w:szCs w:val="21"/>
          <w:lang w:val="en-US" w:eastAsia="zh-CN"/>
        </w:rPr>
        <w:t>【</w:t>
      </w:r>
      <w:r>
        <w:rPr>
          <w:rFonts w:hint="eastAsia" w:ascii="宋体" w:hAnsi="宋体" w:eastAsia="宋体" w:cs="宋体"/>
          <w:color w:val="auto"/>
          <w:szCs w:val="21"/>
          <w:lang w:val="zh-CN"/>
        </w:rPr>
        <w:t>详见本招标公告第7点（除中国招标投标公共服务平台外）</w:t>
      </w:r>
      <w:r>
        <w:rPr>
          <w:rFonts w:hint="eastAsia" w:ascii="宋体" w:hAnsi="宋体" w:eastAsia="宋体" w:cs="宋体"/>
          <w:color w:val="auto"/>
          <w:szCs w:val="21"/>
          <w:lang w:val="en-US" w:eastAsia="zh-CN"/>
        </w:rPr>
        <w:t>】</w:t>
      </w:r>
      <w:r>
        <w:rPr>
          <w:rFonts w:hint="eastAsia" w:ascii="宋体" w:hAnsi="宋体" w:eastAsia="宋体" w:cs="宋体"/>
          <w:color w:val="auto"/>
          <w:szCs w:val="21"/>
          <w:lang w:val="zh-CN"/>
        </w:rPr>
        <w:t>下载招标文件【</w:t>
      </w:r>
      <w:r>
        <w:rPr>
          <w:rFonts w:hint="eastAsia" w:ascii="宋体" w:hAnsi="宋体" w:eastAsia="宋体" w:cs="宋体"/>
          <w:color w:val="auto"/>
          <w:szCs w:val="21"/>
          <w:lang w:val="en-US" w:eastAsia="zh-CN"/>
        </w:rPr>
        <w:t>本招标公告第7点</w:t>
      </w:r>
      <w:r>
        <w:rPr>
          <w:rFonts w:hint="eastAsia" w:ascii="宋体" w:hAnsi="宋体" w:eastAsia="宋体" w:cs="宋体"/>
          <w:color w:val="auto"/>
          <w:szCs w:val="21"/>
          <w:lang w:val="zh-CN"/>
        </w:rPr>
        <w:t>媒介</w:t>
      </w:r>
      <w:r>
        <w:rPr>
          <w:rFonts w:hint="eastAsia" w:ascii="宋体" w:hAnsi="宋体" w:eastAsia="宋体" w:cs="宋体"/>
          <w:color w:val="auto"/>
          <w:szCs w:val="21"/>
          <w:lang w:val="en-US" w:eastAsia="zh-CN"/>
        </w:rPr>
        <w:t>发布招标文件不一致时，以</w:t>
      </w:r>
      <w:r>
        <w:rPr>
          <w:rFonts w:hint="eastAsia" w:ascii="宋体" w:hAnsi="宋体" w:eastAsia="宋体" w:cs="宋体"/>
          <w:bCs/>
          <w:color w:val="auto"/>
          <w:szCs w:val="21"/>
        </w:rPr>
        <w:t>东莞市水务集团有限公司网（www.dgswjt.cn）</w:t>
      </w:r>
      <w:r>
        <w:rPr>
          <w:rFonts w:hint="eastAsia" w:ascii="宋体" w:hAnsi="宋体" w:eastAsia="宋体" w:cs="宋体"/>
          <w:bCs/>
          <w:color w:val="auto"/>
          <w:szCs w:val="21"/>
          <w:lang w:val="en-US" w:eastAsia="zh-CN"/>
        </w:rPr>
        <w:t>发布的招标文件为准</w:t>
      </w:r>
      <w:r>
        <w:rPr>
          <w:rFonts w:hint="eastAsia" w:ascii="宋体" w:hAnsi="宋体" w:eastAsia="宋体" w:cs="宋体"/>
          <w:color w:val="auto"/>
          <w:szCs w:val="21"/>
          <w:lang w:val="zh-CN"/>
        </w:rPr>
        <w:t>】</w:t>
      </w:r>
      <w:r>
        <w:rPr>
          <w:rFonts w:hint="eastAsia" w:ascii="宋体" w:hAnsi="宋体" w:cs="宋体"/>
          <w:color w:val="auto"/>
          <w:szCs w:val="21"/>
          <w:lang w:val="zh-CN"/>
        </w:rPr>
        <w:t>。</w:t>
      </w:r>
    </w:p>
    <w:p>
      <w:pPr>
        <w:autoSpaceDE w:val="0"/>
        <w:autoSpaceDN w:val="0"/>
        <w:adjustRightInd w:val="0"/>
        <w:spacing w:line="360" w:lineRule="auto"/>
        <w:ind w:left="630" w:leftChars="100" w:right="-29" w:rightChars="-14" w:hanging="420" w:hangingChars="200"/>
        <w:outlineLvl w:val="9"/>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bookmarkStart w:id="923" w:name="_GoBack"/>
      <w:bookmarkEnd w:id="923"/>
    </w:p>
    <w:p>
      <w:pPr>
        <w:pStyle w:val="2"/>
        <w:rPr>
          <w:color w:val="auto"/>
          <w:lang w:val="zh-CN"/>
        </w:rPr>
      </w:pPr>
    </w:p>
    <w:p>
      <w:pPr>
        <w:numPr>
          <w:ilvl w:val="0"/>
          <w:numId w:val="1"/>
        </w:numPr>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pPr>
        <w:autoSpaceDE w:val="0"/>
        <w:autoSpaceDN w:val="0"/>
        <w:adjustRightInd w:val="0"/>
        <w:spacing w:line="360" w:lineRule="auto"/>
        <w:ind w:right="-29" w:rightChars="-14"/>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2024</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4</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23</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2024</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4</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23</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outlineLvl w:val="9"/>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zh-CN"/>
        </w:rPr>
        <w:t>东莞市南城街道鸿福西路81号国际商会大厦601室</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right="-29" w:rightChars="-14" w:firstLine="210" w:firstLineChars="100"/>
        <w:outlineLvl w:val="9"/>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pPr>
        <w:autoSpaceDE w:val="0"/>
        <w:autoSpaceDN w:val="0"/>
        <w:adjustRightInd w:val="0"/>
        <w:spacing w:line="360" w:lineRule="auto"/>
        <w:ind w:left="210" w:leftChars="100" w:right="-29" w:rightChars="-14"/>
        <w:outlineLvl w:val="9"/>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网站（www.sfcx.cn</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outlineLvl w:val="9"/>
        <w:rPr>
          <w:rFonts w:ascii="宋体" w:hAnsi="宋体" w:eastAsia="宋体" w:cs="Times New Roman"/>
          <w:bCs/>
          <w:color w:val="auto"/>
          <w:szCs w:val="21"/>
          <w:highlight w:val="none"/>
        </w:rPr>
      </w:pPr>
    </w:p>
    <w:p>
      <w:pPr>
        <w:numPr>
          <w:ilvl w:val="0"/>
          <w:numId w:val="1"/>
        </w:numPr>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东莞市众源环境投资有限公司</w:t>
      </w:r>
    </w:p>
    <w:p>
      <w:pPr>
        <w:widowControl/>
        <w:autoSpaceDE w:val="0"/>
        <w:autoSpaceDN w:val="0"/>
        <w:adjustRightInd w:val="0"/>
        <w:spacing w:line="360" w:lineRule="auto"/>
        <w:ind w:right="-31" w:rightChars="-15" w:firstLine="424" w:firstLineChars="202"/>
        <w:jc w:val="left"/>
        <w:textAlignment w:val="bottom"/>
        <w:outlineLvl w:val="9"/>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东莞市南城街道滨河路100号二期新大门内3号楼3楼</w:t>
      </w:r>
    </w:p>
    <w:p>
      <w:pPr>
        <w:widowControl/>
        <w:autoSpaceDE w:val="0"/>
        <w:autoSpaceDN w:val="0"/>
        <w:adjustRightInd w:val="0"/>
        <w:spacing w:line="360" w:lineRule="auto"/>
        <w:ind w:right="-31" w:rightChars="-15" w:firstLine="424" w:firstLineChars="202"/>
        <w:jc w:val="left"/>
        <w:textAlignment w:val="bottom"/>
        <w:outlineLvl w:val="9"/>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：龚浩</w:t>
      </w:r>
    </w:p>
    <w:p>
      <w:pPr>
        <w:widowControl/>
        <w:autoSpaceDE w:val="0"/>
        <w:autoSpaceDN w:val="0"/>
        <w:adjustRightInd w:val="0"/>
        <w:spacing w:line="360" w:lineRule="auto"/>
        <w:ind w:right="-31" w:rightChars="-15" w:firstLine="424" w:firstLineChars="202"/>
        <w:jc w:val="left"/>
        <w:textAlignment w:val="bottom"/>
        <w:outlineLvl w:val="9"/>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0769-22621996</w:t>
      </w:r>
    </w:p>
    <w:p>
      <w:pPr>
        <w:autoSpaceDE w:val="0"/>
        <w:autoSpaceDN w:val="0"/>
        <w:adjustRightInd w:val="0"/>
        <w:spacing w:line="360" w:lineRule="auto"/>
        <w:ind w:right="-29" w:rightChars="-14" w:firstLine="420"/>
        <w:outlineLvl w:val="9"/>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招标代理机构联系方式</w:t>
      </w:r>
    </w:p>
    <w:p>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Times New Roman"/>
          <w:color w:val="auto"/>
          <w:kern w:val="0"/>
          <w:szCs w:val="21"/>
          <w:highlight w:val="none"/>
          <w:lang w:eastAsia="zh-CN"/>
        </w:rPr>
      </w:pPr>
      <w:bookmarkStart w:id="12" w:name="_Toc31764_WPSOffice_Level1"/>
      <w:bookmarkStart w:id="13" w:name="_Toc450662847"/>
      <w:bookmarkStart w:id="14" w:name="_Toc48616766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三方诚信招标有限公司</w:t>
      </w:r>
    </w:p>
    <w:p>
      <w:pPr>
        <w:widowControl/>
        <w:autoSpaceDE w:val="0"/>
        <w:autoSpaceDN w:val="0"/>
        <w:adjustRightInd w:val="0"/>
        <w:spacing w:line="360" w:lineRule="auto"/>
        <w:ind w:right="-31" w:rightChars="-15" w:firstLine="424" w:firstLineChars="202"/>
        <w:jc w:val="left"/>
        <w:textAlignment w:val="bottom"/>
        <w:outlineLvl w:val="9"/>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宋体"/>
          <w:color w:val="auto"/>
          <w:kern w:val="2"/>
          <w:sz w:val="21"/>
          <w:szCs w:val="21"/>
          <w:lang w:val="zh-CN"/>
        </w:rPr>
        <w:t>东莞市南城街道鸿福西路81号国际商会大厦706室</w:t>
      </w:r>
    </w:p>
    <w:p>
      <w:pPr>
        <w:widowControl/>
        <w:autoSpaceDE w:val="0"/>
        <w:autoSpaceDN w:val="0"/>
        <w:adjustRightInd w:val="0"/>
        <w:spacing w:line="360" w:lineRule="auto"/>
        <w:ind w:right="-31" w:rightChars="-15" w:firstLine="424" w:firstLineChars="202"/>
        <w:jc w:val="left"/>
        <w:textAlignment w:val="bottom"/>
        <w:outlineLvl w:val="9"/>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宋体"/>
          <w:color w:val="auto"/>
          <w:kern w:val="2"/>
          <w:sz w:val="21"/>
          <w:szCs w:val="21"/>
          <w:lang w:val="en-US" w:eastAsia="zh-CN"/>
        </w:rPr>
        <w:t>卢静娴</w:t>
      </w:r>
    </w:p>
    <w:p>
      <w:pPr>
        <w:widowControl/>
        <w:autoSpaceDE w:val="0"/>
        <w:autoSpaceDN w:val="0"/>
        <w:adjustRightInd w:val="0"/>
        <w:spacing w:line="360" w:lineRule="auto"/>
        <w:ind w:right="-31" w:rightChars="-15" w:firstLine="424" w:firstLineChars="202"/>
        <w:jc w:val="left"/>
        <w:textAlignment w:val="bottom"/>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宋体"/>
          <w:color w:val="auto"/>
          <w:kern w:val="2"/>
          <w:sz w:val="21"/>
          <w:szCs w:val="21"/>
          <w:lang w:val="zh-CN"/>
        </w:rPr>
        <w:t>0769-216826</w:t>
      </w:r>
      <w:r>
        <w:rPr>
          <w:rFonts w:hint="eastAsia" w:ascii="宋体" w:hAnsi="宋体" w:eastAsia="宋体" w:cs="宋体"/>
          <w:color w:val="auto"/>
          <w:kern w:val="2"/>
          <w:sz w:val="21"/>
          <w:szCs w:val="21"/>
          <w:lang w:val="en-US" w:eastAsia="zh-CN"/>
        </w:rPr>
        <w:t>6</w:t>
      </w:r>
      <w:r>
        <w:rPr>
          <w:rFonts w:hint="eastAsia" w:ascii="宋体" w:hAnsi="宋体" w:eastAsia="宋体" w:cs="宋体"/>
          <w:color w:val="auto"/>
          <w:kern w:val="2"/>
          <w:sz w:val="21"/>
          <w:szCs w:val="21"/>
          <w:lang w:val="zh-CN"/>
        </w:rPr>
        <w:t>0</w:t>
      </w:r>
    </w:p>
    <w:p>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5" w:name="_Toc24735"/>
      <w:bookmarkStart w:id="16" w:name="_Toc32275"/>
      <w:bookmarkStart w:id="17" w:name="_Toc142508311"/>
      <w:bookmarkStart w:id="18" w:name="_Toc12475"/>
      <w:bookmarkStart w:id="19" w:name="_Toc25520"/>
      <w:bookmarkStart w:id="20" w:name="_Toc28621"/>
      <w:bookmarkStart w:id="21" w:name="_Toc29649"/>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2"/>
      <w:bookmarkEnd w:id="13"/>
      <w:bookmarkEnd w:id="14"/>
      <w:bookmarkEnd w:id="15"/>
      <w:bookmarkEnd w:id="16"/>
      <w:bookmarkEnd w:id="17"/>
      <w:bookmarkEnd w:id="18"/>
      <w:bookmarkEnd w:id="19"/>
      <w:bookmarkEnd w:id="20"/>
      <w:bookmarkEnd w:id="21"/>
    </w:p>
    <w:p>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22" w:name="_Toc15366_WPSOffice_Level2"/>
      <w:bookmarkStart w:id="23" w:name="_Toc140596871"/>
      <w:bookmarkStart w:id="24" w:name="_Toc16098"/>
      <w:bookmarkStart w:id="25" w:name="_Toc486167662"/>
      <w:bookmarkStart w:id="26" w:name="_Toc303"/>
      <w:bookmarkStart w:id="27" w:name="_Toc29330"/>
      <w:bookmarkStart w:id="28" w:name="_Toc142508312"/>
      <w:bookmarkStart w:id="29" w:name="_Toc30360"/>
      <w:bookmarkStart w:id="30" w:name="_Toc31449"/>
      <w:bookmarkStart w:id="31" w:name="_Toc3959"/>
      <w:bookmarkStart w:id="32" w:name="_Toc450662848"/>
      <w:r>
        <w:rPr>
          <w:rFonts w:hint="eastAsia" w:ascii="宋体" w:hAnsi="宋体" w:eastAsia="宋体" w:cs="宋体"/>
          <w:b/>
          <w:bCs/>
          <w:color w:val="auto"/>
          <w:kern w:val="44"/>
          <w:szCs w:val="21"/>
          <w:highlight w:val="none"/>
          <w:lang w:val="zh-CN"/>
        </w:rPr>
        <w:t>一、总则</w:t>
      </w:r>
      <w:bookmarkEnd w:id="22"/>
      <w:bookmarkEnd w:id="23"/>
      <w:bookmarkEnd w:id="24"/>
      <w:bookmarkEnd w:id="25"/>
      <w:bookmarkEnd w:id="26"/>
      <w:bookmarkEnd w:id="27"/>
      <w:bookmarkEnd w:id="28"/>
      <w:bookmarkEnd w:id="29"/>
      <w:bookmarkEnd w:id="30"/>
      <w:bookmarkEnd w:id="31"/>
      <w:bookmarkEnd w:id="32"/>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 w:name="_Toc486167663"/>
      <w:bookmarkStart w:id="34" w:name="_Toc1048"/>
      <w:bookmarkStart w:id="35" w:name="_Toc31907"/>
      <w:bookmarkStart w:id="36" w:name="_Toc450662849"/>
      <w:bookmarkStart w:id="37" w:name="_Toc22130"/>
      <w:bookmarkStart w:id="38" w:name="_Toc2649"/>
      <w:bookmarkStart w:id="39" w:name="_Toc21710_WPSOffice_Level3"/>
      <w:bookmarkStart w:id="40" w:name="_Toc21266"/>
      <w:bookmarkStart w:id="41" w:name="_Toc16700"/>
      <w:bookmarkStart w:id="42" w:name="_Toc14250831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33"/>
      <w:bookmarkEnd w:id="34"/>
      <w:bookmarkEnd w:id="35"/>
      <w:bookmarkEnd w:id="36"/>
      <w:bookmarkEnd w:id="37"/>
      <w:bookmarkEnd w:id="38"/>
      <w:bookmarkEnd w:id="39"/>
      <w:bookmarkEnd w:id="40"/>
      <w:bookmarkEnd w:id="41"/>
      <w:bookmarkEnd w:id="42"/>
    </w:p>
    <w:p>
      <w:pPr>
        <w:autoSpaceDE w:val="0"/>
        <w:autoSpaceDN w:val="0"/>
        <w:adjustRightInd w:val="0"/>
        <w:jc w:val="left"/>
        <w:rPr>
          <w:rFonts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3" w:name="_Toc27011"/>
      <w:bookmarkStart w:id="44" w:name="_Toc5550"/>
      <w:bookmarkStart w:id="45" w:name="_Toc14373"/>
      <w:bookmarkStart w:id="46" w:name="_Toc486167664"/>
      <w:bookmarkStart w:id="47" w:name="_Toc450662850"/>
      <w:bookmarkStart w:id="48" w:name="_Toc142508314"/>
      <w:bookmarkStart w:id="49" w:name="_Toc23811"/>
      <w:bookmarkStart w:id="50" w:name="_Toc7645"/>
      <w:bookmarkStart w:id="51" w:name="_Toc31162"/>
      <w:bookmarkStart w:id="52" w:name="_Toc80_WPSOffice_Level3"/>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43"/>
      <w:bookmarkEnd w:id="44"/>
      <w:bookmarkEnd w:id="45"/>
      <w:bookmarkEnd w:id="46"/>
      <w:bookmarkEnd w:id="47"/>
      <w:bookmarkEnd w:id="48"/>
      <w:bookmarkEnd w:id="49"/>
      <w:bookmarkEnd w:id="50"/>
      <w:bookmarkEnd w:id="51"/>
      <w:bookmarkEnd w:id="52"/>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2.1  </w:t>
      </w:r>
      <w:r>
        <w:rPr>
          <w:rFonts w:hint="eastAsia" w:ascii="宋体" w:hAnsi="宋体" w:eastAsia="宋体" w:cs="宋体"/>
          <w:b/>
          <w:color w:val="auto"/>
          <w:szCs w:val="21"/>
          <w:highlight w:val="none"/>
          <w:u w:val="single"/>
          <w:lang w:val="zh-CN"/>
        </w:rPr>
        <w:t>合格的投标人条件见第一篇《招标公告》中第</w:t>
      </w:r>
      <w:r>
        <w:rPr>
          <w:rFonts w:ascii="宋体" w:hAnsi="宋体" w:eastAsia="宋体" w:cs="宋体"/>
          <w:b/>
          <w:color w:val="auto"/>
          <w:szCs w:val="21"/>
          <w:highlight w:val="none"/>
          <w:u w:val="single"/>
          <w:lang w:val="zh-CN"/>
        </w:rPr>
        <w:t>2</w:t>
      </w:r>
      <w:r>
        <w:rPr>
          <w:rFonts w:hint="eastAsia" w:ascii="宋体" w:hAnsi="宋体" w:eastAsia="宋体" w:cs="宋体"/>
          <w:b/>
          <w:color w:val="auto"/>
          <w:szCs w:val="21"/>
          <w:highlight w:val="none"/>
          <w:u w:val="single"/>
          <w:lang w:val="zh-CN"/>
        </w:rPr>
        <w:t>条的“合格投标人资格要求”及本条以下2.2款至</w:t>
      </w:r>
      <w:r>
        <w:rPr>
          <w:rFonts w:hint="eastAsia" w:ascii="宋体" w:hAnsi="宋体" w:eastAsia="宋体" w:cs="宋体"/>
          <w:b/>
          <w:color w:val="auto"/>
          <w:szCs w:val="21"/>
          <w:highlight w:val="none"/>
          <w:u w:val="single"/>
          <w:lang w:val="en-US" w:eastAsia="zh-CN"/>
        </w:rPr>
        <w:t>2.5</w:t>
      </w:r>
      <w:r>
        <w:rPr>
          <w:rFonts w:hint="eastAsia" w:ascii="宋体" w:hAnsi="宋体" w:eastAsia="宋体" w:cs="宋体"/>
          <w:b/>
          <w:color w:val="auto"/>
          <w:szCs w:val="21"/>
          <w:highlight w:val="none"/>
          <w:u w:val="single"/>
          <w:lang w:val="zh-CN"/>
        </w:rPr>
        <w:t>款的通用要求</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u w:val="single"/>
        </w:rPr>
        <w:t>投标人</w:t>
      </w:r>
      <w:r>
        <w:rPr>
          <w:rFonts w:hint="eastAsia" w:ascii="宋体" w:hAnsi="宋体" w:eastAsia="宋体" w:cs="Times New Roman"/>
          <w:b/>
          <w:color w:val="auto"/>
          <w:kern w:val="0"/>
          <w:szCs w:val="21"/>
          <w:highlight w:val="none"/>
          <w:u w:val="singl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u w:val="single"/>
          <w:lang w:val="zh-CN"/>
        </w:rPr>
        <w:t>处罚说明</w:t>
      </w:r>
      <w:r>
        <w:rPr>
          <w:rFonts w:hint="eastAsia" w:ascii="宋体" w:hAnsi="宋体" w:eastAsia="宋体" w:cs="Times New Roman"/>
          <w:b/>
          <w:color w:val="auto"/>
          <w:kern w:val="0"/>
          <w:szCs w:val="21"/>
          <w:highlight w:val="none"/>
          <w:u w:val="singl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w:t>
      </w:r>
      <w:r>
        <w:rPr>
          <w:rFonts w:hint="eastAsia" w:ascii="宋体" w:hAnsi="宋体" w:eastAsia="宋体" w:cs="宋体"/>
          <w:b/>
          <w:color w:val="auto"/>
          <w:kern w:val="0"/>
          <w:szCs w:val="21"/>
          <w:highlight w:val="none"/>
          <w:u w:val="single"/>
          <w:lang w:val="zh-CN"/>
        </w:rPr>
        <w:t>投标人</w:t>
      </w:r>
      <w:r>
        <w:rPr>
          <w:rFonts w:hint="eastAsia" w:ascii="宋体" w:hAnsi="宋体" w:eastAsia="宋体" w:cs="宋体"/>
          <w:b/>
          <w:color w:val="auto"/>
          <w:szCs w:val="21"/>
          <w:highlight w:val="none"/>
          <w:u w:val="single"/>
          <w:lang w:val="zh-CN"/>
        </w:rPr>
        <w:t>符合《中华人民共和国招标投标法》第二十六条规定</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u w:val="singl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u w:val="single"/>
          <w:lang w:val="en-US" w:eastAsia="zh-CN"/>
        </w:rPr>
        <w:t>政府采购</w:t>
      </w:r>
      <w:r>
        <w:rPr>
          <w:rFonts w:hint="eastAsia" w:ascii="宋体" w:hAnsi="宋体" w:eastAsia="宋体" w:cs="Times New Roman"/>
          <w:b/>
          <w:color w:val="auto"/>
          <w:kern w:val="0"/>
          <w:szCs w:val="21"/>
          <w:highlight w:val="none"/>
          <w:u w:val="single"/>
        </w:rPr>
        <w:t>严重违法失信行为记录名单（处罚期限届满的除外）</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u w:val="singl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53" w:name="_Toc26690"/>
      <w:bookmarkStart w:id="54" w:name="_Toc23847_WPSOffice_Level3"/>
      <w:bookmarkStart w:id="55" w:name="_Toc29293"/>
      <w:bookmarkStart w:id="56" w:name="_Toc142508315"/>
      <w:bookmarkStart w:id="57" w:name="_Toc4257"/>
      <w:bookmarkStart w:id="58" w:name="_Toc2814"/>
      <w:bookmarkStart w:id="59" w:name="_Toc26364"/>
      <w:bookmarkStart w:id="60" w:name="_Toc8199"/>
      <w:bookmarkStart w:id="61" w:name="_Toc450662851"/>
      <w:bookmarkStart w:id="62"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53"/>
      <w:bookmarkEnd w:id="54"/>
      <w:bookmarkEnd w:id="55"/>
      <w:bookmarkEnd w:id="56"/>
      <w:bookmarkEnd w:id="57"/>
      <w:bookmarkEnd w:id="58"/>
      <w:bookmarkEnd w:id="59"/>
      <w:bookmarkEnd w:id="60"/>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3" w:name="_Toc533708063"/>
      <w:bookmarkStart w:id="64"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63"/>
    <w:bookmarkEnd w:id="64"/>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5" w:name="_Toc533708064"/>
      <w:bookmarkStart w:id="66" w:name="_Toc1977664"/>
      <w:r>
        <w:rPr>
          <w:rFonts w:hint="eastAsia" w:ascii="宋体" w:hAnsi="宋体" w:eastAsia="宋体" w:cs="宋体"/>
          <w:color w:val="auto"/>
          <w:szCs w:val="21"/>
          <w:highlight w:val="none"/>
          <w:lang w:val="zh-CN"/>
        </w:rPr>
        <w:t xml:space="preserve">3.3  </w:t>
      </w:r>
      <w:bookmarkEnd w:id="65"/>
      <w:bookmarkEnd w:id="66"/>
      <w:bookmarkStart w:id="67" w:name="_Toc533708065"/>
      <w:bookmarkStart w:id="68"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67"/>
      <w:bookmarkEnd w:id="68"/>
    </w:p>
    <w:p>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69" w:name="_Toc533708066"/>
      <w:bookmarkStart w:id="70"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69"/>
    <w:bookmarkEnd w:id="70"/>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1" w:name="_Toc533708067"/>
      <w:bookmarkStart w:id="72"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71"/>
      <w:bookmarkEnd w:id="72"/>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3" w:name="_Toc533708068"/>
      <w:bookmarkStart w:id="74"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73"/>
      <w:bookmarkEnd w:id="74"/>
    </w:p>
    <w:p>
      <w:pPr>
        <w:autoSpaceDE w:val="0"/>
        <w:autoSpaceDN w:val="0"/>
        <w:adjustRightInd w:val="0"/>
        <w:spacing w:line="360" w:lineRule="auto"/>
        <w:jc w:val="left"/>
        <w:rPr>
          <w:rFonts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5" w:name="_Toc23394"/>
      <w:bookmarkStart w:id="76" w:name="_Toc20936"/>
      <w:bookmarkStart w:id="77" w:name="_Toc5443"/>
      <w:bookmarkStart w:id="78" w:name="_Toc142508316"/>
      <w:bookmarkStart w:id="79" w:name="_Toc20314"/>
      <w:bookmarkStart w:id="80" w:name="_Toc9658_WPSOffice_Level3"/>
      <w:bookmarkStart w:id="81" w:name="_Toc28282"/>
      <w:bookmarkStart w:id="82" w:name="_Toc28152"/>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75"/>
      <w:bookmarkEnd w:id="76"/>
      <w:bookmarkEnd w:id="77"/>
      <w:bookmarkEnd w:id="78"/>
      <w:bookmarkEnd w:id="79"/>
      <w:bookmarkEnd w:id="80"/>
      <w:bookmarkEnd w:id="81"/>
      <w:bookmarkEnd w:id="82"/>
    </w:p>
    <w:p>
      <w:pPr>
        <w:autoSpaceDE w:val="0"/>
        <w:autoSpaceDN w:val="0"/>
        <w:adjustRightInd w:val="0"/>
        <w:spacing w:line="360" w:lineRule="auto"/>
        <w:ind w:left="315" w:leftChars="-100" w:hanging="525" w:hangingChars="250"/>
        <w:outlineLvl w:val="9"/>
        <w:rPr>
          <w:rFonts w:ascii="宋体" w:hAnsi="宋体" w:eastAsia="宋体" w:cs="宋体"/>
          <w:color w:val="auto"/>
          <w:szCs w:val="21"/>
          <w:highlight w:val="none"/>
          <w:lang w:val="zh-CN"/>
        </w:rPr>
      </w:pPr>
      <w:bookmarkStart w:id="83" w:name="_Toc1977670"/>
      <w:bookmarkStart w:id="84" w:name="_Toc533708070"/>
      <w:r>
        <w:rPr>
          <w:rFonts w:hint="eastAsia" w:ascii="宋体" w:hAnsi="宋体" w:eastAsia="宋体" w:cs="宋体"/>
          <w:color w:val="auto"/>
          <w:szCs w:val="21"/>
          <w:highlight w:val="none"/>
          <w:lang w:val="zh-CN"/>
        </w:rPr>
        <w:t>4.1  投标费用</w:t>
      </w:r>
      <w:bookmarkEnd w:id="83"/>
      <w:bookmarkEnd w:id="84"/>
    </w:p>
    <w:p>
      <w:pPr>
        <w:autoSpaceDE w:val="0"/>
        <w:autoSpaceDN w:val="0"/>
        <w:adjustRightInd w:val="0"/>
        <w:spacing w:line="360" w:lineRule="auto"/>
        <w:ind w:left="210" w:leftChars="100" w:firstLine="420" w:firstLineChars="200"/>
        <w:outlineLvl w:val="9"/>
        <w:rPr>
          <w:rFonts w:ascii="宋体" w:hAnsi="宋体" w:eastAsia="宋体" w:cs="宋体"/>
          <w:color w:val="auto"/>
          <w:szCs w:val="21"/>
          <w:highlight w:val="none"/>
          <w:lang w:val="zh-CN"/>
        </w:rPr>
      </w:pPr>
      <w:bookmarkStart w:id="85" w:name="_Toc533708072"/>
      <w:bookmarkStart w:id="86"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85"/>
      <w:bookmarkEnd w:id="86"/>
    </w:p>
    <w:p>
      <w:pPr>
        <w:autoSpaceDE w:val="0"/>
        <w:autoSpaceDN w:val="0"/>
        <w:adjustRightInd w:val="0"/>
        <w:spacing w:line="360" w:lineRule="auto"/>
        <w:ind w:left="315" w:leftChars="-100" w:hanging="525" w:hangingChars="250"/>
        <w:outlineLvl w:val="9"/>
        <w:rPr>
          <w:rFonts w:ascii="宋体" w:hAnsi="宋体" w:eastAsia="宋体" w:cs="宋体"/>
          <w:color w:val="auto"/>
          <w:szCs w:val="21"/>
          <w:highlight w:val="none"/>
          <w:lang w:val="zh-CN"/>
        </w:rPr>
      </w:pPr>
      <w:bookmarkStart w:id="87" w:name="_Toc533708073"/>
      <w:bookmarkStart w:id="88" w:name="_Toc1977673"/>
      <w:r>
        <w:rPr>
          <w:rFonts w:hint="eastAsia" w:ascii="宋体" w:hAnsi="宋体" w:eastAsia="宋体" w:cs="宋体"/>
          <w:color w:val="auto"/>
          <w:szCs w:val="21"/>
          <w:highlight w:val="none"/>
          <w:lang w:val="zh-CN"/>
        </w:rPr>
        <w:t>4.2  踏勘现场</w:t>
      </w:r>
      <w:bookmarkEnd w:id="87"/>
      <w:bookmarkEnd w:id="88"/>
    </w:p>
    <w:p>
      <w:pPr>
        <w:autoSpaceDE w:val="0"/>
        <w:autoSpaceDN w:val="0"/>
        <w:adjustRightInd w:val="0"/>
        <w:spacing w:line="360" w:lineRule="auto"/>
        <w:ind w:left="300" w:leftChars="-59" w:hanging="424" w:hangingChars="202"/>
        <w:jc w:val="left"/>
        <w:outlineLvl w:val="9"/>
        <w:rPr>
          <w:rFonts w:ascii="宋体" w:hAnsi="宋体" w:eastAsia="宋体" w:cs="Times New Roman"/>
          <w:color w:val="auto"/>
          <w:kern w:val="0"/>
          <w:szCs w:val="21"/>
          <w:highlight w:val="none"/>
        </w:rPr>
      </w:pPr>
      <w:bookmarkStart w:id="89" w:name="_Toc533708076"/>
      <w:bookmarkStart w:id="90" w:name="_Toc1977676"/>
      <w:r>
        <w:rPr>
          <w:rFonts w:hint="eastAsia" w:ascii="宋体" w:hAnsi="宋体" w:eastAsia="宋体" w:cs="Times New Roman"/>
          <w:color w:val="auto"/>
          <w:kern w:val="0"/>
          <w:szCs w:val="21"/>
          <w:highlight w:val="none"/>
        </w:rPr>
        <w:t>（1）本项目不组织集中踏勘现场和答疑，投标人应自行到实地踏勘考察。</w:t>
      </w:r>
    </w:p>
    <w:p>
      <w:pPr>
        <w:autoSpaceDE w:val="0"/>
        <w:autoSpaceDN w:val="0"/>
        <w:adjustRightInd w:val="0"/>
        <w:spacing w:line="360" w:lineRule="auto"/>
        <w:ind w:left="300" w:leftChars="-59" w:hanging="424" w:hangingChars="202"/>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pPr>
        <w:spacing w:line="360" w:lineRule="auto"/>
        <w:ind w:left="300" w:leftChars="-59" w:hanging="424" w:hangingChars="202"/>
        <w:outlineLvl w:val="9"/>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outlineLvl w:val="9"/>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61"/>
      <w:bookmarkEnd w:id="62"/>
      <w:bookmarkEnd w:id="89"/>
      <w:bookmarkEnd w:id="90"/>
    </w:p>
    <w:p>
      <w:pPr>
        <w:autoSpaceDE w:val="0"/>
        <w:autoSpaceDN w:val="0"/>
        <w:adjustRightInd w:val="0"/>
        <w:spacing w:line="360" w:lineRule="auto"/>
        <w:ind w:left="441" w:leftChars="-60" w:hanging="567" w:hangingChars="270"/>
        <w:jc w:val="left"/>
        <w:outlineLvl w:val="9"/>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outlineLvl w:val="9"/>
        <w:rPr>
          <w:rFonts w:ascii="宋体" w:hAnsi="宋体" w:eastAsia="宋体" w:cs="宋体"/>
          <w:color w:val="auto"/>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91" w:name="_Toc9339"/>
      <w:bookmarkStart w:id="92" w:name="_Toc486167667"/>
      <w:bookmarkStart w:id="93" w:name="_Toc30507_WPSOffice_Level2"/>
      <w:bookmarkStart w:id="94" w:name="_Toc140596876"/>
      <w:bookmarkStart w:id="95" w:name="_Toc142508317"/>
      <w:bookmarkStart w:id="96" w:name="_Toc450662853"/>
      <w:bookmarkStart w:id="97" w:name="_Toc21868"/>
      <w:bookmarkStart w:id="98" w:name="_Toc24248"/>
      <w:bookmarkStart w:id="99" w:name="_Toc22709"/>
      <w:bookmarkStart w:id="100" w:name="_Toc1482"/>
      <w:bookmarkStart w:id="101" w:name="_Toc29917"/>
      <w:r>
        <w:rPr>
          <w:rFonts w:hint="eastAsia" w:ascii="宋体" w:hAnsi="宋体" w:eastAsia="宋体" w:cs="宋体"/>
          <w:b/>
          <w:bCs/>
          <w:color w:val="auto"/>
          <w:kern w:val="44"/>
          <w:szCs w:val="21"/>
          <w:highlight w:val="none"/>
          <w:lang w:val="zh-CN"/>
        </w:rPr>
        <w:t>二、招标文件</w:t>
      </w:r>
      <w:bookmarkEnd w:id="91"/>
      <w:bookmarkEnd w:id="92"/>
      <w:bookmarkEnd w:id="93"/>
      <w:bookmarkEnd w:id="94"/>
      <w:bookmarkEnd w:id="95"/>
      <w:bookmarkEnd w:id="96"/>
      <w:bookmarkEnd w:id="97"/>
      <w:bookmarkEnd w:id="98"/>
      <w:bookmarkEnd w:id="99"/>
      <w:bookmarkEnd w:id="100"/>
      <w:bookmarkEnd w:id="101"/>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2" w:name="_Toc142508318"/>
      <w:bookmarkStart w:id="103" w:name="_Toc31963"/>
      <w:bookmarkStart w:id="104" w:name="_Toc19180"/>
      <w:bookmarkStart w:id="105" w:name="_Toc486167668"/>
      <w:bookmarkStart w:id="106" w:name="_Toc28179"/>
      <w:bookmarkStart w:id="107" w:name="_Toc31455"/>
      <w:bookmarkStart w:id="108" w:name="_Toc450662854"/>
      <w:bookmarkStart w:id="109" w:name="_Toc26635_WPSOffice_Level3"/>
      <w:bookmarkStart w:id="110" w:name="_Toc8670"/>
      <w:bookmarkStart w:id="111" w:name="_Toc12229"/>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102"/>
      <w:bookmarkEnd w:id="103"/>
      <w:bookmarkEnd w:id="104"/>
      <w:bookmarkEnd w:id="105"/>
      <w:bookmarkEnd w:id="106"/>
      <w:bookmarkEnd w:id="107"/>
      <w:bookmarkEnd w:id="108"/>
      <w:bookmarkEnd w:id="109"/>
      <w:bookmarkEnd w:id="110"/>
      <w:bookmarkEnd w:id="111"/>
    </w:p>
    <w:p>
      <w:pPr>
        <w:tabs>
          <w:tab w:val="left" w:pos="567"/>
        </w:tabs>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424" w:firstLineChars="202"/>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pPr>
        <w:tabs>
          <w:tab w:val="left" w:pos="1890"/>
        </w:tabs>
        <w:autoSpaceDE w:val="0"/>
        <w:autoSpaceDN w:val="0"/>
        <w:adjustRightInd w:val="0"/>
        <w:spacing w:line="360" w:lineRule="auto"/>
        <w:ind w:firstLine="424" w:firstLineChars="202"/>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pPr>
        <w:tabs>
          <w:tab w:val="left" w:pos="1890"/>
        </w:tabs>
        <w:autoSpaceDE w:val="0"/>
        <w:autoSpaceDN w:val="0"/>
        <w:adjustRightInd w:val="0"/>
        <w:spacing w:line="360" w:lineRule="auto"/>
        <w:ind w:firstLine="424" w:firstLineChars="202"/>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pPr>
        <w:tabs>
          <w:tab w:val="left" w:pos="1890"/>
        </w:tabs>
        <w:autoSpaceDE w:val="0"/>
        <w:autoSpaceDN w:val="0"/>
        <w:adjustRightInd w:val="0"/>
        <w:spacing w:line="360" w:lineRule="auto"/>
        <w:ind w:firstLine="424" w:firstLineChars="202"/>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pPr>
        <w:tabs>
          <w:tab w:val="left" w:pos="1890"/>
        </w:tabs>
        <w:autoSpaceDE w:val="0"/>
        <w:autoSpaceDN w:val="0"/>
        <w:adjustRightInd w:val="0"/>
        <w:spacing w:line="360" w:lineRule="auto"/>
        <w:ind w:firstLine="424" w:firstLineChars="202"/>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pPr>
        <w:tabs>
          <w:tab w:val="left" w:pos="1890"/>
        </w:tabs>
        <w:autoSpaceDE w:val="0"/>
        <w:autoSpaceDN w:val="0"/>
        <w:adjustRightInd w:val="0"/>
        <w:spacing w:line="360" w:lineRule="auto"/>
        <w:ind w:firstLine="424" w:firstLineChars="202"/>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pPr>
        <w:tabs>
          <w:tab w:val="left" w:pos="1890"/>
        </w:tabs>
        <w:autoSpaceDE w:val="0"/>
        <w:autoSpaceDN w:val="0"/>
        <w:adjustRightInd w:val="0"/>
        <w:spacing w:line="360" w:lineRule="auto"/>
        <w:ind w:firstLine="424" w:firstLineChars="202"/>
        <w:outlineLvl w:val="9"/>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outlineLvl w:val="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6" w:leftChars="-99" w:hanging="564" w:hangingChars="269"/>
        <w:outlineLvl w:val="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东莞市众源环境投资有限公司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）“投标人”指参加东莞市众源环境投资有限公司五金配件及劳保物资采购项目所需的货物及有关服务的投标，并向招标代理机构提交投标文件的当事人；</w:t>
      </w:r>
    </w:p>
    <w:p>
      <w:pPr>
        <w:autoSpaceDE w:val="0"/>
        <w:autoSpaceDN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pPr>
        <w:autoSpaceDE w:val="0"/>
        <w:autoSpaceDN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东莞市众源环境投资有限公司、</w:t>
      </w:r>
      <w:r>
        <w:rPr>
          <w:rFonts w:hint="eastAsia" w:ascii="宋体" w:hAnsi="宋体" w:eastAsia="宋体" w:cs="Times New Roman"/>
          <w:color w:val="auto"/>
          <w:szCs w:val="21"/>
          <w:highlight w:val="none"/>
          <w:lang w:val="zh-CN"/>
        </w:rPr>
        <w:t>东莞市利源有机资源再生利用有限公司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pPr>
        <w:autoSpaceDE w:val="0"/>
        <w:autoSpaceDN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pPr>
        <w:autoSpaceDE w:val="0"/>
        <w:autoSpaceDN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pPr>
        <w:autoSpaceDE w:val="0"/>
        <w:autoSpaceDN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pPr>
        <w:autoSpaceDE w:val="0"/>
        <w:autoSpaceDN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pPr>
        <w:autoSpaceDE w:val="0"/>
        <w:autoSpaceDN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pPr>
        <w:autoSpaceDE w:val="0"/>
        <w:autoSpaceDN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2" w:name="_Toc486167669"/>
      <w:bookmarkStart w:id="113" w:name="_Toc2435"/>
      <w:bookmarkStart w:id="114" w:name="_Toc142508319"/>
      <w:bookmarkStart w:id="115" w:name="_Toc6553"/>
      <w:bookmarkStart w:id="116" w:name="_Toc7369"/>
      <w:bookmarkStart w:id="117" w:name="_Toc10961"/>
      <w:bookmarkStart w:id="118" w:name="_Toc450662855"/>
      <w:bookmarkStart w:id="119" w:name="_Toc23114"/>
      <w:bookmarkStart w:id="120" w:name="_Toc29125_WPSOffice_Level3"/>
      <w:bookmarkStart w:id="121" w:name="_Toc18407"/>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12"/>
      <w:bookmarkEnd w:id="113"/>
      <w:bookmarkEnd w:id="114"/>
      <w:bookmarkEnd w:id="115"/>
      <w:bookmarkEnd w:id="116"/>
      <w:bookmarkEnd w:id="117"/>
      <w:bookmarkEnd w:id="118"/>
      <w:bookmarkEnd w:id="119"/>
      <w:bookmarkEnd w:id="120"/>
      <w:bookmarkEnd w:id="121"/>
    </w:p>
    <w:p>
      <w:pPr>
        <w:autoSpaceDE w:val="0"/>
        <w:autoSpaceDN w:val="0"/>
        <w:adjustRightInd w:val="0"/>
        <w:spacing w:line="360" w:lineRule="auto"/>
        <w:ind w:left="288" w:leftChars="137" w:firstLine="420" w:firstLineChars="200"/>
        <w:outlineLvl w:val="9"/>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2" w:name="_Toc28902"/>
      <w:bookmarkStart w:id="123" w:name="_Toc486167670"/>
      <w:bookmarkStart w:id="124" w:name="_Toc19618"/>
      <w:bookmarkStart w:id="125" w:name="_Toc26320"/>
      <w:bookmarkStart w:id="126" w:name="_Toc23483_WPSOffice_Level3"/>
      <w:bookmarkStart w:id="127" w:name="_Toc450662856"/>
      <w:bookmarkStart w:id="128" w:name="_Toc28685"/>
      <w:bookmarkStart w:id="129" w:name="_Toc142508320"/>
      <w:bookmarkStart w:id="130" w:name="_Toc5891"/>
      <w:bookmarkStart w:id="131" w:name="_Toc25338"/>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22"/>
      <w:bookmarkEnd w:id="123"/>
      <w:bookmarkEnd w:id="124"/>
      <w:bookmarkEnd w:id="125"/>
      <w:bookmarkEnd w:id="126"/>
      <w:bookmarkEnd w:id="127"/>
      <w:bookmarkEnd w:id="128"/>
      <w:bookmarkEnd w:id="129"/>
      <w:bookmarkEnd w:id="130"/>
      <w:bookmarkEnd w:id="131"/>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w:t>
      </w:r>
      <w:r>
        <w:rPr>
          <w:rFonts w:hint="eastAsia" w:ascii="宋体" w:hAnsi="宋体" w:eastAsia="宋体" w:cs="宋体"/>
          <w:color w:val="auto"/>
          <w:szCs w:val="21"/>
          <w:highlight w:val="none"/>
          <w:lang w:val="en-US" w:eastAsia="zh-CN"/>
        </w:rPr>
        <w:t>请各投标人密切留意</w:t>
      </w:r>
      <w:r>
        <w:rPr>
          <w:rFonts w:hint="eastAsia" w:ascii="宋体" w:hAnsi="宋体" w:eastAsia="宋体" w:cs="宋体"/>
          <w:color w:val="auto"/>
          <w:szCs w:val="21"/>
          <w:highlight w:val="none"/>
          <w:lang w:val="zh-CN"/>
        </w:rPr>
        <w:t>。该澄清或者修改的内容为招标文件的组成部分。</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4"/>
          <w:rFonts w:ascii="宋体" w:hAnsi="宋体" w:eastAsia="宋体" w:cs="Times New Roman"/>
          <w:color w:val="auto"/>
          <w:sz w:val="21"/>
          <w:szCs w:val="21"/>
          <w:highlight w:val="none"/>
        </w:rPr>
        <w:t>www.dgswjt.cn）</w:t>
      </w:r>
      <w:r>
        <w:rPr>
          <w:rStyle w:val="44"/>
          <w:rFonts w:ascii="宋体" w:hAnsi="宋体" w:eastAsia="宋体" w:cs="Times New Roman"/>
          <w:color w:val="auto"/>
          <w:sz w:val="21"/>
          <w:szCs w:val="21"/>
          <w:highlight w:val="none"/>
          <w:lang w:val="zh-CN"/>
        </w:rPr>
        <w:t>、</w:t>
      </w:r>
      <w:r>
        <w:rPr>
          <w:rStyle w:val="44"/>
          <w:rFonts w:hint="eastAsia" w:ascii="宋体" w:hAnsi="宋体" w:eastAsia="宋体" w:cs="Times New Roman"/>
          <w:bCs/>
          <w:color w:val="auto"/>
          <w:kern w:val="0"/>
          <w:sz w:val="21"/>
          <w:szCs w:val="21"/>
          <w:highlight w:val="none"/>
        </w:rPr>
        <w:t>招标代理</w:t>
      </w:r>
      <w:r>
        <w:rPr>
          <w:rStyle w:val="44"/>
          <w:rFonts w:hint="eastAsia" w:ascii="宋体" w:hAnsi="宋体" w:eastAsia="宋体" w:cs="Times New Roman"/>
          <w:bCs/>
          <w:color w:val="auto"/>
          <w:kern w:val="0"/>
          <w:sz w:val="21"/>
          <w:szCs w:val="21"/>
          <w:highlight w:val="none"/>
          <w:lang w:val="en-US" w:eastAsia="zh-CN"/>
        </w:rPr>
        <w:t>机构</w:t>
      </w:r>
      <w:r>
        <w:rPr>
          <w:rStyle w:val="44"/>
          <w:rFonts w:hint="eastAsia" w:ascii="宋体" w:hAnsi="宋体" w:eastAsia="宋体" w:cs="Times New Roman"/>
          <w:bCs/>
          <w:color w:val="auto"/>
          <w:kern w:val="0"/>
          <w:sz w:val="21"/>
          <w:szCs w:val="21"/>
          <w:highlight w:val="none"/>
        </w:rPr>
        <w:t>网站（</w:t>
      </w:r>
      <w:r>
        <w:rPr>
          <w:rFonts w:hint="eastAsia" w:ascii="宋体" w:hAnsi="宋体"/>
          <w:color w:val="auto"/>
          <w:kern w:val="2"/>
          <w:sz w:val="21"/>
          <w:szCs w:val="21"/>
          <w:highlight w:val="none"/>
          <w:lang w:val="zh-CN"/>
        </w:rPr>
        <w:t>www.sfcx.cn</w:t>
      </w:r>
      <w:r>
        <w:rPr>
          <w:rStyle w:val="44"/>
          <w:rFonts w:ascii="宋体" w:hAnsi="宋体" w:eastAsia="宋体" w:cs="Times New Roman"/>
          <w:bCs/>
          <w:color w:val="auto"/>
          <w:kern w:val="0"/>
          <w:sz w:val="21"/>
          <w:szCs w:val="21"/>
          <w:highlight w:val="none"/>
        </w:rPr>
        <w:t>）</w:t>
      </w:r>
      <w:r>
        <w:rPr>
          <w:rStyle w:val="44"/>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宋体"/>
          <w:color w:val="auto"/>
          <w:szCs w:val="21"/>
          <w:highlight w:val="none"/>
          <w:lang w:val="en-US" w:eastAsia="zh-CN"/>
        </w:rPr>
        <w:t>请各投标人密切留意</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132" w:name="_Toc142508321"/>
      <w:bookmarkStart w:id="133" w:name="_Toc486167671"/>
      <w:bookmarkStart w:id="134" w:name="_Toc29659_WPSOffice_Level2"/>
      <w:bookmarkStart w:id="135" w:name="_Toc6039"/>
      <w:bookmarkStart w:id="136" w:name="_Toc2222"/>
      <w:bookmarkStart w:id="137" w:name="_Toc28726"/>
      <w:bookmarkStart w:id="138" w:name="_Toc167"/>
      <w:bookmarkStart w:id="139" w:name="_Toc140596880"/>
      <w:bookmarkStart w:id="140" w:name="_Toc450662857"/>
      <w:bookmarkStart w:id="141" w:name="_Toc13032"/>
      <w:bookmarkStart w:id="142" w:name="_Toc1080"/>
      <w:r>
        <w:rPr>
          <w:rFonts w:hint="eastAsia" w:ascii="宋体" w:hAnsi="宋体" w:eastAsia="宋体" w:cs="宋体"/>
          <w:b/>
          <w:bCs/>
          <w:color w:val="auto"/>
          <w:kern w:val="44"/>
          <w:szCs w:val="21"/>
          <w:highlight w:val="none"/>
          <w:lang w:val="zh-CN"/>
        </w:rPr>
        <w:t>三、投标文件的编制</w:t>
      </w:r>
      <w:bookmarkEnd w:id="132"/>
      <w:bookmarkEnd w:id="133"/>
      <w:bookmarkEnd w:id="134"/>
      <w:bookmarkEnd w:id="135"/>
      <w:bookmarkEnd w:id="136"/>
      <w:bookmarkEnd w:id="137"/>
      <w:bookmarkEnd w:id="138"/>
      <w:bookmarkEnd w:id="139"/>
      <w:bookmarkEnd w:id="140"/>
      <w:bookmarkEnd w:id="141"/>
      <w:bookmarkEnd w:id="142"/>
    </w:p>
    <w:p>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28642"/>
      <w:bookmarkStart w:id="144" w:name="_Toc11284"/>
      <w:bookmarkStart w:id="145" w:name="_Toc25773"/>
      <w:bookmarkStart w:id="146" w:name="_Toc450662858"/>
      <w:bookmarkStart w:id="147" w:name="_Toc10015_WPSOffice_Level3"/>
      <w:bookmarkStart w:id="148" w:name="_Toc2527"/>
      <w:bookmarkStart w:id="149" w:name="_Toc11796"/>
      <w:bookmarkStart w:id="150" w:name="_Toc142508322"/>
      <w:bookmarkStart w:id="151" w:name="_Toc16966"/>
      <w:bookmarkStart w:id="152" w:name="_Toc48616767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43"/>
      <w:bookmarkEnd w:id="144"/>
      <w:bookmarkEnd w:id="145"/>
      <w:bookmarkEnd w:id="146"/>
      <w:bookmarkEnd w:id="147"/>
      <w:bookmarkEnd w:id="148"/>
      <w:bookmarkEnd w:id="149"/>
      <w:bookmarkEnd w:id="150"/>
      <w:bookmarkEnd w:id="151"/>
      <w:bookmarkEnd w:id="152"/>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53" w:name="_Toc16620"/>
      <w:bookmarkStart w:id="154" w:name="_Toc450662859"/>
      <w:bookmarkStart w:id="155" w:name="_Toc142508323"/>
      <w:bookmarkStart w:id="156" w:name="_Toc1879"/>
      <w:bookmarkStart w:id="157" w:name="_Toc4184"/>
      <w:bookmarkStart w:id="158" w:name="_Toc4729"/>
      <w:bookmarkStart w:id="159" w:name="_Toc24916_WPSOffice_Level3"/>
      <w:bookmarkStart w:id="160" w:name="_Toc11847"/>
      <w:bookmarkStart w:id="161" w:name="_Toc22432"/>
      <w:bookmarkStart w:id="162" w:name="_Toc48616767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53"/>
      <w:bookmarkEnd w:id="154"/>
      <w:bookmarkEnd w:id="155"/>
      <w:bookmarkEnd w:id="156"/>
      <w:bookmarkEnd w:id="157"/>
      <w:bookmarkEnd w:id="158"/>
      <w:bookmarkEnd w:id="159"/>
      <w:bookmarkEnd w:id="160"/>
      <w:bookmarkEnd w:id="161"/>
      <w:bookmarkEnd w:id="162"/>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422" w:leftChars="-100" w:hanging="632" w:hangingChars="300"/>
        <w:outlineLvl w:val="9"/>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pPr>
        <w:autoSpaceDE w:val="0"/>
        <w:autoSpaceDN w:val="0"/>
        <w:adjustRightInd w:val="0"/>
        <w:spacing w:line="360" w:lineRule="auto"/>
        <w:jc w:val="left"/>
        <w:outlineLvl w:val="9"/>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lang w:val="zh-CN"/>
        </w:rPr>
      </w:pPr>
      <w:r>
        <w:rPr>
          <w:rFonts w:hint="eastAsia" w:ascii="宋体" w:hAnsi="宋体" w:eastAsia="宋体" w:cs="宋体"/>
          <w:color w:val="auto"/>
          <w:szCs w:val="21"/>
          <w:lang w:val="zh-CN"/>
        </w:rPr>
        <w:t>（4）现场转换采购方式同意书；</w:t>
      </w:r>
    </w:p>
    <w:p>
      <w:pPr>
        <w:tabs>
          <w:tab w:val="left" w:pos="567"/>
        </w:tabs>
        <w:autoSpaceDE w:val="0"/>
        <w:autoSpaceDN w:val="0"/>
        <w:adjustRightInd w:val="0"/>
        <w:spacing w:line="360" w:lineRule="auto"/>
        <w:ind w:left="105" w:leftChars="-100" w:hanging="315" w:hangingChars="150"/>
        <w:outlineLvl w:val="9"/>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5</w:t>
      </w:r>
      <w:r>
        <w:rPr>
          <w:rFonts w:hint="eastAsia" w:ascii="宋体" w:hAnsi="宋体" w:eastAsia="宋体" w:cs="宋体"/>
          <w:color w:val="auto"/>
          <w:szCs w:val="21"/>
          <w:lang w:val="zh-CN"/>
        </w:rPr>
        <w:t>）投标报价表；</w:t>
      </w:r>
    </w:p>
    <w:p>
      <w:pPr>
        <w:tabs>
          <w:tab w:val="left" w:pos="567"/>
        </w:tabs>
        <w:autoSpaceDE w:val="0"/>
        <w:autoSpaceDN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outlineLvl w:val="9"/>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pPr>
        <w:autoSpaceDE w:val="0"/>
        <w:autoSpaceDN w:val="0"/>
        <w:adjustRightInd w:val="0"/>
        <w:spacing w:line="360" w:lineRule="auto"/>
        <w:ind w:left="283" w:hanging="283" w:hangingChars="135"/>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pPr>
        <w:autoSpaceDE w:val="0"/>
        <w:autoSpaceDN w:val="0"/>
        <w:adjustRightInd w:val="0"/>
        <w:spacing w:line="360" w:lineRule="auto"/>
        <w:ind w:left="283" w:hanging="283" w:hangingChars="135"/>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pPr>
        <w:tabs>
          <w:tab w:val="left" w:pos="1276"/>
        </w:tabs>
        <w:spacing w:line="360" w:lineRule="auto"/>
        <w:ind w:left="283" w:hanging="283" w:hangingChars="135"/>
        <w:outlineLvl w:val="9"/>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资格业绩【投标人提供一份</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021年1月1日以来五金配件</w:t>
      </w:r>
      <w:r>
        <w:rPr>
          <w:rFonts w:hint="eastAsia" w:ascii="宋体" w:hAnsi="宋体" w:eastAsia="宋体"/>
          <w:b w:val="0"/>
          <w:bCs w:val="0"/>
          <w:color w:val="auto"/>
          <w:szCs w:val="21"/>
          <w:highlight w:val="none"/>
        </w:rPr>
        <w:t>销售</w:t>
      </w:r>
      <w:r>
        <w:rPr>
          <w:rFonts w:hint="eastAsia" w:ascii="宋体" w:hAnsi="宋体" w:eastAsia="宋体" w:cs="宋体"/>
          <w:b w:val="0"/>
          <w:bCs w:val="0"/>
          <w:color w:val="auto"/>
          <w:szCs w:val="21"/>
          <w:highlight w:val="none"/>
        </w:rPr>
        <w:t>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021年1月1日），资格业绩证明材料提交要求详见招标文件第六篇投标文件格式</w:t>
      </w:r>
      <w:r>
        <w:rPr>
          <w:rFonts w:hint="eastAsia" w:ascii="宋体" w:hAnsi="宋体" w:eastAsia="宋体"/>
          <w:color w:val="auto"/>
          <w:szCs w:val="21"/>
          <w:highlight w:val="none"/>
          <w:u w:val="single"/>
          <w:lang w:val="en-US" w:eastAsia="zh-CN"/>
        </w:rPr>
        <w:t>6</w:t>
      </w:r>
      <w:r>
        <w:rPr>
          <w:rFonts w:hint="eastAsia" w:ascii="宋体" w:hAnsi="宋体" w:eastAsia="宋体"/>
          <w:color w:val="auto"/>
          <w:szCs w:val="21"/>
          <w:highlight w:val="none"/>
          <w:u w:val="single"/>
        </w:rPr>
        <w:t>.4</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pPr>
        <w:autoSpaceDE w:val="0"/>
        <w:autoSpaceDN w:val="0"/>
        <w:adjustRightInd w:val="0"/>
        <w:spacing w:line="360" w:lineRule="auto"/>
        <w:ind w:left="913" w:hanging="913" w:hangingChars="4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105" w:leftChars="-100" w:hanging="315" w:hangingChars="150"/>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中标服务费承诺书；</w:t>
      </w:r>
    </w:p>
    <w:p>
      <w:pPr>
        <w:tabs>
          <w:tab w:val="left" w:pos="567"/>
        </w:tabs>
        <w:autoSpaceDE w:val="0"/>
        <w:autoSpaceDN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）投标保证金汇入情况说明；</w:t>
      </w:r>
    </w:p>
    <w:p>
      <w:pPr>
        <w:tabs>
          <w:tab w:val="left" w:pos="567"/>
        </w:tabs>
        <w:autoSpaceDE w:val="0"/>
        <w:autoSpaceDN w:val="0"/>
        <w:adjustRightInd w:val="0"/>
        <w:spacing w:line="360" w:lineRule="auto"/>
        <w:ind w:left="315" w:leftChars="-100" w:hanging="525" w:hangingChars="2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pPr>
        <w:autoSpaceDE w:val="0"/>
        <w:autoSpaceDN w:val="0"/>
        <w:adjustRightInd w:val="0"/>
        <w:spacing w:line="360" w:lineRule="auto"/>
        <w:ind w:left="422" w:leftChars="-100" w:hanging="632" w:hangingChars="300"/>
        <w:outlineLvl w:val="9"/>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pPr>
        <w:autoSpaceDE w:val="0"/>
        <w:autoSpaceDN w:val="0"/>
        <w:adjustRightInd w:val="0"/>
        <w:spacing w:line="360" w:lineRule="auto"/>
        <w:ind w:right="-23" w:rightChars="-11"/>
        <w:jc w:val="left"/>
        <w:outlineLvl w:val="9"/>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pPr>
        <w:spacing w:line="360" w:lineRule="auto"/>
        <w:ind w:left="105" w:leftChars="-100" w:hanging="315" w:hangingChars="150"/>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（2）投标品牌表；</w:t>
      </w:r>
    </w:p>
    <w:p>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（3）整体供货服务流程；</w:t>
      </w:r>
    </w:p>
    <w:p>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（4）供货计划及进度保证措施方案；</w:t>
      </w:r>
    </w:p>
    <w:p>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（5）售后服务质量保证和承诺；</w:t>
      </w:r>
    </w:p>
    <w:p>
      <w:pPr>
        <w:spacing w:line="360" w:lineRule="auto"/>
        <w:ind w:left="105" w:leftChars="-100" w:hanging="315" w:hangingChars="150"/>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pPr>
        <w:autoSpaceDE w:val="0"/>
        <w:autoSpaceDN w:val="0"/>
        <w:adjustRightInd w:val="0"/>
        <w:spacing w:line="360" w:lineRule="auto"/>
        <w:ind w:left="422" w:leftChars="-100" w:hanging="632" w:hangingChars="300"/>
        <w:outlineLvl w:val="9"/>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pPr>
        <w:autoSpaceDE w:val="0"/>
        <w:autoSpaceDN w:val="0"/>
        <w:adjustRightInd w:val="0"/>
        <w:spacing w:line="360" w:lineRule="auto"/>
        <w:ind w:left="35" w:leftChars="-118" w:hanging="283" w:hangingChars="135"/>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pPr>
        <w:autoSpaceDE w:val="0"/>
        <w:autoSpaceDN w:val="0"/>
        <w:adjustRightInd w:val="0"/>
        <w:spacing w:line="360" w:lineRule="auto"/>
        <w:ind w:left="422" w:leftChars="-100" w:hanging="632" w:hangingChars="300"/>
        <w:outlineLvl w:val="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pPr>
        <w:spacing w:line="360" w:lineRule="auto"/>
        <w:ind w:left="105" w:leftChars="-100" w:hanging="315" w:hangingChars="150"/>
        <w:outlineLvl w:val="9"/>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pPr>
        <w:spacing w:line="360" w:lineRule="auto"/>
        <w:ind w:left="105" w:leftChars="-100" w:hanging="315" w:hangingChars="150"/>
        <w:outlineLvl w:val="9"/>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pPr>
        <w:autoSpaceDE w:val="0"/>
        <w:autoSpaceDN w:val="0"/>
        <w:adjustRightInd w:val="0"/>
        <w:spacing w:line="360" w:lineRule="auto"/>
        <w:ind w:left="315" w:leftChars="-100" w:hanging="525" w:hangingChars="2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3" w:name="_Toc142508324"/>
      <w:bookmarkStart w:id="164" w:name="_Toc2401"/>
      <w:bookmarkStart w:id="165" w:name="_Toc23032"/>
      <w:bookmarkStart w:id="166" w:name="_Toc12471"/>
      <w:bookmarkStart w:id="167" w:name="_Toc6234"/>
      <w:bookmarkStart w:id="168" w:name="_Toc25470"/>
      <w:bookmarkStart w:id="169" w:name="_Toc486167674"/>
      <w:bookmarkStart w:id="170" w:name="_Toc450662860"/>
      <w:bookmarkStart w:id="171" w:name="_Toc18697"/>
      <w:bookmarkStart w:id="172" w:name="_Toc8675_WPSOffice_Level3"/>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63"/>
      <w:bookmarkEnd w:id="164"/>
      <w:bookmarkEnd w:id="165"/>
      <w:bookmarkEnd w:id="166"/>
      <w:bookmarkEnd w:id="167"/>
      <w:bookmarkEnd w:id="168"/>
      <w:bookmarkEnd w:id="169"/>
      <w:bookmarkEnd w:id="170"/>
      <w:bookmarkEnd w:id="171"/>
      <w:bookmarkEnd w:id="172"/>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3" w:name="_Toc29159"/>
      <w:bookmarkStart w:id="174" w:name="_Toc6905"/>
      <w:bookmarkStart w:id="175" w:name="_Toc9679"/>
      <w:bookmarkStart w:id="176" w:name="_Toc486167675"/>
      <w:bookmarkStart w:id="177" w:name="_Toc142508325"/>
      <w:bookmarkStart w:id="178" w:name="_Toc4385_WPSOffice_Level3"/>
      <w:bookmarkStart w:id="179" w:name="_Toc450662861"/>
      <w:bookmarkStart w:id="180" w:name="_Toc22695"/>
      <w:bookmarkStart w:id="181" w:name="_Toc27078"/>
      <w:bookmarkStart w:id="182" w:name="_Toc28822"/>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73"/>
      <w:bookmarkEnd w:id="174"/>
      <w:bookmarkEnd w:id="175"/>
      <w:bookmarkEnd w:id="176"/>
      <w:bookmarkEnd w:id="177"/>
      <w:bookmarkEnd w:id="178"/>
      <w:bookmarkEnd w:id="179"/>
      <w:bookmarkEnd w:id="180"/>
      <w:bookmarkEnd w:id="181"/>
      <w:bookmarkEnd w:id="182"/>
    </w:p>
    <w:p>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11.1 </w:t>
      </w:r>
      <w:r>
        <w:rPr>
          <w:rFonts w:hint="eastAsia" w:ascii="宋体" w:hAnsi="宋体" w:eastAsia="宋体" w:cs="宋体"/>
          <w:b/>
          <w:color w:val="auto"/>
          <w:szCs w:val="21"/>
          <w:highlight w:val="none"/>
          <w:u w:val="single"/>
          <w:lang w:val="zh-CN"/>
        </w:rPr>
        <w:t>本项目的投标报价采用填报投标折扣系数的方式</w:t>
      </w:r>
      <w:r>
        <w:rPr>
          <w:rFonts w:hint="eastAsia" w:ascii="宋体" w:hAnsi="宋体" w:eastAsia="宋体" w:cs="Times New Roman"/>
          <w:b/>
          <w:color w:val="auto"/>
          <w:szCs w:val="21"/>
          <w:highlight w:val="none"/>
          <w:u w:val="single"/>
          <w:lang w:val="zh-CN"/>
        </w:rPr>
        <w:t>。任何有选择的或</w:t>
      </w:r>
      <w:r>
        <w:rPr>
          <w:rFonts w:hint="eastAsia" w:ascii="宋体" w:hAnsi="宋体" w:eastAsia="宋体" w:cs="Times New Roman"/>
          <w:b/>
          <w:color w:val="auto"/>
          <w:kern w:val="0"/>
          <w:szCs w:val="21"/>
          <w:highlight w:val="none"/>
          <w:u w:val="single"/>
          <w:lang w:val="zh-CN"/>
        </w:rPr>
        <w:t>不是固定价的</w:t>
      </w:r>
      <w:r>
        <w:rPr>
          <w:rFonts w:hint="eastAsia" w:ascii="宋体" w:hAnsi="宋体" w:eastAsia="宋体" w:cs="Times New Roman"/>
          <w:b/>
          <w:color w:val="auto"/>
          <w:szCs w:val="21"/>
          <w:highlight w:val="none"/>
          <w:u w:val="single"/>
          <w:lang w:val="zh-CN"/>
        </w:rPr>
        <w:t>投标报价将不予接受，</w:t>
      </w:r>
      <w:r>
        <w:rPr>
          <w:rFonts w:hint="eastAsia" w:ascii="宋体" w:hAnsi="宋体" w:eastAsia="宋体" w:cs="Times New Roman"/>
          <w:b/>
          <w:color w:val="auto"/>
          <w:kern w:val="0"/>
          <w:szCs w:val="21"/>
          <w:highlight w:val="none"/>
          <w:u w:val="single"/>
          <w:lang w:val="zh-CN"/>
        </w:rPr>
        <w:t>作为非实质性响应投标而予以拒绝。</w:t>
      </w:r>
      <w:r>
        <w:rPr>
          <w:rFonts w:hint="eastAsia" w:ascii="宋体" w:hAnsi="宋体" w:eastAsia="宋体" w:cs="Times New Roman"/>
          <w:b/>
          <w:color w:val="auto"/>
          <w:kern w:val="0"/>
          <w:szCs w:val="21"/>
          <w:highlight w:val="none"/>
          <w:u w:val="single"/>
        </w:rPr>
        <w:t>投标人不得以低于企业自身成本的价格竞投</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对是否低于企业成本价报价的事宜有争议的投标文件，评标委员会成员将以记名方式表决，</w:t>
      </w:r>
      <w:r>
        <w:rPr>
          <w:rFonts w:hint="eastAsia" w:ascii="宋体" w:hAnsi="宋体" w:eastAsia="宋体" w:cs="宋体"/>
          <w:b/>
          <w:color w:val="auto"/>
          <w:szCs w:val="21"/>
          <w:highlight w:val="none"/>
          <w:u w:val="single"/>
          <w:lang w:val="en-US" w:eastAsia="zh-CN"/>
        </w:rPr>
        <w:t>根据少数服从多数的原则，获多数表决通过</w:t>
      </w:r>
      <w:r>
        <w:rPr>
          <w:rFonts w:hint="eastAsia" w:ascii="宋体" w:hAnsi="宋体" w:eastAsia="宋体" w:cs="宋体"/>
          <w:b/>
          <w:color w:val="auto"/>
          <w:szCs w:val="21"/>
          <w:highlight w:val="none"/>
          <w:u w:val="single"/>
          <w:lang w:val="zh-CN"/>
        </w:rPr>
        <w:t>的投标人才有资格进入下一阶段的评审，否则将按无效投标处理</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本项目的投标报价采用统一折扣系数报价，合同履约过程中，采购清单中五金配件及劳保物资不含税中标综合单价按以下方式计算：不含税中标综合单价=不含税预算综合单价×中标折扣系数，以实际供货数量进行结算，不含税中标综合单价出现小数点，保留小数点后两位，从小数点后第3位四舍五入。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（1）货物及用户需求书采购清单中要求</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每项货物</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配备的附件、备品备件的采购、制造、检测、试验、送货、搬运（含二次搬运至招标人指定仓储地点）、包装费、运费</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包含退送货</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、保险、现场仓储等相关服务的全部费用；</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（2）免费的质保服务，包括但不限于质量问题处理或更换失效产品；</w:t>
      </w:r>
    </w:p>
    <w:p>
      <w:pPr>
        <w:autoSpaceDE w:val="0"/>
        <w:autoSpaceDN w:val="0"/>
        <w:adjustRightInd w:val="0"/>
        <w:spacing w:line="360" w:lineRule="auto"/>
        <w:ind w:left="357" w:leftChars="-100" w:hanging="567"/>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投标货物及其工艺所有制造方、使用方应支付的对专有技术、商标权、专利权和版权、设计或其他知识产权而需要向其他方支付的版税；</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货物验收合格前发生的安全事故所产生的一切费用；</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）合理利润、投标人销项税额以外的税费、中标服务费等；</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）法律法规、商业公认、招标文件规定由投标人承担的其他直接及间接费用。</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u w:val="single"/>
          <w:lang w:val="zh-CN"/>
        </w:rPr>
        <w:t>合同项下，招标人需要的货物及</w:t>
      </w:r>
      <w:r>
        <w:rPr>
          <w:rFonts w:hint="eastAsia" w:ascii="宋体" w:hAnsi="宋体" w:eastAsia="宋体" w:cs="Times New Roman"/>
          <w:b/>
          <w:bCs/>
          <w:color w:val="auto"/>
          <w:szCs w:val="21"/>
          <w:highlight w:val="none"/>
          <w:u w:val="single"/>
          <w:lang w:val="en-US" w:eastAsia="zh-CN"/>
        </w:rPr>
        <w:t>有关</w:t>
      </w:r>
      <w:r>
        <w:rPr>
          <w:rFonts w:hint="eastAsia" w:ascii="宋体" w:hAnsi="宋体" w:eastAsia="宋体" w:cs="Times New Roman"/>
          <w:b/>
          <w:bCs/>
          <w:color w:val="auto"/>
          <w:szCs w:val="21"/>
          <w:highlight w:val="none"/>
          <w:u w:val="single"/>
          <w:lang w:val="zh-CN"/>
        </w:rPr>
        <w:t>服务所需的费用，投标人都应计入投标报价总价</w:t>
      </w:r>
      <w:r>
        <w:rPr>
          <w:rFonts w:hint="eastAsia" w:ascii="宋体" w:hAnsi="宋体" w:eastAsia="宋体" w:cs="Times New Roman"/>
          <w:b/>
          <w:bCs/>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投标人的</w:t>
      </w:r>
      <w:r>
        <w:rPr>
          <w:rFonts w:hint="eastAsia" w:ascii="宋体" w:hAnsi="宋体" w:eastAsia="宋体" w:cs="Times New Roman"/>
          <w:b/>
          <w:bCs/>
          <w:color w:val="auto"/>
          <w:szCs w:val="21"/>
          <w:highlight w:val="none"/>
          <w:u w:val="single"/>
          <w:lang w:val="en-US" w:eastAsia="zh-CN"/>
        </w:rPr>
        <w:t>折扣系数报价不得超过</w:t>
      </w:r>
      <w:r>
        <w:rPr>
          <w:rFonts w:hint="eastAsia" w:ascii="宋体" w:hAnsi="宋体" w:eastAsia="宋体" w:cs="Times New Roman"/>
          <w:b/>
          <w:bCs/>
          <w:color w:val="auto"/>
          <w:szCs w:val="21"/>
          <w:highlight w:val="none"/>
          <w:u w:val="single"/>
        </w:rPr>
        <w:t>1.00</w:t>
      </w:r>
      <w:r>
        <w:rPr>
          <w:rFonts w:hint="eastAsia" w:ascii="宋体" w:hAnsi="宋体" w:eastAsia="宋体" w:cs="Times New Roman"/>
          <w:b/>
          <w:bCs/>
          <w:color w:val="auto"/>
          <w:szCs w:val="21"/>
          <w:highlight w:val="none"/>
          <w:u w:val="single"/>
          <w:lang w:eastAsia="zh-CN"/>
        </w:rPr>
        <w:t>（</w:t>
      </w:r>
      <w:r>
        <w:rPr>
          <w:rFonts w:hint="eastAsia" w:ascii="宋体" w:hAnsi="宋体" w:eastAsia="宋体" w:cs="Times New Roman"/>
          <w:b/>
          <w:bCs/>
          <w:color w:val="auto"/>
          <w:szCs w:val="21"/>
          <w:highlight w:val="none"/>
          <w:u w:val="single"/>
          <w:lang w:val="en-US" w:eastAsia="zh-CN"/>
        </w:rPr>
        <w:t>保留小数点后两位</w:t>
      </w:r>
      <w:r>
        <w:rPr>
          <w:rFonts w:hint="eastAsia" w:ascii="宋体" w:hAnsi="宋体" w:eastAsia="宋体" w:cs="Times New Roman"/>
          <w:b/>
          <w:bCs/>
          <w:color w:val="auto"/>
          <w:szCs w:val="21"/>
          <w:highlight w:val="none"/>
          <w:u w:val="single"/>
          <w:lang w:eastAsia="zh-CN"/>
        </w:rPr>
        <w:t>），</w:t>
      </w:r>
      <w:r>
        <w:rPr>
          <w:rFonts w:hint="eastAsia" w:ascii="宋体" w:hAnsi="宋体" w:eastAsia="宋体" w:cs="Times New Roman"/>
          <w:b/>
          <w:bCs/>
          <w:color w:val="auto"/>
          <w:szCs w:val="21"/>
          <w:highlight w:val="none"/>
          <w:u w:val="single"/>
          <w:lang w:val="en-US" w:eastAsia="zh-CN"/>
        </w:rPr>
        <w:t>且不能为0.00或负数</w:t>
      </w:r>
      <w:r>
        <w:rPr>
          <w:rFonts w:hint="eastAsia" w:ascii="宋体" w:hAnsi="宋体" w:eastAsia="宋体" w:cs="Times New Roman"/>
          <w:b/>
          <w:bCs/>
          <w:color w:val="auto"/>
          <w:szCs w:val="21"/>
          <w:highlight w:val="none"/>
          <w:u w:val="single"/>
        </w:rPr>
        <w:t>，投标人未按招标文件要求进行折扣系数报价的</w:t>
      </w:r>
      <w:r>
        <w:rPr>
          <w:rFonts w:hint="eastAsia" w:ascii="宋体" w:hAnsi="宋体" w:eastAsia="宋体" w:cs="Times New Roman"/>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。本项目不含税暂定采购金额为706,743.05</w:t>
      </w:r>
      <w:r>
        <w:rPr>
          <w:rFonts w:hint="eastAsia" w:ascii="宋体" w:hAnsi="宋体" w:eastAsia="宋体" w:cs="Times New Roman"/>
          <w:b/>
          <w:bCs/>
          <w:color w:val="auto"/>
          <w:szCs w:val="21"/>
          <w:highlight w:val="none"/>
          <w:u w:val="single"/>
          <w:lang w:val="zh-CN"/>
        </w:rPr>
        <w:t>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柒拾万零陆仟柒佰肆拾叁元零伍分</w:t>
      </w:r>
      <w:r>
        <w:rPr>
          <w:rFonts w:hint="eastAsia" w:ascii="宋体" w:hAnsi="宋体" w:eastAsia="宋体" w:cs="宋体"/>
          <w:b/>
          <w:color w:val="auto"/>
          <w:szCs w:val="21"/>
          <w:highlight w:val="none"/>
          <w:u w:val="singl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83" w:name="_Toc20932"/>
      <w:bookmarkStart w:id="184" w:name="_Toc12103"/>
      <w:bookmarkStart w:id="185" w:name="_Toc19811"/>
      <w:bookmarkStart w:id="186" w:name="_Toc14068"/>
      <w:bookmarkStart w:id="187" w:name="_Toc142508326"/>
      <w:bookmarkStart w:id="188" w:name="_Toc450662862"/>
      <w:bookmarkStart w:id="189" w:name="_Toc486167676"/>
      <w:bookmarkStart w:id="190" w:name="_Toc3583"/>
      <w:bookmarkStart w:id="191" w:name="_Toc30042_WPSOffice_Level3"/>
      <w:bookmarkStart w:id="192" w:name="_Toc29510"/>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83"/>
      <w:bookmarkEnd w:id="184"/>
      <w:bookmarkEnd w:id="185"/>
      <w:bookmarkEnd w:id="186"/>
      <w:bookmarkEnd w:id="187"/>
      <w:bookmarkEnd w:id="188"/>
      <w:bookmarkEnd w:id="189"/>
      <w:bookmarkEnd w:id="190"/>
      <w:bookmarkEnd w:id="191"/>
      <w:bookmarkEnd w:id="192"/>
    </w:p>
    <w:p>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u w:val="single"/>
          <w:lang w:val="zh-CN"/>
        </w:rPr>
        <w:t>本项目投标报价或以投标报价换算的金额采用的币种为人民币，以其</w:t>
      </w:r>
      <w:r>
        <w:rPr>
          <w:rFonts w:hint="eastAsia" w:ascii="宋体" w:hAnsi="宋体" w:eastAsia="宋体" w:cs="Times New Roman"/>
          <w:b/>
          <w:color w:val="auto"/>
          <w:szCs w:val="21"/>
          <w:highlight w:val="none"/>
          <w:u w:val="single"/>
          <w:lang w:val="en-US" w:eastAsia="zh-CN"/>
        </w:rPr>
        <w:t>他</w:t>
      </w:r>
      <w:r>
        <w:rPr>
          <w:rFonts w:hint="eastAsia" w:ascii="宋体" w:hAnsi="宋体" w:eastAsia="宋体" w:cs="Times New Roman"/>
          <w:b/>
          <w:color w:val="auto"/>
          <w:szCs w:val="21"/>
          <w:highlight w:val="none"/>
          <w:u w:val="single"/>
          <w:lang w:val="zh-CN"/>
        </w:rPr>
        <w:t>货币标价的投标将予以拒绝</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265" w:leftChars="119" w:hanging="15"/>
        <w:rPr>
          <w:rFonts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3" w:name="_Toc25596"/>
      <w:bookmarkStart w:id="194" w:name="_Toc31546"/>
      <w:bookmarkStart w:id="195" w:name="_Toc24270"/>
      <w:bookmarkStart w:id="196" w:name="_Toc142508327"/>
      <w:bookmarkStart w:id="197" w:name="_Toc9411_WPSOffice_Level3"/>
      <w:bookmarkStart w:id="198" w:name="_Toc21258"/>
      <w:bookmarkStart w:id="199" w:name="_Toc22278"/>
      <w:bookmarkStart w:id="200" w:name="_Toc450662863"/>
      <w:bookmarkStart w:id="201" w:name="_Toc3321"/>
      <w:bookmarkStart w:id="202" w:name="_Toc48616767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93"/>
      <w:bookmarkEnd w:id="194"/>
      <w:bookmarkEnd w:id="195"/>
      <w:bookmarkEnd w:id="196"/>
      <w:bookmarkEnd w:id="197"/>
      <w:bookmarkEnd w:id="198"/>
      <w:bookmarkEnd w:id="199"/>
      <w:bookmarkEnd w:id="200"/>
      <w:bookmarkEnd w:id="201"/>
      <w:bookmarkEnd w:id="202"/>
    </w:p>
    <w:p>
      <w:pPr>
        <w:tabs>
          <w:tab w:val="left" w:pos="567"/>
        </w:tabs>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outlineLvl w:val="9"/>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pPr>
        <w:spacing w:line="360" w:lineRule="auto"/>
        <w:ind w:left="315" w:leftChars="-100" w:hanging="525" w:hangingChars="2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3" w:name="_Toc486167678"/>
      <w:bookmarkStart w:id="204" w:name="_Toc9094"/>
      <w:bookmarkStart w:id="205" w:name="_Toc5131"/>
      <w:bookmarkStart w:id="206" w:name="_Toc142508328"/>
      <w:bookmarkStart w:id="207" w:name="_Toc27771_WPSOffice_Level3"/>
      <w:bookmarkStart w:id="208" w:name="_Toc450662864"/>
      <w:bookmarkStart w:id="209" w:name="_Toc30441"/>
      <w:bookmarkStart w:id="210" w:name="_Toc26154"/>
      <w:bookmarkStart w:id="211" w:name="_Toc11232"/>
      <w:bookmarkStart w:id="212" w:name="_Toc18867"/>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203"/>
      <w:bookmarkEnd w:id="204"/>
      <w:bookmarkEnd w:id="205"/>
      <w:bookmarkEnd w:id="206"/>
      <w:bookmarkEnd w:id="207"/>
      <w:bookmarkEnd w:id="208"/>
      <w:bookmarkEnd w:id="209"/>
      <w:bookmarkEnd w:id="210"/>
      <w:bookmarkEnd w:id="211"/>
      <w:bookmarkEnd w:id="212"/>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u w:val="single"/>
          <w:lang w:val="zh-CN"/>
        </w:rPr>
        <w:t>为说明第14.2款的规定，</w:t>
      </w:r>
      <w:r>
        <w:rPr>
          <w:rFonts w:hint="eastAsia" w:ascii="宋体" w:hAnsi="宋体" w:eastAsia="宋体" w:cs="Times New Roman"/>
          <w:b/>
          <w:color w:val="auto"/>
          <w:szCs w:val="21"/>
          <w:highlight w:val="none"/>
          <w:u w:val="singl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u w:val="single"/>
          <w:lang w:val="zh-CN"/>
        </w:rPr>
        <w:t>凡标有“</w:t>
      </w:r>
      <w:r>
        <w:rPr>
          <w:rFonts w:hint="eastAsia" w:ascii="宋体" w:hAnsi="宋体" w:eastAsia="宋体" w:cs="Times New Roman"/>
          <w:b/>
          <w:color w:val="auto"/>
          <w:szCs w:val="21"/>
          <w:highlight w:val="none"/>
          <w:u w:val="single"/>
          <w:lang w:val="zh-CN"/>
        </w:rPr>
        <w:t>★</w:t>
      </w:r>
      <w:r>
        <w:rPr>
          <w:rFonts w:ascii="宋体" w:hAnsi="宋体" w:eastAsia="宋体" w:cs="Times New Roman"/>
          <w:b/>
          <w:color w:val="auto"/>
          <w:szCs w:val="21"/>
          <w:highlight w:val="none"/>
          <w:u w:val="single"/>
          <w:lang w:val="zh-CN"/>
        </w:rPr>
        <w:t>”的地方均被视为重要的技术指标要求或性能要求。投标</w:t>
      </w:r>
      <w:r>
        <w:rPr>
          <w:rFonts w:hint="eastAsia" w:ascii="宋体" w:hAnsi="宋体" w:eastAsia="宋体" w:cs="Times New Roman"/>
          <w:b/>
          <w:color w:val="auto"/>
          <w:szCs w:val="21"/>
          <w:highlight w:val="none"/>
          <w:u w:val="single"/>
          <w:lang w:val="zh-CN"/>
        </w:rPr>
        <w:t>人</w:t>
      </w:r>
      <w:r>
        <w:rPr>
          <w:rFonts w:ascii="宋体" w:hAnsi="宋体" w:eastAsia="宋体" w:cs="Times New Roman"/>
          <w:b/>
          <w:color w:val="auto"/>
          <w:szCs w:val="21"/>
          <w:highlight w:val="none"/>
          <w:u w:val="single"/>
          <w:lang w:val="zh-CN"/>
        </w:rPr>
        <w:t>要特别加以注意，必须对此回答并完全满足这些要求</w:t>
      </w:r>
      <w:r>
        <w:rPr>
          <w:rFonts w:hint="eastAsia" w:ascii="宋体" w:hAnsi="宋体" w:eastAsia="宋体" w:cs="Times New Roman"/>
          <w:b/>
          <w:color w:val="auto"/>
          <w:szCs w:val="21"/>
          <w:highlight w:val="none"/>
          <w:u w:val="single"/>
          <w:lang w:val="zh-CN"/>
        </w:rPr>
        <w:t>，</w:t>
      </w:r>
      <w:r>
        <w:rPr>
          <w:rFonts w:ascii="宋体" w:hAnsi="宋体" w:eastAsia="宋体" w:cs="Times New Roman"/>
          <w:b/>
          <w:color w:val="auto"/>
          <w:szCs w:val="21"/>
          <w:highlight w:val="none"/>
          <w:u w:val="single"/>
          <w:lang w:val="zh-CN"/>
        </w:rPr>
        <w:t>否则若有一项带“</w:t>
      </w:r>
      <w:r>
        <w:rPr>
          <w:rFonts w:hint="eastAsia" w:ascii="宋体" w:hAnsi="宋体" w:eastAsia="宋体" w:cs="Times New Roman"/>
          <w:b/>
          <w:color w:val="auto"/>
          <w:szCs w:val="21"/>
          <w:highlight w:val="none"/>
          <w:u w:val="single"/>
          <w:lang w:val="zh-CN"/>
        </w:rPr>
        <w:t>★</w:t>
      </w:r>
      <w:r>
        <w:rPr>
          <w:rFonts w:ascii="宋体" w:hAnsi="宋体" w:eastAsia="宋体" w:cs="Times New Roman"/>
          <w:b/>
          <w:color w:val="auto"/>
          <w:szCs w:val="21"/>
          <w:highlight w:val="none"/>
          <w:u w:val="single"/>
          <w:lang w:val="zh-CN"/>
        </w:rPr>
        <w:t>”的指标未响应或不满足，将按</w:t>
      </w:r>
      <w:r>
        <w:rPr>
          <w:rFonts w:hint="eastAsia" w:ascii="宋体" w:hAnsi="宋体" w:eastAsia="宋体" w:cs="Times New Roman"/>
          <w:b/>
          <w:color w:val="auto"/>
          <w:szCs w:val="21"/>
          <w:highlight w:val="none"/>
          <w:u w:val="single"/>
          <w:lang w:val="zh-CN"/>
        </w:rPr>
        <w:t>无效投标</w:t>
      </w:r>
      <w:r>
        <w:rPr>
          <w:rFonts w:ascii="宋体" w:hAnsi="宋体" w:eastAsia="宋体" w:cs="Times New Roman"/>
          <w:b/>
          <w:color w:val="auto"/>
          <w:szCs w:val="21"/>
          <w:highlight w:val="none"/>
          <w:u w:val="single"/>
          <w:lang w:val="zh-CN"/>
        </w:rPr>
        <w:t>处理</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3" w:name="_Toc142508329"/>
      <w:bookmarkStart w:id="214" w:name="_Toc28716"/>
      <w:bookmarkStart w:id="215" w:name="_Toc13362"/>
      <w:bookmarkStart w:id="216" w:name="_Toc13144"/>
      <w:bookmarkStart w:id="217" w:name="_Toc5356_WPSOffice_Level3"/>
      <w:bookmarkStart w:id="218" w:name="_Toc486167679"/>
      <w:bookmarkStart w:id="219" w:name="_Toc4163"/>
      <w:bookmarkStart w:id="220" w:name="_Toc24774"/>
      <w:bookmarkStart w:id="221" w:name="_Toc23263"/>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213"/>
      <w:bookmarkEnd w:id="214"/>
      <w:bookmarkEnd w:id="215"/>
      <w:bookmarkEnd w:id="216"/>
      <w:bookmarkEnd w:id="217"/>
      <w:bookmarkEnd w:id="218"/>
      <w:bookmarkEnd w:id="219"/>
      <w:bookmarkEnd w:id="220"/>
      <w:bookmarkEnd w:id="221"/>
    </w:p>
    <w:p>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投标人投标时须附有投标保证金1</w:t>
      </w:r>
      <w:r>
        <w:rPr>
          <w:rFonts w:hint="eastAsia" w:ascii="宋体" w:hAnsi="宋体" w:eastAsia="宋体" w:cs="宋体"/>
          <w:b/>
          <w:bCs/>
          <w:color w:val="auto"/>
          <w:kern w:val="0"/>
          <w:szCs w:val="21"/>
          <w:highlight w:val="none"/>
          <w:u w:val="single"/>
          <w:lang w:val="en-US" w:eastAsia="zh-CN"/>
        </w:rPr>
        <w:t>4</w:t>
      </w:r>
      <w:r>
        <w:rPr>
          <w:rFonts w:hint="eastAsia" w:ascii="宋体" w:hAnsi="宋体" w:eastAsia="宋体" w:cs="宋体"/>
          <w:b/>
          <w:bCs/>
          <w:color w:val="auto"/>
          <w:kern w:val="0"/>
          <w:szCs w:val="21"/>
          <w:highlight w:val="none"/>
          <w:u w:val="single"/>
          <w:lang w:val="zh-CN"/>
        </w:rPr>
        <w:t>,000.00元（大写：人民币</w:t>
      </w:r>
      <w:r>
        <w:rPr>
          <w:rFonts w:hint="eastAsia" w:ascii="宋体" w:hAnsi="宋体" w:eastAsia="宋体" w:cs="宋体"/>
          <w:b/>
          <w:bCs/>
          <w:color w:val="auto"/>
          <w:kern w:val="0"/>
          <w:szCs w:val="21"/>
          <w:highlight w:val="none"/>
          <w:u w:val="single"/>
          <w:lang w:val="en-US" w:eastAsia="zh-CN"/>
        </w:rPr>
        <w:t>壹万肆仟元整</w:t>
      </w:r>
      <w:r>
        <w:rPr>
          <w:rFonts w:hint="eastAsia" w:ascii="宋体" w:hAnsi="宋体" w:eastAsia="宋体" w:cs="宋体"/>
          <w:b/>
          <w:bCs/>
          <w:color w:val="auto"/>
          <w:kern w:val="0"/>
          <w:szCs w:val="21"/>
          <w:highlight w:val="none"/>
          <w:u w:val="single"/>
          <w:lang w:val="zh-CN"/>
        </w:rPr>
        <w:t>）</w:t>
      </w:r>
      <w:r>
        <w:rPr>
          <w:rFonts w:hint="eastAsia" w:ascii="宋体" w:hAnsi="宋体" w:eastAsia="宋体" w:cs="宋体"/>
          <w:b/>
          <w:color w:val="auto"/>
          <w:kern w:val="0"/>
          <w:szCs w:val="21"/>
          <w:highlight w:val="none"/>
        </w:rPr>
        <w:t>。</w:t>
      </w:r>
    </w:p>
    <w:p>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pPr>
        <w:tabs>
          <w:tab w:val="left" w:pos="567"/>
        </w:tabs>
        <w:autoSpaceDE w:val="0"/>
        <w:autoSpaceDN w:val="0"/>
        <w:adjustRightInd w:val="0"/>
        <w:spacing w:line="360" w:lineRule="auto"/>
        <w:ind w:left="357" w:leftChars="-100" w:hanging="567"/>
        <w:jc w:val="left"/>
        <w:outlineLvl w:val="9"/>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pPr>
        <w:spacing w:line="360" w:lineRule="auto"/>
        <w:ind w:firstLine="777" w:firstLineChars="370"/>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p>
    <w:p>
      <w:pPr>
        <w:autoSpaceDE w:val="0"/>
        <w:autoSpaceDN w:val="0"/>
        <w:adjustRightInd w:val="0"/>
        <w:spacing w:line="360" w:lineRule="auto"/>
        <w:ind w:left="225" w:leftChars="107" w:firstLine="489" w:firstLineChars="233"/>
        <w:jc w:val="left"/>
        <w:outlineLvl w:val="9"/>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开户名称：东莞市众源环境投资有限公司</w:t>
      </w:r>
    </w:p>
    <w:p>
      <w:pPr>
        <w:autoSpaceDE w:val="0"/>
        <w:autoSpaceDN w:val="0"/>
        <w:adjustRightInd w:val="0"/>
        <w:spacing w:line="360" w:lineRule="auto"/>
        <w:ind w:left="225" w:leftChars="107" w:firstLine="489" w:firstLineChars="233"/>
        <w:jc w:val="left"/>
        <w:outlineLvl w:val="9"/>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w:t>
      </w:r>
      <w:r>
        <w:rPr>
          <w:rFonts w:hint="eastAsia" w:ascii="宋体" w:hAnsi="宋体" w:eastAsia="宋体" w:cs="宋体"/>
          <w:color w:val="auto"/>
          <w:kern w:val="0"/>
          <w:szCs w:val="21"/>
          <w:lang w:val="zh-CN"/>
        </w:rPr>
        <w:t>招商银行股份有限公司东莞分行</w:t>
      </w:r>
      <w:r>
        <w:rPr>
          <w:rFonts w:ascii="宋体" w:hAnsi="宋体" w:eastAsia="宋体" w:cs="Times New Roman"/>
          <w:b/>
          <w:bCs/>
          <w:color w:val="auto"/>
          <w:kern w:val="0"/>
          <w:szCs w:val="21"/>
          <w:highlight w:val="none"/>
          <w:lang w:val="zh-CN"/>
        </w:rPr>
        <w:t xml:space="preserve"> </w:t>
      </w:r>
    </w:p>
    <w:p>
      <w:pPr>
        <w:autoSpaceDE w:val="0"/>
        <w:autoSpaceDN w:val="0"/>
        <w:adjustRightInd w:val="0"/>
        <w:spacing w:line="360" w:lineRule="auto"/>
        <w:ind w:left="225" w:leftChars="107" w:firstLine="489" w:firstLineChars="233"/>
        <w:jc w:val="left"/>
        <w:outlineLvl w:val="9"/>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银行账号：769908269610828</w:t>
      </w:r>
    </w:p>
    <w:p>
      <w:pPr>
        <w:spacing w:line="360" w:lineRule="auto"/>
        <w:ind w:left="210" w:leftChars="100" w:firstLine="211" w:firstLineChars="100"/>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pPr>
        <w:autoSpaceDE w:val="0"/>
        <w:autoSpaceDN w:val="0"/>
        <w:adjustRightInd w:val="0"/>
        <w:spacing w:line="360" w:lineRule="auto"/>
        <w:ind w:left="357" w:leftChars="-100" w:hanging="567" w:hangingChars="270"/>
        <w:jc w:val="left"/>
        <w:outlineLvl w:val="9"/>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bCs w:val="0"/>
          <w:color w:val="auto"/>
          <w:szCs w:val="21"/>
          <w:highlight w:val="none"/>
          <w:u w:val="single"/>
          <w:lang w:val="zh-CN"/>
        </w:rPr>
        <w:t>任何未按第15.1款、第15.2款、第15.3款规定提交投标保证金的投标，将被视为无效投标</w:t>
      </w:r>
      <w:r>
        <w:rPr>
          <w:rFonts w:hint="eastAsia" w:ascii="宋体" w:hAnsi="宋体" w:eastAsia="宋体" w:cs="宋体"/>
          <w:bCs/>
          <w:color w:val="auto"/>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315" w:leftChars="150"/>
        <w:jc w:val="left"/>
        <w:textAlignment w:val="auto"/>
        <w:outlineLvl w:val="9"/>
        <w:rPr>
          <w:rFonts w:ascii="宋体" w:hAnsi="宋体" w:eastAsia="宋体" w:cs="宋体"/>
          <w:b/>
          <w:bCs/>
          <w:color w:val="auto"/>
          <w:kern w:val="0"/>
          <w:szCs w:val="24"/>
          <w:highlight w:val="none"/>
        </w:rPr>
      </w:pPr>
      <w:r>
        <w:rPr>
          <w:rFonts w:hint="eastAsia" w:ascii="宋体" w:hAnsi="宋体" w:eastAsia="宋体" w:cs="宋体"/>
          <w:b/>
          <w:bCs w:val="0"/>
          <w:color w:val="auto"/>
          <w:szCs w:val="21"/>
          <w:highlight w:val="none"/>
          <w:u w:val="single"/>
          <w:lang w:val="zh-CN" w:eastAsia="zh-CN"/>
        </w:rPr>
        <w:t>为更快捷将投标保证金关联到本项目，投标人应在转账时</w:t>
      </w:r>
      <w:r>
        <w:rPr>
          <w:rFonts w:hint="eastAsia" w:ascii="宋体" w:hAnsi="宋体" w:eastAsia="宋体" w:cs="宋体"/>
          <w:b/>
          <w:bCs w:val="0"/>
          <w:color w:val="auto"/>
          <w:szCs w:val="21"/>
          <w:highlight w:val="none"/>
          <w:u w:val="single"/>
          <w:lang w:val="zh-CN"/>
        </w:rPr>
        <w:t>注明招标编号</w:t>
      </w:r>
      <w:r>
        <w:rPr>
          <w:rFonts w:hint="eastAsia" w:ascii="宋体" w:hAnsi="宋体" w:eastAsia="宋体" w:cs="宋体"/>
          <w:b/>
          <w:bCs w:val="0"/>
          <w:color w:val="auto"/>
          <w:szCs w:val="21"/>
          <w:highlight w:val="none"/>
          <w:u w:val="single"/>
          <w:lang w:val="zh-CN" w:eastAsia="zh-CN"/>
        </w:rPr>
        <w:t>，否则因此导致的无法识别投标保证金对应项目等不利后果将由投标人承担</w:t>
      </w:r>
      <w:r>
        <w:rPr>
          <w:rFonts w:hint="eastAsia" w:ascii="宋体" w:hAnsi="宋体" w:eastAsia="宋体" w:cs="宋体"/>
          <w:bCs/>
          <w:color w:val="auto"/>
          <w:szCs w:val="21"/>
          <w:highlight w:val="none"/>
          <w:lang w:val="zh-CN" w:eastAsia="zh-CN"/>
        </w:rPr>
        <w:t>。</w:t>
      </w:r>
    </w:p>
    <w:p>
      <w:pPr>
        <w:spacing w:line="360" w:lineRule="auto"/>
        <w:ind w:left="315" w:leftChars="-100" w:hanging="525" w:hangingChars="250"/>
        <w:outlineLvl w:val="9"/>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pPr>
        <w:spacing w:line="360" w:lineRule="auto"/>
        <w:ind w:left="357" w:leftChars="-100" w:hanging="567" w:hangingChars="270"/>
        <w:outlineLvl w:val="9"/>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退还。</w:t>
      </w:r>
    </w:p>
    <w:p>
      <w:pPr>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（2）中标人支付了中标服务费；</w:t>
      </w:r>
    </w:p>
    <w:p>
      <w:pPr>
        <w:autoSpaceDE w:val="0"/>
        <w:autoSpaceDN w:val="0"/>
        <w:adjustRightInd w:val="0"/>
        <w:spacing w:line="360" w:lineRule="auto"/>
        <w:ind w:left="357" w:leftChars="-100" w:hanging="567"/>
        <w:outlineLvl w:val="9"/>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pPr>
        <w:spacing w:line="360" w:lineRule="auto"/>
        <w:ind w:left="315" w:leftChars="-100" w:hanging="525" w:hangingChars="250"/>
        <w:outlineLvl w:val="9"/>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outlineLvl w:val="9"/>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pPr>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pPr>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pPr>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pPr>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pPr>
        <w:autoSpaceDE w:val="0"/>
        <w:autoSpaceDN w:val="0"/>
        <w:adjustRightInd w:val="0"/>
        <w:spacing w:line="360" w:lineRule="auto"/>
        <w:ind w:left="357" w:leftChars="-100" w:hanging="567"/>
        <w:outlineLvl w:val="9"/>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2" w:name="_Toc142508330"/>
      <w:bookmarkStart w:id="223" w:name="_Toc450662865"/>
      <w:bookmarkStart w:id="224" w:name="_Toc13095"/>
      <w:bookmarkStart w:id="225" w:name="_Toc486167680"/>
      <w:bookmarkStart w:id="226" w:name="_Toc10550"/>
      <w:bookmarkStart w:id="227" w:name="_Toc14295"/>
      <w:bookmarkStart w:id="228" w:name="_Toc22649_WPSOffice_Level3"/>
      <w:bookmarkStart w:id="229" w:name="_Toc2942"/>
      <w:bookmarkStart w:id="230" w:name="_Toc10667"/>
      <w:bookmarkStart w:id="231" w:name="_Toc12233"/>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22"/>
      <w:bookmarkEnd w:id="223"/>
      <w:bookmarkEnd w:id="224"/>
      <w:bookmarkEnd w:id="225"/>
      <w:bookmarkEnd w:id="226"/>
      <w:bookmarkEnd w:id="227"/>
      <w:bookmarkEnd w:id="228"/>
      <w:bookmarkEnd w:id="229"/>
      <w:bookmarkEnd w:id="230"/>
      <w:bookmarkEnd w:id="231"/>
    </w:p>
    <w:p>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2" w:name="_Toc22927"/>
      <w:bookmarkStart w:id="233" w:name="_Toc25807"/>
      <w:bookmarkStart w:id="234" w:name="_Toc13311"/>
      <w:bookmarkStart w:id="235" w:name="_Toc358"/>
      <w:bookmarkStart w:id="236" w:name="_Toc486167681"/>
      <w:bookmarkStart w:id="237" w:name="_Toc15518"/>
      <w:bookmarkStart w:id="238" w:name="_Toc25637_WPSOffice_Level3"/>
      <w:bookmarkStart w:id="239" w:name="_Toc450662866"/>
      <w:bookmarkStart w:id="240" w:name="_Toc142508331"/>
      <w:bookmarkStart w:id="241" w:name="_Toc24008"/>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32"/>
      <w:bookmarkEnd w:id="233"/>
      <w:bookmarkEnd w:id="234"/>
      <w:bookmarkEnd w:id="235"/>
      <w:bookmarkEnd w:id="236"/>
      <w:bookmarkEnd w:id="237"/>
      <w:bookmarkEnd w:id="238"/>
      <w:bookmarkEnd w:id="239"/>
      <w:bookmarkEnd w:id="240"/>
      <w:bookmarkEnd w:id="241"/>
    </w:p>
    <w:p>
      <w:pPr>
        <w:tabs>
          <w:tab w:val="left" w:pos="567"/>
        </w:tabs>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法人授权委托证明书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pPr>
        <w:autoSpaceDE w:val="0"/>
        <w:autoSpaceDN w:val="0"/>
        <w:adjustRightInd w:val="0"/>
        <w:spacing w:line="360" w:lineRule="auto"/>
        <w:ind w:left="357" w:leftChars="-100" w:hanging="567"/>
        <w:outlineLvl w:val="9"/>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pPr>
        <w:autoSpaceDE w:val="0"/>
        <w:autoSpaceDN w:val="0"/>
        <w:adjustRightInd w:val="0"/>
        <w:spacing w:line="360" w:lineRule="auto"/>
        <w:ind w:left="357" w:leftChars="-100" w:hanging="567"/>
        <w:outlineLvl w:val="9"/>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pPr>
        <w:autoSpaceDE w:val="0"/>
        <w:autoSpaceDN w:val="0"/>
        <w:adjustRightInd w:val="0"/>
        <w:spacing w:line="360" w:lineRule="auto"/>
        <w:ind w:left="357" w:leftChars="-100" w:hanging="567"/>
        <w:outlineLvl w:val="9"/>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pPr>
        <w:autoSpaceDE w:val="0"/>
        <w:autoSpaceDN w:val="0"/>
        <w:adjustRightInd w:val="0"/>
        <w:jc w:val="left"/>
        <w:rPr>
          <w:rFonts w:ascii="宋体" w:hAnsi="宋体" w:eastAsia="宋体" w:cs="宋体"/>
          <w:color w:val="auto"/>
          <w:kern w:val="0"/>
          <w:sz w:val="24"/>
          <w:szCs w:val="24"/>
          <w:highlight w:val="none"/>
        </w:rPr>
      </w:pPr>
      <w:bookmarkStart w:id="242" w:name="_Toc450662867"/>
    </w:p>
    <w:p>
      <w:pPr>
        <w:keepNext/>
        <w:keepLines/>
        <w:tabs>
          <w:tab w:val="left" w:pos="509"/>
        </w:tabs>
        <w:autoSpaceDE w:val="0"/>
        <w:autoSpaceDN w:val="0"/>
        <w:adjustRightInd w:val="0"/>
        <w:spacing w:line="360" w:lineRule="auto"/>
        <w:jc w:val="left"/>
        <w:outlineLvl w:val="1"/>
        <w:rPr>
          <w:rFonts w:ascii="宋体" w:hAnsi="宋体" w:eastAsia="宋体" w:cs="宋体"/>
          <w:color w:val="auto"/>
          <w:kern w:val="0"/>
          <w:sz w:val="24"/>
          <w:szCs w:val="24"/>
          <w:highlight w:val="none"/>
        </w:rPr>
      </w:pPr>
      <w:bookmarkStart w:id="243" w:name="_Toc15224"/>
      <w:bookmarkStart w:id="244" w:name="_Toc22356_WPSOffice_Level2"/>
      <w:bookmarkStart w:id="245" w:name="_Toc486167682"/>
      <w:bookmarkStart w:id="246" w:name="_Toc140596891"/>
      <w:bookmarkStart w:id="247" w:name="_Toc19705"/>
      <w:bookmarkStart w:id="248" w:name="_Toc11345"/>
      <w:bookmarkStart w:id="249" w:name="_Toc2610"/>
      <w:bookmarkStart w:id="250" w:name="_Toc142508332"/>
      <w:bookmarkStart w:id="251" w:name="_Toc17608"/>
      <w:bookmarkStart w:id="252" w:name="_Toc6638"/>
      <w:r>
        <w:rPr>
          <w:rFonts w:hint="eastAsia" w:ascii="宋体" w:hAnsi="宋体" w:eastAsia="宋体" w:cs="宋体"/>
          <w:b/>
          <w:bCs/>
          <w:color w:val="auto"/>
          <w:kern w:val="44"/>
          <w:szCs w:val="21"/>
          <w:highlight w:val="none"/>
          <w:lang w:val="zh-CN"/>
        </w:rPr>
        <w:t>四、投标文件的递交</w:t>
      </w:r>
      <w:bookmarkEnd w:id="242"/>
      <w:bookmarkEnd w:id="243"/>
      <w:bookmarkEnd w:id="244"/>
      <w:bookmarkEnd w:id="245"/>
      <w:bookmarkEnd w:id="246"/>
      <w:bookmarkEnd w:id="247"/>
      <w:bookmarkEnd w:id="248"/>
      <w:bookmarkEnd w:id="249"/>
      <w:bookmarkEnd w:id="250"/>
      <w:bookmarkEnd w:id="251"/>
      <w:bookmarkEnd w:id="252"/>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3" w:name="_Toc9900"/>
      <w:bookmarkStart w:id="254" w:name="_Toc486167683"/>
      <w:bookmarkStart w:id="255" w:name="_Toc11255"/>
      <w:bookmarkStart w:id="256" w:name="_Toc9662"/>
      <w:bookmarkStart w:id="257" w:name="_Toc16607"/>
      <w:bookmarkStart w:id="258" w:name="_Toc450662868"/>
      <w:bookmarkStart w:id="259" w:name="_Toc12192_WPSOffice_Level3"/>
      <w:bookmarkStart w:id="260" w:name="_Toc8396"/>
      <w:bookmarkStart w:id="261" w:name="_Toc31579"/>
      <w:bookmarkStart w:id="262" w:name="_Toc14250833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53"/>
      <w:bookmarkEnd w:id="254"/>
      <w:bookmarkEnd w:id="255"/>
      <w:bookmarkEnd w:id="256"/>
      <w:bookmarkEnd w:id="257"/>
      <w:bookmarkEnd w:id="258"/>
      <w:bookmarkEnd w:id="259"/>
      <w:bookmarkEnd w:id="260"/>
      <w:bookmarkEnd w:id="261"/>
      <w:bookmarkEnd w:id="262"/>
    </w:p>
    <w:p>
      <w:pPr>
        <w:tabs>
          <w:tab w:val="left" w:pos="567"/>
        </w:tabs>
        <w:autoSpaceDE w:val="0"/>
        <w:autoSpaceDN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pPr>
        <w:autoSpaceDE w:val="0"/>
        <w:autoSpaceDN w:val="0"/>
        <w:adjustRightInd w:val="0"/>
        <w:spacing w:line="360" w:lineRule="auto"/>
        <w:ind w:left="357" w:leftChars="-100" w:hanging="567"/>
        <w:outlineLvl w:val="9"/>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唱标信封应单独密封</w:t>
      </w:r>
      <w:r>
        <w:rPr>
          <w:rFonts w:hint="eastAsia" w:ascii="宋体" w:hAnsi="宋体" w:eastAsia="宋体" w:cs="Times New Roman"/>
          <w:b/>
          <w:bCs/>
          <w:color w:val="auto"/>
          <w:szCs w:val="21"/>
          <w:highlight w:val="none"/>
          <w:u w:val="single"/>
          <w:lang w:val="zh-CN"/>
        </w:rPr>
        <w:t>，与18.1款的投标文件一同提交</w:t>
      </w:r>
      <w:r>
        <w:rPr>
          <w:rFonts w:hint="eastAsia" w:ascii="宋体" w:hAnsi="宋体" w:eastAsia="宋体" w:cs="Times New Roman"/>
          <w:b/>
          <w:bCs/>
          <w:color w:val="auto"/>
          <w:szCs w:val="21"/>
          <w:highlight w:val="none"/>
          <w:lang w:val="zh-CN"/>
        </w:rPr>
        <w:t>。</w:t>
      </w:r>
    </w:p>
    <w:p>
      <w:pPr>
        <w:autoSpaceDE w:val="0"/>
        <w:autoSpaceDN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pPr>
        <w:autoSpaceDE w:val="0"/>
        <w:autoSpaceDN w:val="0"/>
        <w:adjustRightInd w:val="0"/>
        <w:spacing w:line="360" w:lineRule="auto"/>
        <w:ind w:left="319" w:leftChars="-118" w:hanging="567" w:hangingChars="270"/>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outlineLvl w:val="9"/>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u w:val="single"/>
          <w:lang w:val="zh-CN"/>
        </w:rPr>
        <w:t>如果</w:t>
      </w:r>
      <w:r>
        <w:rPr>
          <w:rFonts w:hint="eastAsia" w:ascii="宋体" w:hAnsi="宋体" w:eastAsia="宋体" w:cs="Times New Roman"/>
          <w:b/>
          <w:color w:val="auto"/>
          <w:szCs w:val="21"/>
          <w:highlight w:val="none"/>
          <w:u w:val="singl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5" w:leftChars="-101" w:right="15" w:rightChars="7" w:hanging="567" w:hangingChars="27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3" w:name="_Toc3384"/>
      <w:bookmarkStart w:id="264" w:name="_Toc486167684"/>
      <w:bookmarkStart w:id="265" w:name="_Toc26251"/>
      <w:bookmarkStart w:id="266" w:name="_Toc29665_WPSOffice_Level3"/>
      <w:bookmarkStart w:id="267" w:name="_Toc450662869"/>
      <w:bookmarkStart w:id="268" w:name="_Toc5460"/>
      <w:bookmarkStart w:id="269" w:name="_Toc32205"/>
      <w:bookmarkStart w:id="270" w:name="_Toc23161"/>
      <w:bookmarkStart w:id="271" w:name="_Toc9333"/>
      <w:bookmarkStart w:id="272" w:name="_Toc14250833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63"/>
      <w:bookmarkEnd w:id="264"/>
      <w:bookmarkEnd w:id="265"/>
      <w:bookmarkEnd w:id="266"/>
      <w:bookmarkEnd w:id="267"/>
      <w:bookmarkEnd w:id="268"/>
      <w:bookmarkEnd w:id="269"/>
      <w:bookmarkEnd w:id="270"/>
      <w:bookmarkEnd w:id="271"/>
      <w:bookmarkEnd w:id="272"/>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73" w:name="_Toc26379"/>
      <w:bookmarkStart w:id="274" w:name="_Toc11042"/>
      <w:bookmarkStart w:id="275" w:name="_Toc6684"/>
      <w:bookmarkStart w:id="276" w:name="_Toc22431_WPSOffice_Level3"/>
      <w:bookmarkStart w:id="277" w:name="_Toc19193"/>
      <w:bookmarkStart w:id="278" w:name="_Toc30381"/>
      <w:bookmarkStart w:id="279" w:name="_Toc450662870"/>
      <w:bookmarkStart w:id="280" w:name="_Toc486167685"/>
      <w:bookmarkStart w:id="281" w:name="_Toc142508335"/>
      <w:bookmarkStart w:id="282" w:name="_Toc24730"/>
      <w:r>
        <w:rPr>
          <w:rFonts w:hint="eastAsia" w:ascii="宋体" w:hAnsi="宋体" w:eastAsia="宋体" w:cs="宋体"/>
          <w:color w:val="auto"/>
          <w:szCs w:val="21"/>
          <w:highlight w:val="none"/>
          <w:lang w:val="zh-CN"/>
        </w:rPr>
        <w:t>20 迟交的投标文件</w:t>
      </w:r>
      <w:bookmarkEnd w:id="273"/>
      <w:bookmarkEnd w:id="274"/>
      <w:bookmarkEnd w:id="275"/>
      <w:bookmarkEnd w:id="276"/>
      <w:bookmarkEnd w:id="277"/>
      <w:bookmarkEnd w:id="278"/>
      <w:bookmarkEnd w:id="279"/>
      <w:bookmarkEnd w:id="280"/>
      <w:bookmarkEnd w:id="281"/>
      <w:bookmarkEnd w:id="282"/>
    </w:p>
    <w:p>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pPr>
        <w:autoSpaceDE w:val="0"/>
        <w:autoSpaceDN w:val="0"/>
        <w:adjustRightInd w:val="0"/>
        <w:jc w:val="left"/>
        <w:rPr>
          <w:rFonts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3" w:name="_Toc13195"/>
      <w:bookmarkStart w:id="284" w:name="_Toc6308"/>
      <w:bookmarkStart w:id="285" w:name="_Toc15452"/>
      <w:bookmarkStart w:id="286" w:name="_Toc142508336"/>
      <w:bookmarkStart w:id="287" w:name="_Toc11446"/>
      <w:bookmarkStart w:id="288" w:name="_Toc4883_WPSOffice_Level3"/>
      <w:bookmarkStart w:id="289" w:name="_Toc19542"/>
      <w:bookmarkStart w:id="290" w:name="_Toc16964"/>
      <w:bookmarkStart w:id="291" w:name="_Toc450662871"/>
      <w:bookmarkStart w:id="292" w:name="_Toc48616768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83"/>
      <w:bookmarkEnd w:id="284"/>
      <w:bookmarkEnd w:id="285"/>
      <w:bookmarkEnd w:id="286"/>
      <w:bookmarkEnd w:id="287"/>
      <w:bookmarkEnd w:id="288"/>
      <w:bookmarkEnd w:id="289"/>
      <w:bookmarkEnd w:id="290"/>
      <w:bookmarkEnd w:id="291"/>
      <w:bookmarkEnd w:id="292"/>
    </w:p>
    <w:p>
      <w:pPr>
        <w:tabs>
          <w:tab w:val="left" w:pos="567"/>
        </w:tabs>
        <w:autoSpaceDE w:val="0"/>
        <w:autoSpaceDN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pPr>
        <w:autoSpaceDE w:val="0"/>
        <w:autoSpaceDN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pPr>
        <w:autoSpaceDE w:val="0"/>
        <w:autoSpaceDN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293" w:name="_Toc142508337"/>
      <w:bookmarkStart w:id="294" w:name="_Toc10306"/>
      <w:bookmarkStart w:id="295" w:name="_Toc486167687"/>
      <w:bookmarkStart w:id="296" w:name="_Toc140596896"/>
      <w:bookmarkStart w:id="297" w:name="_Toc18285"/>
      <w:bookmarkStart w:id="298" w:name="_Toc24559"/>
      <w:bookmarkStart w:id="299" w:name="_Toc450662872"/>
      <w:bookmarkStart w:id="300" w:name="_Toc1938"/>
      <w:bookmarkStart w:id="301" w:name="_Toc1049_WPSOffice_Level2"/>
      <w:bookmarkStart w:id="302" w:name="_Toc6702"/>
      <w:bookmarkStart w:id="303" w:name="_Toc27648"/>
      <w:r>
        <w:rPr>
          <w:rFonts w:hint="eastAsia" w:ascii="宋体" w:hAnsi="宋体" w:eastAsia="宋体" w:cs="宋体"/>
          <w:b/>
          <w:bCs/>
          <w:color w:val="auto"/>
          <w:kern w:val="44"/>
          <w:szCs w:val="21"/>
          <w:highlight w:val="none"/>
          <w:lang w:val="zh-CN"/>
        </w:rPr>
        <w:t>五、开标与评标</w:t>
      </w:r>
      <w:bookmarkEnd w:id="293"/>
      <w:bookmarkEnd w:id="294"/>
      <w:bookmarkEnd w:id="295"/>
      <w:bookmarkEnd w:id="296"/>
      <w:bookmarkEnd w:id="297"/>
      <w:bookmarkEnd w:id="298"/>
      <w:bookmarkEnd w:id="299"/>
      <w:bookmarkEnd w:id="300"/>
      <w:bookmarkEnd w:id="301"/>
      <w:bookmarkEnd w:id="302"/>
      <w:bookmarkEnd w:id="303"/>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4" w:name="_Toc29881"/>
      <w:bookmarkStart w:id="305" w:name="_Toc6292"/>
      <w:bookmarkStart w:id="306" w:name="_Toc7200"/>
      <w:bookmarkStart w:id="307" w:name="_Toc144_WPSOffice_Level3"/>
      <w:bookmarkStart w:id="308" w:name="_Toc142508338"/>
      <w:bookmarkStart w:id="309" w:name="_Toc486167688"/>
      <w:bookmarkStart w:id="310" w:name="_Toc450662873"/>
      <w:bookmarkStart w:id="311" w:name="_Toc30984"/>
      <w:bookmarkStart w:id="312" w:name="_Toc8097"/>
      <w:bookmarkStart w:id="313" w:name="_Toc10937"/>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304"/>
      <w:bookmarkEnd w:id="305"/>
      <w:bookmarkEnd w:id="306"/>
      <w:bookmarkEnd w:id="307"/>
      <w:bookmarkEnd w:id="308"/>
      <w:bookmarkEnd w:id="309"/>
      <w:bookmarkEnd w:id="310"/>
      <w:bookmarkEnd w:id="311"/>
      <w:bookmarkEnd w:id="312"/>
      <w:bookmarkEnd w:id="313"/>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当以数字表示的报价系数与以文字表示的报价系数不一致时，以文字表示的报价系数为准。对不同文字文本投标文件的解释发生异议的，以中文文本为准。</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4" w:name="_Toc2038"/>
      <w:bookmarkStart w:id="315" w:name="_Toc18919"/>
      <w:bookmarkStart w:id="316" w:name="_Toc12165_WPSOffice_Level3"/>
      <w:bookmarkStart w:id="317" w:name="_Toc486167689"/>
      <w:bookmarkStart w:id="318" w:name="_Toc11072"/>
      <w:bookmarkStart w:id="319" w:name="_Toc5922"/>
      <w:bookmarkStart w:id="320" w:name="_Toc450662874"/>
      <w:bookmarkStart w:id="321" w:name="_Toc9050"/>
      <w:bookmarkStart w:id="322" w:name="_Toc142508339"/>
      <w:bookmarkStart w:id="323" w:name="_Toc6606"/>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314"/>
      <w:bookmarkEnd w:id="315"/>
      <w:bookmarkEnd w:id="316"/>
      <w:bookmarkEnd w:id="317"/>
      <w:bookmarkEnd w:id="318"/>
      <w:bookmarkEnd w:id="319"/>
      <w:bookmarkEnd w:id="320"/>
      <w:bookmarkEnd w:id="321"/>
      <w:bookmarkEnd w:id="322"/>
      <w:bookmarkEnd w:id="323"/>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4" w:name="_Toc15565_WPSOffice_Level3"/>
      <w:bookmarkStart w:id="325" w:name="_Toc450662875"/>
      <w:bookmarkStart w:id="326" w:name="_Toc142508340"/>
      <w:bookmarkStart w:id="327" w:name="_Toc833"/>
      <w:bookmarkStart w:id="328" w:name="_Toc28322"/>
      <w:bookmarkStart w:id="329" w:name="_Toc29715"/>
      <w:bookmarkStart w:id="330" w:name="_Toc32145"/>
      <w:bookmarkStart w:id="331" w:name="_Toc1044"/>
      <w:bookmarkStart w:id="332" w:name="_Toc486167690"/>
      <w:bookmarkStart w:id="333" w:name="_Toc3748"/>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324"/>
      <w:bookmarkEnd w:id="325"/>
      <w:bookmarkEnd w:id="326"/>
      <w:bookmarkEnd w:id="327"/>
      <w:bookmarkEnd w:id="328"/>
      <w:bookmarkEnd w:id="329"/>
      <w:bookmarkEnd w:id="330"/>
      <w:bookmarkEnd w:id="331"/>
      <w:bookmarkEnd w:id="332"/>
      <w:bookmarkEnd w:id="333"/>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34" w:name="_Toc28910_WPSOffice_Level3"/>
      <w:bookmarkStart w:id="335" w:name="_Toc31399"/>
      <w:bookmarkStart w:id="336" w:name="_Toc8510"/>
      <w:bookmarkStart w:id="337" w:name="_Toc450662876"/>
      <w:bookmarkStart w:id="338" w:name="_Toc486167691"/>
      <w:bookmarkStart w:id="339" w:name="_Toc16885"/>
      <w:bookmarkStart w:id="340" w:name="_Toc7478"/>
      <w:bookmarkStart w:id="341" w:name="_Toc28529"/>
      <w:bookmarkStart w:id="342" w:name="_Toc830"/>
      <w:bookmarkStart w:id="343" w:name="_Toc14250834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334"/>
      <w:bookmarkEnd w:id="335"/>
      <w:bookmarkEnd w:id="336"/>
      <w:bookmarkEnd w:id="337"/>
      <w:bookmarkEnd w:id="338"/>
      <w:bookmarkEnd w:id="339"/>
      <w:bookmarkEnd w:id="340"/>
      <w:bookmarkEnd w:id="341"/>
      <w:bookmarkEnd w:id="342"/>
      <w:bookmarkEnd w:id="343"/>
    </w:p>
    <w:p>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 xml:space="preserve">25.1 </w:t>
      </w:r>
      <w:r>
        <w:rPr>
          <w:rFonts w:hint="eastAsia" w:ascii="宋体" w:hAnsi="宋体" w:eastAsia="宋体" w:cs="宋体"/>
          <w:b/>
          <w:color w:val="auto"/>
          <w:szCs w:val="21"/>
          <w:highlight w:val="none"/>
          <w:u w:val="single"/>
          <w:lang w:val="zh-CN"/>
        </w:rPr>
        <w:t>资格性检查：依据法律法规和招标文件的规定，对投标文件中的资格证明、投标保证金等进行审查，以确定投标人是否具备投标资格</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25.2 </w:t>
      </w:r>
      <w:r>
        <w:rPr>
          <w:rFonts w:hint="eastAsia" w:ascii="宋体" w:hAnsi="宋体" w:eastAsia="宋体" w:cs="宋体"/>
          <w:b/>
          <w:color w:val="auto"/>
          <w:szCs w:val="21"/>
          <w:highlight w:val="none"/>
          <w:u w:val="single"/>
          <w:lang w:val="zh-CN"/>
        </w:rPr>
        <w:t>符合性检查：依据招标文件的规定，从投标文件的有效性、完整性和对招标文件的响应程度进行审查，以确定是否对招标文件的实质性要求作出响应</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4" w:name="_Toc23986"/>
      <w:bookmarkStart w:id="345" w:name="_Toc486167692"/>
      <w:bookmarkStart w:id="346" w:name="_Toc17590"/>
      <w:bookmarkStart w:id="347" w:name="_Toc142508342"/>
      <w:bookmarkStart w:id="348" w:name="_Toc9436"/>
      <w:bookmarkStart w:id="349" w:name="_Toc4779"/>
      <w:bookmarkStart w:id="350" w:name="_Toc10130"/>
      <w:bookmarkStart w:id="351" w:name="_Toc28887"/>
      <w:bookmarkStart w:id="352" w:name="_Toc450662877"/>
      <w:bookmarkStart w:id="353" w:name="_Toc338_WPSOffice_Level3"/>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344"/>
      <w:bookmarkEnd w:id="345"/>
      <w:bookmarkEnd w:id="346"/>
      <w:bookmarkEnd w:id="347"/>
      <w:bookmarkEnd w:id="348"/>
      <w:bookmarkEnd w:id="349"/>
      <w:bookmarkEnd w:id="350"/>
      <w:bookmarkEnd w:id="351"/>
      <w:bookmarkEnd w:id="352"/>
      <w:bookmarkEnd w:id="353"/>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54"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354"/>
    <w:p>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355" w:name="_Toc522047355"/>
      <w:bookmarkStart w:id="356" w:name="_Toc142508343"/>
      <w:bookmarkStart w:id="357" w:name="_Toc521918096"/>
      <w:bookmarkStart w:id="358" w:name="_Toc18368_WPSOffice_Level3"/>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9" w:name="_Toc26609"/>
      <w:bookmarkStart w:id="360" w:name="_Toc15022"/>
      <w:bookmarkStart w:id="361" w:name="_Toc3925"/>
      <w:bookmarkStart w:id="362" w:name="_Toc26392"/>
      <w:bookmarkStart w:id="363" w:name="_Toc7171"/>
      <w:bookmarkStart w:id="364" w:name="_Toc390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355"/>
      <w:bookmarkEnd w:id="356"/>
      <w:bookmarkEnd w:id="357"/>
      <w:bookmarkEnd w:id="358"/>
      <w:bookmarkEnd w:id="359"/>
      <w:bookmarkEnd w:id="360"/>
      <w:bookmarkEnd w:id="361"/>
      <w:bookmarkEnd w:id="362"/>
      <w:bookmarkEnd w:id="363"/>
      <w:bookmarkEnd w:id="364"/>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65" w:name="_Toc521918097"/>
      <w:bookmarkStart w:id="366" w:name="_Toc522047356"/>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7" w:name="_Toc21460_WPSOffice_Level3"/>
      <w:bookmarkStart w:id="368" w:name="_Toc18255"/>
      <w:bookmarkStart w:id="369" w:name="_Toc31279"/>
      <w:bookmarkStart w:id="370" w:name="_Toc11972"/>
      <w:bookmarkStart w:id="371" w:name="_Toc25652"/>
      <w:bookmarkStart w:id="372" w:name="_Toc10303"/>
      <w:bookmarkStart w:id="373" w:name="_Toc7053"/>
      <w:bookmarkStart w:id="374" w:name="_Toc142508344"/>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365"/>
      <w:bookmarkEnd w:id="366"/>
      <w:bookmarkEnd w:id="367"/>
      <w:bookmarkEnd w:id="368"/>
      <w:bookmarkEnd w:id="369"/>
      <w:bookmarkEnd w:id="370"/>
      <w:bookmarkEnd w:id="371"/>
      <w:bookmarkEnd w:id="372"/>
      <w:bookmarkEnd w:id="373"/>
      <w:bookmarkEnd w:id="374"/>
    </w:p>
    <w:p>
      <w:pPr>
        <w:tabs>
          <w:tab w:val="left" w:pos="567"/>
        </w:tabs>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pPr>
        <w:tabs>
          <w:tab w:val="left" w:pos="360"/>
        </w:tabs>
        <w:autoSpaceDE w:val="0"/>
        <w:autoSpaceDN w:val="0"/>
        <w:adjustRightInd w:val="0"/>
        <w:spacing w:line="360" w:lineRule="auto"/>
        <w:ind w:left="334" w:leftChars="-100" w:right="44" w:rightChars="21" w:hanging="544"/>
        <w:outlineLvl w:val="9"/>
        <w:rPr>
          <w:rFonts w:ascii="宋体" w:hAnsi="宋体" w:eastAsia="宋体" w:cs="宋体"/>
          <w:color w:val="auto"/>
          <w:szCs w:val="21"/>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u w:val="single"/>
          <w:lang w:val="zh-CN"/>
        </w:rPr>
        <w:t>若</w:t>
      </w:r>
      <w:r>
        <w:rPr>
          <w:rFonts w:hint="eastAsia" w:ascii="宋体" w:hAnsi="宋体" w:eastAsia="宋体" w:cs="宋体"/>
          <w:b/>
          <w:bCs/>
          <w:color w:val="auto"/>
          <w:szCs w:val="21"/>
          <w:highlight w:val="none"/>
          <w:u w:val="single"/>
        </w:rPr>
        <w:t>本次招标过程中有效投标人不足三个时，公开招标失败</w:t>
      </w:r>
      <w:r>
        <w:rPr>
          <w:rFonts w:hint="eastAsia" w:ascii="宋体" w:hAnsi="宋体" w:eastAsia="宋体" w:cs="宋体"/>
          <w:b/>
          <w:bCs/>
          <w:color w:val="auto"/>
          <w:szCs w:val="21"/>
          <w:highlight w:val="none"/>
        </w:rPr>
        <w:t>。</w:t>
      </w:r>
      <w:r>
        <w:rPr>
          <w:rFonts w:hint="eastAsia" w:ascii="宋体" w:hAnsi="宋体" w:eastAsia="宋体" w:cs="宋体"/>
          <w:color w:val="auto"/>
          <w:szCs w:val="21"/>
        </w:rPr>
        <w:t>本项目根据以下情况可以现场转换采购方式继续采购：</w:t>
      </w:r>
    </w:p>
    <w:p>
      <w:pPr>
        <w:autoSpaceDE w:val="0"/>
        <w:autoSpaceDN w:val="0"/>
        <w:adjustRightInd w:val="0"/>
        <w:spacing w:line="360" w:lineRule="auto"/>
        <w:ind w:left="441" w:leftChars="-60" w:hanging="567" w:hangingChars="270"/>
        <w:outlineLvl w:val="9"/>
        <w:rPr>
          <w:rFonts w:ascii="宋体" w:hAnsi="宋体" w:eastAsia="宋体" w:cs="宋体"/>
          <w:color w:val="auto"/>
          <w:szCs w:val="21"/>
          <w:lang w:val="zh-CN"/>
        </w:rPr>
      </w:pPr>
      <w:r>
        <w:rPr>
          <w:rFonts w:hint="eastAsia" w:ascii="宋体" w:hAnsi="宋体" w:eastAsia="宋体" w:cs="宋体"/>
          <w:color w:val="auto"/>
          <w:szCs w:val="21"/>
        </w:rPr>
        <w:t>（1）若有效投标人只有2个时，经评标委员会论证，采购文件没有不合理条款、采购程序符合规定的</w:t>
      </w:r>
      <w:r>
        <w:rPr>
          <w:rFonts w:hint="eastAsia" w:ascii="宋体" w:hAnsi="宋体" w:eastAsia="宋体" w:cs="宋体"/>
          <w:color w:val="auto"/>
          <w:szCs w:val="21"/>
          <w:lang w:eastAsia="zh-CN"/>
        </w:rPr>
        <w:t>，</w:t>
      </w:r>
      <w:r>
        <w:rPr>
          <w:rFonts w:hint="eastAsia" w:ascii="宋体" w:hAnsi="宋体" w:eastAsia="宋体" w:cs="宋体"/>
          <w:color w:val="auto"/>
          <w:szCs w:val="21"/>
        </w:rPr>
        <w:t>经招标人代表和作出实质性响应的投标人代表同意后，现场更改为竞争性谈判的方式继续采购。</w:t>
      </w:r>
    </w:p>
    <w:p>
      <w:pPr>
        <w:autoSpaceDE w:val="0"/>
        <w:autoSpaceDN w:val="0"/>
        <w:adjustRightInd w:val="0"/>
        <w:spacing w:line="360" w:lineRule="auto"/>
        <w:ind w:left="441" w:leftChars="-60" w:hanging="567" w:hangingChars="270"/>
        <w:outlineLvl w:val="9"/>
        <w:rPr>
          <w:rFonts w:ascii="宋体" w:hAnsi="宋体" w:eastAsia="宋体" w:cs="宋体"/>
          <w:color w:val="auto"/>
          <w:szCs w:val="21"/>
        </w:rPr>
      </w:pPr>
      <w:r>
        <w:rPr>
          <w:rFonts w:hint="eastAsia" w:ascii="宋体" w:hAnsi="宋体" w:eastAsia="宋体" w:cs="宋体"/>
          <w:color w:val="auto"/>
          <w:szCs w:val="21"/>
        </w:rPr>
        <w:t>（2）若有效投标人只有1个时，经评标委员会论证，采购文件没有不合理条款、采购程序符合规定的，经招标人代表和作出实质性响应的投标人代表同意后，现场更改为单一来源的方式继续采购。</w:t>
      </w:r>
    </w:p>
    <w:p>
      <w:pPr>
        <w:autoSpaceDE w:val="0"/>
        <w:autoSpaceDN w:val="0"/>
        <w:adjustRightInd w:val="0"/>
        <w:spacing w:line="360" w:lineRule="auto"/>
        <w:ind w:left="441" w:leftChars="-60" w:hanging="567" w:hangingChars="270"/>
        <w:outlineLvl w:val="9"/>
        <w:rPr>
          <w:rFonts w:ascii="宋体" w:hAnsi="宋体" w:eastAsia="宋体" w:cs="宋体"/>
          <w:color w:val="auto"/>
          <w:szCs w:val="21"/>
          <w:highlight w:val="none"/>
          <w:lang w:val="zh-CN"/>
        </w:rPr>
      </w:pPr>
      <w:r>
        <w:rPr>
          <w:rFonts w:hint="eastAsia" w:ascii="宋体" w:hAnsi="宋体" w:eastAsia="宋体" w:cs="宋体"/>
          <w:color w:val="auto"/>
          <w:szCs w:val="21"/>
        </w:rPr>
        <w:t>（</w:t>
      </w:r>
      <w:r>
        <w:rPr>
          <w:rFonts w:ascii="宋体" w:hAnsi="宋体" w:eastAsia="宋体" w:cs="宋体"/>
          <w:color w:val="auto"/>
          <w:szCs w:val="21"/>
        </w:rPr>
        <w:t>3）若上述两种情况下不同意转换采购方式，退出投标的投标人，投标保证金按本须知15.5款的规定退还。</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5" w:name="_Toc486167694"/>
      <w:bookmarkStart w:id="376" w:name="_Toc466882017"/>
      <w:bookmarkStart w:id="377" w:name="_Toc142508345"/>
      <w:bookmarkStart w:id="378" w:name="_Toc25047"/>
      <w:bookmarkStart w:id="379" w:name="_Toc19702"/>
      <w:bookmarkStart w:id="380" w:name="_Toc20758"/>
      <w:bookmarkStart w:id="381" w:name="_Toc9190"/>
      <w:bookmarkStart w:id="382" w:name="_Toc26215"/>
      <w:bookmarkStart w:id="383" w:name="_Toc32498_WPSOffice_Level3"/>
      <w:bookmarkStart w:id="384" w:name="_Toc15841"/>
      <w:bookmarkStart w:id="385" w:name="_Toc46535896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75"/>
      <w:bookmarkEnd w:id="376"/>
      <w:bookmarkEnd w:id="377"/>
      <w:bookmarkEnd w:id="378"/>
      <w:bookmarkEnd w:id="379"/>
      <w:bookmarkEnd w:id="380"/>
      <w:bookmarkEnd w:id="381"/>
      <w:bookmarkEnd w:id="382"/>
      <w:bookmarkEnd w:id="383"/>
      <w:bookmarkEnd w:id="384"/>
      <w:bookmarkEnd w:id="385"/>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u w:val="singl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u w:val="single"/>
          <w:lang w:val="zh-CN"/>
        </w:rPr>
        <w:t>移交司法机关处理</w:t>
      </w:r>
      <w:r>
        <w:rPr>
          <w:rFonts w:hint="eastAsia" w:ascii="宋体" w:hAnsi="宋体" w:eastAsia="宋体" w:cs="Times New Roman"/>
          <w:b/>
          <w:color w:val="auto"/>
          <w:szCs w:val="21"/>
          <w:highlight w:val="none"/>
          <w:lang w:val="zh-CN"/>
        </w:rPr>
        <w:t>。</w:t>
      </w:r>
    </w:p>
    <w:p>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u w:val="singl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u w:val="single"/>
        </w:rPr>
        <w:t>第一中标候选人未能在招标人（或其委托的招标代理机构</w:t>
      </w:r>
      <w:r>
        <w:rPr>
          <w:rFonts w:ascii="宋体" w:hAnsi="宋体" w:eastAsia="宋体" w:cs="Times New Roman"/>
          <w:b/>
          <w:color w:val="auto"/>
          <w:kern w:val="0"/>
          <w:szCs w:val="21"/>
          <w:highlight w:val="none"/>
          <w:u w:val="single"/>
        </w:rPr>
        <w:t>) 书面要求的时间(一般不少于三个工作日) 内提供完整的材料原件进行核查的</w:t>
      </w:r>
      <w:r>
        <w:rPr>
          <w:rFonts w:hint="eastAsia" w:ascii="宋体" w:hAnsi="宋体" w:eastAsia="宋体" w:cs="Times New Roman"/>
          <w:b/>
          <w:color w:val="auto"/>
          <w:szCs w:val="21"/>
          <w:highlight w:val="none"/>
          <w:u w:val="single"/>
          <w:lang w:val="zh-CN"/>
        </w:rPr>
        <w:t>，视为其无法提供真实的资料，招标人有权取消其中标候选人资格</w:t>
      </w:r>
      <w:r>
        <w:rPr>
          <w:rFonts w:hint="eastAsia" w:ascii="宋体" w:hAnsi="宋体" w:eastAsia="宋体" w:cs="Times New Roman"/>
          <w:b/>
          <w:color w:val="auto"/>
          <w:szCs w:val="21"/>
          <w:highlight w:val="none"/>
          <w:lang w:val="zh-CN"/>
        </w:rPr>
        <w:t>。</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86" w:name="_Toc466882018"/>
      <w:bookmarkStart w:id="387" w:name="_Toc486167695"/>
      <w:bookmarkStart w:id="388" w:name="_Toc10684"/>
      <w:bookmarkStart w:id="389" w:name="_Toc11824"/>
      <w:bookmarkStart w:id="390" w:name="_Toc142508346"/>
      <w:bookmarkStart w:id="391" w:name="_Toc1687"/>
      <w:bookmarkStart w:id="392" w:name="_Toc1848_WPSOffice_Level3"/>
      <w:bookmarkStart w:id="393" w:name="_Toc4325"/>
      <w:bookmarkStart w:id="394" w:name="_Toc26138"/>
      <w:bookmarkStart w:id="395" w:name="_Toc17582"/>
      <w:bookmarkStart w:id="396" w:name="_Toc465358970"/>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86"/>
      <w:bookmarkEnd w:id="387"/>
      <w:bookmarkEnd w:id="388"/>
      <w:bookmarkEnd w:id="389"/>
      <w:bookmarkEnd w:id="390"/>
      <w:bookmarkEnd w:id="391"/>
      <w:bookmarkEnd w:id="392"/>
      <w:bookmarkEnd w:id="393"/>
      <w:bookmarkEnd w:id="394"/>
      <w:bookmarkEnd w:id="395"/>
      <w:bookmarkEnd w:id="396"/>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30.1 </w:t>
      </w:r>
      <w:r>
        <w:rPr>
          <w:rFonts w:hint="eastAsia" w:ascii="宋体" w:hAnsi="宋体" w:eastAsia="宋体" w:cs="宋体"/>
          <w:b/>
          <w:color w:val="auto"/>
          <w:szCs w:val="21"/>
          <w:highlight w:val="none"/>
          <w:u w:val="single"/>
        </w:rPr>
        <w:t>在</w:t>
      </w:r>
      <w:r>
        <w:rPr>
          <w:rFonts w:hint="eastAsia" w:ascii="宋体" w:hAnsi="宋体" w:eastAsia="宋体" w:cs="Times New Roman"/>
          <w:b/>
          <w:color w:val="auto"/>
          <w:kern w:val="0"/>
          <w:szCs w:val="21"/>
          <w:highlight w:val="none"/>
          <w:u w:val="singl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u w:val="singl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u w:val="singl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30.2 </w:t>
      </w:r>
      <w:r>
        <w:rPr>
          <w:rFonts w:hint="eastAsia" w:ascii="宋体" w:hAnsi="宋体" w:eastAsia="宋体" w:cs="宋体"/>
          <w:b/>
          <w:color w:val="auto"/>
          <w:szCs w:val="21"/>
          <w:highlight w:val="none"/>
          <w:u w:val="single"/>
        </w:rPr>
        <w:t>投标人</w:t>
      </w:r>
      <w:r>
        <w:rPr>
          <w:rFonts w:hint="eastAsia" w:ascii="宋体" w:hAnsi="宋体" w:eastAsia="宋体" w:cs="Times New Roman"/>
          <w:b/>
          <w:color w:val="auto"/>
          <w:kern w:val="0"/>
          <w:szCs w:val="21"/>
          <w:highlight w:val="none"/>
          <w:u w:val="single"/>
        </w:rPr>
        <w:t>在招标人（或其委托的招标代理机构）、或评标委员会通知其提供</w:t>
      </w:r>
      <w:r>
        <w:rPr>
          <w:rFonts w:hint="eastAsia" w:ascii="宋体" w:hAnsi="宋体" w:eastAsia="宋体" w:cs="Times New Roman"/>
          <w:b/>
          <w:color w:val="auto"/>
          <w:szCs w:val="21"/>
          <w:highlight w:val="none"/>
          <w:u w:val="singl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u w:val="singl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30.3 </w:t>
      </w:r>
      <w:r>
        <w:rPr>
          <w:rFonts w:hint="eastAsia" w:ascii="宋体" w:hAnsi="宋体" w:eastAsia="宋体" w:cs="宋体"/>
          <w:b/>
          <w:color w:val="auto"/>
          <w:szCs w:val="21"/>
          <w:highlight w:val="none"/>
          <w:u w:val="single"/>
        </w:rPr>
        <w:t>若投标人在投标或履约过程中存在提供虚假材料、</w:t>
      </w:r>
      <w:r>
        <w:rPr>
          <w:rFonts w:ascii="宋体" w:hAnsi="宋体" w:eastAsia="宋体" w:cs="宋体"/>
          <w:b/>
          <w:color w:val="auto"/>
          <w:szCs w:val="21"/>
          <w:highlight w:val="none"/>
          <w:u w:val="single"/>
        </w:rPr>
        <w:t>虚假响应</w:t>
      </w:r>
      <w:r>
        <w:rPr>
          <w:rFonts w:hint="eastAsia" w:ascii="宋体" w:hAnsi="宋体" w:eastAsia="宋体" w:cs="宋体"/>
          <w:b/>
          <w:color w:val="auto"/>
          <w:szCs w:val="21"/>
          <w:highlight w:val="none"/>
          <w:u w:val="single"/>
        </w:rPr>
        <w:t>招标</w:t>
      </w:r>
      <w:r>
        <w:rPr>
          <w:rFonts w:ascii="宋体" w:hAnsi="宋体" w:eastAsia="宋体" w:cs="宋体"/>
          <w:b/>
          <w:color w:val="auto"/>
          <w:szCs w:val="21"/>
          <w:highlight w:val="none"/>
          <w:u w:val="single"/>
        </w:rPr>
        <w:t>文件</w:t>
      </w:r>
      <w:r>
        <w:rPr>
          <w:rFonts w:hint="eastAsia" w:ascii="宋体" w:hAnsi="宋体" w:eastAsia="宋体" w:cs="宋体"/>
          <w:b/>
          <w:color w:val="auto"/>
          <w:szCs w:val="21"/>
          <w:highlight w:val="none"/>
          <w:u w:val="single"/>
        </w:rPr>
        <w:t>要求等弄虚作假行为，或未能根据本须知2</w:t>
      </w:r>
      <w:r>
        <w:rPr>
          <w:rFonts w:ascii="宋体" w:hAnsi="宋体" w:eastAsia="宋体" w:cs="宋体"/>
          <w:b/>
          <w:color w:val="auto"/>
          <w:szCs w:val="21"/>
          <w:highlight w:val="none"/>
          <w:u w:val="single"/>
        </w:rPr>
        <w:t>9.2</w:t>
      </w:r>
      <w:r>
        <w:rPr>
          <w:rFonts w:hint="eastAsia" w:ascii="宋体" w:hAnsi="宋体" w:eastAsia="宋体" w:cs="宋体"/>
          <w:b/>
          <w:color w:val="auto"/>
          <w:szCs w:val="21"/>
          <w:highlight w:val="none"/>
          <w:u w:val="single"/>
        </w:rPr>
        <w:t>款约定按时提供原件进行核查的，</w:t>
      </w:r>
      <w:r>
        <w:rPr>
          <w:rFonts w:ascii="宋体" w:hAnsi="宋体" w:eastAsia="宋体" w:cs="宋体"/>
          <w:b/>
          <w:color w:val="auto"/>
          <w:szCs w:val="21"/>
          <w:highlight w:val="none"/>
          <w:u w:val="single"/>
        </w:rPr>
        <w:t>或不按照投标文件承诺履约</w:t>
      </w:r>
      <w:r>
        <w:rPr>
          <w:rFonts w:hint="eastAsia" w:ascii="宋体" w:hAnsi="宋体" w:eastAsia="宋体" w:cs="宋体"/>
          <w:b/>
          <w:color w:val="auto"/>
          <w:szCs w:val="21"/>
          <w:highlight w:val="none"/>
          <w:u w:val="single"/>
        </w:rPr>
        <w:t>或撤回投标或放弃中标资格或</w:t>
      </w:r>
      <w:r>
        <w:rPr>
          <w:rFonts w:ascii="宋体" w:hAnsi="宋体" w:eastAsia="宋体" w:cs="宋体"/>
          <w:b/>
          <w:color w:val="auto"/>
          <w:szCs w:val="21"/>
          <w:highlight w:val="none"/>
          <w:u w:val="single"/>
        </w:rPr>
        <w:t>不按要求与招标人签订合同等影响中标结果的行为</w:t>
      </w:r>
      <w:r>
        <w:rPr>
          <w:rFonts w:hint="eastAsia" w:ascii="宋体" w:hAnsi="宋体" w:eastAsia="宋体" w:cs="宋体"/>
          <w:b/>
          <w:color w:val="auto"/>
          <w:szCs w:val="21"/>
          <w:highlight w:val="none"/>
          <w:u w:val="single"/>
        </w:rPr>
        <w:t>，因此导致投标人无法参与东莞市水务集团有限公司相关招标采购等活动的，由投标人自行承担全部后果</w:t>
      </w:r>
      <w:r>
        <w:rPr>
          <w:rFonts w:hint="eastAsia" w:ascii="宋体" w:hAnsi="宋体" w:eastAsia="宋体" w:cs="宋体"/>
          <w:b/>
          <w:color w:val="auto"/>
          <w:szCs w:val="21"/>
          <w:highlight w:val="none"/>
        </w:rPr>
        <w:t>。</w:t>
      </w:r>
    </w:p>
    <w:p>
      <w:pPr>
        <w:autoSpaceDE w:val="0"/>
        <w:autoSpaceDN w:val="0"/>
        <w:adjustRightInd w:val="0"/>
        <w:snapToGrid w:val="0"/>
        <w:spacing w:line="360" w:lineRule="auto"/>
        <w:jc w:val="left"/>
        <w:rPr>
          <w:rFonts w:ascii="宋体" w:hAnsi="宋体" w:eastAsia="宋体" w:cs="宋体"/>
          <w:color w:val="auto"/>
          <w:szCs w:val="21"/>
          <w:highlight w:val="none"/>
        </w:rPr>
      </w:pPr>
      <w:bookmarkStart w:id="397" w:name="_Toc465358971"/>
      <w:bookmarkStart w:id="398" w:name="_Toc466882019"/>
    </w:p>
    <w:p>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99" w:name="_Toc19640"/>
      <w:bookmarkStart w:id="400" w:name="_Toc26035"/>
      <w:bookmarkStart w:id="401" w:name="_Toc142508347"/>
      <w:bookmarkStart w:id="402" w:name="_Toc486167696"/>
      <w:bookmarkStart w:id="403" w:name="_Toc10867_WPSOffice_Level3"/>
      <w:bookmarkStart w:id="404" w:name="_Toc16066"/>
      <w:bookmarkStart w:id="405" w:name="_Toc30130"/>
      <w:bookmarkStart w:id="406" w:name="_Toc14140"/>
      <w:bookmarkStart w:id="407" w:name="_Toc13103"/>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97"/>
      <w:bookmarkEnd w:id="398"/>
      <w:bookmarkEnd w:id="399"/>
      <w:bookmarkEnd w:id="400"/>
      <w:bookmarkEnd w:id="401"/>
      <w:bookmarkEnd w:id="402"/>
      <w:bookmarkEnd w:id="403"/>
      <w:bookmarkEnd w:id="404"/>
      <w:bookmarkEnd w:id="405"/>
      <w:bookmarkEnd w:id="406"/>
      <w:bookmarkEnd w:id="407"/>
    </w:p>
    <w:p>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408" w:name="_Toc450662880"/>
    </w:p>
    <w:p>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409" w:name="_Toc18733"/>
      <w:bookmarkStart w:id="410" w:name="_Toc6008"/>
      <w:bookmarkStart w:id="411" w:name="_Toc140596907"/>
      <w:bookmarkStart w:id="412" w:name="_Toc23395"/>
      <w:bookmarkStart w:id="413" w:name="_Toc18316"/>
      <w:bookmarkStart w:id="414" w:name="_Toc16848_WPSOffice_Level2"/>
      <w:bookmarkStart w:id="415" w:name="_Toc142508348"/>
      <w:bookmarkStart w:id="416" w:name="_Toc486167697"/>
      <w:bookmarkStart w:id="417" w:name="_Toc956"/>
      <w:bookmarkStart w:id="418" w:name="_Toc9709"/>
      <w:r>
        <w:rPr>
          <w:rFonts w:hint="eastAsia" w:ascii="宋体" w:hAnsi="宋体" w:eastAsia="宋体" w:cs="宋体"/>
          <w:b/>
          <w:bCs/>
          <w:color w:val="auto"/>
          <w:kern w:val="44"/>
          <w:szCs w:val="21"/>
          <w:highlight w:val="none"/>
          <w:lang w:val="zh-CN"/>
        </w:rPr>
        <w:t>六、授予合同</w:t>
      </w:r>
      <w:bookmarkEnd w:id="408"/>
      <w:bookmarkEnd w:id="409"/>
      <w:bookmarkEnd w:id="410"/>
      <w:bookmarkEnd w:id="411"/>
      <w:bookmarkEnd w:id="412"/>
      <w:bookmarkEnd w:id="413"/>
      <w:bookmarkEnd w:id="414"/>
      <w:bookmarkEnd w:id="415"/>
      <w:bookmarkEnd w:id="416"/>
      <w:bookmarkEnd w:id="417"/>
      <w:bookmarkEnd w:id="418"/>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19" w:name="_Toc450662881"/>
      <w:bookmarkStart w:id="420" w:name="_Toc486167698"/>
      <w:bookmarkStart w:id="421" w:name="_Toc21588"/>
      <w:bookmarkStart w:id="422" w:name="_Toc26880"/>
      <w:bookmarkStart w:id="423" w:name="_Toc6401_WPSOffice_Level3"/>
      <w:bookmarkStart w:id="424" w:name="_Toc142508349"/>
      <w:bookmarkStart w:id="425" w:name="_Toc25540"/>
      <w:bookmarkStart w:id="426" w:name="_Toc17444"/>
      <w:bookmarkStart w:id="427" w:name="_Toc22075"/>
      <w:bookmarkStart w:id="428" w:name="_Toc15700"/>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419"/>
      <w:bookmarkEnd w:id="420"/>
      <w:bookmarkEnd w:id="421"/>
      <w:bookmarkEnd w:id="422"/>
      <w:bookmarkEnd w:id="423"/>
      <w:bookmarkEnd w:id="424"/>
      <w:bookmarkEnd w:id="425"/>
      <w:bookmarkEnd w:id="426"/>
      <w:bookmarkEnd w:id="427"/>
      <w:bookmarkEnd w:id="428"/>
    </w:p>
    <w:p>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29" w:name="_Toc450662885"/>
    </w:p>
    <w:p>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30" w:name="_Toc26298"/>
      <w:bookmarkStart w:id="431" w:name="_Toc30848"/>
      <w:bookmarkStart w:id="432" w:name="_Toc142508350"/>
      <w:bookmarkStart w:id="433" w:name="_Toc23323"/>
      <w:bookmarkStart w:id="434" w:name="_Toc18453"/>
      <w:bookmarkStart w:id="435" w:name="_Toc486167699"/>
      <w:bookmarkStart w:id="436" w:name="_Toc6726_WPSOffice_Level3"/>
      <w:bookmarkStart w:id="437" w:name="_Toc24266"/>
      <w:bookmarkStart w:id="438" w:name="_Toc27995"/>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429"/>
      <w:bookmarkEnd w:id="430"/>
      <w:bookmarkEnd w:id="431"/>
      <w:bookmarkEnd w:id="432"/>
      <w:bookmarkEnd w:id="433"/>
      <w:bookmarkEnd w:id="434"/>
      <w:bookmarkEnd w:id="435"/>
      <w:bookmarkEnd w:id="436"/>
      <w:bookmarkEnd w:id="437"/>
      <w:bookmarkEnd w:id="438"/>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39"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w:t>
      </w:r>
      <w:r>
        <w:rPr>
          <w:rFonts w:hint="eastAsia" w:ascii="宋体" w:hAnsi="宋体" w:eastAsia="宋体" w:cs="宋体"/>
          <w:color w:val="auto"/>
          <w:szCs w:val="21"/>
          <w:highlight w:val="none"/>
          <w:lang w:val="zh-CN" w:eastAsia="zh-CN"/>
        </w:rPr>
        <w:t>3</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eastAsia="zh-CN"/>
        </w:rPr>
        <w:t>本项目确定中标人后，将由中标人分别与招标人和东莞市利源有机资源再生有限公司签订合同</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40" w:name="_Toc32732"/>
      <w:bookmarkStart w:id="441" w:name="_Toc9694_WPSOffice_Level3"/>
      <w:bookmarkStart w:id="442" w:name="_Toc4586"/>
      <w:bookmarkStart w:id="443" w:name="_Toc142508351"/>
      <w:bookmarkStart w:id="444" w:name="_Toc24946"/>
      <w:bookmarkStart w:id="445" w:name="_Toc651"/>
      <w:bookmarkStart w:id="446" w:name="_Toc486167700"/>
      <w:bookmarkStart w:id="447" w:name="_Toc7333"/>
      <w:bookmarkStart w:id="448" w:name="_Toc3499"/>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439"/>
      <w:bookmarkEnd w:id="440"/>
      <w:bookmarkEnd w:id="441"/>
      <w:bookmarkEnd w:id="442"/>
      <w:bookmarkEnd w:id="443"/>
      <w:bookmarkEnd w:id="444"/>
      <w:bookmarkEnd w:id="445"/>
      <w:bookmarkEnd w:id="446"/>
      <w:bookmarkEnd w:id="447"/>
      <w:bookmarkEnd w:id="448"/>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w:t>
      </w:r>
      <w:r>
        <w:rPr>
          <w:rFonts w:hint="eastAsia" w:ascii="宋体" w:hAnsi="宋体" w:eastAsia="宋体" w:cs="Times New Roman"/>
          <w:b/>
          <w:color w:val="auto"/>
          <w:szCs w:val="21"/>
          <w:highlight w:val="none"/>
          <w:u w:val="single"/>
          <w:lang w:val="en-US" w:eastAsia="zh-CN"/>
        </w:rPr>
        <w:t>和东莞市利源有机资源再生有限公司</w:t>
      </w:r>
      <w:r>
        <w:rPr>
          <w:rFonts w:hint="eastAsia" w:ascii="宋体" w:hAnsi="宋体" w:eastAsia="宋体" w:cs="Times New Roman"/>
          <w:b/>
          <w:color w:val="auto"/>
          <w:szCs w:val="21"/>
          <w:highlight w:val="none"/>
          <w:u w:val="single"/>
          <w:lang w:val="zh-CN"/>
        </w:rPr>
        <w:t>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w:t>
      </w:r>
      <w:r>
        <w:rPr>
          <w:rFonts w:hint="eastAsia" w:ascii="宋体" w:hAnsi="宋体" w:eastAsia="宋体" w:cs="Times New Roman"/>
          <w:color w:val="auto"/>
          <w:szCs w:val="21"/>
          <w:highlight w:val="none"/>
          <w:lang w:val="en-US" w:eastAsia="zh-CN"/>
        </w:rPr>
        <w:t>表内表达上</w:t>
      </w:r>
      <w:r>
        <w:rPr>
          <w:rFonts w:hint="eastAsia" w:ascii="宋体" w:hAnsi="宋体" w:eastAsia="宋体" w:cs="Times New Roman"/>
          <w:color w:val="auto"/>
          <w:szCs w:val="21"/>
          <w:highlight w:val="none"/>
          <w:lang w:val="zh-CN"/>
        </w:rPr>
        <w:t>的错误进行修正，修正原则为：</w:t>
      </w:r>
    </w:p>
    <w:p>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当以数字表示的报价系数与以文字表示的报价系数不一致时，以文字表示的报价系数为准。经双方确认后，作为合同文件的组成部分。</w:t>
      </w:r>
    </w:p>
    <w:p>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449" w:name="_Toc142508352"/>
      <w:bookmarkStart w:id="450" w:name="_Toc450662887"/>
      <w:bookmarkStart w:id="451" w:name="_Toc486167701"/>
      <w:bookmarkStart w:id="452" w:name="_Toc10513_WPSOffice_Level3"/>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53" w:name="_Toc9244"/>
      <w:bookmarkStart w:id="454" w:name="_Toc17327"/>
      <w:bookmarkStart w:id="455" w:name="_Toc24297"/>
      <w:bookmarkStart w:id="456" w:name="_Toc8873"/>
      <w:bookmarkStart w:id="457" w:name="_Toc30953"/>
      <w:bookmarkStart w:id="458" w:name="_Toc23668"/>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449"/>
      <w:bookmarkEnd w:id="450"/>
      <w:bookmarkEnd w:id="451"/>
      <w:bookmarkEnd w:id="452"/>
      <w:bookmarkEnd w:id="453"/>
      <w:bookmarkEnd w:id="454"/>
      <w:bookmarkEnd w:id="455"/>
      <w:bookmarkEnd w:id="456"/>
      <w:bookmarkEnd w:id="457"/>
      <w:bookmarkEnd w:id="458"/>
    </w:p>
    <w:p>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459" w:name="_Toc466882025"/>
      <w:bookmarkStart w:id="460"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其中，采用履约保证金（银行转账形式）的金额为暂定合同价</w:t>
      </w:r>
      <w:r>
        <w:rPr>
          <w:rFonts w:hint="eastAsia" w:ascii="宋体" w:hAnsi="宋体" w:eastAsia="宋体" w:cs="Times New Roman"/>
          <w:b/>
          <w:bCs/>
          <w:color w:val="auto"/>
          <w:szCs w:val="21"/>
          <w:highlight w:val="none"/>
          <w:u w:val="single"/>
          <w:lang w:val="en-US" w:eastAsia="zh-CN"/>
        </w:rPr>
        <w:t>税合计</w:t>
      </w:r>
      <w:r>
        <w:rPr>
          <w:rFonts w:hint="eastAsia" w:ascii="宋体" w:hAnsi="宋体" w:eastAsia="宋体" w:cs="Times New Roman"/>
          <w:b/>
          <w:bCs/>
          <w:color w:val="auto"/>
          <w:szCs w:val="21"/>
          <w:highlight w:val="none"/>
          <w:u w:val="single"/>
          <w:lang w:val="zh-CN"/>
        </w:rPr>
        <w:t>的5%</w:t>
      </w:r>
      <w:r>
        <w:rPr>
          <w:rFonts w:hint="eastAsia" w:ascii="宋体" w:hAnsi="宋体" w:eastAsia="宋体" w:cs="Times New Roman"/>
          <w:b/>
          <w:bCs/>
          <w:color w:val="auto"/>
          <w:szCs w:val="21"/>
          <w:highlight w:val="none"/>
          <w:u w:val="single"/>
          <w:lang w:val="zh-CN" w:eastAsia="zh-CN"/>
        </w:rPr>
        <w:t>（向招标人和东莞市利源有机资源再生有限公司分别提交的金额为暂定合同价</w:t>
      </w:r>
      <w:r>
        <w:rPr>
          <w:rFonts w:hint="eastAsia" w:ascii="宋体" w:hAnsi="宋体" w:eastAsia="宋体" w:cs="Times New Roman"/>
          <w:b/>
          <w:bCs/>
          <w:color w:val="auto"/>
          <w:szCs w:val="21"/>
          <w:highlight w:val="none"/>
          <w:u w:val="single"/>
          <w:lang w:val="en-US" w:eastAsia="zh-CN"/>
        </w:rPr>
        <w:t>税合计</w:t>
      </w:r>
      <w:r>
        <w:rPr>
          <w:rFonts w:hint="eastAsia" w:ascii="宋体" w:hAnsi="宋体" w:eastAsia="宋体" w:cs="Times New Roman"/>
          <w:b/>
          <w:bCs/>
          <w:color w:val="auto"/>
          <w:szCs w:val="21"/>
          <w:highlight w:val="none"/>
          <w:u w:val="single"/>
          <w:lang w:val="zh-CN" w:eastAsia="zh-CN"/>
        </w:rPr>
        <w:t>的2.5%）</w:t>
      </w:r>
      <w:r>
        <w:rPr>
          <w:rFonts w:hint="eastAsia" w:ascii="宋体" w:hAnsi="宋体" w:eastAsia="宋体" w:cs="Times New Roman"/>
          <w:b/>
          <w:bCs/>
          <w:color w:val="auto"/>
          <w:szCs w:val="21"/>
          <w:highlight w:val="none"/>
          <w:u w:val="single"/>
          <w:lang w:val="zh-CN"/>
        </w:rPr>
        <w:t>，采用不可撤销银行履约保函形式的金额为暂定合同价</w:t>
      </w:r>
      <w:r>
        <w:rPr>
          <w:rFonts w:hint="eastAsia" w:ascii="宋体" w:hAnsi="宋体" w:eastAsia="宋体" w:cs="Times New Roman"/>
          <w:b/>
          <w:bCs/>
          <w:color w:val="auto"/>
          <w:szCs w:val="21"/>
          <w:highlight w:val="none"/>
          <w:u w:val="single"/>
          <w:lang w:val="en-US" w:eastAsia="zh-CN"/>
        </w:rPr>
        <w:t>税合计</w:t>
      </w:r>
      <w:r>
        <w:rPr>
          <w:rFonts w:hint="eastAsia" w:ascii="宋体" w:hAnsi="宋体" w:eastAsia="宋体" w:cs="Times New Roman"/>
          <w:b/>
          <w:bCs/>
          <w:color w:val="auto"/>
          <w:szCs w:val="21"/>
          <w:highlight w:val="none"/>
          <w:u w:val="single"/>
          <w:lang w:val="zh-CN"/>
        </w:rPr>
        <w:t>的8%</w:t>
      </w:r>
      <w:r>
        <w:rPr>
          <w:rFonts w:hint="eastAsia" w:ascii="宋体" w:hAnsi="宋体" w:eastAsia="宋体" w:cs="Times New Roman"/>
          <w:b/>
          <w:bCs/>
          <w:color w:val="auto"/>
          <w:szCs w:val="21"/>
          <w:highlight w:val="none"/>
          <w:u w:val="single"/>
          <w:lang w:val="zh-CN" w:eastAsia="zh-CN"/>
        </w:rPr>
        <w:t>（向招标人和东莞市利源有机资源再生有限公司分别提交的金额为</w:t>
      </w:r>
      <w:r>
        <w:rPr>
          <w:rFonts w:hint="eastAsia" w:ascii="宋体" w:hAnsi="宋体" w:eastAsia="宋体" w:cs="Times New Roman"/>
          <w:b/>
          <w:bCs/>
          <w:color w:val="auto"/>
          <w:szCs w:val="21"/>
          <w:highlight w:val="none"/>
          <w:u w:val="single"/>
          <w:lang w:val="zh-CN"/>
        </w:rPr>
        <w:t>暂定合同价</w:t>
      </w:r>
      <w:r>
        <w:rPr>
          <w:rFonts w:hint="eastAsia" w:ascii="宋体" w:hAnsi="宋体" w:eastAsia="宋体" w:cs="Times New Roman"/>
          <w:b/>
          <w:bCs/>
          <w:color w:val="auto"/>
          <w:szCs w:val="21"/>
          <w:highlight w:val="none"/>
          <w:u w:val="single"/>
          <w:lang w:val="en-US" w:eastAsia="zh-CN"/>
        </w:rPr>
        <w:t>税合计</w:t>
      </w:r>
      <w:r>
        <w:rPr>
          <w:rFonts w:hint="eastAsia" w:ascii="宋体" w:hAnsi="宋体" w:eastAsia="宋体" w:cs="Times New Roman"/>
          <w:b/>
          <w:bCs/>
          <w:color w:val="auto"/>
          <w:szCs w:val="21"/>
          <w:highlight w:val="none"/>
          <w:u w:val="single"/>
          <w:lang w:val="zh-CN" w:eastAsia="zh-CN"/>
        </w:rPr>
        <w:t>的4%）</w:t>
      </w:r>
      <w:r>
        <w:rPr>
          <w:rFonts w:hint="eastAsia" w:ascii="宋体" w:hAnsi="宋体" w:eastAsia="宋体" w:cs="Times New Roman"/>
          <w:b/>
          <w:bCs/>
          <w:color w:val="auto"/>
          <w:szCs w:val="21"/>
          <w:highlight w:val="none"/>
          <w:u w:val="single"/>
          <w:lang w:val="zh-CN"/>
        </w:rPr>
        <w:t>，采用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形式的金额为暂定合同价</w:t>
      </w:r>
      <w:r>
        <w:rPr>
          <w:rFonts w:hint="eastAsia" w:ascii="宋体" w:hAnsi="宋体" w:eastAsia="宋体" w:cs="Times New Roman"/>
          <w:b/>
          <w:bCs/>
          <w:color w:val="auto"/>
          <w:szCs w:val="21"/>
          <w:highlight w:val="none"/>
          <w:u w:val="single"/>
          <w:lang w:val="en-US" w:eastAsia="zh-CN"/>
        </w:rPr>
        <w:t>税合计</w:t>
      </w:r>
      <w:r>
        <w:rPr>
          <w:rFonts w:hint="eastAsia" w:ascii="宋体" w:hAnsi="宋体" w:eastAsia="宋体" w:cs="Times New Roman"/>
          <w:b/>
          <w:bCs/>
          <w:color w:val="auto"/>
          <w:szCs w:val="21"/>
          <w:highlight w:val="none"/>
          <w:u w:val="single"/>
          <w:lang w:val="zh-CN"/>
        </w:rPr>
        <w:t>的8%</w:t>
      </w:r>
      <w:r>
        <w:rPr>
          <w:rFonts w:hint="eastAsia" w:ascii="宋体" w:hAnsi="宋体" w:eastAsia="宋体" w:cs="Times New Roman"/>
          <w:b/>
          <w:bCs/>
          <w:color w:val="auto"/>
          <w:szCs w:val="21"/>
          <w:highlight w:val="none"/>
          <w:u w:val="single"/>
          <w:lang w:val="zh-CN" w:eastAsia="zh-CN"/>
        </w:rPr>
        <w:t>（向招标人和东莞市利源有机资源再生有限公司分别提交的金额为</w:t>
      </w:r>
      <w:r>
        <w:rPr>
          <w:rFonts w:hint="eastAsia" w:ascii="宋体" w:hAnsi="宋体" w:eastAsia="宋体" w:cs="Times New Roman"/>
          <w:b/>
          <w:bCs/>
          <w:color w:val="auto"/>
          <w:szCs w:val="21"/>
          <w:highlight w:val="none"/>
          <w:u w:val="single"/>
          <w:lang w:val="zh-CN"/>
        </w:rPr>
        <w:t>暂定合同价</w:t>
      </w:r>
      <w:r>
        <w:rPr>
          <w:rFonts w:hint="eastAsia" w:ascii="宋体" w:hAnsi="宋体" w:eastAsia="宋体" w:cs="Times New Roman"/>
          <w:b/>
          <w:bCs/>
          <w:color w:val="auto"/>
          <w:szCs w:val="21"/>
          <w:highlight w:val="none"/>
          <w:u w:val="single"/>
          <w:lang w:val="en-US" w:eastAsia="zh-CN"/>
        </w:rPr>
        <w:t>税合计</w:t>
      </w:r>
      <w:r>
        <w:rPr>
          <w:rFonts w:hint="eastAsia" w:ascii="宋体" w:hAnsi="宋体" w:eastAsia="宋体" w:cs="Times New Roman"/>
          <w:b/>
          <w:bCs/>
          <w:color w:val="auto"/>
          <w:szCs w:val="21"/>
          <w:highlight w:val="none"/>
          <w:u w:val="single"/>
          <w:lang w:val="zh-CN" w:eastAsia="zh-CN"/>
        </w:rPr>
        <w:t>的4%）</w:t>
      </w:r>
      <w:r>
        <w:rPr>
          <w:rFonts w:hint="eastAsia" w:ascii="宋体" w:hAnsi="宋体" w:eastAsia="宋体" w:cs="Times New Roman"/>
          <w:b/>
          <w:bCs/>
          <w:color w:val="auto"/>
          <w:szCs w:val="21"/>
          <w:highlight w:val="none"/>
          <w:u w:val="single"/>
          <w:lang w:val="zh-CN"/>
        </w:rPr>
        <w:t>，采用担保公司履约担保书形式的金额为暂定合同价</w:t>
      </w:r>
      <w:r>
        <w:rPr>
          <w:rFonts w:hint="eastAsia" w:ascii="宋体" w:hAnsi="宋体" w:eastAsia="宋体" w:cs="Times New Roman"/>
          <w:b/>
          <w:bCs/>
          <w:color w:val="auto"/>
          <w:szCs w:val="21"/>
          <w:highlight w:val="none"/>
          <w:u w:val="single"/>
          <w:lang w:val="en-US" w:eastAsia="zh-CN"/>
        </w:rPr>
        <w:t>税合计</w:t>
      </w:r>
      <w:r>
        <w:rPr>
          <w:rFonts w:hint="eastAsia" w:ascii="宋体" w:hAnsi="宋体" w:eastAsia="宋体" w:cs="Times New Roman"/>
          <w:b/>
          <w:bCs/>
          <w:color w:val="auto"/>
          <w:szCs w:val="21"/>
          <w:highlight w:val="none"/>
          <w:u w:val="single"/>
          <w:lang w:val="zh-CN"/>
        </w:rPr>
        <w:t>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Times New Roman"/>
          <w:b/>
          <w:bCs/>
          <w:color w:val="auto"/>
          <w:szCs w:val="21"/>
          <w:highlight w:val="none"/>
          <w:u w:val="single"/>
          <w:lang w:val="zh-CN" w:eastAsia="zh-CN"/>
        </w:rPr>
        <w:t>（向招标人和东莞市利源有机资源再生有限公司分别提交的金额为</w:t>
      </w:r>
      <w:r>
        <w:rPr>
          <w:rFonts w:hint="eastAsia" w:ascii="宋体" w:hAnsi="宋体" w:eastAsia="宋体" w:cs="Times New Roman"/>
          <w:b/>
          <w:bCs/>
          <w:color w:val="auto"/>
          <w:szCs w:val="21"/>
          <w:highlight w:val="none"/>
          <w:u w:val="single"/>
          <w:lang w:val="zh-CN"/>
        </w:rPr>
        <w:t>暂定合同价</w:t>
      </w:r>
      <w:r>
        <w:rPr>
          <w:rFonts w:hint="eastAsia" w:ascii="宋体" w:hAnsi="宋体" w:eastAsia="宋体" w:cs="Times New Roman"/>
          <w:b/>
          <w:bCs/>
          <w:color w:val="auto"/>
          <w:szCs w:val="21"/>
          <w:highlight w:val="none"/>
          <w:u w:val="single"/>
          <w:lang w:val="en-US" w:eastAsia="zh-CN"/>
        </w:rPr>
        <w:t>税合计</w:t>
      </w:r>
      <w:r>
        <w:rPr>
          <w:rFonts w:hint="eastAsia" w:ascii="宋体" w:hAnsi="宋体" w:eastAsia="宋体" w:cs="Times New Roman"/>
          <w:b/>
          <w:bCs/>
          <w:color w:val="auto"/>
          <w:szCs w:val="21"/>
          <w:highlight w:val="none"/>
          <w:u w:val="single"/>
          <w:lang w:val="zh-CN" w:eastAsia="zh-CN"/>
        </w:rPr>
        <w:t>的5%）</w:t>
      </w:r>
      <w:r>
        <w:rPr>
          <w:rFonts w:hint="eastAsia" w:ascii="宋体" w:hAnsi="宋体" w:eastAsia="宋体" w:cs="Times New Roman"/>
          <w:b/>
          <w:bCs/>
          <w:color w:val="auto"/>
          <w:szCs w:val="21"/>
          <w:highlight w:val="none"/>
          <w:u w:val="non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w:t>
      </w:r>
      <w:r>
        <w:rPr>
          <w:rFonts w:hint="eastAsia" w:ascii="宋体" w:hAnsi="宋体" w:eastAsia="宋体" w:cs="Times New Roman"/>
          <w:color w:val="auto"/>
          <w:kern w:val="0"/>
          <w:szCs w:val="21"/>
          <w:highlight w:val="none"/>
          <w:lang w:val="en-US" w:eastAsia="zh-CN"/>
        </w:rPr>
        <w:t>分包</w:t>
      </w:r>
      <w:r>
        <w:rPr>
          <w:rFonts w:hint="eastAsia" w:ascii="宋体" w:hAnsi="宋体" w:eastAsia="宋体" w:cs="Times New Roman"/>
          <w:color w:val="auto"/>
          <w:kern w:val="0"/>
          <w:szCs w:val="21"/>
          <w:highlight w:val="none"/>
        </w:rPr>
        <w:t>给第三方的，招标人有权没收其履约担保。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pPr>
        <w:tabs>
          <w:tab w:val="left" w:pos="360"/>
          <w:tab w:val="left" w:pos="4725"/>
        </w:tabs>
        <w:autoSpaceDE w:val="0"/>
        <w:autoSpaceDN w:val="0"/>
        <w:adjustRightInd w:val="0"/>
        <w:spacing w:line="360" w:lineRule="auto"/>
        <w:ind w:left="357" w:leftChars="-10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pPr>
        <w:tabs>
          <w:tab w:val="left" w:pos="360"/>
          <w:tab w:val="left" w:pos="4725"/>
        </w:tabs>
        <w:autoSpaceDE w:val="0"/>
        <w:autoSpaceDN w:val="0"/>
        <w:adjustRightInd w:val="0"/>
        <w:spacing w:line="360" w:lineRule="auto"/>
        <w:ind w:left="357" w:leftChars="-10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pPr>
        <w:tabs>
          <w:tab w:val="left" w:pos="360"/>
          <w:tab w:val="left" w:pos="4725"/>
        </w:tabs>
        <w:autoSpaceDE w:val="0"/>
        <w:autoSpaceDN w:val="0"/>
        <w:adjustRightInd w:val="0"/>
        <w:spacing w:line="360" w:lineRule="auto"/>
        <w:ind w:left="357" w:leftChars="-10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pPr>
        <w:tabs>
          <w:tab w:val="left" w:pos="360"/>
          <w:tab w:val="left" w:pos="4725"/>
        </w:tabs>
        <w:autoSpaceDE w:val="0"/>
        <w:autoSpaceDN w:val="0"/>
        <w:adjustRightInd w:val="0"/>
        <w:spacing w:line="360" w:lineRule="auto"/>
        <w:ind w:left="315" w:leftChars="-100" w:hanging="525" w:hangingChars="25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w:t>
      </w:r>
      <w:r>
        <w:rPr>
          <w:rFonts w:hint="eastAsia" w:ascii="宋体" w:hAnsi="宋体" w:eastAsia="宋体" w:cs="Times New Roman"/>
          <w:color w:val="auto"/>
          <w:kern w:val="0"/>
          <w:szCs w:val="21"/>
          <w:highlight w:val="none"/>
          <w:lang w:val="en-US" w:eastAsia="zh-CN"/>
        </w:rPr>
        <w:t>自</w:t>
      </w:r>
      <w:r>
        <w:rPr>
          <w:rFonts w:hint="eastAsia" w:ascii="宋体" w:hAnsi="宋体" w:eastAsia="宋体" w:cs="Times New Roman"/>
          <w:color w:val="auto"/>
          <w:kern w:val="0"/>
          <w:szCs w:val="21"/>
          <w:highlight w:val="none"/>
        </w:rPr>
        <w:t>合同签订之日起至</w:t>
      </w:r>
      <w:r>
        <w:rPr>
          <w:rFonts w:hint="eastAsia" w:ascii="宋体" w:hAnsi="宋体" w:eastAsia="宋体" w:cs="Times New Roman"/>
          <w:color w:val="auto"/>
          <w:kern w:val="0"/>
          <w:szCs w:val="21"/>
          <w:highlight w:val="none"/>
          <w:lang w:val="en-US" w:eastAsia="zh-CN"/>
        </w:rPr>
        <w:t>合同期限届满并全部货物经验收合格后</w:t>
      </w:r>
      <w:r>
        <w:rPr>
          <w:rFonts w:hint="eastAsia" w:ascii="宋体" w:hAnsi="宋体" w:eastAsia="宋体" w:cs="Times New Roman"/>
          <w:color w:val="auto"/>
          <w:kern w:val="0"/>
          <w:szCs w:val="21"/>
          <w:highlight w:val="none"/>
        </w:rPr>
        <w:t>二十八（28）日内保持有效</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15" w:leftChars="-100" w:hanging="525" w:hangingChars="250"/>
        <w:jc w:val="left"/>
        <w:outlineLvl w:val="9"/>
        <w:rPr>
          <w:rFonts w:ascii="宋体" w:hAnsi="宋体" w:eastAsia="宋体" w:cs="宋体"/>
          <w:color w:val="auto"/>
          <w:kern w:val="0"/>
          <w:szCs w:val="21"/>
        </w:rPr>
      </w:pPr>
      <w:r>
        <w:rPr>
          <w:rFonts w:hint="eastAsia" w:ascii="宋体" w:hAnsi="宋体" w:eastAsia="宋体" w:cs="宋体"/>
          <w:color w:val="auto"/>
          <w:kern w:val="0"/>
          <w:szCs w:val="21"/>
        </w:rPr>
        <w:t>35.4  履约保证金应用本合同货币。</w:t>
      </w:r>
    </w:p>
    <w:p>
      <w:pPr>
        <w:tabs>
          <w:tab w:val="left" w:pos="360"/>
          <w:tab w:val="left" w:pos="4725"/>
        </w:tabs>
        <w:autoSpaceDE w:val="0"/>
        <w:autoSpaceDN w:val="0"/>
        <w:adjustRightInd w:val="0"/>
        <w:spacing w:line="360" w:lineRule="auto"/>
        <w:ind w:left="315" w:leftChars="-100" w:hanging="525" w:hangingChars="25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firstLine="632" w:firstLineChars="300"/>
        <w:jc w:val="left"/>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招标人</w:t>
      </w:r>
      <w:r>
        <w:rPr>
          <w:rFonts w:hint="eastAsia" w:ascii="宋体" w:hAnsi="宋体" w:eastAsia="宋体" w:cs="宋体"/>
          <w:b/>
          <w:color w:val="auto"/>
          <w:kern w:val="0"/>
          <w:szCs w:val="21"/>
          <w:highlight w:val="none"/>
        </w:rPr>
        <w:t>履约保证金账户：</w:t>
      </w:r>
    </w:p>
    <w:p>
      <w:pPr>
        <w:autoSpaceDE w:val="0"/>
        <w:autoSpaceDN w:val="0"/>
        <w:adjustRightInd w:val="0"/>
        <w:snapToGrid w:val="0"/>
        <w:spacing w:line="360" w:lineRule="auto"/>
        <w:ind w:firstLine="632" w:firstLineChars="300"/>
        <w:jc w:val="left"/>
        <w:outlineLvl w:val="9"/>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开户名称：东莞市众源环境投资有限公司</w:t>
      </w:r>
    </w:p>
    <w:p>
      <w:pPr>
        <w:autoSpaceDE w:val="0"/>
        <w:autoSpaceDN w:val="0"/>
        <w:adjustRightInd w:val="0"/>
        <w:snapToGrid w:val="0"/>
        <w:spacing w:line="360" w:lineRule="auto"/>
        <w:ind w:firstLine="632" w:firstLineChars="300"/>
        <w:jc w:val="left"/>
        <w:outlineLvl w:val="9"/>
        <w:rPr>
          <w:rFonts w:hint="default"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rPr>
        <w:t>银行账号：</w:t>
      </w:r>
      <w:r>
        <w:rPr>
          <w:rFonts w:hint="eastAsia" w:ascii="宋体" w:hAnsi="宋体" w:eastAsia="宋体" w:cs="Times New Roman"/>
          <w:b/>
          <w:color w:val="auto"/>
          <w:kern w:val="0"/>
          <w:szCs w:val="21"/>
          <w:highlight w:val="none"/>
          <w:lang w:val="en-US" w:eastAsia="zh-CN"/>
        </w:rPr>
        <w:t>769908269610828</w:t>
      </w:r>
    </w:p>
    <w:p>
      <w:pPr>
        <w:autoSpaceDE w:val="0"/>
        <w:autoSpaceDN w:val="0"/>
        <w:adjustRightInd w:val="0"/>
        <w:snapToGrid w:val="0"/>
        <w:spacing w:line="360" w:lineRule="auto"/>
        <w:ind w:firstLine="632" w:firstLineChars="300"/>
        <w:jc w:val="left"/>
        <w:outlineLvl w:val="9"/>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w:t>
      </w:r>
      <w:r>
        <w:rPr>
          <w:rFonts w:hint="eastAsia" w:ascii="宋体" w:hAnsi="宋体" w:eastAsia="宋体" w:cs="Times New Roman"/>
          <w:b/>
          <w:color w:val="auto"/>
          <w:kern w:val="0"/>
          <w:szCs w:val="21"/>
          <w:highlight w:val="none"/>
          <w:lang w:val="en-US" w:eastAsia="zh-CN"/>
        </w:rPr>
        <w:t>招商</w:t>
      </w:r>
      <w:r>
        <w:rPr>
          <w:rFonts w:hint="eastAsia" w:ascii="宋体" w:hAnsi="宋体" w:eastAsia="宋体" w:cs="Times New Roman"/>
          <w:b/>
          <w:color w:val="auto"/>
          <w:kern w:val="0"/>
          <w:szCs w:val="21"/>
          <w:highlight w:val="none"/>
        </w:rPr>
        <w:t>银行</w:t>
      </w:r>
      <w:r>
        <w:rPr>
          <w:rFonts w:hint="eastAsia" w:ascii="宋体" w:hAnsi="宋体" w:eastAsia="宋体" w:cs="Times New Roman"/>
          <w:b/>
          <w:color w:val="auto"/>
          <w:kern w:val="0"/>
          <w:szCs w:val="21"/>
          <w:highlight w:val="none"/>
          <w:lang w:val="en-US" w:eastAsia="zh-CN"/>
        </w:rPr>
        <w:t>股份有限公司</w:t>
      </w:r>
      <w:r>
        <w:rPr>
          <w:rFonts w:hint="eastAsia" w:ascii="宋体" w:hAnsi="宋体" w:eastAsia="宋体" w:cs="Times New Roman"/>
          <w:b/>
          <w:color w:val="auto"/>
          <w:kern w:val="0"/>
          <w:szCs w:val="21"/>
          <w:highlight w:val="none"/>
        </w:rPr>
        <w:t>东莞分行</w:t>
      </w:r>
    </w:p>
    <w:p>
      <w:pPr>
        <w:autoSpaceDE w:val="0"/>
        <w:autoSpaceDN w:val="0"/>
        <w:adjustRightInd w:val="0"/>
        <w:snapToGrid w:val="0"/>
        <w:spacing w:line="360" w:lineRule="auto"/>
        <w:ind w:firstLine="632" w:firstLineChars="300"/>
        <w:jc w:val="left"/>
        <w:outlineLvl w:val="9"/>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val="en-US" w:eastAsia="zh-CN"/>
        </w:rPr>
        <w:t>东莞市利源有机资源再生有限公司</w:t>
      </w:r>
      <w:r>
        <w:rPr>
          <w:rFonts w:hint="eastAsia" w:ascii="宋体" w:hAnsi="宋体" w:eastAsia="宋体" w:cs="Times New Roman"/>
          <w:b/>
          <w:color w:val="auto"/>
          <w:kern w:val="0"/>
          <w:szCs w:val="21"/>
          <w:highlight w:val="none"/>
        </w:rPr>
        <w:t>履约保证金账户：（特别提醒，本账户非投标保证金账户）</w:t>
      </w:r>
    </w:p>
    <w:p>
      <w:pPr>
        <w:autoSpaceDE w:val="0"/>
        <w:autoSpaceDN w:val="0"/>
        <w:adjustRightInd w:val="0"/>
        <w:snapToGrid w:val="0"/>
        <w:spacing w:line="360" w:lineRule="auto"/>
        <w:ind w:firstLine="632" w:firstLineChars="300"/>
        <w:jc w:val="left"/>
        <w:outlineLvl w:val="9"/>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w:t>
      </w:r>
      <w:r>
        <w:rPr>
          <w:rFonts w:hint="eastAsia" w:ascii="宋体" w:hAnsi="宋体" w:eastAsia="宋体" w:cs="Times New Roman"/>
          <w:b/>
          <w:color w:val="auto"/>
          <w:kern w:val="0"/>
          <w:szCs w:val="21"/>
          <w:highlight w:val="none"/>
          <w:lang w:val="en-US" w:eastAsia="zh-CN"/>
        </w:rPr>
        <w:t>利源有机资源再生利用</w:t>
      </w:r>
      <w:r>
        <w:rPr>
          <w:rFonts w:hint="eastAsia" w:ascii="宋体" w:hAnsi="宋体" w:eastAsia="宋体" w:cs="Times New Roman"/>
          <w:b/>
          <w:color w:val="auto"/>
          <w:kern w:val="0"/>
          <w:szCs w:val="21"/>
          <w:highlight w:val="none"/>
        </w:rPr>
        <w:t>有限公司</w:t>
      </w:r>
    </w:p>
    <w:p>
      <w:pPr>
        <w:autoSpaceDE w:val="0"/>
        <w:autoSpaceDN w:val="0"/>
        <w:adjustRightInd w:val="0"/>
        <w:snapToGrid w:val="0"/>
        <w:spacing w:line="360" w:lineRule="auto"/>
        <w:ind w:firstLine="632" w:firstLineChars="300"/>
        <w:jc w:val="left"/>
        <w:outlineLvl w:val="9"/>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w:t>
      </w:r>
      <w:r>
        <w:rPr>
          <w:rFonts w:hint="eastAsia" w:ascii="宋体" w:hAnsi="宋体" w:eastAsia="宋体" w:cs="Times New Roman"/>
          <w:b/>
          <w:color w:val="auto"/>
          <w:kern w:val="0"/>
          <w:szCs w:val="21"/>
          <w:highlight w:val="none"/>
          <w:lang w:val="en-US" w:eastAsia="zh-CN"/>
        </w:rPr>
        <w:t>中国工商银行股份有限公司</w:t>
      </w:r>
      <w:r>
        <w:rPr>
          <w:rFonts w:hint="eastAsia" w:ascii="宋体" w:hAnsi="宋体" w:eastAsia="宋体" w:cs="Times New Roman"/>
          <w:b/>
          <w:color w:val="auto"/>
          <w:kern w:val="0"/>
          <w:szCs w:val="21"/>
          <w:highlight w:val="none"/>
        </w:rPr>
        <w:t>东莞分行</w:t>
      </w:r>
    </w:p>
    <w:p>
      <w:pPr>
        <w:autoSpaceDE w:val="0"/>
        <w:autoSpaceDN w:val="0"/>
        <w:adjustRightInd w:val="0"/>
        <w:snapToGrid w:val="0"/>
        <w:spacing w:line="360" w:lineRule="auto"/>
        <w:ind w:firstLine="632" w:firstLineChars="300"/>
        <w:jc w:val="left"/>
        <w:outlineLvl w:val="9"/>
        <w:rPr>
          <w:rFonts w:hint="default"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rPr>
        <w:t>银行账号：</w:t>
      </w:r>
      <w:r>
        <w:rPr>
          <w:rFonts w:hint="eastAsia" w:ascii="宋体" w:hAnsi="宋体" w:eastAsia="宋体" w:cs="Times New Roman"/>
          <w:b/>
          <w:color w:val="auto"/>
          <w:kern w:val="0"/>
          <w:szCs w:val="21"/>
          <w:highlight w:val="none"/>
          <w:lang w:val="en-US" w:eastAsia="zh-CN"/>
        </w:rPr>
        <w:t>2010021309200578870</w:t>
      </w:r>
    </w:p>
    <w:p>
      <w:pPr>
        <w:autoSpaceDE w:val="0"/>
        <w:autoSpaceDN w:val="0"/>
        <w:adjustRightInd w:val="0"/>
        <w:spacing w:line="360" w:lineRule="auto"/>
        <w:ind w:left="420" w:leftChars="-100" w:hanging="630" w:hangingChars="3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outlineLvl w:val="9"/>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w:t>
      </w:r>
      <w:r>
        <w:rPr>
          <w:rFonts w:hint="eastAsia" w:ascii="宋体" w:hAnsi="宋体" w:eastAsia="宋体" w:cs="宋体"/>
          <w:color w:val="auto"/>
          <w:kern w:val="0"/>
          <w:szCs w:val="21"/>
          <w:highlight w:val="none"/>
          <w:lang w:val="en-US" w:eastAsia="zh-CN"/>
        </w:rPr>
        <w:t>在合同期限届满并全部</w:t>
      </w:r>
      <w:r>
        <w:rPr>
          <w:rFonts w:hint="eastAsia" w:ascii="宋体" w:hAnsi="宋体" w:eastAsia="宋体" w:cs="Times New Roman"/>
          <w:color w:val="auto"/>
          <w:kern w:val="0"/>
          <w:szCs w:val="21"/>
          <w:highlight w:val="none"/>
          <w:lang w:val="en-US" w:eastAsia="zh-CN"/>
        </w:rPr>
        <w:t>货物经最终经验收合格后</w:t>
      </w:r>
      <w:r>
        <w:rPr>
          <w:rFonts w:hint="eastAsia" w:ascii="宋体" w:hAnsi="宋体" w:eastAsia="宋体" w:cs="Times New Roman"/>
          <w:color w:val="auto"/>
          <w:kern w:val="0"/>
          <w:szCs w:val="21"/>
          <w:highlight w:val="none"/>
        </w:rPr>
        <w:t>二十八（28）日</w:t>
      </w:r>
      <w:r>
        <w:rPr>
          <w:rFonts w:hint="eastAsia" w:ascii="宋体" w:hAnsi="宋体" w:eastAsia="宋体" w:cs="Times New Roman"/>
          <w:color w:val="auto"/>
          <w:kern w:val="0"/>
          <w:szCs w:val="21"/>
          <w:highlight w:val="none"/>
          <w:lang w:val="en-US" w:eastAsia="zh-CN"/>
        </w:rPr>
        <w:t>后</w:t>
      </w:r>
      <w:r>
        <w:rPr>
          <w:rFonts w:hint="eastAsia" w:ascii="宋体" w:hAnsi="宋体" w:eastAsia="宋体" w:cs="宋体"/>
          <w:color w:val="auto"/>
          <w:kern w:val="0"/>
          <w:szCs w:val="21"/>
          <w:highlight w:val="none"/>
        </w:rPr>
        <w:t>，经招标人</w:t>
      </w:r>
      <w:r>
        <w:rPr>
          <w:rFonts w:hint="eastAsia" w:ascii="宋体" w:hAnsi="宋体" w:eastAsia="宋体" w:cs="宋体"/>
          <w:color w:val="auto"/>
          <w:kern w:val="0"/>
          <w:szCs w:val="21"/>
          <w:highlight w:val="none"/>
          <w:lang w:val="en-US" w:eastAsia="zh-CN"/>
        </w:rPr>
        <w:t>或</w:t>
      </w:r>
      <w:r>
        <w:rPr>
          <w:rFonts w:hint="eastAsia" w:ascii="宋体" w:hAnsi="宋体" w:eastAsia="宋体" w:cs="Times New Roman"/>
          <w:color w:val="auto"/>
          <w:kern w:val="0"/>
          <w:szCs w:val="21"/>
          <w:highlight w:val="none"/>
          <w:lang w:val="en-US" w:eastAsia="zh-CN"/>
        </w:rPr>
        <w:t>东莞市利源有机资源再生有限公司</w:t>
      </w:r>
      <w:r>
        <w:rPr>
          <w:rFonts w:hint="eastAsia" w:ascii="宋体" w:hAnsi="宋体" w:eastAsia="宋体" w:cs="宋体"/>
          <w:color w:val="auto"/>
          <w:kern w:val="0"/>
          <w:szCs w:val="21"/>
          <w:highlight w:val="none"/>
        </w:rPr>
        <w:t>确认，中标人可向招标人</w:t>
      </w:r>
      <w:r>
        <w:rPr>
          <w:rFonts w:hint="eastAsia" w:ascii="宋体" w:hAnsi="宋体" w:eastAsia="宋体" w:cs="宋体"/>
          <w:color w:val="auto"/>
          <w:kern w:val="0"/>
          <w:szCs w:val="21"/>
          <w:highlight w:val="none"/>
          <w:lang w:val="en-US" w:eastAsia="zh-CN"/>
        </w:rPr>
        <w:t>或</w:t>
      </w:r>
      <w:r>
        <w:rPr>
          <w:rFonts w:hint="eastAsia" w:ascii="宋体" w:hAnsi="宋体" w:eastAsia="宋体" w:cs="Times New Roman"/>
          <w:color w:val="auto"/>
          <w:kern w:val="0"/>
          <w:szCs w:val="21"/>
          <w:highlight w:val="none"/>
          <w:lang w:val="en-US" w:eastAsia="zh-CN"/>
        </w:rPr>
        <w:t>东莞市利源有机资源再生有限公司</w:t>
      </w:r>
      <w:r>
        <w:rPr>
          <w:rFonts w:hint="eastAsia" w:ascii="宋体" w:hAnsi="宋体" w:eastAsia="宋体" w:cs="宋体"/>
          <w:color w:val="auto"/>
          <w:kern w:val="0"/>
          <w:szCs w:val="21"/>
          <w:highlight w:val="none"/>
        </w:rPr>
        <w:t>提交退回履约担保的申请。招标人</w:t>
      </w:r>
      <w:r>
        <w:rPr>
          <w:rFonts w:hint="eastAsia" w:ascii="宋体" w:hAnsi="宋体" w:eastAsia="宋体" w:cs="宋体"/>
          <w:color w:val="auto"/>
          <w:kern w:val="0"/>
          <w:szCs w:val="21"/>
          <w:highlight w:val="none"/>
          <w:lang w:val="en-US" w:eastAsia="zh-CN"/>
        </w:rPr>
        <w:t>或</w:t>
      </w:r>
      <w:r>
        <w:rPr>
          <w:rFonts w:hint="eastAsia" w:ascii="宋体" w:hAnsi="宋体" w:eastAsia="宋体" w:cs="Times New Roman"/>
          <w:color w:val="auto"/>
          <w:kern w:val="0"/>
          <w:szCs w:val="21"/>
          <w:highlight w:val="none"/>
          <w:lang w:val="en-US" w:eastAsia="zh-CN"/>
        </w:rPr>
        <w:t>东莞市利源有机资源再生有限公司</w:t>
      </w:r>
      <w:r>
        <w:rPr>
          <w:rFonts w:hint="eastAsia" w:ascii="宋体" w:hAnsi="宋体" w:eastAsia="宋体" w:cs="宋体"/>
          <w:color w:val="auto"/>
          <w:kern w:val="0"/>
          <w:szCs w:val="21"/>
          <w:highlight w:val="none"/>
        </w:rPr>
        <w:t>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61" w:name="_Toc13033"/>
      <w:bookmarkStart w:id="462" w:name="_Toc486167702"/>
      <w:bookmarkStart w:id="463" w:name="_Toc11511"/>
      <w:bookmarkStart w:id="464" w:name="_Toc6874"/>
      <w:bookmarkStart w:id="465" w:name="_Toc21389"/>
      <w:bookmarkStart w:id="466" w:name="_Toc142508353"/>
      <w:bookmarkStart w:id="467" w:name="_Toc4965"/>
      <w:bookmarkStart w:id="468" w:name="_Toc9369"/>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459"/>
      <w:bookmarkEnd w:id="460"/>
      <w:bookmarkEnd w:id="461"/>
      <w:bookmarkEnd w:id="462"/>
      <w:bookmarkEnd w:id="463"/>
      <w:bookmarkEnd w:id="464"/>
      <w:bookmarkEnd w:id="465"/>
      <w:bookmarkEnd w:id="466"/>
      <w:bookmarkEnd w:id="467"/>
      <w:bookmarkEnd w:id="468"/>
    </w:p>
    <w:p>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东莞市利源有机资源再生有限公司</w:t>
      </w:r>
      <w:r>
        <w:rPr>
          <w:rFonts w:hint="eastAsia" w:ascii="宋体" w:hAnsi="宋体" w:eastAsia="宋体" w:cs="宋体"/>
          <w:color w:val="auto"/>
          <w:kern w:val="0"/>
          <w:szCs w:val="21"/>
          <w:highlight w:val="none"/>
        </w:rPr>
        <w:t>在合同约定的范围内，招标人</w:t>
      </w:r>
      <w:r>
        <w:rPr>
          <w:rFonts w:hint="eastAsia" w:ascii="宋体" w:hAnsi="宋体" w:eastAsia="宋体" w:cs="宋体"/>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东莞市利源有机资源再生有限公司</w:t>
      </w:r>
      <w:r>
        <w:rPr>
          <w:rFonts w:hint="eastAsia" w:ascii="宋体" w:hAnsi="宋体" w:eastAsia="宋体" w:cs="宋体"/>
          <w:color w:val="auto"/>
          <w:kern w:val="0"/>
          <w:szCs w:val="21"/>
          <w:highlight w:val="none"/>
        </w:rPr>
        <w:t>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69" w:name="_Toc450662888"/>
    </w:p>
    <w:p>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70" w:name="_Toc11706"/>
      <w:bookmarkStart w:id="471" w:name="_Toc29893"/>
      <w:bookmarkStart w:id="472" w:name="_Toc28921_WPSOffice_Level3"/>
      <w:bookmarkStart w:id="473" w:name="_Toc14372"/>
      <w:bookmarkStart w:id="474" w:name="_Toc9069"/>
      <w:bookmarkStart w:id="475" w:name="_Toc763"/>
      <w:bookmarkStart w:id="476" w:name="_Toc11444"/>
      <w:bookmarkStart w:id="477" w:name="_Toc486167703"/>
      <w:bookmarkStart w:id="478" w:name="_Toc142508354"/>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469"/>
      <w:bookmarkEnd w:id="470"/>
      <w:bookmarkEnd w:id="471"/>
      <w:bookmarkEnd w:id="472"/>
      <w:bookmarkEnd w:id="473"/>
      <w:bookmarkEnd w:id="474"/>
      <w:bookmarkEnd w:id="475"/>
      <w:bookmarkEnd w:id="476"/>
      <w:bookmarkEnd w:id="477"/>
      <w:bookmarkEnd w:id="478"/>
    </w:p>
    <w:p>
      <w:pPr>
        <w:tabs>
          <w:tab w:val="left" w:pos="465"/>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2"/>
          <w:sz w:val="21"/>
          <w:szCs w:val="21"/>
          <w:u w:val="single"/>
          <w:lang w:val="zh-CN"/>
        </w:rPr>
      </w:pPr>
      <w:bookmarkStart w:id="479" w:name="_Toc19677"/>
      <w:r>
        <w:rPr>
          <w:rFonts w:hint="eastAsia" w:ascii="宋体" w:hAnsi="宋体" w:eastAsia="宋体" w:cs="宋体"/>
          <w:color w:val="auto"/>
          <w:szCs w:val="21"/>
          <w:highlight w:val="none"/>
          <w:lang w:val="zh-CN"/>
        </w:rPr>
        <w:t xml:space="preserve">37.1 </w:t>
      </w:r>
      <w:r>
        <w:rPr>
          <w:rFonts w:hint="eastAsia" w:ascii="宋体" w:hAnsi="宋体" w:eastAsia="宋体" w:cs="宋体"/>
          <w:b/>
          <w:bCs/>
          <w:color w:val="auto"/>
          <w:kern w:val="2"/>
          <w:sz w:val="21"/>
          <w:szCs w:val="21"/>
          <w:u w:val="single"/>
          <w:lang w:val="zh-CN"/>
        </w:rPr>
        <w:t>中标人应按37.2款规定在领取《中标通知书》原件之前向招标代理机构一次性交纳中标服务费（参照国家计委《关于印发〈招标代理服务收费管理暂行办法〉的通知》（计价格〔2002〕1980号）及《国家发展改革委关于降低部分建设项目收费标准规范收费行为等有关问题的通知》（发改价格〔2011〕534号）等规定的费用计算方法和标准货物类的80%计算，以中标折扣系数计算得出的暂定</w:t>
      </w:r>
      <w:r>
        <w:rPr>
          <w:rFonts w:hint="eastAsia" w:ascii="宋体" w:hAnsi="宋体" w:eastAsia="宋体" w:cs="宋体"/>
          <w:b/>
          <w:bCs/>
          <w:color w:val="auto"/>
          <w:kern w:val="2"/>
          <w:sz w:val="21"/>
          <w:szCs w:val="21"/>
          <w:u w:val="single"/>
          <w:lang w:val="en-US" w:eastAsia="zh-CN"/>
        </w:rPr>
        <w:t>合同</w:t>
      </w:r>
      <w:r>
        <w:rPr>
          <w:rFonts w:hint="eastAsia" w:ascii="宋体" w:hAnsi="宋体" w:eastAsia="宋体" w:cs="宋体"/>
          <w:b/>
          <w:bCs/>
          <w:color w:val="auto"/>
          <w:kern w:val="2"/>
          <w:sz w:val="21"/>
          <w:szCs w:val="21"/>
          <w:u w:val="single"/>
          <w:lang w:val="zh-CN"/>
        </w:rPr>
        <w:t>价金额作为中标服务费的计算基数)。</w:t>
      </w:r>
      <w:bookmarkEnd w:id="479"/>
    </w:p>
    <w:p>
      <w:pPr>
        <w:tabs>
          <w:tab w:val="left" w:pos="465"/>
        </w:tabs>
        <w:autoSpaceDE w:val="0"/>
        <w:autoSpaceDN w:val="0"/>
        <w:adjustRightInd w:val="0"/>
        <w:spacing w:line="360" w:lineRule="auto"/>
        <w:ind w:left="357" w:leftChars="-100" w:hanging="567"/>
        <w:jc w:val="left"/>
        <w:outlineLvl w:val="9"/>
        <w:rPr>
          <w:rFonts w:hint="eastAsia" w:ascii="宋体" w:hAnsi="宋体" w:eastAsia="宋体" w:cs="宋体"/>
          <w:b w:val="0"/>
          <w:bCs/>
          <w:color w:val="auto"/>
          <w:kern w:val="2"/>
          <w:szCs w:val="21"/>
          <w:lang w:val="zh-CN"/>
        </w:rPr>
      </w:pPr>
      <w:bookmarkStart w:id="480" w:name="_Toc10856"/>
      <w:r>
        <w:rPr>
          <w:rFonts w:hint="eastAsia" w:ascii="宋体" w:hAnsi="宋体" w:eastAsia="宋体" w:cs="宋体"/>
          <w:color w:val="auto"/>
          <w:szCs w:val="21"/>
        </w:rPr>
        <w:t>37.2</w:t>
      </w:r>
      <w:r>
        <w:rPr>
          <w:rFonts w:hint="eastAsia" w:ascii="宋体" w:hAnsi="宋体" w:eastAsia="宋体" w:cs="宋体"/>
          <w:color w:val="auto"/>
          <w:szCs w:val="21"/>
          <w:lang w:val="en-US" w:eastAsia="zh-CN"/>
        </w:rPr>
        <w:t xml:space="preserve"> </w:t>
      </w:r>
      <w:r>
        <w:rPr>
          <w:rFonts w:hint="eastAsia" w:ascii="宋体" w:hAnsi="宋体" w:eastAsia="宋体" w:cs="宋体"/>
          <w:b w:val="0"/>
          <w:bCs/>
          <w:color w:val="auto"/>
          <w:kern w:val="2"/>
          <w:szCs w:val="21"/>
          <w:lang w:val="zh-CN"/>
        </w:rPr>
        <w:t>中标人收到中标通知后，须在15日内向招标代理机构缴纳中标服务费用及领取《中标通知书》原件，否则视为放弃中标权利和义务。</w:t>
      </w:r>
      <w:bookmarkEnd w:id="480"/>
    </w:p>
    <w:p>
      <w:pPr>
        <w:tabs>
          <w:tab w:val="left" w:pos="465"/>
        </w:tabs>
        <w:autoSpaceDE w:val="0"/>
        <w:autoSpaceDN w:val="0"/>
        <w:adjustRightInd w:val="0"/>
        <w:spacing w:line="360" w:lineRule="auto"/>
        <w:ind w:left="357" w:leftChars="-100" w:hanging="567"/>
        <w:jc w:val="left"/>
        <w:outlineLvl w:val="9"/>
        <w:rPr>
          <w:rFonts w:hint="eastAsia" w:ascii="宋体" w:hAnsi="宋体" w:eastAsia="宋体" w:cs="宋体"/>
          <w:color w:val="auto"/>
          <w:kern w:val="2"/>
          <w:szCs w:val="21"/>
          <w:lang w:val="zh-CN"/>
        </w:rPr>
      </w:pPr>
      <w:bookmarkStart w:id="481" w:name="_Toc4324"/>
      <w:r>
        <w:rPr>
          <w:rFonts w:hint="eastAsia" w:ascii="宋体" w:hAnsi="宋体" w:eastAsia="宋体" w:cs="宋体"/>
          <w:color w:val="auto"/>
          <w:kern w:val="2"/>
          <w:szCs w:val="21"/>
          <w:lang w:val="zh-CN"/>
        </w:rPr>
        <w:t>37.3</w:t>
      </w:r>
      <w:r>
        <w:rPr>
          <w:rFonts w:hint="eastAsia" w:ascii="宋体" w:hAnsi="宋体" w:eastAsia="宋体" w:cs="宋体"/>
          <w:color w:val="auto"/>
          <w:kern w:val="2"/>
          <w:szCs w:val="21"/>
          <w:lang w:val="en-US" w:eastAsia="zh-CN"/>
        </w:rPr>
        <w:t xml:space="preserve"> </w:t>
      </w:r>
      <w:r>
        <w:rPr>
          <w:rFonts w:hint="eastAsia" w:ascii="宋体" w:hAnsi="宋体" w:eastAsia="宋体" w:cs="宋体"/>
          <w:color w:val="auto"/>
          <w:kern w:val="2"/>
          <w:szCs w:val="21"/>
          <w:lang w:val="zh-CN"/>
        </w:rPr>
        <w:t>中标服务费以转账、电汇形式支付，不接受现金。</w:t>
      </w:r>
      <w:bookmarkEnd w:id="481"/>
    </w:p>
    <w:p>
      <w:pPr>
        <w:snapToGrid w:val="0"/>
        <w:spacing w:line="360" w:lineRule="auto"/>
        <w:ind w:left="567" w:hanging="567" w:hangingChars="270"/>
        <w:outlineLvl w:val="9"/>
        <w:rPr>
          <w:rFonts w:hint="eastAsia" w:ascii="宋体" w:hAnsi="宋体" w:eastAsia="宋体" w:cs="宋体"/>
          <w:b/>
          <w:color w:val="auto"/>
          <w:kern w:val="2"/>
          <w:szCs w:val="21"/>
        </w:rPr>
      </w:pPr>
      <w:r>
        <w:rPr>
          <w:rFonts w:hint="eastAsia" w:ascii="宋体" w:hAnsi="宋体" w:eastAsia="宋体" w:cs="宋体"/>
          <w:color w:val="auto"/>
          <w:kern w:val="2"/>
          <w:szCs w:val="21"/>
        </w:rPr>
        <w:t xml:space="preserve">     </w:t>
      </w:r>
      <w:r>
        <w:rPr>
          <w:rFonts w:hint="eastAsia" w:ascii="宋体" w:hAnsi="宋体" w:eastAsia="宋体" w:cs="宋体"/>
          <w:b w:val="0"/>
          <w:bCs/>
          <w:color w:val="auto"/>
          <w:kern w:val="2"/>
          <w:szCs w:val="21"/>
        </w:rPr>
        <w:t>中标服务费汇入账号</w:t>
      </w:r>
      <w:r>
        <w:rPr>
          <w:rFonts w:hint="eastAsia" w:ascii="宋体" w:hAnsi="宋体" w:eastAsia="宋体" w:cs="宋体"/>
          <w:b/>
          <w:bCs/>
          <w:color w:val="auto"/>
          <w:kern w:val="2"/>
          <w:szCs w:val="21"/>
          <w:u w:val="single"/>
        </w:rPr>
        <w:t>（特别提醒，本账户非投标保证金汇入账户）</w:t>
      </w:r>
      <w:r>
        <w:rPr>
          <w:rFonts w:hint="eastAsia" w:ascii="宋体" w:hAnsi="宋体" w:eastAsia="宋体" w:cs="宋体"/>
          <w:b/>
          <w:color w:val="auto"/>
          <w:kern w:val="2"/>
          <w:szCs w:val="21"/>
        </w:rPr>
        <w:t>：</w:t>
      </w:r>
    </w:p>
    <w:p>
      <w:pPr>
        <w:snapToGrid w:val="0"/>
        <w:spacing w:line="360" w:lineRule="auto"/>
        <w:ind w:left="462" w:leftChars="220" w:firstLine="71" w:firstLineChars="34"/>
        <w:outlineLvl w:val="9"/>
        <w:rPr>
          <w:rFonts w:hint="eastAsia" w:ascii="宋体" w:hAnsi="宋体" w:eastAsia="宋体" w:cs="宋体"/>
          <w:b w:val="0"/>
          <w:bCs/>
          <w:color w:val="auto"/>
          <w:szCs w:val="21"/>
        </w:rPr>
      </w:pPr>
      <w:r>
        <w:rPr>
          <w:rFonts w:hint="eastAsia" w:ascii="宋体" w:hAnsi="宋体" w:eastAsia="宋体" w:cs="宋体"/>
          <w:b w:val="0"/>
          <w:bCs/>
          <w:color w:val="auto"/>
          <w:szCs w:val="21"/>
        </w:rPr>
        <w:t>开户名称：三方诚信招标有限公司东莞分公司</w:t>
      </w:r>
    </w:p>
    <w:p>
      <w:pPr>
        <w:snapToGrid w:val="0"/>
        <w:spacing w:line="360" w:lineRule="auto"/>
        <w:ind w:left="462" w:leftChars="220" w:firstLine="71" w:firstLineChars="34"/>
        <w:outlineLvl w:val="9"/>
        <w:rPr>
          <w:rFonts w:hint="eastAsia" w:ascii="宋体" w:hAnsi="宋体" w:eastAsia="宋体" w:cs="宋体"/>
          <w:b w:val="0"/>
          <w:bCs/>
          <w:color w:val="auto"/>
          <w:szCs w:val="21"/>
        </w:rPr>
      </w:pPr>
      <w:r>
        <w:rPr>
          <w:rFonts w:hint="eastAsia" w:ascii="宋体" w:hAnsi="宋体" w:eastAsia="宋体" w:cs="宋体"/>
          <w:b w:val="0"/>
          <w:bCs/>
          <w:color w:val="auto"/>
          <w:szCs w:val="21"/>
        </w:rPr>
        <w:t>银行账号：2010021309900018461</w:t>
      </w:r>
    </w:p>
    <w:p>
      <w:pPr>
        <w:snapToGrid w:val="0"/>
        <w:spacing w:line="360" w:lineRule="auto"/>
        <w:ind w:left="462" w:leftChars="220" w:firstLine="71" w:firstLineChars="34"/>
        <w:outlineLvl w:val="9"/>
        <w:rPr>
          <w:rFonts w:hint="eastAsia" w:ascii="宋体" w:hAnsi="宋体" w:eastAsia="宋体" w:cs="宋体"/>
          <w:b w:val="0"/>
          <w:bCs/>
          <w:color w:val="auto"/>
          <w:szCs w:val="21"/>
        </w:rPr>
      </w:pPr>
      <w:r>
        <w:rPr>
          <w:rFonts w:hint="eastAsia" w:ascii="宋体" w:hAnsi="宋体" w:eastAsia="宋体" w:cs="宋体"/>
          <w:b w:val="0"/>
          <w:bCs/>
          <w:color w:val="auto"/>
          <w:szCs w:val="21"/>
        </w:rPr>
        <w:t>开户银行：中国工商银行东莞市分行</w:t>
      </w:r>
    </w:p>
    <w:p>
      <w:pPr>
        <w:tabs>
          <w:tab w:val="left" w:pos="465"/>
        </w:tabs>
        <w:autoSpaceDE w:val="0"/>
        <w:autoSpaceDN w:val="0"/>
        <w:adjustRightInd w:val="0"/>
        <w:spacing w:line="360" w:lineRule="auto"/>
        <w:ind w:left="357" w:leftChars="-100" w:hanging="567"/>
        <w:jc w:val="left"/>
        <w:outlineLvl w:val="9"/>
        <w:rPr>
          <w:rFonts w:ascii="宋体" w:hAnsi="宋体" w:eastAsia="宋体" w:cs="宋体"/>
          <w:color w:val="auto"/>
          <w:kern w:val="0"/>
          <w:szCs w:val="21"/>
          <w:highlight w:val="none"/>
        </w:rPr>
      </w:pPr>
      <w:bookmarkStart w:id="482" w:name="_Toc31239"/>
      <w:r>
        <w:rPr>
          <w:rFonts w:hint="eastAsia" w:ascii="宋体" w:hAnsi="宋体" w:eastAsia="宋体" w:cs="宋体"/>
          <w:color w:val="auto"/>
          <w:kern w:val="2"/>
          <w:szCs w:val="21"/>
          <w:lang w:val="zh-CN"/>
        </w:rPr>
        <w:t>37.4</w:t>
      </w:r>
      <w:r>
        <w:rPr>
          <w:rFonts w:hint="eastAsia" w:ascii="宋体" w:hAnsi="宋体" w:eastAsia="宋体" w:cs="宋体"/>
          <w:color w:val="auto"/>
          <w:kern w:val="2"/>
          <w:szCs w:val="21"/>
          <w:lang w:val="en-US" w:eastAsia="zh-CN"/>
        </w:rPr>
        <w:t xml:space="preserve"> </w:t>
      </w:r>
      <w:r>
        <w:rPr>
          <w:rFonts w:hint="eastAsia" w:ascii="宋体" w:hAnsi="宋体" w:eastAsia="宋体" w:cs="宋体"/>
          <w:color w:val="auto"/>
          <w:kern w:val="2"/>
          <w:szCs w:val="21"/>
          <w:lang w:val="zh-CN"/>
        </w:rPr>
        <w:t>中标人如未按第37.1款、第37.2款规定办理，招标代理机构将不予退还其投标保证金。</w:t>
      </w:r>
      <w:bookmarkEnd w:id="482"/>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83" w:name="_Toc450662889"/>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84" w:name="_Toc3193"/>
      <w:bookmarkStart w:id="485" w:name="_Toc23304"/>
      <w:bookmarkStart w:id="486" w:name="_Toc13806"/>
      <w:bookmarkStart w:id="487" w:name="_Toc19379"/>
      <w:bookmarkStart w:id="488" w:name="_Toc6764_WPSOffice_Level3"/>
      <w:bookmarkStart w:id="489" w:name="_Toc142508355"/>
      <w:bookmarkStart w:id="490" w:name="_Toc486167704"/>
      <w:bookmarkStart w:id="491" w:name="_Toc16761"/>
      <w:bookmarkStart w:id="492" w:name="_Toc26292"/>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483"/>
      <w:bookmarkEnd w:id="484"/>
      <w:bookmarkEnd w:id="485"/>
      <w:bookmarkEnd w:id="486"/>
      <w:bookmarkEnd w:id="487"/>
      <w:bookmarkEnd w:id="488"/>
      <w:bookmarkEnd w:id="489"/>
      <w:bookmarkEnd w:id="490"/>
      <w:bookmarkEnd w:id="491"/>
      <w:bookmarkEnd w:id="492"/>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en-US" w:eastAsia="zh-CN"/>
        </w:rPr>
        <w:t>或招标人控股公司或由招标人管理的参股公司、代管项目主体公司</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kern w:val="0"/>
          <w:szCs w:val="21"/>
          <w:highlight w:val="none"/>
          <w:lang w:val="en-US" w:eastAsia="zh-CN"/>
        </w:rPr>
        <w:t>东莞市利源有机资源再生有限公司</w:t>
      </w:r>
      <w:r>
        <w:rPr>
          <w:rFonts w:hint="eastAsia" w:ascii="宋体" w:hAnsi="宋体" w:eastAsia="宋体" w:cs="Times New Roman"/>
          <w:color w:val="auto"/>
          <w:szCs w:val="21"/>
          <w:highlight w:val="none"/>
          <w:lang w:val="zh-CN" w:eastAsia="zh-CN"/>
        </w:rPr>
        <w:t>出</w:t>
      </w:r>
      <w:r>
        <w:rPr>
          <w:rFonts w:hint="eastAsia" w:ascii="宋体" w:hAnsi="宋体" w:eastAsia="宋体" w:cs="Times New Roman"/>
          <w:color w:val="auto"/>
          <w:szCs w:val="21"/>
          <w:highlight w:val="none"/>
          <w:lang w:val="zh-CN"/>
        </w:rPr>
        <w:t>具的发票必须是由中标人开具，不得以其他单位或个人名义出具，本项目中标人向招标人</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en-US" w:eastAsia="zh-CN"/>
        </w:rPr>
        <w:t>或招标人控股公司或由招标人管理的参股公司、代管项目主体公司</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kern w:val="0"/>
          <w:szCs w:val="21"/>
          <w:highlight w:val="none"/>
          <w:lang w:val="en-US" w:eastAsia="zh-CN"/>
        </w:rPr>
        <w:t>东莞市利源有机资源再生有限公司</w:t>
      </w:r>
      <w:r>
        <w:rPr>
          <w:rFonts w:hint="eastAsia" w:ascii="宋体" w:hAnsi="宋体" w:eastAsia="宋体" w:cs="Times New Roman"/>
          <w:color w:val="auto"/>
          <w:szCs w:val="21"/>
          <w:highlight w:val="none"/>
          <w:lang w:val="zh-CN"/>
        </w:rPr>
        <w:t>出具的发票类型为增值税专用发票。</w:t>
      </w:r>
      <w:bookmarkStart w:id="493" w:name="_Toc31106_WPSOffice_Level3"/>
      <w:bookmarkStart w:id="494" w:name="_Toc486167705"/>
    </w:p>
    <w:p>
      <w:pPr>
        <w:tabs>
          <w:tab w:val="left" w:pos="360"/>
        </w:tabs>
        <w:autoSpaceDE w:val="0"/>
        <w:autoSpaceDN w:val="0"/>
        <w:adjustRightInd w:val="0"/>
        <w:spacing w:line="360" w:lineRule="auto"/>
        <w:ind w:left="357" w:leftChars="-100" w:hanging="567"/>
        <w:jc w:val="left"/>
        <w:outlineLvl w:val="9"/>
        <w:rPr>
          <w:rFonts w:ascii="宋体" w:hAnsi="宋体" w:eastAsia="宋体" w:cs="宋体"/>
          <w:b/>
          <w:color w:val="auto"/>
          <w:szCs w:val="21"/>
          <w:highlight w:val="none"/>
        </w:rPr>
      </w:pPr>
      <w:bookmarkStart w:id="495" w:name="_Toc4658"/>
      <w:bookmarkStart w:id="496" w:name="_Toc20485"/>
      <w:bookmarkStart w:id="497" w:name="_Toc7044"/>
      <w:bookmarkStart w:id="498" w:name="_Toc19507"/>
      <w:bookmarkStart w:id="499" w:name="_Toc16304"/>
      <w:bookmarkStart w:id="500" w:name="_Toc142508356"/>
    </w:p>
    <w:p>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501" w:name="_Toc25940"/>
      <w:r>
        <w:rPr>
          <w:rFonts w:ascii="宋体" w:hAnsi="宋体" w:eastAsia="宋体" w:cs="宋体"/>
          <w:b/>
          <w:color w:val="auto"/>
          <w:szCs w:val="21"/>
          <w:highlight w:val="none"/>
        </w:rPr>
        <w:t>39 招标相关补充约定</w:t>
      </w:r>
      <w:bookmarkEnd w:id="495"/>
      <w:bookmarkEnd w:id="496"/>
      <w:bookmarkEnd w:id="497"/>
      <w:bookmarkEnd w:id="498"/>
      <w:bookmarkEnd w:id="499"/>
      <w:bookmarkEnd w:id="500"/>
      <w:bookmarkEnd w:id="501"/>
    </w:p>
    <w:p>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u w:val="single"/>
        </w:rPr>
        <w:t>本项目投标人须知第2条所述行政处罚信息，以开标</w:t>
      </w:r>
      <w:r>
        <w:rPr>
          <w:rFonts w:hint="eastAsia" w:ascii="宋体" w:hAnsi="宋体" w:eastAsia="宋体" w:cs="Times New Roman"/>
          <w:b/>
          <w:color w:val="auto"/>
          <w:szCs w:val="21"/>
          <w:highlight w:val="none"/>
          <w:u w:val="single"/>
          <w:lang w:val="en-US" w:eastAsia="zh-CN"/>
        </w:rPr>
        <w:t>当天</w:t>
      </w:r>
      <w:r>
        <w:rPr>
          <w:rFonts w:ascii="宋体" w:hAnsi="宋体" w:eastAsia="宋体" w:cs="Times New Roman"/>
          <w:b/>
          <w:color w:val="auto"/>
          <w:szCs w:val="21"/>
          <w:highlight w:val="none"/>
          <w:u w:val="single"/>
        </w:rPr>
        <w:t>在“信用中国”网站（www.creditchina.gov.cn）查询结果为准</w:t>
      </w:r>
      <w:r>
        <w:rPr>
          <w:rFonts w:hint="eastAsia" w:ascii="宋体" w:hAnsi="宋体" w:eastAsia="宋体" w:cs="Times New Roman"/>
          <w:b/>
          <w:color w:val="auto"/>
          <w:szCs w:val="21"/>
          <w:highlight w:val="none"/>
          <w:u w:val="single"/>
        </w:rPr>
        <w:t>，或以司法、仲裁机构等出具的生效文件予以认定,时间以认定文件的落款时间为准</w:t>
      </w:r>
      <w:r>
        <w:rPr>
          <w:rFonts w:ascii="宋体" w:hAnsi="宋体" w:eastAsia="宋体" w:cs="Times New Roman"/>
          <w:b/>
          <w:color w:val="auto"/>
          <w:szCs w:val="21"/>
          <w:highlight w:val="none"/>
          <w:u w:val="single"/>
        </w:rPr>
        <w:t>。开标结束后，有关投标单位的行政处罚信息，以</w:t>
      </w:r>
      <w:r>
        <w:rPr>
          <w:rFonts w:hint="eastAsia" w:ascii="宋体" w:hAnsi="宋体" w:eastAsia="宋体" w:cs="Times New Roman"/>
          <w:b/>
          <w:color w:val="auto"/>
          <w:szCs w:val="21"/>
          <w:highlight w:val="none"/>
          <w:u w:val="single"/>
          <w:lang w:val="en-US" w:eastAsia="zh-CN"/>
        </w:rPr>
        <w:t>开标当天查询</w:t>
      </w:r>
      <w:r>
        <w:rPr>
          <w:rFonts w:ascii="宋体" w:hAnsi="宋体" w:eastAsia="宋体" w:cs="Times New Roman"/>
          <w:b/>
          <w:color w:val="auto"/>
          <w:szCs w:val="21"/>
          <w:highlight w:val="none"/>
          <w:u w:val="single"/>
        </w:rPr>
        <w:t>结果为准；结果公示期间，如投标人对有关投标单位的行政处罚信息存在异议，但不涉及第一中标候选人的，视为对中标结果没有造成实质影响</w:t>
      </w:r>
      <w:r>
        <w:rPr>
          <w:rFonts w:ascii="宋体" w:hAnsi="宋体" w:eastAsia="宋体" w:cs="Times New Roman"/>
          <w:b/>
          <w:color w:val="auto"/>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502" w:name="_Toc25568"/>
      <w:bookmarkStart w:id="503" w:name="_Toc26725"/>
      <w:bookmarkStart w:id="504" w:name="_Toc29422"/>
      <w:bookmarkStart w:id="505" w:name="_Toc142508357"/>
      <w:bookmarkStart w:id="506" w:name="_Toc18795"/>
      <w:bookmarkStart w:id="507" w:name="_Toc28193"/>
      <w:bookmarkStart w:id="508" w:name="_Toc16348"/>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493"/>
      <w:bookmarkEnd w:id="494"/>
      <w:bookmarkEnd w:id="502"/>
      <w:bookmarkEnd w:id="503"/>
      <w:bookmarkEnd w:id="504"/>
      <w:bookmarkEnd w:id="505"/>
      <w:bookmarkEnd w:id="506"/>
      <w:bookmarkEnd w:id="507"/>
      <w:bookmarkEnd w:id="508"/>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509" w:name="_Toc23375"/>
      <w:bookmarkStart w:id="510" w:name="_Toc450662891"/>
      <w:bookmarkStart w:id="511" w:name="_Toc4217"/>
      <w:bookmarkStart w:id="512" w:name="_Toc27939_WPSOffice_Level1"/>
      <w:bookmarkStart w:id="513" w:name="_Toc12314"/>
      <w:bookmarkStart w:id="514" w:name="_Toc9500"/>
      <w:bookmarkStart w:id="515" w:name="_Toc28218"/>
      <w:bookmarkStart w:id="516" w:name="_Toc17494"/>
      <w:bookmarkStart w:id="517" w:name="_Toc486167706"/>
      <w:bookmarkStart w:id="518" w:name="_Toc142508358"/>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509"/>
      <w:bookmarkEnd w:id="510"/>
      <w:bookmarkEnd w:id="511"/>
      <w:bookmarkEnd w:id="512"/>
      <w:bookmarkEnd w:id="513"/>
      <w:bookmarkEnd w:id="514"/>
      <w:bookmarkEnd w:id="515"/>
      <w:bookmarkEnd w:id="516"/>
      <w:bookmarkEnd w:id="517"/>
      <w:bookmarkEnd w:id="518"/>
    </w:p>
    <w:p>
      <w:pPr>
        <w:spacing w:line="360" w:lineRule="auto"/>
        <w:ind w:firstLine="422"/>
        <w:outlineLvl w:val="9"/>
        <w:rPr>
          <w:rFonts w:hint="eastAsia" w:ascii="宋体" w:hAnsi="宋体" w:eastAsia="宋体" w:cs="宋体"/>
          <w:b/>
          <w:color w:val="auto"/>
          <w:sz w:val="21"/>
          <w:szCs w:val="21"/>
          <w:lang w:eastAsia="zh-CN"/>
        </w:rPr>
      </w:pPr>
      <w:bookmarkStart w:id="519" w:name="_Toc16088"/>
      <w:r>
        <w:rPr>
          <w:rFonts w:hint="eastAsia" w:ascii="宋体" w:hAnsi="宋体" w:eastAsia="宋体" w:cs="宋体"/>
          <w:b/>
          <w:color w:val="auto"/>
          <w:sz w:val="21"/>
          <w:szCs w:val="21"/>
        </w:rPr>
        <w:t>一、</w:t>
      </w:r>
      <w:r>
        <w:rPr>
          <w:rFonts w:hint="eastAsia" w:ascii="宋体" w:hAnsi="宋体" w:eastAsia="宋体" w:cs="宋体"/>
          <w:b/>
          <w:color w:val="auto"/>
          <w:sz w:val="21"/>
          <w:szCs w:val="21"/>
          <w:lang w:val="zh-CN"/>
        </w:rPr>
        <w:t>项目</w:t>
      </w:r>
      <w:bookmarkEnd w:id="519"/>
      <w:r>
        <w:rPr>
          <w:rFonts w:hint="eastAsia" w:ascii="宋体" w:hAnsi="宋体" w:eastAsia="宋体" w:cs="宋体"/>
          <w:b/>
          <w:color w:val="auto"/>
          <w:sz w:val="21"/>
          <w:szCs w:val="21"/>
          <w:lang w:val="en-US" w:eastAsia="zh-CN"/>
        </w:rPr>
        <w:t>概况</w:t>
      </w:r>
    </w:p>
    <w:p>
      <w:pPr>
        <w:spacing w:line="360" w:lineRule="auto"/>
        <w:ind w:firstLine="420"/>
        <w:outlineLvl w:val="9"/>
        <w:rPr>
          <w:rFonts w:hint="eastAsia" w:ascii="宋体" w:hAnsi="宋体" w:eastAsia="宋体" w:cs="宋体"/>
          <w:color w:val="auto"/>
          <w:szCs w:val="21"/>
          <w:lang w:val="en-US" w:eastAsia="zh-CN"/>
        </w:rPr>
      </w:pPr>
      <w:bookmarkStart w:id="520" w:name="_Toc1479"/>
      <w:r>
        <w:rPr>
          <w:rFonts w:hint="eastAsia" w:ascii="宋体" w:hAnsi="宋体" w:eastAsia="宋体" w:cs="宋体"/>
          <w:color w:val="auto"/>
          <w:sz w:val="21"/>
          <w:szCs w:val="21"/>
        </w:rPr>
        <w:t>东莞市众源环境投资有限公司（</w:t>
      </w:r>
      <w:r>
        <w:rPr>
          <w:rFonts w:hint="eastAsia" w:ascii="宋体" w:hAnsi="宋体" w:eastAsia="宋体" w:cs="宋体"/>
          <w:color w:val="auto"/>
          <w:sz w:val="21"/>
          <w:szCs w:val="21"/>
          <w:lang w:val="en-US" w:eastAsia="zh-CN"/>
        </w:rPr>
        <w:t>以下简称</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招标人</w:t>
      </w:r>
      <w:r>
        <w:rPr>
          <w:rFonts w:hint="eastAsia" w:ascii="宋体" w:hAnsi="宋体" w:eastAsia="宋体" w:cs="宋体"/>
          <w:color w:val="auto"/>
          <w:sz w:val="21"/>
          <w:szCs w:val="21"/>
        </w:rPr>
        <w:t>”）</w:t>
      </w:r>
      <w:r>
        <w:rPr>
          <w:rFonts w:hint="eastAsia" w:ascii="宋体" w:hAnsi="宋体" w:eastAsia="宋体" w:cs="宋体"/>
          <w:color w:val="auto"/>
          <w:szCs w:val="21"/>
          <w:lang w:val="en-US" w:eastAsia="zh-CN"/>
        </w:rPr>
        <w:t>承接水务集团旗下污水处理厂和全市BOT污水处理厂污泥厂内脱水减量化项目，招标人目前自有5套移动式污泥脱水减量成套设备，移动式污泥脱水减量成套设备由众源公司自主运营，后期招标人将根据业务工作的需要，逐步增加自主运营污泥减量设备项目，招标人自主运营污泥减量设备项目需要使用五金配件及劳保物资。</w:t>
      </w:r>
    </w:p>
    <w:p>
      <w:pPr>
        <w:spacing w:line="360" w:lineRule="auto"/>
        <w:ind w:firstLine="420" w:firstLineChars="200"/>
        <w:contextualSpacing/>
        <w:outlineLvl w:val="9"/>
        <w:rPr>
          <w:rFonts w:hint="eastAsia" w:ascii="宋体" w:hAnsi="宋体" w:eastAsia="宋体" w:cs="宋体"/>
          <w:color w:val="auto"/>
        </w:rPr>
      </w:pPr>
      <w:r>
        <w:rPr>
          <w:rFonts w:hint="eastAsia" w:ascii="宋体" w:hAnsi="宋体" w:eastAsia="宋体" w:cs="宋体"/>
          <w:color w:val="auto"/>
          <w:szCs w:val="21"/>
          <w:lang w:val="zh-CN"/>
        </w:rPr>
        <w:t>东莞市市区有机资源再生利用项目</w:t>
      </w:r>
      <w:r>
        <w:rPr>
          <w:rFonts w:hint="eastAsia" w:ascii="宋体" w:hAnsi="宋体" w:eastAsia="宋体" w:cs="宋体"/>
          <w:color w:val="auto"/>
          <w:szCs w:val="21"/>
          <w:lang w:val="en-US" w:eastAsia="zh-CN"/>
        </w:rPr>
        <w:t>由</w:t>
      </w:r>
      <w:r>
        <w:rPr>
          <w:rFonts w:hint="eastAsia" w:ascii="宋体" w:hAnsi="宋体" w:eastAsia="宋体" w:cs="宋体"/>
          <w:color w:val="auto"/>
          <w:szCs w:val="21"/>
        </w:rPr>
        <w:t>东莞市利源有机资源再生利用有限公司</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以下简称“利源公司”</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运营，</w:t>
      </w:r>
      <w:r>
        <w:rPr>
          <w:rFonts w:hint="eastAsia" w:ascii="宋体" w:hAnsi="宋体" w:eastAsia="宋体" w:cs="宋体"/>
          <w:color w:val="auto"/>
          <w:sz w:val="21"/>
          <w:szCs w:val="21"/>
        </w:rPr>
        <w:t>市区有机资源</w:t>
      </w:r>
      <w:r>
        <w:rPr>
          <w:rFonts w:hint="eastAsia" w:ascii="宋体" w:hAnsi="宋体" w:eastAsia="宋体" w:cs="宋体"/>
          <w:color w:val="auto"/>
          <w:sz w:val="21"/>
          <w:szCs w:val="21"/>
          <w:lang w:val="en-US" w:eastAsia="zh-CN"/>
        </w:rPr>
        <w:t>再生利用</w:t>
      </w:r>
      <w:r>
        <w:rPr>
          <w:rFonts w:hint="eastAsia" w:ascii="宋体" w:hAnsi="宋体" w:eastAsia="宋体" w:cs="宋体"/>
          <w:color w:val="auto"/>
          <w:sz w:val="21"/>
          <w:szCs w:val="21"/>
        </w:rPr>
        <w:t>项目设计规模为日处理餐厨垃圾100吨，项目运营中</w:t>
      </w:r>
      <w:r>
        <w:rPr>
          <w:rFonts w:hint="eastAsia" w:ascii="宋体" w:hAnsi="宋体" w:eastAsia="宋体" w:cs="宋体"/>
          <w:color w:val="auto"/>
          <w:sz w:val="21"/>
          <w:szCs w:val="21"/>
          <w:lang w:val="en-US" w:eastAsia="zh-CN"/>
        </w:rPr>
        <w:t>需要使用五金配件及劳保物资</w:t>
      </w:r>
      <w:r>
        <w:rPr>
          <w:rFonts w:hint="eastAsia" w:ascii="宋体" w:hAnsi="宋体" w:eastAsia="宋体" w:cs="宋体"/>
          <w:color w:val="auto"/>
          <w:sz w:val="21"/>
          <w:szCs w:val="21"/>
        </w:rPr>
        <w:t>。</w:t>
      </w:r>
    </w:p>
    <w:bookmarkEnd w:id="520"/>
    <w:p>
      <w:pPr>
        <w:spacing w:line="360" w:lineRule="auto"/>
        <w:ind w:firstLine="422"/>
        <w:outlineLvl w:val="9"/>
        <w:rPr>
          <w:rFonts w:hint="eastAsia" w:ascii="宋体" w:hAnsi="宋体" w:eastAsia="宋体" w:cs="宋体"/>
          <w:b/>
          <w:color w:val="auto"/>
          <w:sz w:val="21"/>
          <w:szCs w:val="21"/>
        </w:rPr>
      </w:pPr>
      <w:r>
        <w:rPr>
          <w:rFonts w:hint="eastAsia" w:ascii="宋体" w:hAnsi="宋体" w:eastAsia="宋体" w:cs="宋体"/>
          <w:b/>
          <w:color w:val="auto"/>
          <w:sz w:val="21"/>
          <w:szCs w:val="21"/>
          <w:lang w:val="zh-CN"/>
        </w:rPr>
        <w:t>二、</w:t>
      </w:r>
      <w:r>
        <w:rPr>
          <w:rFonts w:hint="eastAsia" w:ascii="宋体" w:hAnsi="宋体" w:eastAsia="宋体" w:cs="宋体"/>
          <w:b/>
          <w:color w:val="auto"/>
          <w:sz w:val="21"/>
          <w:szCs w:val="21"/>
        </w:rPr>
        <w:t>货物采购需求</w:t>
      </w:r>
    </w:p>
    <w:p>
      <w:pPr>
        <w:spacing w:line="360" w:lineRule="auto"/>
        <w:ind w:firstLine="422"/>
        <w:outlineLvl w:val="9"/>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 xml:space="preserve">2.1 </w:t>
      </w:r>
      <w:r>
        <w:rPr>
          <w:rFonts w:hint="eastAsia" w:ascii="宋体" w:hAnsi="宋体" w:eastAsia="宋体" w:cs="宋体"/>
          <w:b/>
          <w:color w:val="auto"/>
          <w:sz w:val="21"/>
          <w:szCs w:val="21"/>
        </w:rPr>
        <w:t>采购货物情况</w:t>
      </w:r>
    </w:p>
    <w:p>
      <w:pPr>
        <w:widowControl/>
        <w:spacing w:line="360" w:lineRule="auto"/>
        <w:ind w:firstLine="420"/>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采购货物清单：详见附件《东莞市众源环境投资有限公司五金配件及劳保物资采购清单》。</w:t>
      </w:r>
    </w:p>
    <w:p>
      <w:pPr>
        <w:widowControl/>
        <w:spacing w:line="360" w:lineRule="auto"/>
        <w:ind w:firstLine="42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本次采购数量为暂定数量仅为便于计算暂定合同价使用，不作为招标人、利源公司最终采购数量的保证。实际需求数量以招标人、利源公司具体供货通知为准，按实结算。综合单价不随数量的变化而增减。投标人不得因招标人、利源公司实际采购数量的减少或增加而要求提供任何形式的补偿或赔偿，或者要求招标人、利源公司按暂定数量采购相应货物。合同履约过程中，如招标人（或招标人控股公司或由招标人管理的参股公司、代管项目主体公司）新增运营项目需要供货的，可按不含税中标综合单价与中标人签订补充协议。供货期内招标人（或招标人控股公司或由招标人管理的参股公司、代管项目主体公司）或利源公司需求货物不在暂定采购货物清单上的，由招标人（或招标人控股公司或由招标人管理的参股公司、代管项目主体公司）或利源公司委托具有造价资质的第三方公司编制成果文件确定该类物资不含税预算综合单价，不含税预算综合单价经招标人（或招标人控股公司或由招标人管理的参股公司、代管项目主体公司）或利源确认并与投标人协商确定后，该类货物不含税综合单价以前述不含税预算综合单价乘以中标折扣系数计算。若投标人不同意按前述价格提供供货服务的，招标人（或招标人控股公司或由招标人管理的参股公司、代管项目主体公司）或利源公司有权另行委托第三方供应货物，投标人不得以此为由要求招标人（或招标人控股公司或由招标人管理的参股公司、代管项目主体公司）或利源公司支付任何补偿或赔偿。</w:t>
      </w:r>
    </w:p>
    <w:p>
      <w:pPr>
        <w:widowControl/>
        <w:spacing w:line="360" w:lineRule="auto"/>
        <w:ind w:firstLine="422"/>
        <w:outlineLvl w:val="9"/>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 xml:space="preserve">2.2 </w:t>
      </w:r>
      <w:r>
        <w:rPr>
          <w:rFonts w:hint="eastAsia" w:ascii="宋体" w:hAnsi="宋体" w:eastAsia="宋体" w:cs="宋体"/>
          <w:b/>
          <w:color w:val="auto"/>
          <w:sz w:val="21"/>
          <w:szCs w:val="21"/>
        </w:rPr>
        <w:t>交货要求</w:t>
      </w:r>
    </w:p>
    <w:p>
      <w:pPr>
        <w:spacing w:line="360" w:lineRule="auto"/>
        <w:ind w:firstLine="420"/>
        <w:outlineLvl w:val="9"/>
        <w:rPr>
          <w:rFonts w:hint="eastAsia" w:ascii="宋体" w:hAnsi="宋体" w:eastAsia="宋体" w:cs="宋体"/>
          <w:color w:val="auto"/>
          <w:sz w:val="21"/>
          <w:szCs w:val="21"/>
        </w:rPr>
      </w:pPr>
      <w:r>
        <w:rPr>
          <w:rFonts w:hint="eastAsia" w:ascii="宋体" w:hAnsi="宋体" w:eastAsia="宋体" w:cs="宋体"/>
          <w:color w:val="auto"/>
          <w:sz w:val="21"/>
          <w:szCs w:val="21"/>
        </w:rPr>
        <w:t>(1) 采购供货期：自合同签订之日起12个月。供货期限满后，双方经友好协商一致之后，可在保持中标综合单价不变的情况下，签订补充协议延长供货资格期限，延长的供货资格期限原则上不超过3个月。</w:t>
      </w:r>
    </w:p>
    <w:p>
      <w:pPr>
        <w:widowControl/>
        <w:spacing w:line="360" w:lineRule="auto"/>
        <w:ind w:firstLine="420"/>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配送形式和交货期：</w:t>
      </w:r>
    </w:p>
    <w:p>
      <w:pPr>
        <w:widowControl/>
        <w:spacing w:line="360" w:lineRule="auto"/>
        <w:ind w:firstLine="42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① 月度配送。每月10号前招标人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利源公司</w:t>
      </w:r>
      <w:r>
        <w:rPr>
          <w:rFonts w:hint="eastAsia" w:ascii="宋体" w:hAnsi="宋体" w:eastAsia="宋体" w:cs="宋体"/>
          <w:color w:val="auto"/>
          <w:sz w:val="21"/>
          <w:szCs w:val="21"/>
        </w:rPr>
        <w:t>发出供货通知，投标人自接到招标人</w:t>
      </w:r>
      <w:r>
        <w:rPr>
          <w:rFonts w:hint="eastAsia" w:ascii="宋体" w:hAnsi="宋体" w:eastAsia="宋体" w:cs="宋体"/>
          <w:color w:val="auto"/>
          <w:sz w:val="21"/>
          <w:szCs w:val="21"/>
          <w:lang w:val="en-US" w:eastAsia="zh-CN"/>
        </w:rPr>
        <w:t>或利源公司</w:t>
      </w:r>
      <w:r>
        <w:rPr>
          <w:rFonts w:hint="eastAsia" w:ascii="宋体" w:hAnsi="宋体" w:eastAsia="宋体" w:cs="宋体"/>
          <w:color w:val="auto"/>
          <w:sz w:val="21"/>
          <w:szCs w:val="21"/>
        </w:rPr>
        <w:t>供货通知后，需在【10】个工作日内按招标人</w:t>
      </w:r>
      <w:r>
        <w:rPr>
          <w:rFonts w:hint="eastAsia" w:ascii="宋体" w:hAnsi="宋体" w:eastAsia="宋体" w:cs="宋体"/>
          <w:color w:val="auto"/>
          <w:sz w:val="21"/>
          <w:szCs w:val="21"/>
          <w:lang w:val="en-US" w:eastAsia="zh-CN"/>
        </w:rPr>
        <w:t>或利源公司</w:t>
      </w:r>
      <w:r>
        <w:rPr>
          <w:rFonts w:hint="eastAsia" w:ascii="宋体" w:hAnsi="宋体" w:eastAsia="宋体" w:cs="宋体"/>
          <w:color w:val="auto"/>
          <w:sz w:val="21"/>
          <w:szCs w:val="21"/>
        </w:rPr>
        <w:t>该次发出供货清单送达</w:t>
      </w:r>
      <w:r>
        <w:rPr>
          <w:rFonts w:hint="eastAsia" w:ascii="宋体" w:hAnsi="宋体" w:eastAsia="宋体" w:cs="宋体"/>
          <w:color w:val="auto"/>
          <w:sz w:val="21"/>
          <w:szCs w:val="21"/>
          <w:lang w:val="en-US" w:eastAsia="zh-CN"/>
        </w:rPr>
        <w:t>货物</w:t>
      </w:r>
      <w:r>
        <w:rPr>
          <w:rFonts w:hint="eastAsia" w:ascii="宋体" w:hAnsi="宋体" w:eastAsia="宋体" w:cs="宋体"/>
          <w:color w:val="auto"/>
          <w:sz w:val="21"/>
          <w:szCs w:val="21"/>
        </w:rPr>
        <w:t>并经招标人</w:t>
      </w:r>
      <w:r>
        <w:rPr>
          <w:rFonts w:hint="eastAsia" w:ascii="宋体" w:hAnsi="宋体" w:eastAsia="宋体" w:cs="宋体"/>
          <w:color w:val="auto"/>
          <w:sz w:val="21"/>
          <w:szCs w:val="21"/>
          <w:lang w:val="en-US" w:eastAsia="zh-CN"/>
        </w:rPr>
        <w:t>或利源公司</w:t>
      </w:r>
      <w:r>
        <w:rPr>
          <w:rFonts w:hint="eastAsia" w:ascii="宋体" w:hAnsi="宋体" w:eastAsia="宋体" w:cs="宋体"/>
          <w:color w:val="auto"/>
          <w:sz w:val="21"/>
          <w:szCs w:val="21"/>
        </w:rPr>
        <w:t>验收合格，由双方签字确认。</w:t>
      </w:r>
    </w:p>
    <w:p>
      <w:pPr>
        <w:widowControl/>
        <w:spacing w:line="360" w:lineRule="auto"/>
        <w:ind w:firstLine="420"/>
        <w:outlineLvl w:val="9"/>
        <w:rPr>
          <w:rFonts w:hint="eastAsia" w:ascii="宋体" w:hAnsi="宋体" w:eastAsia="宋体" w:cs="宋体"/>
          <w:color w:val="auto"/>
          <w:sz w:val="21"/>
          <w:szCs w:val="21"/>
        </w:rPr>
      </w:pPr>
      <w:r>
        <w:rPr>
          <w:rFonts w:hint="eastAsia" w:ascii="宋体" w:hAnsi="宋体" w:eastAsia="宋体" w:cs="宋体"/>
          <w:color w:val="auto"/>
          <w:sz w:val="21"/>
          <w:szCs w:val="21"/>
        </w:rPr>
        <w:t>② 临时配送。如遇临时紧急配送，</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自接到招标人</w:t>
      </w:r>
      <w:r>
        <w:rPr>
          <w:rFonts w:hint="eastAsia" w:ascii="宋体" w:hAnsi="宋体" w:eastAsia="宋体" w:cs="宋体"/>
          <w:color w:val="auto"/>
          <w:sz w:val="21"/>
          <w:szCs w:val="21"/>
          <w:lang w:val="en-US" w:eastAsia="zh-CN"/>
        </w:rPr>
        <w:t>或利源公司</w:t>
      </w:r>
      <w:r>
        <w:rPr>
          <w:rFonts w:hint="eastAsia" w:ascii="宋体" w:hAnsi="宋体" w:eastAsia="宋体" w:cs="宋体"/>
          <w:color w:val="auto"/>
          <w:sz w:val="21"/>
          <w:szCs w:val="21"/>
        </w:rPr>
        <w:t>供货通知后，在【2】个工作日内按招标人</w:t>
      </w:r>
      <w:r>
        <w:rPr>
          <w:rFonts w:hint="eastAsia" w:ascii="宋体" w:hAnsi="宋体" w:eastAsia="宋体" w:cs="宋体"/>
          <w:color w:val="auto"/>
          <w:sz w:val="21"/>
          <w:szCs w:val="21"/>
          <w:lang w:val="en-US" w:eastAsia="zh-CN"/>
        </w:rPr>
        <w:t>或利源公司</w:t>
      </w:r>
      <w:r>
        <w:rPr>
          <w:rFonts w:hint="eastAsia" w:ascii="宋体" w:hAnsi="宋体" w:eastAsia="宋体" w:cs="宋体"/>
          <w:color w:val="auto"/>
          <w:sz w:val="21"/>
          <w:szCs w:val="21"/>
        </w:rPr>
        <w:t>该次发出供货清单送达</w:t>
      </w:r>
      <w:r>
        <w:rPr>
          <w:rFonts w:hint="eastAsia" w:ascii="宋体" w:hAnsi="宋体" w:eastAsia="宋体" w:cs="宋体"/>
          <w:color w:val="auto"/>
          <w:sz w:val="21"/>
          <w:szCs w:val="21"/>
          <w:lang w:val="en-US" w:eastAsia="zh-CN"/>
        </w:rPr>
        <w:t>货物</w:t>
      </w:r>
      <w:r>
        <w:rPr>
          <w:rFonts w:hint="eastAsia" w:ascii="宋体" w:hAnsi="宋体" w:eastAsia="宋体" w:cs="宋体"/>
          <w:color w:val="auto"/>
          <w:sz w:val="21"/>
          <w:szCs w:val="21"/>
        </w:rPr>
        <w:t>并经招标人</w:t>
      </w:r>
      <w:r>
        <w:rPr>
          <w:rFonts w:hint="eastAsia" w:ascii="宋体" w:hAnsi="宋体" w:eastAsia="宋体" w:cs="宋体"/>
          <w:color w:val="auto"/>
          <w:sz w:val="21"/>
          <w:szCs w:val="21"/>
          <w:lang w:val="en-US" w:eastAsia="zh-CN"/>
        </w:rPr>
        <w:t>或利源公司</w:t>
      </w:r>
      <w:r>
        <w:rPr>
          <w:rFonts w:hint="eastAsia" w:ascii="宋体" w:hAnsi="宋体" w:eastAsia="宋体" w:cs="宋体"/>
          <w:color w:val="auto"/>
          <w:sz w:val="21"/>
          <w:szCs w:val="21"/>
        </w:rPr>
        <w:t>验收合格，由双方签字确认，供货是否为紧急配送以招标人</w:t>
      </w:r>
      <w:r>
        <w:rPr>
          <w:rFonts w:hint="eastAsia" w:ascii="宋体" w:hAnsi="宋体" w:eastAsia="宋体" w:cs="宋体"/>
          <w:color w:val="auto"/>
          <w:sz w:val="21"/>
          <w:szCs w:val="21"/>
          <w:lang w:val="en-US" w:eastAsia="zh-CN"/>
        </w:rPr>
        <w:t>或利源公司</w:t>
      </w:r>
      <w:r>
        <w:rPr>
          <w:rFonts w:hint="eastAsia" w:ascii="宋体" w:hAnsi="宋体" w:eastAsia="宋体" w:cs="宋体"/>
          <w:color w:val="auto"/>
          <w:sz w:val="21"/>
          <w:szCs w:val="21"/>
        </w:rPr>
        <w:t>通知为准。</w:t>
      </w:r>
    </w:p>
    <w:p>
      <w:pPr>
        <w:widowControl/>
        <w:spacing w:line="360" w:lineRule="auto"/>
        <w:ind w:firstLine="42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③ 交货延期要求。</w:t>
      </w:r>
      <w:r>
        <w:rPr>
          <w:rFonts w:hint="eastAsia" w:ascii="宋体" w:hAnsi="宋体" w:eastAsia="宋体" w:cs="宋体"/>
          <w:color w:val="auto"/>
          <w:sz w:val="21"/>
          <w:szCs w:val="21"/>
          <w:lang w:val="en-US" w:eastAsia="zh-CN"/>
        </w:rPr>
        <w:t>对于</w:t>
      </w:r>
      <w:r>
        <w:rPr>
          <w:rFonts w:hint="eastAsia" w:ascii="宋体" w:hAnsi="宋体" w:eastAsia="宋体" w:cs="宋体"/>
          <w:color w:val="auto"/>
          <w:sz w:val="21"/>
          <w:szCs w:val="21"/>
        </w:rPr>
        <w:t>货源不充足需要订购的五金</w:t>
      </w:r>
      <w:r>
        <w:rPr>
          <w:rFonts w:hint="eastAsia" w:ascii="宋体" w:hAnsi="宋体" w:eastAsia="宋体" w:cs="宋体"/>
          <w:color w:val="auto"/>
          <w:sz w:val="21"/>
          <w:szCs w:val="21"/>
          <w:lang w:val="en-US" w:eastAsia="zh-CN"/>
        </w:rPr>
        <w:t>配件</w:t>
      </w:r>
      <w:r>
        <w:rPr>
          <w:rFonts w:hint="eastAsia" w:ascii="宋体" w:hAnsi="宋体" w:eastAsia="宋体" w:cs="宋体"/>
          <w:color w:val="auto"/>
          <w:sz w:val="21"/>
          <w:szCs w:val="21"/>
        </w:rPr>
        <w:t>及劳保物资，投标人在收到招标人</w:t>
      </w:r>
      <w:r>
        <w:rPr>
          <w:rFonts w:hint="eastAsia" w:ascii="宋体" w:hAnsi="宋体" w:eastAsia="宋体" w:cs="宋体"/>
          <w:color w:val="auto"/>
          <w:sz w:val="21"/>
          <w:szCs w:val="21"/>
          <w:lang w:val="en-US" w:eastAsia="zh-CN"/>
        </w:rPr>
        <w:t>或利源公司</w:t>
      </w:r>
      <w:r>
        <w:rPr>
          <w:rFonts w:hint="eastAsia" w:ascii="宋体" w:hAnsi="宋体" w:eastAsia="宋体" w:cs="宋体"/>
          <w:color w:val="auto"/>
          <w:sz w:val="21"/>
          <w:szCs w:val="21"/>
        </w:rPr>
        <w:t>的供货通知后48小时内与招标人</w:t>
      </w:r>
      <w:r>
        <w:rPr>
          <w:rFonts w:hint="eastAsia" w:ascii="宋体" w:hAnsi="宋体" w:eastAsia="宋体" w:cs="宋体"/>
          <w:color w:val="auto"/>
          <w:sz w:val="21"/>
          <w:szCs w:val="21"/>
          <w:lang w:val="en-US" w:eastAsia="zh-CN"/>
        </w:rPr>
        <w:t>或利源公司</w:t>
      </w:r>
      <w:r>
        <w:rPr>
          <w:rFonts w:hint="eastAsia" w:ascii="宋体" w:hAnsi="宋体" w:eastAsia="宋体" w:cs="宋体"/>
          <w:color w:val="auto"/>
          <w:sz w:val="21"/>
          <w:szCs w:val="21"/>
        </w:rPr>
        <w:t>进行沟通并经招标人</w:t>
      </w:r>
      <w:r>
        <w:rPr>
          <w:rFonts w:hint="eastAsia" w:ascii="宋体" w:hAnsi="宋体" w:eastAsia="宋体" w:cs="宋体"/>
          <w:color w:val="auto"/>
          <w:sz w:val="21"/>
          <w:szCs w:val="21"/>
          <w:lang w:val="en-US" w:eastAsia="zh-CN"/>
        </w:rPr>
        <w:t>或利源公司</w:t>
      </w:r>
      <w:r>
        <w:rPr>
          <w:rFonts w:hint="eastAsia" w:ascii="宋体" w:hAnsi="宋体" w:eastAsia="宋体" w:cs="宋体"/>
          <w:color w:val="auto"/>
          <w:sz w:val="21"/>
          <w:szCs w:val="21"/>
        </w:rPr>
        <w:t>同意后，可延长交货期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延长的交货期以</w:t>
      </w:r>
      <w:r>
        <w:rPr>
          <w:rFonts w:hint="eastAsia" w:ascii="宋体" w:hAnsi="宋体" w:eastAsia="宋体" w:cs="宋体"/>
          <w:color w:val="auto"/>
          <w:sz w:val="21"/>
          <w:szCs w:val="21"/>
        </w:rPr>
        <w:t>招标人</w:t>
      </w:r>
      <w:r>
        <w:rPr>
          <w:rFonts w:hint="eastAsia" w:ascii="宋体" w:hAnsi="宋体" w:eastAsia="宋体" w:cs="宋体"/>
          <w:color w:val="auto"/>
          <w:sz w:val="21"/>
          <w:szCs w:val="21"/>
          <w:lang w:val="en-US" w:eastAsia="zh-CN"/>
        </w:rPr>
        <w:t>或利源公司指定为准</w:t>
      </w:r>
      <w:r>
        <w:rPr>
          <w:rFonts w:hint="eastAsia" w:ascii="宋体" w:hAnsi="宋体" w:eastAsia="宋体" w:cs="宋体"/>
          <w:color w:val="auto"/>
          <w:sz w:val="21"/>
          <w:szCs w:val="21"/>
        </w:rPr>
        <w:t>。</w:t>
      </w:r>
    </w:p>
    <w:p>
      <w:pPr>
        <w:widowControl/>
        <w:spacing w:line="360" w:lineRule="auto"/>
        <w:ind w:firstLine="420"/>
        <w:outlineLvl w:val="9"/>
        <w:rPr>
          <w:rFonts w:hint="eastAsia" w:ascii="宋体" w:hAnsi="宋体" w:eastAsia="宋体" w:cs="宋体"/>
          <w:color w:val="auto"/>
          <w:sz w:val="21"/>
          <w:szCs w:val="21"/>
        </w:rPr>
      </w:pPr>
      <w:r>
        <w:rPr>
          <w:rFonts w:hint="eastAsia" w:ascii="宋体" w:hAnsi="宋体" w:eastAsia="宋体" w:cs="宋体"/>
          <w:color w:val="auto"/>
          <w:sz w:val="21"/>
          <w:szCs w:val="21"/>
        </w:rPr>
        <w:t>(3) 交货地点：详见附件《送货地址汇总表》。后续招标人</w:t>
      </w:r>
      <w:r>
        <w:rPr>
          <w:rFonts w:hint="eastAsia" w:ascii="宋体" w:hAnsi="宋体" w:eastAsia="宋体" w:cs="宋体"/>
          <w:color w:val="auto"/>
          <w:sz w:val="21"/>
          <w:szCs w:val="21"/>
          <w:lang w:val="en-US" w:eastAsia="zh-CN"/>
        </w:rPr>
        <w:t>或利源公司</w:t>
      </w:r>
      <w:r>
        <w:rPr>
          <w:rFonts w:hint="eastAsia" w:ascii="宋体" w:hAnsi="宋体" w:eastAsia="宋体" w:cs="宋体"/>
          <w:color w:val="auto"/>
          <w:sz w:val="21"/>
          <w:szCs w:val="21"/>
        </w:rPr>
        <w:t>根据业务需求在东莞市范围内新增的运营点，将提前【3】个工作日通知投标人进行新增配货地点登记。</w:t>
      </w:r>
    </w:p>
    <w:p>
      <w:pPr>
        <w:widowControl/>
        <w:spacing w:line="360" w:lineRule="auto"/>
        <w:ind w:firstLine="420"/>
        <w:outlineLvl w:val="9"/>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交货方式与风险承担：在货物移交给招标人</w:t>
      </w:r>
      <w:r>
        <w:rPr>
          <w:rFonts w:hint="eastAsia" w:ascii="宋体" w:hAnsi="宋体" w:eastAsia="宋体" w:cs="宋体"/>
          <w:color w:val="auto"/>
          <w:sz w:val="21"/>
          <w:szCs w:val="21"/>
          <w:lang w:val="en-US" w:eastAsia="zh-CN"/>
        </w:rPr>
        <w:t>或利源公司</w:t>
      </w:r>
      <w:r>
        <w:rPr>
          <w:rFonts w:hint="eastAsia" w:ascii="宋体" w:hAnsi="宋体" w:eastAsia="宋体" w:cs="宋体"/>
          <w:color w:val="auto"/>
          <w:sz w:val="21"/>
          <w:szCs w:val="21"/>
        </w:rPr>
        <w:t>并经招标人</w:t>
      </w:r>
      <w:r>
        <w:rPr>
          <w:rFonts w:hint="eastAsia" w:ascii="宋体" w:hAnsi="宋体" w:eastAsia="宋体" w:cs="宋体"/>
          <w:color w:val="auto"/>
          <w:sz w:val="21"/>
          <w:szCs w:val="21"/>
          <w:lang w:val="en-US" w:eastAsia="zh-CN"/>
        </w:rPr>
        <w:t>或利源公司</w:t>
      </w:r>
      <w:r>
        <w:rPr>
          <w:rFonts w:hint="eastAsia" w:ascii="宋体" w:hAnsi="宋体" w:eastAsia="宋体" w:cs="宋体"/>
          <w:color w:val="auto"/>
          <w:sz w:val="21"/>
          <w:szCs w:val="21"/>
        </w:rPr>
        <w:t>最终验收合格前，货物的毁损、灭失的风险和责任均由投标人承担。</w:t>
      </w:r>
    </w:p>
    <w:p>
      <w:pPr>
        <w:spacing w:line="360" w:lineRule="auto"/>
        <w:ind w:firstLine="422"/>
        <w:outlineLvl w:val="9"/>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 xml:space="preserve">2.3 </w:t>
      </w:r>
      <w:r>
        <w:rPr>
          <w:rFonts w:hint="eastAsia" w:ascii="宋体" w:hAnsi="宋体" w:eastAsia="宋体" w:cs="宋体"/>
          <w:b/>
          <w:color w:val="auto"/>
          <w:sz w:val="21"/>
          <w:szCs w:val="21"/>
        </w:rPr>
        <w:t>质量要求</w:t>
      </w:r>
    </w:p>
    <w:p>
      <w:pPr>
        <w:pStyle w:val="158"/>
        <w:autoSpaceDE/>
        <w:autoSpaceDN/>
        <w:adjustRightInd/>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投标人所供货物的品牌可参考推荐品牌</w:t>
      </w:r>
      <w:r>
        <w:rPr>
          <w:rFonts w:hint="eastAsia" w:hAnsi="宋体" w:eastAsia="宋体" w:cs="宋体"/>
          <w:color w:val="auto"/>
          <w:sz w:val="21"/>
          <w:szCs w:val="21"/>
          <w:lang w:eastAsia="zh-CN"/>
        </w:rPr>
        <w:t>，</w:t>
      </w:r>
      <w:r>
        <w:rPr>
          <w:rFonts w:hint="eastAsia" w:hAnsi="宋体" w:eastAsia="宋体" w:cs="宋体"/>
          <w:color w:val="auto"/>
          <w:sz w:val="21"/>
          <w:szCs w:val="21"/>
          <w:lang w:val="en-US" w:eastAsia="zh-CN"/>
        </w:rPr>
        <w:t>若投标人所供货物的品牌在推荐品牌范围外的，投标人应保证所供货物品牌</w:t>
      </w:r>
      <w:r>
        <w:rPr>
          <w:rFonts w:hint="eastAsia" w:ascii="宋体" w:hAnsi="宋体" w:eastAsia="宋体" w:cs="宋体"/>
          <w:color w:val="auto"/>
          <w:sz w:val="21"/>
          <w:szCs w:val="21"/>
        </w:rPr>
        <w:t>质量同等或优于推荐品牌。投标人所供货物的品牌质量优于推荐品牌的，综合单价或总价均不作</w:t>
      </w:r>
      <w:r>
        <w:rPr>
          <w:rFonts w:hint="eastAsia" w:hAnsi="宋体" w:eastAsia="宋体" w:cs="宋体"/>
          <w:color w:val="auto"/>
          <w:sz w:val="21"/>
          <w:szCs w:val="21"/>
          <w:lang w:val="en-US" w:eastAsia="zh-CN"/>
        </w:rPr>
        <w:t>任何</w:t>
      </w:r>
      <w:r>
        <w:rPr>
          <w:rFonts w:hint="eastAsia" w:ascii="宋体" w:hAnsi="宋体" w:eastAsia="宋体" w:cs="宋体"/>
          <w:color w:val="auto"/>
          <w:sz w:val="21"/>
          <w:szCs w:val="21"/>
        </w:rPr>
        <w:t>变更。</w:t>
      </w:r>
    </w:p>
    <w:p>
      <w:pPr>
        <w:pStyle w:val="158"/>
        <w:autoSpaceDE/>
        <w:autoSpaceDN/>
        <w:adjustRightInd/>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 xml:space="preserve"> </w:t>
      </w:r>
      <w:r>
        <w:rPr>
          <w:rFonts w:hint="eastAsia" w:ascii="宋体" w:hAnsi="宋体" w:eastAsia="宋体" w:cs="宋体"/>
          <w:bCs/>
          <w:color w:val="auto"/>
          <w:sz w:val="21"/>
          <w:szCs w:val="21"/>
        </w:rPr>
        <w:t>投标人所提供的货物必须符合国家现行有效的法律法规、行业规范及相关的质量标准并保证其产品使用质量，满足招标人的实际使用需求。如在货物送货时发现货物破损或者发生质量问题，招标人</w:t>
      </w:r>
      <w:r>
        <w:rPr>
          <w:rFonts w:hint="eastAsia" w:hAnsi="宋体" w:eastAsia="宋体" w:cs="宋体"/>
          <w:bCs/>
          <w:color w:val="auto"/>
          <w:sz w:val="21"/>
          <w:szCs w:val="21"/>
          <w:lang w:val="en-US" w:eastAsia="zh-CN"/>
        </w:rPr>
        <w:t>或利源公司</w:t>
      </w:r>
      <w:r>
        <w:rPr>
          <w:rFonts w:hint="eastAsia" w:ascii="宋体" w:hAnsi="宋体" w:eastAsia="宋体" w:cs="宋体"/>
          <w:bCs/>
          <w:color w:val="auto"/>
          <w:sz w:val="21"/>
          <w:szCs w:val="21"/>
        </w:rPr>
        <w:t>有权要求投标人在收到通知后【3】日内退换相应的货物；如因货物质量问题在安装使用后导致设备损坏无法正常使用，由投标人负责对该设备进行维修，因此产生的费用由投标人承担。</w:t>
      </w:r>
    </w:p>
    <w:p>
      <w:pPr>
        <w:pStyle w:val="158"/>
        <w:autoSpaceDE/>
        <w:autoSpaceDN/>
        <w:adjustRightInd/>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(3) 投标人提供的货物必须是原厂生产的、非组装的、全新的、未使用过的产品(含零部件、配件、随机工具等)，随机配备的所有配件必须为原厂原配，表面无划伤、无碰撞的痕迹。有原厂包装的，应附有合格证。</w:t>
      </w:r>
    </w:p>
    <w:p>
      <w:pPr>
        <w:pStyle w:val="158"/>
        <w:autoSpaceDE/>
        <w:autoSpaceDN/>
        <w:adjustRightInd/>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(4) 投标人必须提供目前市场上技术较先进，成熟的原装产品，其质量、规格及技术特征符合合同的要求，并符合国家有关标准。</w:t>
      </w:r>
    </w:p>
    <w:p>
      <w:pPr>
        <w:pStyle w:val="158"/>
        <w:autoSpaceDE/>
        <w:autoSpaceDN/>
        <w:adjustRightInd/>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(5) 如货物属于国家规定的特种劳动防护用品的，投标人应在交货时提供相关产品检验报告等质量证明文件。</w:t>
      </w:r>
    </w:p>
    <w:p>
      <w:pPr>
        <w:spacing w:line="360" w:lineRule="auto"/>
        <w:ind w:firstLine="422"/>
        <w:outlineLvl w:val="9"/>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三</w:t>
      </w:r>
      <w:r>
        <w:rPr>
          <w:rFonts w:hint="eastAsia" w:ascii="宋体" w:hAnsi="宋体" w:eastAsia="宋体" w:cs="宋体"/>
          <w:b/>
          <w:color w:val="auto"/>
          <w:sz w:val="21"/>
          <w:szCs w:val="21"/>
        </w:rPr>
        <w:t>、验收要求</w:t>
      </w:r>
    </w:p>
    <w:p>
      <w:pPr>
        <w:pStyle w:val="158"/>
        <w:autoSpaceDE/>
        <w:autoSpaceDN/>
        <w:adjustRightInd/>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(1) 每次货物到达交货地点后，招标人（含招标人委托的第三方）</w:t>
      </w:r>
      <w:r>
        <w:rPr>
          <w:rFonts w:hint="eastAsia" w:hAnsi="宋体" w:eastAsia="宋体" w:cs="宋体"/>
          <w:color w:val="auto"/>
          <w:sz w:val="21"/>
          <w:szCs w:val="21"/>
          <w:lang w:val="en-US" w:eastAsia="zh-CN"/>
        </w:rPr>
        <w:t>或利源公司</w:t>
      </w:r>
      <w:r>
        <w:rPr>
          <w:rFonts w:hint="eastAsia" w:ascii="宋体" w:hAnsi="宋体" w:eastAsia="宋体" w:cs="宋体"/>
          <w:color w:val="auto"/>
          <w:sz w:val="21"/>
          <w:szCs w:val="21"/>
        </w:rPr>
        <w:t>、投标人代表共同清点及验货。招标人（含招标人委托的第三方）</w:t>
      </w:r>
      <w:r>
        <w:rPr>
          <w:rFonts w:hint="eastAsia" w:hAnsi="宋体" w:eastAsia="宋体" w:cs="宋体"/>
          <w:color w:val="auto"/>
          <w:sz w:val="21"/>
          <w:szCs w:val="21"/>
          <w:lang w:val="en-US" w:eastAsia="zh-CN"/>
        </w:rPr>
        <w:t>或利源公司</w:t>
      </w:r>
      <w:r>
        <w:rPr>
          <w:rFonts w:hint="eastAsia" w:ascii="宋体" w:hAnsi="宋体" w:eastAsia="宋体" w:cs="宋体"/>
          <w:color w:val="auto"/>
          <w:sz w:val="21"/>
          <w:szCs w:val="21"/>
        </w:rPr>
        <w:t>按照合同及货物清单、国家相关法律法规以及规范的要求等相关的规定，对货物的品种、品牌、规格型号、数量、外观质量、资料进行清点，并</w:t>
      </w:r>
      <w:r>
        <w:rPr>
          <w:rFonts w:hint="eastAsia" w:hAnsi="宋体" w:eastAsia="宋体" w:cs="宋体"/>
          <w:color w:val="auto"/>
          <w:sz w:val="21"/>
          <w:szCs w:val="21"/>
          <w:lang w:val="en-US" w:eastAsia="zh-CN"/>
        </w:rPr>
        <w:t>在《物资验收单》</w:t>
      </w:r>
      <w:r>
        <w:rPr>
          <w:rFonts w:hint="eastAsia" w:ascii="宋体" w:hAnsi="宋体" w:eastAsia="宋体" w:cs="宋体"/>
          <w:color w:val="auto"/>
          <w:sz w:val="21"/>
          <w:szCs w:val="21"/>
        </w:rPr>
        <w:t>作详细的记录。</w:t>
      </w:r>
    </w:p>
    <w:p>
      <w:pPr>
        <w:pStyle w:val="158"/>
        <w:autoSpaceDE/>
        <w:autoSpaceDN/>
        <w:adjustRightInd/>
        <w:spacing w:line="360" w:lineRule="auto"/>
        <w:jc w:val="both"/>
        <w:outlineLvl w:val="9"/>
        <w:rPr>
          <w:rFonts w:hint="eastAsia" w:ascii="宋体" w:hAnsi="宋体" w:eastAsia="宋体" w:cs="宋体"/>
          <w:color w:val="auto"/>
          <w:sz w:val="21"/>
          <w:szCs w:val="21"/>
        </w:rPr>
      </w:pPr>
      <w:r>
        <w:rPr>
          <w:rFonts w:hint="eastAsia" w:hAnsi="宋体" w:eastAsia="宋体" w:cs="宋体"/>
          <w:color w:val="auto"/>
          <w:sz w:val="21"/>
          <w:szCs w:val="21"/>
          <w:lang w:eastAsia="zh-CN"/>
        </w:rPr>
        <w:t>（</w:t>
      </w:r>
      <w:r>
        <w:rPr>
          <w:rFonts w:hint="eastAsia" w:hAnsi="宋体" w:eastAsia="宋体" w:cs="宋体"/>
          <w:color w:val="auto"/>
          <w:sz w:val="21"/>
          <w:szCs w:val="21"/>
          <w:lang w:val="en-US" w:eastAsia="zh-CN"/>
        </w:rPr>
        <w:t>2</w:t>
      </w:r>
      <w:r>
        <w:rPr>
          <w:rFonts w:hint="eastAsia" w:hAnsi="宋体" w:eastAsia="宋体" w:cs="宋体"/>
          <w:color w:val="auto"/>
          <w:sz w:val="21"/>
          <w:szCs w:val="21"/>
          <w:lang w:eastAsia="zh-CN"/>
        </w:rPr>
        <w:t>）</w:t>
      </w:r>
      <w:r>
        <w:rPr>
          <w:rFonts w:hint="eastAsia" w:ascii="宋体" w:hAnsi="宋体" w:eastAsia="宋体" w:cs="宋体"/>
          <w:color w:val="auto"/>
          <w:sz w:val="21"/>
          <w:szCs w:val="21"/>
        </w:rPr>
        <w:t>在本合同履行过程中，如投标人需变更其代表人员的，应当在下一次供货前【3】日内将书面的变更申请提交至招标人</w:t>
      </w:r>
      <w:r>
        <w:rPr>
          <w:rFonts w:hint="eastAsia" w:hAnsi="宋体" w:eastAsia="宋体" w:cs="宋体"/>
          <w:color w:val="auto"/>
          <w:sz w:val="21"/>
          <w:szCs w:val="21"/>
          <w:lang w:eastAsia="zh-CN"/>
        </w:rPr>
        <w:t>、</w:t>
      </w:r>
      <w:r>
        <w:rPr>
          <w:rFonts w:hint="eastAsia" w:hAnsi="宋体" w:eastAsia="宋体" w:cs="宋体"/>
          <w:color w:val="auto"/>
          <w:sz w:val="21"/>
          <w:szCs w:val="21"/>
          <w:lang w:val="en-US" w:eastAsia="zh-CN"/>
        </w:rPr>
        <w:t>利源公司</w:t>
      </w:r>
      <w:r>
        <w:rPr>
          <w:rFonts w:hint="eastAsia" w:ascii="宋体" w:hAnsi="宋体" w:eastAsia="宋体" w:cs="宋体"/>
          <w:color w:val="auto"/>
          <w:sz w:val="21"/>
          <w:szCs w:val="21"/>
        </w:rPr>
        <w:t>；否则招标人</w:t>
      </w:r>
      <w:r>
        <w:rPr>
          <w:rFonts w:hint="eastAsia" w:hAnsi="宋体" w:eastAsia="宋体" w:cs="宋体"/>
          <w:color w:val="auto"/>
          <w:sz w:val="21"/>
          <w:szCs w:val="21"/>
          <w:lang w:eastAsia="zh-CN"/>
        </w:rPr>
        <w:t>、</w:t>
      </w:r>
      <w:r>
        <w:rPr>
          <w:rFonts w:hint="eastAsia" w:hAnsi="宋体" w:eastAsia="宋体" w:cs="宋体"/>
          <w:color w:val="auto"/>
          <w:sz w:val="21"/>
          <w:szCs w:val="21"/>
          <w:lang w:val="en-US" w:eastAsia="zh-CN"/>
        </w:rPr>
        <w:t>利源公司</w:t>
      </w:r>
      <w:r>
        <w:rPr>
          <w:rFonts w:hint="eastAsia" w:ascii="宋体" w:hAnsi="宋体" w:eastAsia="宋体" w:cs="宋体"/>
          <w:color w:val="auto"/>
          <w:sz w:val="21"/>
          <w:szCs w:val="21"/>
        </w:rPr>
        <w:t>有权依据本合同项下投标人代表人员名单对相关货物进行检验或确认，由此产生的责任均由投标人自行承担。</w:t>
      </w:r>
    </w:p>
    <w:p>
      <w:pPr>
        <w:pStyle w:val="158"/>
        <w:autoSpaceDE/>
        <w:autoSpaceDN/>
        <w:adjustRightInd/>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hAnsi="宋体" w:eastAsia="宋体" w:cs="宋体"/>
          <w:color w:val="auto"/>
          <w:sz w:val="21"/>
          <w:szCs w:val="21"/>
          <w:lang w:val="en-US" w:eastAsia="zh-CN"/>
        </w:rPr>
        <w:t>3</w:t>
      </w:r>
      <w:r>
        <w:rPr>
          <w:rFonts w:hint="eastAsia" w:ascii="宋体" w:hAnsi="宋体" w:eastAsia="宋体" w:cs="宋体"/>
          <w:color w:val="auto"/>
          <w:sz w:val="21"/>
          <w:szCs w:val="21"/>
        </w:rPr>
        <w:t>) 投标人的货物应当按照招标人</w:t>
      </w:r>
      <w:r>
        <w:rPr>
          <w:rFonts w:hint="eastAsia" w:hAnsi="宋体" w:eastAsia="宋体" w:cs="宋体"/>
          <w:color w:val="auto"/>
          <w:sz w:val="21"/>
          <w:szCs w:val="21"/>
          <w:lang w:val="en-US" w:eastAsia="zh-CN"/>
        </w:rPr>
        <w:t>、利源公司</w:t>
      </w:r>
      <w:r>
        <w:rPr>
          <w:rFonts w:hint="eastAsia" w:ascii="宋体" w:hAnsi="宋体" w:eastAsia="宋体" w:cs="宋体"/>
          <w:color w:val="auto"/>
          <w:sz w:val="21"/>
          <w:szCs w:val="21"/>
        </w:rPr>
        <w:t>要求送到指定的地点，由于使用第三方送货服务导致货物未能经过双方共同验收、未送到指定地点仓库的，招标人</w:t>
      </w:r>
      <w:r>
        <w:rPr>
          <w:rFonts w:hint="eastAsia" w:hAnsi="宋体" w:eastAsia="宋体" w:cs="宋体"/>
          <w:color w:val="auto"/>
          <w:sz w:val="21"/>
          <w:szCs w:val="21"/>
          <w:lang w:val="en-US" w:eastAsia="zh-CN"/>
        </w:rPr>
        <w:t>、利源公司</w:t>
      </w:r>
      <w:r>
        <w:rPr>
          <w:rFonts w:hint="eastAsia" w:ascii="宋体" w:hAnsi="宋体" w:eastAsia="宋体" w:cs="宋体"/>
          <w:color w:val="auto"/>
          <w:sz w:val="21"/>
          <w:szCs w:val="21"/>
        </w:rPr>
        <w:t>有权拒绝收货。</w:t>
      </w:r>
    </w:p>
    <w:p>
      <w:pPr>
        <w:pStyle w:val="158"/>
        <w:autoSpaceDE/>
        <w:autoSpaceDN/>
        <w:adjustRightInd/>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hAnsi="宋体" w:eastAsia="宋体" w:cs="宋体"/>
          <w:color w:val="auto"/>
          <w:sz w:val="21"/>
          <w:szCs w:val="21"/>
          <w:lang w:val="en-US" w:eastAsia="zh-CN"/>
        </w:rPr>
        <w:t>4</w:t>
      </w:r>
      <w:r>
        <w:rPr>
          <w:rFonts w:hint="eastAsia" w:ascii="宋体" w:hAnsi="宋体" w:eastAsia="宋体" w:cs="宋体"/>
          <w:color w:val="auto"/>
          <w:sz w:val="21"/>
          <w:szCs w:val="21"/>
        </w:rPr>
        <w:t>) 未经招标人</w:t>
      </w:r>
      <w:r>
        <w:rPr>
          <w:rFonts w:hint="eastAsia" w:hAnsi="宋体" w:eastAsia="宋体" w:cs="宋体"/>
          <w:color w:val="auto"/>
          <w:sz w:val="21"/>
          <w:szCs w:val="21"/>
          <w:lang w:eastAsia="zh-CN"/>
        </w:rPr>
        <w:t>、</w:t>
      </w:r>
      <w:r>
        <w:rPr>
          <w:rFonts w:hint="eastAsia" w:hAnsi="宋体" w:eastAsia="宋体" w:cs="宋体"/>
          <w:color w:val="auto"/>
          <w:sz w:val="21"/>
          <w:szCs w:val="21"/>
          <w:lang w:val="en-US" w:eastAsia="zh-CN"/>
        </w:rPr>
        <w:t>利源公司</w:t>
      </w:r>
      <w:r>
        <w:rPr>
          <w:rFonts w:hint="eastAsia" w:ascii="宋体" w:hAnsi="宋体" w:eastAsia="宋体" w:cs="宋体"/>
          <w:color w:val="auto"/>
          <w:sz w:val="21"/>
          <w:szCs w:val="21"/>
        </w:rPr>
        <w:t>同意，投标人或投标人委托的第三方送货服务仅将货物放置在门口/门卫室，而没有送货至招标人</w:t>
      </w:r>
      <w:r>
        <w:rPr>
          <w:rFonts w:hint="eastAsia" w:hAnsi="宋体" w:eastAsia="宋体" w:cs="宋体"/>
          <w:color w:val="auto"/>
          <w:sz w:val="21"/>
          <w:szCs w:val="21"/>
          <w:lang w:val="en-US" w:eastAsia="zh-CN"/>
        </w:rPr>
        <w:t>、利源公司</w:t>
      </w:r>
      <w:r>
        <w:rPr>
          <w:rFonts w:hint="eastAsia" w:ascii="宋体" w:hAnsi="宋体" w:eastAsia="宋体" w:cs="宋体"/>
          <w:color w:val="auto"/>
          <w:sz w:val="21"/>
          <w:szCs w:val="21"/>
        </w:rPr>
        <w:t>指定的地点的，视为投标人未履行送货义务，招标人</w:t>
      </w:r>
      <w:r>
        <w:rPr>
          <w:rFonts w:hint="eastAsia" w:hAnsi="宋体" w:eastAsia="宋体" w:cs="宋体"/>
          <w:color w:val="auto"/>
          <w:sz w:val="21"/>
          <w:szCs w:val="21"/>
          <w:lang w:val="en-US" w:eastAsia="zh-CN"/>
        </w:rPr>
        <w:t>、利源公司</w:t>
      </w:r>
      <w:r>
        <w:rPr>
          <w:rFonts w:hint="eastAsia" w:ascii="宋体" w:hAnsi="宋体" w:eastAsia="宋体" w:cs="宋体"/>
          <w:color w:val="auto"/>
          <w:sz w:val="21"/>
          <w:szCs w:val="21"/>
        </w:rPr>
        <w:t>有权拒绝接受货物且不予支付货款。上述情况下招标人</w:t>
      </w:r>
      <w:r>
        <w:rPr>
          <w:rFonts w:hint="eastAsia" w:hAnsi="宋体" w:eastAsia="宋体" w:cs="宋体"/>
          <w:color w:val="auto"/>
          <w:sz w:val="21"/>
          <w:szCs w:val="21"/>
          <w:lang w:val="en-US" w:eastAsia="zh-CN"/>
        </w:rPr>
        <w:t>、利源公司</w:t>
      </w:r>
      <w:r>
        <w:rPr>
          <w:rFonts w:hint="eastAsia" w:ascii="宋体" w:hAnsi="宋体" w:eastAsia="宋体" w:cs="宋体"/>
          <w:color w:val="auto"/>
          <w:sz w:val="21"/>
          <w:szCs w:val="21"/>
        </w:rPr>
        <w:t>不负保管责任，货物未按照招标人</w:t>
      </w:r>
      <w:r>
        <w:rPr>
          <w:rFonts w:hint="eastAsia" w:hAnsi="宋体" w:eastAsia="宋体" w:cs="宋体"/>
          <w:color w:val="auto"/>
          <w:sz w:val="21"/>
          <w:szCs w:val="21"/>
          <w:lang w:val="en-US" w:eastAsia="zh-CN"/>
        </w:rPr>
        <w:t>、利源公司</w:t>
      </w:r>
      <w:r>
        <w:rPr>
          <w:rFonts w:hint="eastAsia" w:ascii="宋体" w:hAnsi="宋体" w:eastAsia="宋体" w:cs="宋体"/>
          <w:color w:val="auto"/>
          <w:sz w:val="21"/>
          <w:szCs w:val="21"/>
        </w:rPr>
        <w:t>要求放置而造成的损毁、灭失风险概由投标人承担。</w:t>
      </w:r>
    </w:p>
    <w:p>
      <w:pPr>
        <w:pStyle w:val="158"/>
        <w:autoSpaceDE/>
        <w:autoSpaceDN/>
        <w:adjustRightInd/>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hAnsi="宋体" w:eastAsia="宋体" w:cs="宋体"/>
          <w:color w:val="auto"/>
          <w:sz w:val="21"/>
          <w:szCs w:val="21"/>
          <w:lang w:val="en-US" w:eastAsia="zh-CN"/>
        </w:rPr>
        <w:t>5</w:t>
      </w:r>
      <w:r>
        <w:rPr>
          <w:rFonts w:hint="eastAsia" w:ascii="宋体" w:hAnsi="宋体" w:eastAsia="宋体" w:cs="宋体"/>
          <w:color w:val="auto"/>
          <w:sz w:val="21"/>
          <w:szCs w:val="21"/>
        </w:rPr>
        <w:t>) 如发现货物的品种、规格型号、数量、外观质量、品牌与合同及供货清单不符，或货物短缺、质次、损坏等问题，应作详细记录，且招标人</w:t>
      </w:r>
      <w:r>
        <w:rPr>
          <w:rFonts w:hint="eastAsia" w:hAnsi="宋体" w:eastAsia="宋体" w:cs="宋体"/>
          <w:color w:val="auto"/>
          <w:sz w:val="21"/>
          <w:szCs w:val="21"/>
          <w:lang w:eastAsia="zh-CN"/>
        </w:rPr>
        <w:t>、</w:t>
      </w:r>
      <w:r>
        <w:rPr>
          <w:rFonts w:hint="eastAsia" w:hAnsi="宋体" w:eastAsia="宋体" w:cs="宋体"/>
          <w:color w:val="auto"/>
          <w:sz w:val="21"/>
          <w:szCs w:val="21"/>
          <w:lang w:val="en-US" w:eastAsia="zh-CN"/>
        </w:rPr>
        <w:t>利源公司</w:t>
      </w:r>
      <w:r>
        <w:rPr>
          <w:rFonts w:hint="eastAsia" w:ascii="宋体" w:hAnsi="宋体" w:eastAsia="宋体" w:cs="宋体"/>
          <w:color w:val="auto"/>
          <w:sz w:val="21"/>
          <w:szCs w:val="21"/>
        </w:rPr>
        <w:t>有权拒绝收货及拒绝付款，投标人应在收到招标人</w:t>
      </w:r>
      <w:r>
        <w:rPr>
          <w:rFonts w:hint="eastAsia" w:hAnsi="宋体" w:eastAsia="宋体" w:cs="宋体"/>
          <w:color w:val="auto"/>
          <w:sz w:val="21"/>
          <w:szCs w:val="21"/>
          <w:lang w:val="en-US" w:eastAsia="zh-CN"/>
        </w:rPr>
        <w:t>或利源公司</w:t>
      </w:r>
      <w:r>
        <w:rPr>
          <w:rFonts w:hint="eastAsia" w:ascii="宋体" w:hAnsi="宋体" w:eastAsia="宋体" w:cs="宋体"/>
          <w:color w:val="auto"/>
          <w:sz w:val="21"/>
          <w:szCs w:val="21"/>
        </w:rPr>
        <w:t>通知后【3】日内、无条件为招标人</w:t>
      </w:r>
      <w:r>
        <w:rPr>
          <w:rFonts w:hint="eastAsia" w:hAnsi="宋体" w:eastAsia="宋体" w:cs="宋体"/>
          <w:color w:val="auto"/>
          <w:sz w:val="21"/>
          <w:szCs w:val="21"/>
          <w:lang w:val="en-US" w:eastAsia="zh-CN"/>
        </w:rPr>
        <w:t>或利源公司</w:t>
      </w:r>
      <w:r>
        <w:rPr>
          <w:rFonts w:hint="eastAsia" w:ascii="宋体" w:hAnsi="宋体" w:eastAsia="宋体" w:cs="宋体"/>
          <w:color w:val="auto"/>
          <w:sz w:val="21"/>
          <w:szCs w:val="21"/>
        </w:rPr>
        <w:t>免费更换、补齐或无条件退货。更换或补齐后的货物，招标人</w:t>
      </w:r>
      <w:r>
        <w:rPr>
          <w:rFonts w:hint="eastAsia" w:hAnsi="宋体" w:eastAsia="宋体" w:cs="宋体"/>
          <w:color w:val="auto"/>
          <w:sz w:val="21"/>
          <w:szCs w:val="21"/>
          <w:lang w:eastAsia="zh-CN"/>
        </w:rPr>
        <w:t>、</w:t>
      </w:r>
      <w:r>
        <w:rPr>
          <w:rFonts w:hint="eastAsia" w:hAnsi="宋体" w:eastAsia="宋体" w:cs="宋体"/>
          <w:color w:val="auto"/>
          <w:sz w:val="21"/>
          <w:szCs w:val="21"/>
          <w:lang w:val="en-US" w:eastAsia="zh-CN"/>
        </w:rPr>
        <w:t>利源公司</w:t>
      </w:r>
      <w:r>
        <w:rPr>
          <w:rFonts w:hint="eastAsia" w:ascii="宋体" w:hAnsi="宋体" w:eastAsia="宋体" w:cs="宋体"/>
          <w:color w:val="auto"/>
          <w:sz w:val="21"/>
          <w:szCs w:val="21"/>
        </w:rPr>
        <w:t>有权按照本条有关验收的约定进行验收，由此产生的制造、修理、运费及保险费等费用均应由投标人负担，与招标人</w:t>
      </w:r>
      <w:r>
        <w:rPr>
          <w:rFonts w:hint="eastAsia" w:hAnsi="宋体" w:eastAsia="宋体" w:cs="宋体"/>
          <w:color w:val="auto"/>
          <w:sz w:val="21"/>
          <w:szCs w:val="21"/>
          <w:lang w:val="en-US" w:eastAsia="zh-CN"/>
        </w:rPr>
        <w:t>或利源公司</w:t>
      </w:r>
      <w:r>
        <w:rPr>
          <w:rFonts w:hint="eastAsia" w:ascii="宋体" w:hAnsi="宋体" w:eastAsia="宋体" w:cs="宋体"/>
          <w:color w:val="auto"/>
          <w:sz w:val="21"/>
          <w:szCs w:val="21"/>
        </w:rPr>
        <w:t>无关。</w:t>
      </w:r>
    </w:p>
    <w:p>
      <w:pPr>
        <w:pStyle w:val="158"/>
        <w:autoSpaceDE/>
        <w:autoSpaceDN/>
        <w:adjustRightInd/>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hAnsi="宋体" w:eastAsia="宋体" w:cs="宋体"/>
          <w:color w:val="auto"/>
          <w:sz w:val="21"/>
          <w:szCs w:val="21"/>
          <w:lang w:val="en-US" w:eastAsia="zh-CN"/>
        </w:rPr>
        <w:t>6</w:t>
      </w:r>
      <w:r>
        <w:rPr>
          <w:rFonts w:hint="eastAsia" w:ascii="宋体" w:hAnsi="宋体" w:eastAsia="宋体" w:cs="宋体"/>
          <w:color w:val="auto"/>
          <w:sz w:val="21"/>
          <w:szCs w:val="21"/>
        </w:rPr>
        <w:t>) 由于非招标人</w:t>
      </w:r>
      <w:r>
        <w:rPr>
          <w:rFonts w:hint="eastAsia" w:hAnsi="宋体" w:eastAsia="宋体" w:cs="宋体"/>
          <w:color w:val="auto"/>
          <w:sz w:val="21"/>
          <w:szCs w:val="21"/>
          <w:lang w:val="en-US" w:eastAsia="zh-CN"/>
        </w:rPr>
        <w:t>或利源公司</w:t>
      </w:r>
      <w:r>
        <w:rPr>
          <w:rFonts w:hint="eastAsia" w:ascii="宋体" w:hAnsi="宋体" w:eastAsia="宋体" w:cs="宋体"/>
          <w:color w:val="auto"/>
          <w:sz w:val="21"/>
          <w:szCs w:val="21"/>
        </w:rPr>
        <w:t>原因而引起货物的修理或更换的</w:t>
      </w:r>
      <w:r>
        <w:rPr>
          <w:rFonts w:hint="eastAsia" w:hAnsi="宋体" w:eastAsia="宋体" w:cs="宋体"/>
          <w:color w:val="auto"/>
          <w:sz w:val="21"/>
          <w:szCs w:val="21"/>
          <w:lang w:val="en-US" w:eastAsia="zh-CN"/>
        </w:rPr>
        <w:t>时间</w:t>
      </w:r>
      <w:r>
        <w:rPr>
          <w:rFonts w:hint="eastAsia" w:ascii="宋体" w:hAnsi="宋体" w:eastAsia="宋体" w:cs="宋体"/>
          <w:color w:val="auto"/>
          <w:sz w:val="21"/>
          <w:szCs w:val="21"/>
        </w:rPr>
        <w:t>，</w:t>
      </w:r>
      <w:r>
        <w:rPr>
          <w:rFonts w:hint="eastAsia" w:hAnsi="宋体" w:eastAsia="宋体" w:cs="宋体"/>
          <w:color w:val="auto"/>
          <w:sz w:val="21"/>
          <w:szCs w:val="21"/>
          <w:lang w:val="en-US" w:eastAsia="zh-CN"/>
        </w:rPr>
        <w:t>如中标人在招标人或利源公司规定的时间内完成修理或更换的，则不视为逾期交货，否则将视为逾期交货</w:t>
      </w:r>
      <w:r>
        <w:rPr>
          <w:rFonts w:hint="eastAsia" w:ascii="宋体" w:hAnsi="宋体" w:eastAsia="宋体" w:cs="宋体"/>
          <w:color w:val="auto"/>
          <w:sz w:val="21"/>
          <w:szCs w:val="21"/>
        </w:rPr>
        <w:t>。</w:t>
      </w:r>
    </w:p>
    <w:p>
      <w:pPr>
        <w:pStyle w:val="158"/>
        <w:autoSpaceDE/>
        <w:autoSpaceDN/>
        <w:adjustRightInd/>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hAnsi="宋体" w:eastAsia="宋体" w:cs="宋体"/>
          <w:color w:val="auto"/>
          <w:sz w:val="21"/>
          <w:szCs w:val="21"/>
          <w:lang w:val="en-US" w:eastAsia="zh-CN"/>
        </w:rPr>
        <w:t>7</w:t>
      </w:r>
      <w:r>
        <w:rPr>
          <w:rFonts w:hint="eastAsia" w:ascii="宋体" w:hAnsi="宋体" w:eastAsia="宋体" w:cs="宋体"/>
          <w:color w:val="auto"/>
          <w:sz w:val="21"/>
          <w:szCs w:val="21"/>
        </w:rPr>
        <w:t>) 货物经验收合格后，投标人仍应在质保期内对产品质量承担保证责任。</w:t>
      </w:r>
    </w:p>
    <w:p>
      <w:pPr>
        <w:pStyle w:val="158"/>
        <w:autoSpaceDE/>
        <w:autoSpaceDN/>
        <w:adjustRightInd/>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hAnsi="宋体" w:eastAsia="宋体" w:cs="宋体"/>
          <w:color w:val="auto"/>
          <w:sz w:val="21"/>
          <w:szCs w:val="21"/>
          <w:lang w:val="en-US" w:eastAsia="zh-CN"/>
        </w:rPr>
        <w:t>8</w:t>
      </w:r>
      <w:r>
        <w:rPr>
          <w:rFonts w:hint="eastAsia" w:ascii="宋体" w:hAnsi="宋体" w:eastAsia="宋体" w:cs="宋体"/>
          <w:color w:val="auto"/>
          <w:sz w:val="21"/>
          <w:szCs w:val="21"/>
        </w:rPr>
        <w:t>) 招标人</w:t>
      </w:r>
      <w:r>
        <w:rPr>
          <w:rFonts w:hint="eastAsia" w:hAnsi="宋体" w:eastAsia="宋体" w:cs="宋体"/>
          <w:color w:val="auto"/>
          <w:sz w:val="21"/>
          <w:szCs w:val="21"/>
          <w:lang w:eastAsia="zh-CN"/>
        </w:rPr>
        <w:t>、</w:t>
      </w:r>
      <w:r>
        <w:rPr>
          <w:rFonts w:hint="eastAsia" w:hAnsi="宋体" w:eastAsia="宋体" w:cs="宋体"/>
          <w:color w:val="auto"/>
          <w:sz w:val="21"/>
          <w:szCs w:val="21"/>
          <w:lang w:val="en-US" w:eastAsia="zh-CN"/>
        </w:rPr>
        <w:t>利源公司</w:t>
      </w:r>
      <w:r>
        <w:rPr>
          <w:rFonts w:hint="eastAsia" w:ascii="宋体" w:hAnsi="宋体" w:eastAsia="宋体" w:cs="宋体"/>
          <w:color w:val="auto"/>
          <w:sz w:val="21"/>
          <w:szCs w:val="21"/>
        </w:rPr>
        <w:t>根据本条约定对货物所做出的验收，仅作为起算付款及质保期之用，不视为招标人</w:t>
      </w:r>
      <w:r>
        <w:rPr>
          <w:rFonts w:hint="eastAsia" w:hAnsi="宋体" w:eastAsia="宋体" w:cs="宋体"/>
          <w:color w:val="auto"/>
          <w:sz w:val="21"/>
          <w:szCs w:val="21"/>
          <w:lang w:eastAsia="zh-CN"/>
        </w:rPr>
        <w:t>、</w:t>
      </w:r>
      <w:r>
        <w:rPr>
          <w:rFonts w:hint="eastAsia" w:hAnsi="宋体" w:eastAsia="宋体" w:cs="宋体"/>
          <w:color w:val="auto"/>
          <w:sz w:val="21"/>
          <w:szCs w:val="21"/>
          <w:lang w:val="en-US" w:eastAsia="zh-CN"/>
        </w:rPr>
        <w:t>利源公司</w:t>
      </w:r>
      <w:r>
        <w:rPr>
          <w:rFonts w:hint="eastAsia" w:ascii="宋体" w:hAnsi="宋体" w:eastAsia="宋体" w:cs="宋体"/>
          <w:color w:val="auto"/>
          <w:sz w:val="21"/>
          <w:szCs w:val="21"/>
        </w:rPr>
        <w:t>对于货物质量的最终认定。</w:t>
      </w:r>
    </w:p>
    <w:p>
      <w:pPr>
        <w:spacing w:line="360" w:lineRule="auto"/>
        <w:ind w:firstLine="420"/>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 货物在</w:t>
      </w:r>
      <w:r>
        <w:rPr>
          <w:rFonts w:hint="eastAsia" w:ascii="宋体" w:hAnsi="宋体" w:eastAsia="宋体" w:cs="宋体"/>
          <w:color w:val="auto"/>
          <w:sz w:val="21"/>
          <w:szCs w:val="21"/>
          <w:lang w:val="en-US" w:eastAsia="zh-CN"/>
        </w:rPr>
        <w:t>每批次</w:t>
      </w:r>
      <w:r>
        <w:rPr>
          <w:rFonts w:hint="eastAsia" w:ascii="宋体" w:hAnsi="宋体" w:eastAsia="宋体" w:cs="宋体"/>
          <w:color w:val="auto"/>
          <w:sz w:val="21"/>
          <w:szCs w:val="21"/>
        </w:rPr>
        <w:t>全部经招标人</w:t>
      </w:r>
      <w:r>
        <w:rPr>
          <w:rFonts w:hint="eastAsia" w:ascii="宋体" w:hAnsi="宋体" w:eastAsia="宋体" w:cs="宋体"/>
          <w:color w:val="auto"/>
          <w:sz w:val="21"/>
          <w:szCs w:val="21"/>
          <w:lang w:val="en-US" w:eastAsia="zh-CN"/>
        </w:rPr>
        <w:t>或利源公司</w:t>
      </w:r>
      <w:r>
        <w:rPr>
          <w:rFonts w:hint="eastAsia" w:ascii="宋体" w:hAnsi="宋体" w:eastAsia="宋体" w:cs="宋体"/>
          <w:color w:val="auto"/>
          <w:sz w:val="21"/>
          <w:szCs w:val="21"/>
        </w:rPr>
        <w:t>验收合格前，其损耗、毁损、灭失等风险及责任由投标人承担，如因发生前述情形，导致投标人所供应的货物不能通过招标人</w:t>
      </w:r>
      <w:r>
        <w:rPr>
          <w:rFonts w:hint="eastAsia" w:ascii="宋体" w:hAnsi="宋体" w:eastAsia="宋体" w:cs="宋体"/>
          <w:color w:val="auto"/>
          <w:sz w:val="21"/>
          <w:szCs w:val="21"/>
          <w:lang w:val="en-US" w:eastAsia="zh-CN"/>
        </w:rPr>
        <w:t>或利源公司</w:t>
      </w:r>
      <w:r>
        <w:rPr>
          <w:rFonts w:hint="eastAsia" w:ascii="宋体" w:hAnsi="宋体" w:eastAsia="宋体" w:cs="宋体"/>
          <w:color w:val="auto"/>
          <w:sz w:val="21"/>
          <w:szCs w:val="21"/>
        </w:rPr>
        <w:t>验收的，投标人应按招标人</w:t>
      </w:r>
      <w:r>
        <w:rPr>
          <w:rFonts w:hint="eastAsia" w:ascii="宋体" w:hAnsi="宋体" w:eastAsia="宋体" w:cs="宋体"/>
          <w:color w:val="auto"/>
          <w:sz w:val="21"/>
          <w:szCs w:val="21"/>
          <w:lang w:val="en-US" w:eastAsia="zh-CN"/>
        </w:rPr>
        <w:t>或利源公司</w:t>
      </w:r>
      <w:r>
        <w:rPr>
          <w:rFonts w:hint="eastAsia" w:ascii="宋体" w:hAnsi="宋体" w:eastAsia="宋体" w:cs="宋体"/>
          <w:color w:val="auto"/>
          <w:sz w:val="21"/>
          <w:szCs w:val="21"/>
        </w:rPr>
        <w:t>要求予以免费更换、补齐或无条件退货。</w:t>
      </w:r>
      <w:bookmarkStart w:id="521" w:name="_Toc22844"/>
    </w:p>
    <w:p>
      <w:pPr>
        <w:spacing w:line="360" w:lineRule="auto"/>
        <w:ind w:firstLine="420"/>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 验收过程中，如对检验记录不能取得一致意见时，一方可委托货物交付地有资质权威的第三方检验机构联合进行检验。检验结果具有约束力，检验费用由责任方负担。</w:t>
      </w:r>
    </w:p>
    <w:bookmarkEnd w:id="521"/>
    <w:p>
      <w:pPr>
        <w:spacing w:line="360" w:lineRule="auto"/>
        <w:ind w:firstLine="422"/>
        <w:outlineLvl w:val="9"/>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四</w:t>
      </w:r>
      <w:r>
        <w:rPr>
          <w:rFonts w:hint="eastAsia" w:ascii="宋体" w:hAnsi="宋体" w:eastAsia="宋体" w:cs="宋体"/>
          <w:b/>
          <w:color w:val="auto"/>
          <w:sz w:val="21"/>
          <w:szCs w:val="21"/>
        </w:rPr>
        <w:t>、质保及售后要求</w:t>
      </w:r>
    </w:p>
    <w:p>
      <w:pPr>
        <w:pStyle w:val="158"/>
        <w:autoSpaceDE/>
        <w:autoSpaceDN/>
        <w:adjustRightInd/>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(1) 由招标人</w:t>
      </w:r>
      <w:r>
        <w:rPr>
          <w:rFonts w:hint="eastAsia" w:hAnsi="宋体" w:eastAsia="宋体" w:cs="宋体"/>
          <w:color w:val="auto"/>
          <w:sz w:val="21"/>
          <w:szCs w:val="21"/>
          <w:lang w:val="en-US" w:eastAsia="zh-CN"/>
        </w:rPr>
        <w:t>或利源公司</w:t>
      </w:r>
      <w:r>
        <w:rPr>
          <w:rFonts w:hint="eastAsia" w:ascii="宋体" w:hAnsi="宋体" w:eastAsia="宋体" w:cs="宋体"/>
          <w:color w:val="auto"/>
          <w:sz w:val="21"/>
          <w:szCs w:val="21"/>
        </w:rPr>
        <w:t>负责所供货物的安装工作，招标人</w:t>
      </w:r>
      <w:r>
        <w:rPr>
          <w:rFonts w:hint="eastAsia" w:hAnsi="宋体" w:eastAsia="宋体" w:cs="宋体"/>
          <w:color w:val="auto"/>
          <w:sz w:val="21"/>
          <w:szCs w:val="21"/>
          <w:lang w:val="en-US" w:eastAsia="zh-CN"/>
        </w:rPr>
        <w:t>或利源公司</w:t>
      </w:r>
      <w:r>
        <w:rPr>
          <w:rFonts w:hint="eastAsia" w:ascii="宋体" w:hAnsi="宋体" w:eastAsia="宋体" w:cs="宋体"/>
          <w:color w:val="auto"/>
          <w:sz w:val="21"/>
          <w:szCs w:val="21"/>
        </w:rPr>
        <w:t>在安装、使用货物时所遇技术问题，投标人应按招标人</w:t>
      </w:r>
      <w:r>
        <w:rPr>
          <w:rFonts w:hint="eastAsia" w:hAnsi="宋体" w:eastAsia="宋体" w:cs="宋体"/>
          <w:color w:val="auto"/>
          <w:sz w:val="21"/>
          <w:szCs w:val="21"/>
          <w:lang w:val="en-US" w:eastAsia="zh-CN"/>
        </w:rPr>
        <w:t>或利源公司</w:t>
      </w:r>
      <w:r>
        <w:rPr>
          <w:rFonts w:hint="eastAsia" w:ascii="宋体" w:hAnsi="宋体" w:eastAsia="宋体" w:cs="宋体"/>
          <w:color w:val="auto"/>
          <w:sz w:val="21"/>
          <w:szCs w:val="21"/>
        </w:rPr>
        <w:t>要求及时向招标人</w:t>
      </w:r>
      <w:r>
        <w:rPr>
          <w:rFonts w:hint="eastAsia" w:hAnsi="宋体" w:eastAsia="宋体" w:cs="宋体"/>
          <w:color w:val="auto"/>
          <w:sz w:val="21"/>
          <w:szCs w:val="21"/>
          <w:lang w:val="en-US" w:eastAsia="zh-CN"/>
        </w:rPr>
        <w:t>或利源公司</w:t>
      </w:r>
      <w:r>
        <w:rPr>
          <w:rFonts w:hint="eastAsia" w:ascii="宋体" w:hAnsi="宋体" w:eastAsia="宋体" w:cs="宋体"/>
          <w:color w:val="auto"/>
          <w:sz w:val="21"/>
          <w:szCs w:val="21"/>
        </w:rPr>
        <w:t>提供技术指导服务。</w:t>
      </w:r>
    </w:p>
    <w:p>
      <w:pPr>
        <w:pStyle w:val="158"/>
        <w:autoSpaceDE/>
        <w:autoSpaceDN/>
        <w:adjustRightInd/>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(2) 质保期为一年，自投标人完成每次</w:t>
      </w:r>
      <w:r>
        <w:rPr>
          <w:rFonts w:hint="eastAsia" w:hAnsi="宋体" w:eastAsia="宋体" w:cs="宋体"/>
          <w:color w:val="auto"/>
          <w:sz w:val="21"/>
          <w:szCs w:val="21"/>
          <w:lang w:val="en-US" w:eastAsia="zh-CN"/>
        </w:rPr>
        <w:t>供货清单</w:t>
      </w:r>
      <w:r>
        <w:rPr>
          <w:rFonts w:hint="eastAsia" w:ascii="宋体" w:hAnsi="宋体" w:eastAsia="宋体" w:cs="宋体"/>
          <w:color w:val="auto"/>
          <w:sz w:val="21"/>
          <w:szCs w:val="21"/>
        </w:rPr>
        <w:t>的所有货物</w:t>
      </w:r>
      <w:r>
        <w:rPr>
          <w:rFonts w:hint="eastAsia" w:hAnsi="宋体" w:eastAsia="宋体" w:cs="宋体"/>
          <w:color w:val="auto"/>
          <w:sz w:val="21"/>
          <w:szCs w:val="21"/>
          <w:lang w:val="en-US" w:eastAsia="zh-CN"/>
        </w:rPr>
        <w:t>配送</w:t>
      </w:r>
      <w:r>
        <w:rPr>
          <w:rFonts w:hint="eastAsia" w:ascii="宋体" w:hAnsi="宋体" w:eastAsia="宋体" w:cs="宋体"/>
          <w:color w:val="auto"/>
          <w:sz w:val="21"/>
          <w:szCs w:val="21"/>
        </w:rPr>
        <w:t>并经招标人</w:t>
      </w:r>
      <w:r>
        <w:rPr>
          <w:rFonts w:hint="eastAsia" w:hAnsi="宋体" w:eastAsia="宋体" w:cs="宋体"/>
          <w:color w:val="auto"/>
          <w:sz w:val="21"/>
          <w:szCs w:val="21"/>
          <w:lang w:val="en-US" w:eastAsia="zh-CN"/>
        </w:rPr>
        <w:t>或利源公司</w:t>
      </w:r>
      <w:r>
        <w:rPr>
          <w:rFonts w:hint="eastAsia" w:ascii="宋体" w:hAnsi="宋体" w:eastAsia="宋体" w:cs="宋体"/>
          <w:color w:val="auto"/>
          <w:sz w:val="21"/>
          <w:szCs w:val="21"/>
        </w:rPr>
        <w:t>最终验收合格之日起计算，质保期内投标人在收到质保通知之日起【3】日内免费提供上门服务（该费用已包含在货款内）。若货物厂家出厂时承诺更长的质保期限或更高标准的质保义务的，投标人需按厂家承诺提供质保服务。若投标人逾期提供质保服务或未能对具有质量问题的货物进行维护的，招标人</w:t>
      </w:r>
      <w:r>
        <w:rPr>
          <w:rFonts w:hint="eastAsia" w:hAnsi="宋体" w:eastAsia="宋体" w:cs="宋体"/>
          <w:color w:val="auto"/>
          <w:sz w:val="21"/>
          <w:szCs w:val="21"/>
          <w:lang w:val="en-US" w:eastAsia="zh-CN"/>
        </w:rPr>
        <w:t>或利源公司</w:t>
      </w:r>
      <w:r>
        <w:rPr>
          <w:rFonts w:hint="eastAsia" w:ascii="宋体" w:hAnsi="宋体" w:eastAsia="宋体" w:cs="宋体"/>
          <w:color w:val="auto"/>
          <w:sz w:val="21"/>
          <w:szCs w:val="21"/>
        </w:rPr>
        <w:t>有权另行委托第三方对上述货物进行维护，因此产生的所有费用均由投标人承担。</w:t>
      </w:r>
    </w:p>
    <w:p>
      <w:pPr>
        <w:pStyle w:val="158"/>
        <w:autoSpaceDE/>
        <w:autoSpaceDN/>
        <w:adjustRightInd/>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(3) 质保期内，若货物经 1 次维修或维修时间超过1个月，仍不能正常使用的，投标人应免费给予更换，被更换的货物的质保期为从更换日起重新计算。</w:t>
      </w:r>
    </w:p>
    <w:p>
      <w:pPr>
        <w:pStyle w:val="158"/>
        <w:autoSpaceDE/>
        <w:autoSpaceDN/>
        <w:adjustRightInd/>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(4) 在合同规定的质保期内，当货物出现故障问题时，投标人接到招标人</w:t>
      </w:r>
      <w:r>
        <w:rPr>
          <w:rFonts w:hint="eastAsia" w:hAnsi="宋体" w:eastAsia="宋体" w:cs="宋体"/>
          <w:color w:val="auto"/>
          <w:sz w:val="21"/>
          <w:szCs w:val="21"/>
          <w:lang w:val="en-US" w:eastAsia="zh-CN"/>
        </w:rPr>
        <w:t>或利源公司</w:t>
      </w:r>
      <w:r>
        <w:rPr>
          <w:rFonts w:hint="eastAsia" w:ascii="宋体" w:hAnsi="宋体" w:eastAsia="宋体" w:cs="宋体"/>
          <w:color w:val="auto"/>
          <w:sz w:val="21"/>
          <w:szCs w:val="21"/>
        </w:rPr>
        <w:t>通知后4小时内响应，24小时内赶到现场维修或更换，保证货物的正常使用。</w:t>
      </w:r>
    </w:p>
    <w:p>
      <w:pPr>
        <w:spacing w:line="360" w:lineRule="auto"/>
        <w:ind w:firstLine="422"/>
        <w:outlineLvl w:val="9"/>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五</w:t>
      </w:r>
      <w:r>
        <w:rPr>
          <w:rFonts w:hint="eastAsia" w:ascii="宋体" w:hAnsi="宋体" w:eastAsia="宋体" w:cs="宋体"/>
          <w:b/>
          <w:color w:val="auto"/>
          <w:sz w:val="21"/>
          <w:szCs w:val="21"/>
        </w:rPr>
        <w:t>、</w:t>
      </w:r>
      <w:r>
        <w:rPr>
          <w:rFonts w:hint="eastAsia" w:ascii="宋体" w:hAnsi="宋体" w:eastAsia="宋体" w:cs="宋体"/>
          <w:b/>
          <w:color w:val="auto"/>
          <w:sz w:val="21"/>
          <w:szCs w:val="21"/>
          <w:lang w:val="en-US" w:eastAsia="zh-CN"/>
        </w:rPr>
        <w:t>考核制度</w:t>
      </w:r>
      <w:r>
        <w:rPr>
          <w:rFonts w:hint="eastAsia" w:ascii="宋体" w:hAnsi="宋体" w:eastAsia="宋体" w:cs="宋体"/>
          <w:b/>
          <w:color w:val="auto"/>
          <w:sz w:val="21"/>
          <w:szCs w:val="21"/>
        </w:rPr>
        <w:t xml:space="preserve"> </w:t>
      </w:r>
    </w:p>
    <w:p>
      <w:pPr>
        <w:pStyle w:val="158"/>
        <w:autoSpaceDE/>
        <w:autoSpaceDN/>
        <w:adjustRightInd/>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(1) 投标人有义务接受招标人</w:t>
      </w:r>
      <w:r>
        <w:rPr>
          <w:rFonts w:hint="eastAsia" w:hAnsi="宋体" w:eastAsia="宋体" w:cs="宋体"/>
          <w:color w:val="auto"/>
          <w:sz w:val="21"/>
          <w:szCs w:val="21"/>
          <w:lang w:val="en-US" w:eastAsia="zh-CN"/>
        </w:rPr>
        <w:t>或利源公司</w:t>
      </w:r>
      <w:r>
        <w:rPr>
          <w:rFonts w:hint="eastAsia" w:ascii="宋体" w:hAnsi="宋体" w:eastAsia="宋体" w:cs="宋体"/>
          <w:color w:val="auto"/>
          <w:sz w:val="21"/>
          <w:szCs w:val="21"/>
        </w:rPr>
        <w:t xml:space="preserve">的监督、评价及考核。 </w:t>
      </w:r>
    </w:p>
    <w:p>
      <w:pPr>
        <w:pStyle w:val="158"/>
        <w:autoSpaceDE/>
        <w:autoSpaceDN/>
        <w:adjustRightInd/>
        <w:spacing w:line="360" w:lineRule="auto"/>
        <w:jc w:val="both"/>
        <w:outlineLvl w:val="9"/>
        <w:rPr>
          <w:rFonts w:hint="eastAsia" w:hAnsi="宋体" w:eastAsia="宋体" w:cs="Times New Roman"/>
          <w:color w:val="auto"/>
          <w:sz w:val="21"/>
          <w:szCs w:val="21"/>
          <w:lang w:val="en-US" w:eastAsia="zh-CN"/>
        </w:rPr>
      </w:pPr>
      <w:r>
        <w:rPr>
          <w:rFonts w:hint="eastAsia" w:hAnsi="宋体" w:eastAsia="宋体" w:cs="Times New Roman"/>
          <w:color w:val="auto"/>
          <w:sz w:val="21"/>
          <w:szCs w:val="21"/>
          <w:lang w:eastAsia="zh-CN"/>
        </w:rPr>
        <w:t>（</w:t>
      </w:r>
      <w:r>
        <w:rPr>
          <w:rFonts w:hint="eastAsia" w:hAnsi="宋体" w:eastAsia="宋体" w:cs="Times New Roman"/>
          <w:color w:val="auto"/>
          <w:sz w:val="21"/>
          <w:szCs w:val="21"/>
          <w:lang w:val="en-US" w:eastAsia="zh-CN"/>
        </w:rPr>
        <w:t>2</w:t>
      </w:r>
      <w:r>
        <w:rPr>
          <w:rFonts w:hint="eastAsia" w:hAnsi="宋体" w:eastAsia="宋体" w:cs="Times New Roman"/>
          <w:color w:val="auto"/>
          <w:sz w:val="21"/>
          <w:szCs w:val="21"/>
          <w:lang w:eastAsia="zh-CN"/>
        </w:rPr>
        <w:t>）</w:t>
      </w:r>
      <w:r>
        <w:rPr>
          <w:rFonts w:hint="eastAsia" w:hAnsi="宋体" w:eastAsia="宋体" w:cs="Times New Roman"/>
          <w:color w:val="auto"/>
          <w:sz w:val="21"/>
          <w:szCs w:val="21"/>
          <w:lang w:val="en-US" w:eastAsia="zh-CN"/>
        </w:rPr>
        <w:t>招标人或利源公司每月在付款手续前对投标人的履约情况进行月度评价，填写《供应商履约评价表》，供应商履约评价表满分为100分，评价90分（含）以上为优秀，80（含）-90分为良好，60（含）-80分为及格，低于60分为不及格；对于考核评分低于60分的，第1次约谈警告，第2次和第3次投标人应分别向招标人或利源公司支付2万元作为违约金；</w:t>
      </w:r>
      <w:r>
        <w:rPr>
          <w:rFonts w:hint="eastAsia" w:hAnsi="宋体" w:eastAsia="宋体" w:cs="Times New Roman"/>
          <w:color w:val="auto"/>
          <w:sz w:val="21"/>
          <w:szCs w:val="21"/>
          <w:highlight w:val="none"/>
          <w:lang w:val="en-US" w:eastAsia="zh-CN"/>
        </w:rPr>
        <w:t>累积低于60分超过3次的</w:t>
      </w:r>
      <w:r>
        <w:rPr>
          <w:rFonts w:hint="eastAsia" w:hAnsi="宋体" w:eastAsia="宋体" w:cs="Times New Roman"/>
          <w:color w:val="auto"/>
          <w:sz w:val="21"/>
          <w:szCs w:val="21"/>
          <w:lang w:val="en-US" w:eastAsia="zh-CN"/>
        </w:rPr>
        <w:t>，招标人或利源公司有权单方解除合同、终止投标人供货资格，并没收履约保证金。</w:t>
      </w:r>
    </w:p>
    <w:p>
      <w:pPr>
        <w:pStyle w:val="158"/>
        <w:autoSpaceDE/>
        <w:autoSpaceDN/>
        <w:adjustRightInd/>
        <w:spacing w:line="360" w:lineRule="auto"/>
        <w:jc w:val="both"/>
        <w:outlineLvl w:val="9"/>
        <w:rPr>
          <w:rFonts w:hint="eastAsia" w:hAnsi="宋体" w:eastAsia="宋体" w:cs="Times New Roman"/>
          <w:b w:val="0"/>
          <w:color w:val="auto"/>
          <w:sz w:val="21"/>
          <w:szCs w:val="21"/>
        </w:rPr>
      </w:pPr>
      <w:r>
        <w:rPr>
          <w:rFonts w:hint="eastAsia" w:hAnsi="宋体" w:eastAsia="宋体" w:cs="Times New Roman"/>
          <w:color w:val="auto"/>
          <w:sz w:val="21"/>
          <w:szCs w:val="21"/>
          <w:lang w:val="en-US" w:eastAsia="zh-CN"/>
        </w:rPr>
        <w:t>（3）招标人或利源公司有权根据《供应商履约评价表》的考核标准，每月对投标人进行考核评价，如投标人对考核评分结果有异议的，应在收到招标人或利源公司考核结果通知之日起五个工作日内书面提出，逾期未提出的，视为投标人确认招标人或利源公司作出的考核评分结果。</w:t>
      </w:r>
    </w:p>
    <w:p>
      <w:pPr>
        <w:pStyle w:val="158"/>
        <w:autoSpaceDE/>
        <w:autoSpaceDN/>
        <w:adjustRightInd/>
        <w:spacing w:line="360" w:lineRule="auto"/>
        <w:ind w:firstLine="422"/>
        <w:jc w:val="both"/>
        <w:outlineLvl w:val="9"/>
        <w:rPr>
          <w:rFonts w:hint="eastAsia" w:ascii="宋体" w:hAnsi="宋体" w:eastAsia="宋体" w:cs="宋体"/>
          <w:b/>
          <w:bCs/>
          <w:color w:val="auto"/>
          <w:sz w:val="21"/>
          <w:szCs w:val="21"/>
        </w:rPr>
      </w:pPr>
      <w:r>
        <w:rPr>
          <w:rFonts w:hint="eastAsia" w:hAnsi="宋体" w:eastAsia="宋体" w:cs="宋体"/>
          <w:b/>
          <w:bCs/>
          <w:color w:val="auto"/>
          <w:sz w:val="21"/>
          <w:szCs w:val="21"/>
          <w:lang w:val="en-US" w:eastAsia="zh-CN"/>
        </w:rPr>
        <w:t>六</w:t>
      </w:r>
      <w:r>
        <w:rPr>
          <w:rFonts w:hint="eastAsia" w:ascii="宋体" w:hAnsi="宋体" w:eastAsia="宋体" w:cs="宋体"/>
          <w:b/>
          <w:bCs/>
          <w:color w:val="auto"/>
          <w:sz w:val="21"/>
          <w:szCs w:val="21"/>
        </w:rPr>
        <w:t xml:space="preserve">、价款要求 </w:t>
      </w:r>
    </w:p>
    <w:p>
      <w:pPr>
        <w:pStyle w:val="158"/>
        <w:autoSpaceDE/>
        <w:autoSpaceDN/>
        <w:adjustRightInd/>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(1) 本项目的投标报价采用统一折扣系数报价，合同履约过程中，采购清单中</w:t>
      </w:r>
      <w:r>
        <w:rPr>
          <w:rFonts w:hint="eastAsia" w:ascii="宋体" w:hAnsi="宋体" w:eastAsia="宋体" w:cs="宋体"/>
          <w:color w:val="auto"/>
          <w:sz w:val="21"/>
          <w:szCs w:val="21"/>
          <w:lang w:eastAsia="zh-CN"/>
        </w:rPr>
        <w:t>五金配件及劳保物资</w:t>
      </w:r>
      <w:r>
        <w:rPr>
          <w:rFonts w:hint="eastAsia" w:ascii="宋体" w:hAnsi="宋体" w:eastAsia="宋体" w:cs="宋体"/>
          <w:color w:val="auto"/>
          <w:sz w:val="21"/>
          <w:szCs w:val="21"/>
        </w:rPr>
        <w:t>不含税中标综合单价按以下方式计算：不含税中标综合单价=不含税预算综合单价×中标折扣系数，以实际供货数量进行结算，不含税中标综合单价出现小数点，保留小数点后两位，从小数点后第3位四舍五入。 不含税中标综合单价包含完成供货的全部费用，包括但不限于货物及用户需求书采购清单中要求</w:t>
      </w:r>
      <w:r>
        <w:rPr>
          <w:rFonts w:hint="eastAsia" w:hAnsi="宋体" w:eastAsia="宋体" w:cs="宋体"/>
          <w:color w:val="auto"/>
          <w:sz w:val="21"/>
          <w:szCs w:val="21"/>
          <w:lang w:val="en-US" w:eastAsia="zh-CN"/>
        </w:rPr>
        <w:t>的</w:t>
      </w:r>
      <w:r>
        <w:rPr>
          <w:rFonts w:hint="eastAsia" w:ascii="宋体" w:hAnsi="宋体" w:eastAsia="宋体" w:cs="宋体"/>
          <w:color w:val="auto"/>
          <w:sz w:val="21"/>
          <w:szCs w:val="21"/>
        </w:rPr>
        <w:t>每项货物</w:t>
      </w:r>
      <w:r>
        <w:rPr>
          <w:rFonts w:hint="eastAsia" w:hAnsi="宋体" w:eastAsia="宋体" w:cs="宋体"/>
          <w:color w:val="auto"/>
          <w:sz w:val="21"/>
          <w:szCs w:val="21"/>
          <w:lang w:eastAsia="zh-CN"/>
        </w:rPr>
        <w:t>、</w:t>
      </w:r>
      <w:r>
        <w:rPr>
          <w:rFonts w:hint="eastAsia" w:ascii="宋体" w:hAnsi="宋体" w:eastAsia="宋体" w:cs="宋体"/>
          <w:color w:val="auto"/>
          <w:sz w:val="21"/>
          <w:szCs w:val="21"/>
        </w:rPr>
        <w:t>配备的附件、备品备件的采购、制造、试验、送货、搬运（含二次搬运至招标人指定仓储地点）、包装费、运费</w:t>
      </w:r>
      <w:r>
        <w:rPr>
          <w:rFonts w:hint="eastAsia" w:hAnsi="宋体" w:eastAsia="宋体" w:cs="宋体"/>
          <w:color w:val="auto"/>
          <w:sz w:val="21"/>
          <w:szCs w:val="21"/>
          <w:lang w:eastAsia="zh-CN"/>
        </w:rPr>
        <w:t>（</w:t>
      </w:r>
      <w:r>
        <w:rPr>
          <w:rFonts w:hint="eastAsia" w:hAnsi="宋体" w:eastAsia="宋体" w:cs="宋体"/>
          <w:color w:val="auto"/>
          <w:sz w:val="21"/>
          <w:szCs w:val="21"/>
          <w:lang w:val="en-US" w:eastAsia="zh-CN"/>
        </w:rPr>
        <w:t>包含退送货</w:t>
      </w:r>
      <w:r>
        <w:rPr>
          <w:rFonts w:hint="eastAsia" w:hAnsi="宋体" w:eastAsia="宋体" w:cs="宋体"/>
          <w:color w:val="auto"/>
          <w:sz w:val="21"/>
          <w:szCs w:val="21"/>
          <w:lang w:eastAsia="zh-CN"/>
        </w:rPr>
        <w:t>）</w:t>
      </w:r>
      <w:r>
        <w:rPr>
          <w:rFonts w:hint="eastAsia" w:ascii="宋体" w:hAnsi="宋体" w:eastAsia="宋体" w:cs="宋体"/>
          <w:color w:val="auto"/>
          <w:sz w:val="21"/>
          <w:szCs w:val="21"/>
        </w:rPr>
        <w:t xml:space="preserve">、保险、现场仓储、质保、投标人销项税额以外的税费、中标服务费等相关服务的全部费用。 </w:t>
      </w:r>
    </w:p>
    <w:p>
      <w:pPr>
        <w:pStyle w:val="158"/>
        <w:autoSpaceDE/>
        <w:autoSpaceDN/>
        <w:adjustRightInd/>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招标人收到每批货物并最终验收合格后，每月中旬办理支付上月实际</w:t>
      </w:r>
      <w:r>
        <w:rPr>
          <w:rFonts w:hint="eastAsia" w:hAnsi="宋体" w:eastAsia="宋体" w:cs="宋体"/>
          <w:color w:val="auto"/>
          <w:sz w:val="21"/>
          <w:szCs w:val="21"/>
          <w:lang w:val="en-US" w:eastAsia="zh-CN"/>
        </w:rPr>
        <w:t>经验收合格</w:t>
      </w:r>
      <w:r>
        <w:rPr>
          <w:rFonts w:hint="eastAsia" w:ascii="宋体" w:hAnsi="宋体" w:eastAsia="宋体" w:cs="宋体"/>
          <w:color w:val="auto"/>
          <w:sz w:val="21"/>
          <w:szCs w:val="21"/>
        </w:rPr>
        <w:t>供货量</w:t>
      </w:r>
      <w:r>
        <w:rPr>
          <w:rFonts w:hint="eastAsia" w:hAnsi="宋体" w:eastAsia="宋体" w:cs="宋体"/>
          <w:color w:val="auto"/>
          <w:sz w:val="21"/>
          <w:szCs w:val="21"/>
          <w:lang w:val="en-US" w:eastAsia="zh-CN"/>
        </w:rPr>
        <w:t>对应</w:t>
      </w:r>
      <w:r>
        <w:rPr>
          <w:rFonts w:hint="eastAsia" w:ascii="宋体" w:hAnsi="宋体" w:eastAsia="宋体" w:cs="宋体"/>
          <w:color w:val="auto"/>
          <w:sz w:val="21"/>
          <w:szCs w:val="21"/>
        </w:rPr>
        <w:t>的款项，投标人向招标人提交请款报告和等额的合法、有效的增值税</w:t>
      </w:r>
      <w:r>
        <w:rPr>
          <w:rFonts w:hint="eastAsia" w:hAnsi="宋体" w:eastAsia="宋体" w:cs="宋体"/>
          <w:color w:val="auto"/>
          <w:sz w:val="21"/>
          <w:szCs w:val="21"/>
          <w:lang w:val="en-US" w:eastAsia="zh-CN"/>
        </w:rPr>
        <w:t>专用</w:t>
      </w:r>
      <w:r>
        <w:rPr>
          <w:rFonts w:hint="eastAsia" w:ascii="宋体" w:hAnsi="宋体" w:eastAsia="宋体" w:cs="宋体"/>
          <w:color w:val="auto"/>
          <w:sz w:val="21"/>
          <w:szCs w:val="21"/>
        </w:rPr>
        <w:t>发票， 招标人在收到前述材料并确认无误后 15 个工作日内，</w:t>
      </w:r>
      <w:r>
        <w:rPr>
          <w:rFonts w:hint="eastAsia" w:hAnsi="宋体" w:eastAsia="宋体" w:cs="宋体"/>
          <w:color w:val="auto"/>
          <w:sz w:val="21"/>
          <w:szCs w:val="21"/>
          <w:lang w:val="en-US" w:eastAsia="zh-CN"/>
        </w:rPr>
        <w:t>向投标人</w:t>
      </w:r>
      <w:r>
        <w:rPr>
          <w:rFonts w:hint="eastAsia" w:ascii="宋体" w:hAnsi="宋体" w:eastAsia="宋体" w:cs="宋体"/>
          <w:color w:val="auto"/>
          <w:sz w:val="21"/>
          <w:szCs w:val="21"/>
        </w:rPr>
        <w:t>支付上月实际</w:t>
      </w:r>
      <w:r>
        <w:rPr>
          <w:rFonts w:hint="eastAsia" w:hAnsi="宋体" w:eastAsia="宋体" w:cs="宋体"/>
          <w:color w:val="auto"/>
          <w:sz w:val="21"/>
          <w:szCs w:val="21"/>
          <w:lang w:val="en-US" w:eastAsia="zh-CN"/>
        </w:rPr>
        <w:t>经验收合格</w:t>
      </w:r>
      <w:r>
        <w:rPr>
          <w:rFonts w:hint="eastAsia" w:ascii="宋体" w:hAnsi="宋体" w:eastAsia="宋体" w:cs="宋体"/>
          <w:color w:val="auto"/>
          <w:sz w:val="21"/>
          <w:szCs w:val="21"/>
        </w:rPr>
        <w:t xml:space="preserve">供货量总价的【100%】及对应税额。 </w:t>
      </w:r>
    </w:p>
    <w:p>
      <w:pPr>
        <w:pStyle w:val="158"/>
        <w:autoSpaceDE/>
        <w:autoSpaceDN/>
        <w:adjustRightInd/>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(3) 投标人按相应的运营项目采购需求清单提供货物价款等额合法的增值税</w:t>
      </w:r>
      <w:r>
        <w:rPr>
          <w:rFonts w:hint="eastAsia" w:hAnsi="宋体" w:eastAsia="宋体" w:cs="宋体"/>
          <w:color w:val="auto"/>
          <w:sz w:val="21"/>
          <w:szCs w:val="21"/>
          <w:lang w:val="en-US" w:eastAsia="zh-CN"/>
        </w:rPr>
        <w:t>专用</w:t>
      </w:r>
      <w:r>
        <w:rPr>
          <w:rFonts w:hint="eastAsia" w:ascii="宋体" w:hAnsi="宋体" w:eastAsia="宋体" w:cs="宋体"/>
          <w:color w:val="auto"/>
          <w:sz w:val="21"/>
          <w:szCs w:val="21"/>
        </w:rPr>
        <w:t>发票、请款报告等请款资料，</w:t>
      </w:r>
      <w:r>
        <w:rPr>
          <w:rFonts w:hint="eastAsia" w:hAnsi="宋体" w:eastAsia="宋体" w:cs="宋体"/>
          <w:color w:val="auto"/>
          <w:sz w:val="21"/>
          <w:szCs w:val="21"/>
          <w:lang w:val="en-US" w:eastAsia="zh-CN"/>
        </w:rPr>
        <w:t>投标人</w:t>
      </w:r>
      <w:r>
        <w:rPr>
          <w:rFonts w:hint="eastAsia" w:ascii="宋体" w:hAnsi="宋体" w:eastAsia="宋体" w:cs="宋体"/>
          <w:color w:val="auto"/>
          <w:sz w:val="21"/>
          <w:szCs w:val="21"/>
        </w:rPr>
        <w:t>逾期提交请款资料及发票或提交资料</w:t>
      </w:r>
      <w:r>
        <w:rPr>
          <w:rFonts w:hint="eastAsia" w:hAnsi="宋体" w:eastAsia="宋体" w:cs="宋体"/>
          <w:color w:val="auto"/>
          <w:sz w:val="21"/>
          <w:szCs w:val="21"/>
          <w:lang w:val="en-US" w:eastAsia="zh-CN"/>
        </w:rPr>
        <w:t>或发票</w:t>
      </w:r>
      <w:r>
        <w:rPr>
          <w:rFonts w:hint="eastAsia" w:ascii="宋体" w:hAnsi="宋体" w:eastAsia="宋体" w:cs="宋体"/>
          <w:color w:val="auto"/>
          <w:sz w:val="21"/>
          <w:szCs w:val="21"/>
        </w:rPr>
        <w:t>不符合招标人要求的，</w:t>
      </w:r>
      <w:r>
        <w:rPr>
          <w:rFonts w:hint="eastAsia" w:hAnsi="宋体" w:eastAsia="宋体" w:cs="宋体"/>
          <w:color w:val="auto"/>
          <w:sz w:val="21"/>
          <w:szCs w:val="21"/>
          <w:lang w:val="en-US" w:eastAsia="zh-CN"/>
        </w:rPr>
        <w:t>招标人</w:t>
      </w:r>
      <w:r>
        <w:rPr>
          <w:rFonts w:hint="eastAsia" w:ascii="宋体" w:hAnsi="宋体" w:eastAsia="宋体" w:cs="宋体"/>
          <w:color w:val="auto"/>
          <w:sz w:val="21"/>
          <w:szCs w:val="21"/>
        </w:rPr>
        <w:t>付款时间顺延，并不承担逾期付款违约责任。由于投标人提供的发票不符合税法规定，给招标人造成的损失由投标人承担赔偿责任。</w:t>
      </w:r>
    </w:p>
    <w:p>
      <w:pPr>
        <w:spacing w:line="360" w:lineRule="auto"/>
        <w:outlineLvl w:val="9"/>
        <w:rPr>
          <w:rFonts w:ascii="宋体" w:hAnsi="宋体" w:eastAsia="宋体" w:cs="Times New Roman"/>
          <w:color w:val="auto"/>
          <w:szCs w:val="21"/>
          <w:highlight w:val="none"/>
        </w:rPr>
      </w:pPr>
    </w:p>
    <w:p>
      <w:pPr>
        <w:outlineLvl w:val="9"/>
        <w:rPr>
          <w:rFonts w:ascii="宋体" w:hAnsi="宋体" w:eastAsia="宋体" w:cs="Times New Roman"/>
          <w:b/>
          <w:color w:val="auto"/>
          <w:szCs w:val="21"/>
          <w:highlight w:val="none"/>
        </w:rPr>
      </w:pPr>
      <w:r>
        <w:rPr>
          <w:rFonts w:ascii="宋体" w:hAnsi="宋体" w:eastAsia="宋体" w:cs="Times New Roman"/>
          <w:b/>
          <w:color w:val="auto"/>
          <w:szCs w:val="21"/>
          <w:highlight w:val="none"/>
        </w:rPr>
        <w:br w:type="page"/>
      </w:r>
    </w:p>
    <w:p>
      <w:pPr>
        <w:spacing w:line="360" w:lineRule="auto"/>
        <w:ind w:firstLine="0" w:firstLineChars="0"/>
        <w:jc w:val="left"/>
        <w:outlineLvl w:val="9"/>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附件1：</w:t>
      </w:r>
    </w:p>
    <w:p>
      <w:pPr>
        <w:spacing w:line="360" w:lineRule="auto"/>
        <w:ind w:firstLine="0" w:firstLineChars="0"/>
        <w:jc w:val="center"/>
        <w:outlineLvl w:val="9"/>
        <w:rPr>
          <w:rFonts w:hint="eastAsia" w:ascii="宋体" w:hAnsi="宋体" w:eastAsia="宋体" w:cs="宋体"/>
          <w:b/>
          <w:bCs/>
          <w:color w:val="auto"/>
        </w:rPr>
      </w:pPr>
      <w:r>
        <w:rPr>
          <w:rFonts w:hint="eastAsia" w:ascii="宋体" w:hAnsi="宋体" w:eastAsia="宋体" w:cs="宋体"/>
          <w:b/>
          <w:color w:val="auto"/>
          <w:sz w:val="28"/>
          <w:szCs w:val="28"/>
        </w:rPr>
        <w:t>送货地址汇总表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4575"/>
        <w:gridCol w:w="4287"/>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pPr>
              <w:spacing w:line="360" w:lineRule="auto"/>
              <w:ind w:firstLine="0" w:firstLineChars="0"/>
              <w:jc w:val="both"/>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一、自运营污泥减量项目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noWrap w:val="0"/>
            <w:vAlign w:val="center"/>
          </w:tcPr>
          <w:p>
            <w:pPr>
              <w:spacing w:line="360" w:lineRule="auto"/>
              <w:ind w:firstLine="0" w:firstLineChars="0"/>
              <w:jc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2206" w:type="pct"/>
            <w:noWrap w:val="0"/>
            <w:vAlign w:val="center"/>
          </w:tcPr>
          <w:p>
            <w:pPr>
              <w:spacing w:line="360" w:lineRule="auto"/>
              <w:ind w:firstLine="0" w:firstLineChars="0"/>
              <w:jc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项目名称</w:t>
            </w:r>
          </w:p>
        </w:tc>
        <w:tc>
          <w:tcPr>
            <w:tcW w:w="2067" w:type="pct"/>
            <w:noWrap w:val="0"/>
            <w:vAlign w:val="center"/>
          </w:tcPr>
          <w:p>
            <w:pPr>
              <w:spacing w:line="360" w:lineRule="auto"/>
              <w:ind w:firstLine="0" w:firstLineChars="0"/>
              <w:jc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送货地址</w:t>
            </w:r>
          </w:p>
        </w:tc>
        <w:tc>
          <w:tcPr>
            <w:tcW w:w="363" w:type="pct"/>
            <w:noWrap w:val="0"/>
            <w:vAlign w:val="center"/>
          </w:tcPr>
          <w:p>
            <w:pPr>
              <w:spacing w:line="360" w:lineRule="auto"/>
              <w:ind w:firstLine="0" w:firstLineChars="0"/>
              <w:jc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noWrap w:val="0"/>
            <w:vAlign w:val="center"/>
          </w:tcPr>
          <w:p>
            <w:pPr>
              <w:spacing w:line="360" w:lineRule="auto"/>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206" w:type="pct"/>
            <w:noWrap w:val="0"/>
            <w:vAlign w:val="center"/>
          </w:tcPr>
          <w:p>
            <w:pPr>
              <w:spacing w:line="360" w:lineRule="auto"/>
              <w:ind w:firstLine="0" w:firstLineChars="0"/>
              <w:outlineLvl w:val="9"/>
              <w:rPr>
                <w:rFonts w:hint="eastAsia" w:ascii="宋体" w:hAnsi="宋体" w:eastAsia="宋体" w:cs="宋体"/>
                <w:color w:val="auto"/>
                <w:sz w:val="21"/>
                <w:szCs w:val="21"/>
              </w:rPr>
            </w:pPr>
            <w:r>
              <w:rPr>
                <w:rFonts w:hint="eastAsia" w:ascii="宋体" w:hAnsi="宋体" w:eastAsia="宋体" w:cs="宋体"/>
                <w:color w:val="auto"/>
                <w:sz w:val="21"/>
                <w:szCs w:val="21"/>
              </w:rPr>
              <w:t>市区污水厂移动式项目</w:t>
            </w:r>
          </w:p>
        </w:tc>
        <w:tc>
          <w:tcPr>
            <w:tcW w:w="2067" w:type="pct"/>
            <w:noWrap w:val="0"/>
            <w:vAlign w:val="center"/>
          </w:tcPr>
          <w:p>
            <w:pPr>
              <w:spacing w:line="360" w:lineRule="auto"/>
              <w:ind w:firstLine="0" w:firstLineChars="0"/>
              <w:outlineLvl w:val="9"/>
              <w:rPr>
                <w:rFonts w:hint="eastAsia" w:ascii="宋体" w:hAnsi="宋体" w:eastAsia="宋体" w:cs="宋体"/>
                <w:color w:val="auto"/>
                <w:sz w:val="21"/>
                <w:szCs w:val="21"/>
              </w:rPr>
            </w:pPr>
            <w:r>
              <w:rPr>
                <w:rFonts w:hint="eastAsia" w:ascii="宋体" w:hAnsi="宋体" w:eastAsia="宋体" w:cs="宋体"/>
                <w:color w:val="auto"/>
                <w:sz w:val="21"/>
                <w:szCs w:val="21"/>
              </w:rPr>
              <w:t>东莞市南城街道石鼓村王洲</w:t>
            </w:r>
          </w:p>
        </w:tc>
        <w:tc>
          <w:tcPr>
            <w:tcW w:w="363" w:type="pct"/>
            <w:noWrap w:val="0"/>
            <w:vAlign w:val="center"/>
          </w:tcPr>
          <w:p>
            <w:pPr>
              <w:spacing w:line="360" w:lineRule="auto"/>
              <w:ind w:firstLine="420"/>
              <w:jc w:val="center"/>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noWrap w:val="0"/>
            <w:vAlign w:val="center"/>
          </w:tcPr>
          <w:p>
            <w:pPr>
              <w:spacing w:line="360" w:lineRule="auto"/>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206" w:type="pct"/>
            <w:noWrap w:val="0"/>
            <w:vAlign w:val="center"/>
          </w:tcPr>
          <w:p>
            <w:pPr>
              <w:spacing w:line="360" w:lineRule="auto"/>
              <w:ind w:firstLine="0" w:firstLineChars="0"/>
              <w:outlineLvl w:val="9"/>
              <w:rPr>
                <w:rFonts w:hint="eastAsia" w:ascii="宋体" w:hAnsi="宋体" w:eastAsia="宋体" w:cs="宋体"/>
                <w:color w:val="auto"/>
                <w:sz w:val="21"/>
                <w:szCs w:val="21"/>
              </w:rPr>
            </w:pPr>
            <w:r>
              <w:rPr>
                <w:rFonts w:hint="eastAsia" w:ascii="宋体" w:hAnsi="宋体" w:eastAsia="宋体" w:cs="宋体"/>
                <w:color w:val="auto"/>
                <w:sz w:val="21"/>
                <w:szCs w:val="21"/>
              </w:rPr>
              <w:t>长安新区污水厂移动式项目</w:t>
            </w:r>
          </w:p>
        </w:tc>
        <w:tc>
          <w:tcPr>
            <w:tcW w:w="2067" w:type="pct"/>
            <w:noWrap w:val="0"/>
            <w:vAlign w:val="center"/>
          </w:tcPr>
          <w:p>
            <w:pPr>
              <w:ind w:firstLine="0" w:firstLineChars="0"/>
              <w:outlineLvl w:val="9"/>
              <w:rPr>
                <w:rFonts w:hint="eastAsia" w:ascii="宋体" w:hAnsi="宋体" w:eastAsia="宋体" w:cs="宋体"/>
                <w:color w:val="auto"/>
                <w:sz w:val="21"/>
                <w:szCs w:val="21"/>
              </w:rPr>
            </w:pPr>
            <w:r>
              <w:rPr>
                <w:rFonts w:hint="eastAsia" w:ascii="宋体" w:hAnsi="宋体" w:eastAsia="宋体" w:cs="宋体"/>
                <w:color w:val="auto"/>
                <w:sz w:val="21"/>
                <w:szCs w:val="21"/>
              </w:rPr>
              <w:t>东莞市长安镇乌沙社区兴发南路</w:t>
            </w:r>
          </w:p>
        </w:tc>
        <w:tc>
          <w:tcPr>
            <w:tcW w:w="363" w:type="pct"/>
            <w:noWrap w:val="0"/>
            <w:vAlign w:val="center"/>
          </w:tcPr>
          <w:p>
            <w:pPr>
              <w:spacing w:line="360" w:lineRule="auto"/>
              <w:ind w:firstLine="420"/>
              <w:jc w:val="center"/>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noWrap w:val="0"/>
            <w:vAlign w:val="center"/>
          </w:tcPr>
          <w:p>
            <w:pPr>
              <w:spacing w:line="360" w:lineRule="auto"/>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2206" w:type="pct"/>
            <w:noWrap w:val="0"/>
            <w:vAlign w:val="center"/>
          </w:tcPr>
          <w:p>
            <w:pPr>
              <w:spacing w:line="360" w:lineRule="auto"/>
              <w:ind w:firstLine="0" w:firstLineChars="0"/>
              <w:outlineLvl w:val="9"/>
              <w:rPr>
                <w:rFonts w:hint="eastAsia" w:ascii="宋体" w:hAnsi="宋体" w:eastAsia="宋体" w:cs="宋体"/>
                <w:color w:val="auto"/>
                <w:sz w:val="21"/>
                <w:szCs w:val="21"/>
              </w:rPr>
            </w:pPr>
            <w:r>
              <w:rPr>
                <w:rFonts w:hint="eastAsia" w:ascii="宋体" w:hAnsi="宋体" w:eastAsia="宋体" w:cs="宋体"/>
                <w:color w:val="auto"/>
                <w:sz w:val="21"/>
                <w:szCs w:val="21"/>
              </w:rPr>
              <w:t>凤岗竹塘二期污泥减量项目</w:t>
            </w:r>
          </w:p>
        </w:tc>
        <w:tc>
          <w:tcPr>
            <w:tcW w:w="2067" w:type="pct"/>
            <w:noWrap w:val="0"/>
            <w:vAlign w:val="center"/>
          </w:tcPr>
          <w:p>
            <w:pPr>
              <w:ind w:firstLine="0" w:firstLineChars="0"/>
              <w:outlineLvl w:val="9"/>
              <w:rPr>
                <w:rFonts w:hint="eastAsia" w:ascii="宋体" w:hAnsi="宋体" w:eastAsia="宋体" w:cs="宋体"/>
                <w:color w:val="auto"/>
                <w:sz w:val="21"/>
                <w:szCs w:val="21"/>
              </w:rPr>
            </w:pPr>
            <w:r>
              <w:rPr>
                <w:rFonts w:hint="eastAsia" w:ascii="宋体" w:hAnsi="宋体" w:eastAsia="宋体" w:cs="宋体"/>
                <w:color w:val="auto"/>
                <w:sz w:val="21"/>
                <w:szCs w:val="21"/>
              </w:rPr>
              <w:t>东莞市凤岗镇竹塘村浸校塘组</w:t>
            </w:r>
          </w:p>
        </w:tc>
        <w:tc>
          <w:tcPr>
            <w:tcW w:w="363" w:type="pct"/>
            <w:noWrap w:val="0"/>
            <w:vAlign w:val="center"/>
          </w:tcPr>
          <w:p>
            <w:pPr>
              <w:spacing w:line="360" w:lineRule="auto"/>
              <w:ind w:firstLine="420"/>
              <w:jc w:val="center"/>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noWrap w:val="0"/>
            <w:vAlign w:val="center"/>
          </w:tcPr>
          <w:p>
            <w:pPr>
              <w:spacing w:line="360" w:lineRule="auto"/>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2206" w:type="pct"/>
            <w:noWrap w:val="0"/>
            <w:vAlign w:val="center"/>
          </w:tcPr>
          <w:p>
            <w:pPr>
              <w:spacing w:line="360" w:lineRule="auto"/>
              <w:ind w:firstLine="0" w:firstLineChars="0"/>
              <w:outlineLvl w:val="9"/>
              <w:rPr>
                <w:rFonts w:hint="eastAsia" w:ascii="宋体" w:hAnsi="宋体" w:eastAsia="宋体" w:cs="宋体"/>
                <w:color w:val="auto"/>
                <w:sz w:val="21"/>
                <w:szCs w:val="21"/>
              </w:rPr>
            </w:pPr>
            <w:r>
              <w:rPr>
                <w:rFonts w:hint="eastAsia" w:ascii="宋体" w:hAnsi="宋体" w:eastAsia="宋体" w:cs="宋体"/>
                <w:color w:val="auto"/>
                <w:sz w:val="21"/>
                <w:szCs w:val="21"/>
              </w:rPr>
              <w:t>寮步三期污泥减量项目</w:t>
            </w:r>
          </w:p>
        </w:tc>
        <w:tc>
          <w:tcPr>
            <w:tcW w:w="2067" w:type="pct"/>
            <w:noWrap w:val="0"/>
            <w:vAlign w:val="center"/>
          </w:tcPr>
          <w:p>
            <w:pPr>
              <w:ind w:firstLine="0" w:firstLineChars="0"/>
              <w:outlineLvl w:val="9"/>
              <w:rPr>
                <w:rFonts w:hint="eastAsia" w:ascii="宋体" w:hAnsi="宋体" w:eastAsia="宋体" w:cs="宋体"/>
                <w:color w:val="auto"/>
                <w:sz w:val="21"/>
                <w:szCs w:val="21"/>
              </w:rPr>
            </w:pPr>
            <w:r>
              <w:rPr>
                <w:rFonts w:hint="eastAsia" w:ascii="宋体" w:hAnsi="宋体" w:eastAsia="宋体" w:cs="宋体"/>
                <w:color w:val="auto"/>
                <w:sz w:val="21"/>
                <w:szCs w:val="21"/>
              </w:rPr>
              <w:t>东莞市寮步镇竹园村横岭工业区</w:t>
            </w:r>
          </w:p>
        </w:tc>
        <w:tc>
          <w:tcPr>
            <w:tcW w:w="363" w:type="pct"/>
            <w:noWrap w:val="0"/>
            <w:vAlign w:val="center"/>
          </w:tcPr>
          <w:p>
            <w:pPr>
              <w:spacing w:line="360" w:lineRule="auto"/>
              <w:ind w:firstLine="420"/>
              <w:jc w:val="center"/>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noWrap w:val="0"/>
            <w:vAlign w:val="center"/>
          </w:tcPr>
          <w:p>
            <w:pPr>
              <w:spacing w:line="360" w:lineRule="auto"/>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2206" w:type="pct"/>
            <w:noWrap w:val="0"/>
            <w:vAlign w:val="center"/>
          </w:tcPr>
          <w:p>
            <w:pPr>
              <w:spacing w:line="360" w:lineRule="auto"/>
              <w:ind w:firstLine="0" w:firstLineChars="0"/>
              <w:outlineLvl w:val="9"/>
              <w:rPr>
                <w:rFonts w:hint="eastAsia" w:ascii="宋体" w:hAnsi="宋体" w:eastAsia="宋体" w:cs="宋体"/>
                <w:color w:val="auto"/>
                <w:sz w:val="21"/>
                <w:szCs w:val="21"/>
              </w:rPr>
            </w:pPr>
            <w:r>
              <w:rPr>
                <w:rFonts w:hint="eastAsia" w:ascii="宋体" w:hAnsi="宋体" w:eastAsia="宋体" w:cs="宋体"/>
                <w:color w:val="auto"/>
                <w:sz w:val="21"/>
                <w:szCs w:val="21"/>
              </w:rPr>
              <w:t>温塘二期污泥减量项目</w:t>
            </w:r>
          </w:p>
        </w:tc>
        <w:tc>
          <w:tcPr>
            <w:tcW w:w="2067" w:type="pct"/>
            <w:noWrap w:val="0"/>
            <w:vAlign w:val="center"/>
          </w:tcPr>
          <w:p>
            <w:pPr>
              <w:ind w:firstLine="0" w:firstLineChars="0"/>
              <w:outlineLvl w:val="9"/>
              <w:rPr>
                <w:rFonts w:hint="eastAsia" w:ascii="宋体" w:hAnsi="宋体" w:eastAsia="宋体" w:cs="宋体"/>
                <w:color w:val="auto"/>
                <w:sz w:val="21"/>
                <w:szCs w:val="21"/>
              </w:rPr>
            </w:pPr>
            <w:r>
              <w:rPr>
                <w:rStyle w:val="43"/>
                <w:rFonts w:hint="eastAsia" w:ascii="宋体" w:hAnsi="宋体" w:eastAsia="宋体" w:cs="宋体"/>
                <w:i w:val="0"/>
                <w:iCs w:val="0"/>
                <w:color w:val="auto"/>
                <w:sz w:val="21"/>
                <w:szCs w:val="21"/>
                <w:shd w:val="clear" w:color="auto" w:fill="FFFFFF"/>
              </w:rPr>
              <w:t>东莞市东城温塘社区东南角</w:t>
            </w:r>
          </w:p>
        </w:tc>
        <w:tc>
          <w:tcPr>
            <w:tcW w:w="363" w:type="pct"/>
            <w:noWrap w:val="0"/>
            <w:vAlign w:val="center"/>
          </w:tcPr>
          <w:p>
            <w:pPr>
              <w:spacing w:line="360" w:lineRule="auto"/>
              <w:ind w:firstLine="420"/>
              <w:jc w:val="center"/>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noWrap w:val="0"/>
            <w:vAlign w:val="center"/>
          </w:tcPr>
          <w:p>
            <w:pPr>
              <w:spacing w:line="360" w:lineRule="auto"/>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2206" w:type="pct"/>
            <w:noWrap w:val="0"/>
            <w:vAlign w:val="center"/>
          </w:tcPr>
          <w:p>
            <w:pPr>
              <w:spacing w:line="360" w:lineRule="auto"/>
              <w:ind w:firstLine="0" w:firstLineChars="0"/>
              <w:outlineLvl w:val="9"/>
              <w:rPr>
                <w:rFonts w:hint="eastAsia" w:ascii="宋体" w:hAnsi="宋体" w:eastAsia="宋体" w:cs="宋体"/>
                <w:color w:val="auto"/>
                <w:sz w:val="21"/>
                <w:szCs w:val="21"/>
              </w:rPr>
            </w:pPr>
            <w:r>
              <w:rPr>
                <w:rFonts w:hint="eastAsia" w:ascii="宋体" w:hAnsi="宋体" w:eastAsia="宋体" w:cs="宋体"/>
                <w:color w:val="auto"/>
                <w:sz w:val="21"/>
                <w:szCs w:val="21"/>
              </w:rPr>
              <w:t>常平东二期污泥减量项目</w:t>
            </w:r>
          </w:p>
        </w:tc>
        <w:tc>
          <w:tcPr>
            <w:tcW w:w="2067" w:type="pct"/>
            <w:noWrap w:val="0"/>
            <w:vAlign w:val="center"/>
          </w:tcPr>
          <w:p>
            <w:pPr>
              <w:ind w:firstLine="0" w:firstLineChars="0"/>
              <w:outlineLvl w:val="9"/>
              <w:rPr>
                <w:rFonts w:hint="eastAsia" w:ascii="宋体" w:hAnsi="宋体" w:eastAsia="宋体" w:cs="宋体"/>
                <w:color w:val="auto"/>
                <w:sz w:val="21"/>
                <w:szCs w:val="21"/>
              </w:rPr>
            </w:pPr>
            <w:r>
              <w:rPr>
                <w:rStyle w:val="43"/>
                <w:rFonts w:hint="eastAsia" w:ascii="宋体" w:hAnsi="宋体" w:eastAsia="宋体" w:cs="宋体"/>
                <w:i w:val="0"/>
                <w:iCs w:val="0"/>
                <w:color w:val="auto"/>
                <w:sz w:val="21"/>
                <w:szCs w:val="21"/>
                <w:shd w:val="clear" w:color="auto" w:fill="FFFFFF"/>
              </w:rPr>
              <w:t>东莞市常平镇沙湖口村</w:t>
            </w:r>
          </w:p>
        </w:tc>
        <w:tc>
          <w:tcPr>
            <w:tcW w:w="363" w:type="pct"/>
            <w:noWrap w:val="0"/>
            <w:vAlign w:val="center"/>
          </w:tcPr>
          <w:p>
            <w:pPr>
              <w:spacing w:line="360" w:lineRule="auto"/>
              <w:ind w:firstLine="420"/>
              <w:jc w:val="center"/>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noWrap w:val="0"/>
            <w:vAlign w:val="center"/>
          </w:tcPr>
          <w:p>
            <w:pPr>
              <w:spacing w:line="360" w:lineRule="auto"/>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2206" w:type="pct"/>
            <w:noWrap w:val="0"/>
            <w:vAlign w:val="center"/>
          </w:tcPr>
          <w:p>
            <w:pPr>
              <w:spacing w:line="360" w:lineRule="auto"/>
              <w:ind w:firstLine="0" w:firstLineChars="0"/>
              <w:outlineLvl w:val="9"/>
              <w:rPr>
                <w:rFonts w:hint="eastAsia" w:ascii="宋体" w:hAnsi="宋体" w:eastAsia="宋体" w:cs="宋体"/>
                <w:color w:val="auto"/>
                <w:sz w:val="21"/>
                <w:szCs w:val="21"/>
              </w:rPr>
            </w:pPr>
            <w:r>
              <w:rPr>
                <w:rFonts w:hint="eastAsia" w:ascii="宋体" w:hAnsi="宋体" w:eastAsia="宋体" w:cs="宋体"/>
                <w:color w:val="auto"/>
                <w:sz w:val="21"/>
                <w:szCs w:val="21"/>
              </w:rPr>
              <w:t>塘厦白泥湖污泥减量项目</w:t>
            </w:r>
          </w:p>
        </w:tc>
        <w:tc>
          <w:tcPr>
            <w:tcW w:w="2067" w:type="pct"/>
            <w:noWrap w:val="0"/>
            <w:vAlign w:val="center"/>
          </w:tcPr>
          <w:p>
            <w:pPr>
              <w:ind w:firstLine="0" w:firstLineChars="0"/>
              <w:outlineLvl w:val="9"/>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东莞市塘厦镇莲湖南一横路</w:t>
            </w:r>
          </w:p>
        </w:tc>
        <w:tc>
          <w:tcPr>
            <w:tcW w:w="363" w:type="pct"/>
            <w:noWrap w:val="0"/>
            <w:vAlign w:val="center"/>
          </w:tcPr>
          <w:p>
            <w:pPr>
              <w:spacing w:line="360" w:lineRule="auto"/>
              <w:ind w:firstLine="420"/>
              <w:jc w:val="center"/>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pPr>
              <w:spacing w:line="360" w:lineRule="auto"/>
              <w:ind w:firstLine="0" w:firstLineChars="0"/>
              <w:outlineLvl w:val="9"/>
              <w:rPr>
                <w:rFonts w:hint="eastAsia" w:ascii="宋体" w:hAnsi="宋体" w:eastAsia="宋体" w:cs="宋体"/>
                <w:color w:val="auto"/>
                <w:sz w:val="21"/>
                <w:szCs w:val="21"/>
              </w:rPr>
            </w:pPr>
            <w:r>
              <w:rPr>
                <w:rFonts w:hint="eastAsia" w:ascii="宋体" w:hAnsi="宋体" w:eastAsia="宋体" w:cs="宋体"/>
                <w:b/>
                <w:color w:val="auto"/>
                <w:sz w:val="21"/>
                <w:szCs w:val="21"/>
              </w:rPr>
              <w:t>二、有机资源再生利用项目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noWrap w:val="0"/>
            <w:vAlign w:val="center"/>
          </w:tcPr>
          <w:p>
            <w:pPr>
              <w:spacing w:line="360" w:lineRule="auto"/>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206" w:type="pct"/>
            <w:noWrap w:val="0"/>
            <w:vAlign w:val="center"/>
          </w:tcPr>
          <w:p>
            <w:pPr>
              <w:spacing w:line="360" w:lineRule="auto"/>
              <w:ind w:firstLine="0" w:firstLineChars="0"/>
              <w:outlineLvl w:val="9"/>
              <w:rPr>
                <w:rFonts w:hint="eastAsia" w:ascii="宋体" w:hAnsi="宋体" w:eastAsia="宋体" w:cs="宋体"/>
                <w:color w:val="auto"/>
                <w:sz w:val="21"/>
                <w:szCs w:val="21"/>
              </w:rPr>
            </w:pPr>
            <w:r>
              <w:rPr>
                <w:rFonts w:hint="eastAsia" w:ascii="宋体" w:hAnsi="宋体" w:eastAsia="宋体" w:cs="宋体"/>
                <w:color w:val="auto"/>
                <w:sz w:val="21"/>
                <w:szCs w:val="21"/>
              </w:rPr>
              <w:t>东莞市市区有机资源再生利用项目</w:t>
            </w:r>
          </w:p>
        </w:tc>
        <w:tc>
          <w:tcPr>
            <w:tcW w:w="2067" w:type="pct"/>
            <w:noWrap w:val="0"/>
            <w:vAlign w:val="center"/>
          </w:tcPr>
          <w:p>
            <w:pPr>
              <w:spacing w:line="360" w:lineRule="auto"/>
              <w:ind w:firstLine="0" w:firstLineChars="0"/>
              <w:outlineLvl w:val="9"/>
              <w:rPr>
                <w:rFonts w:hint="eastAsia" w:ascii="宋体" w:hAnsi="宋体" w:eastAsia="宋体" w:cs="宋体"/>
                <w:color w:val="auto"/>
                <w:sz w:val="21"/>
                <w:szCs w:val="21"/>
              </w:rPr>
            </w:pPr>
            <w:r>
              <w:rPr>
                <w:rFonts w:hint="eastAsia" w:ascii="宋体" w:hAnsi="宋体" w:eastAsia="宋体" w:cs="宋体"/>
                <w:color w:val="auto"/>
                <w:sz w:val="21"/>
                <w:szCs w:val="21"/>
              </w:rPr>
              <w:t>东莞市南城街滨河路</w:t>
            </w:r>
          </w:p>
        </w:tc>
        <w:tc>
          <w:tcPr>
            <w:tcW w:w="363" w:type="pct"/>
            <w:noWrap w:val="0"/>
            <w:vAlign w:val="center"/>
          </w:tcPr>
          <w:p>
            <w:pPr>
              <w:spacing w:line="360" w:lineRule="auto"/>
              <w:ind w:firstLine="420"/>
              <w:jc w:val="center"/>
              <w:outlineLvl w:val="9"/>
              <w:rPr>
                <w:rFonts w:hint="eastAsia" w:ascii="宋体" w:hAnsi="宋体" w:eastAsia="宋体" w:cs="宋体"/>
                <w:color w:val="auto"/>
                <w:sz w:val="21"/>
                <w:szCs w:val="21"/>
              </w:rPr>
            </w:pPr>
          </w:p>
        </w:tc>
      </w:tr>
    </w:tbl>
    <w:p>
      <w:pPr>
        <w:outlineLvl w:val="9"/>
        <w:rPr>
          <w:color w:val="auto"/>
        </w:rPr>
      </w:pPr>
      <w:r>
        <w:rPr>
          <w:color w:val="auto"/>
        </w:rPr>
        <w:br w:type="page"/>
      </w:r>
    </w:p>
    <w:p>
      <w:pPr>
        <w:spacing w:line="360" w:lineRule="auto"/>
        <w:jc w:val="left"/>
        <w:outlineLvl w:val="9"/>
        <w:rPr>
          <w:rFonts w:ascii="宋体" w:hAnsi="宋体" w:eastAsia="宋体" w:cs="宋体"/>
          <w:b/>
          <w:color w:val="auto"/>
          <w:sz w:val="22"/>
          <w:szCs w:val="22"/>
        </w:rPr>
      </w:pPr>
      <w:r>
        <w:rPr>
          <w:rFonts w:hint="eastAsia" w:ascii="宋体" w:hAnsi="宋体" w:eastAsia="宋体" w:cs="宋体"/>
          <w:b/>
          <w:color w:val="auto"/>
          <w:sz w:val="24"/>
          <w:szCs w:val="24"/>
        </w:rPr>
        <w:t>附件2：</w:t>
      </w:r>
    </w:p>
    <w:p>
      <w:pPr>
        <w:jc w:val="center"/>
        <w:outlineLvl w:val="9"/>
        <w:rPr>
          <w:rFonts w:ascii="宋体" w:hAnsi="宋体" w:eastAsia="宋体"/>
          <w:b/>
          <w:bCs/>
          <w:color w:val="auto"/>
          <w:sz w:val="32"/>
          <w:szCs w:val="36"/>
        </w:rPr>
      </w:pPr>
      <w:r>
        <w:rPr>
          <w:rFonts w:hint="eastAsia" w:ascii="宋体" w:hAnsi="宋体" w:eastAsia="宋体"/>
          <w:b/>
          <w:bCs/>
          <w:color w:val="auto"/>
          <w:sz w:val="32"/>
          <w:szCs w:val="36"/>
        </w:rPr>
        <w:t>物资验收单</w:t>
      </w:r>
    </w:p>
    <w:tbl>
      <w:tblPr>
        <w:tblStyle w:val="39"/>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768"/>
        <w:gridCol w:w="1441"/>
        <w:gridCol w:w="148"/>
        <w:gridCol w:w="561"/>
        <w:gridCol w:w="136"/>
        <w:gridCol w:w="736"/>
        <w:gridCol w:w="778"/>
        <w:gridCol w:w="612"/>
        <w:gridCol w:w="321"/>
        <w:gridCol w:w="978"/>
        <w:gridCol w:w="1285"/>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19" w:type="dxa"/>
            <w:vAlign w:val="center"/>
          </w:tcPr>
          <w:p>
            <w:pPr>
              <w:jc w:val="center"/>
              <w:outlineLvl w:val="9"/>
              <w:rPr>
                <w:rFonts w:hint="eastAsia" w:ascii="宋体" w:hAnsi="宋体" w:eastAsia="宋体"/>
                <w:color w:val="auto"/>
                <w:sz w:val="24"/>
                <w:szCs w:val="24"/>
              </w:rPr>
            </w:pPr>
            <w:r>
              <w:rPr>
                <w:rFonts w:hint="eastAsia" w:ascii="宋体" w:hAnsi="宋体" w:eastAsia="宋体"/>
                <w:color w:val="auto"/>
                <w:sz w:val="24"/>
                <w:szCs w:val="24"/>
              </w:rPr>
              <w:t>合同名称</w:t>
            </w:r>
          </w:p>
        </w:tc>
        <w:tc>
          <w:tcPr>
            <w:tcW w:w="7772" w:type="dxa"/>
            <w:gridSpan w:val="12"/>
          </w:tcPr>
          <w:p>
            <w:pPr>
              <w:outlineLvl w:val="9"/>
              <w:rPr>
                <w:rFonts w:hint="eastAsia"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19" w:type="dxa"/>
            <w:vAlign w:val="center"/>
          </w:tcPr>
          <w:p>
            <w:pPr>
              <w:jc w:val="center"/>
              <w:outlineLvl w:val="9"/>
              <w:rPr>
                <w:rFonts w:hint="eastAsia" w:ascii="宋体" w:hAnsi="宋体" w:eastAsia="宋体"/>
                <w:color w:val="auto"/>
                <w:sz w:val="24"/>
                <w:szCs w:val="24"/>
              </w:rPr>
            </w:pPr>
            <w:r>
              <w:rPr>
                <w:rFonts w:hint="eastAsia" w:ascii="宋体" w:hAnsi="宋体" w:eastAsia="宋体"/>
                <w:color w:val="auto"/>
                <w:sz w:val="24"/>
                <w:szCs w:val="24"/>
              </w:rPr>
              <w:t>合同编号</w:t>
            </w:r>
          </w:p>
        </w:tc>
        <w:tc>
          <w:tcPr>
            <w:tcW w:w="3054" w:type="dxa"/>
            <w:gridSpan w:val="5"/>
          </w:tcPr>
          <w:p>
            <w:pPr>
              <w:outlineLvl w:val="9"/>
              <w:rPr>
                <w:rFonts w:hint="eastAsia" w:ascii="宋体" w:hAnsi="宋体" w:eastAsia="宋体"/>
                <w:color w:val="auto"/>
                <w:sz w:val="24"/>
                <w:szCs w:val="24"/>
              </w:rPr>
            </w:pPr>
          </w:p>
        </w:tc>
        <w:tc>
          <w:tcPr>
            <w:tcW w:w="2126" w:type="dxa"/>
            <w:gridSpan w:val="3"/>
            <w:vAlign w:val="center"/>
          </w:tcPr>
          <w:p>
            <w:pPr>
              <w:jc w:val="center"/>
              <w:outlineLvl w:val="9"/>
              <w:rPr>
                <w:rFonts w:hint="eastAsia" w:ascii="宋体" w:hAnsi="宋体" w:eastAsia="宋体"/>
                <w:color w:val="auto"/>
                <w:sz w:val="24"/>
                <w:szCs w:val="24"/>
              </w:rPr>
            </w:pPr>
            <w:r>
              <w:rPr>
                <w:rFonts w:hint="eastAsia" w:ascii="宋体" w:hAnsi="宋体" w:eastAsia="宋体"/>
                <w:color w:val="auto"/>
                <w:sz w:val="24"/>
                <w:szCs w:val="24"/>
              </w:rPr>
              <w:t>配送日期</w:t>
            </w:r>
          </w:p>
        </w:tc>
        <w:tc>
          <w:tcPr>
            <w:tcW w:w="2592" w:type="dxa"/>
            <w:gridSpan w:val="4"/>
          </w:tcPr>
          <w:p>
            <w:pPr>
              <w:outlineLvl w:val="9"/>
              <w:rPr>
                <w:rFonts w:hint="eastAsia"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19" w:type="dxa"/>
            <w:vMerge w:val="restart"/>
            <w:vAlign w:val="center"/>
          </w:tcPr>
          <w:p>
            <w:pPr>
              <w:jc w:val="center"/>
              <w:outlineLvl w:val="9"/>
              <w:rPr>
                <w:rFonts w:hint="eastAsia" w:ascii="宋体" w:hAnsi="宋体" w:eastAsia="宋体"/>
                <w:color w:val="auto"/>
                <w:sz w:val="24"/>
                <w:szCs w:val="24"/>
              </w:rPr>
            </w:pPr>
            <w:r>
              <w:rPr>
                <w:rFonts w:hint="eastAsia" w:ascii="宋体" w:hAnsi="宋体" w:eastAsia="宋体"/>
                <w:color w:val="auto"/>
                <w:sz w:val="24"/>
                <w:szCs w:val="24"/>
              </w:rPr>
              <w:t>货物描述</w:t>
            </w:r>
          </w:p>
        </w:tc>
        <w:tc>
          <w:tcPr>
            <w:tcW w:w="768" w:type="dxa"/>
            <w:vAlign w:val="center"/>
          </w:tcPr>
          <w:p>
            <w:pPr>
              <w:jc w:val="center"/>
              <w:outlineLvl w:val="9"/>
              <w:rPr>
                <w:rFonts w:hint="eastAsia" w:ascii="宋体" w:hAnsi="宋体" w:eastAsia="宋体"/>
                <w:color w:val="auto"/>
                <w:sz w:val="24"/>
                <w:szCs w:val="24"/>
              </w:rPr>
            </w:pPr>
            <w:r>
              <w:rPr>
                <w:rFonts w:hint="eastAsia" w:ascii="宋体" w:hAnsi="宋体" w:eastAsia="宋体"/>
                <w:color w:val="auto"/>
                <w:sz w:val="24"/>
                <w:szCs w:val="24"/>
              </w:rPr>
              <w:t>序号</w:t>
            </w:r>
          </w:p>
        </w:tc>
        <w:tc>
          <w:tcPr>
            <w:tcW w:w="1589" w:type="dxa"/>
            <w:gridSpan w:val="2"/>
            <w:vAlign w:val="center"/>
          </w:tcPr>
          <w:p>
            <w:pPr>
              <w:jc w:val="center"/>
              <w:outlineLvl w:val="9"/>
              <w:rPr>
                <w:rFonts w:hint="eastAsia" w:ascii="宋体" w:hAnsi="宋体" w:eastAsia="宋体"/>
                <w:color w:val="auto"/>
                <w:sz w:val="24"/>
                <w:szCs w:val="24"/>
              </w:rPr>
            </w:pPr>
            <w:r>
              <w:rPr>
                <w:rFonts w:hint="eastAsia" w:ascii="宋体" w:hAnsi="宋体" w:eastAsia="宋体"/>
                <w:color w:val="auto"/>
                <w:sz w:val="24"/>
                <w:szCs w:val="24"/>
              </w:rPr>
              <w:t>物资名称</w:t>
            </w:r>
          </w:p>
        </w:tc>
        <w:tc>
          <w:tcPr>
            <w:tcW w:w="1433" w:type="dxa"/>
            <w:gridSpan w:val="3"/>
            <w:vAlign w:val="center"/>
          </w:tcPr>
          <w:p>
            <w:pPr>
              <w:jc w:val="center"/>
              <w:outlineLvl w:val="9"/>
              <w:rPr>
                <w:rFonts w:hint="eastAsia" w:ascii="宋体" w:hAnsi="宋体" w:eastAsia="宋体"/>
                <w:color w:val="auto"/>
                <w:sz w:val="24"/>
                <w:szCs w:val="24"/>
              </w:rPr>
            </w:pPr>
            <w:r>
              <w:rPr>
                <w:rFonts w:hint="eastAsia" w:ascii="宋体" w:hAnsi="宋体" w:eastAsia="宋体"/>
                <w:color w:val="auto"/>
                <w:sz w:val="24"/>
                <w:szCs w:val="24"/>
              </w:rPr>
              <w:t>规格型号</w:t>
            </w:r>
          </w:p>
        </w:tc>
        <w:tc>
          <w:tcPr>
            <w:tcW w:w="778" w:type="dxa"/>
            <w:vAlign w:val="center"/>
          </w:tcPr>
          <w:p>
            <w:pPr>
              <w:jc w:val="center"/>
              <w:outlineLvl w:val="9"/>
              <w:rPr>
                <w:rFonts w:hint="eastAsia" w:ascii="宋体" w:hAnsi="宋体" w:eastAsia="宋体"/>
                <w:color w:val="auto"/>
                <w:sz w:val="24"/>
                <w:szCs w:val="24"/>
              </w:rPr>
            </w:pPr>
            <w:r>
              <w:rPr>
                <w:rFonts w:hint="eastAsia" w:ascii="宋体" w:hAnsi="宋体" w:eastAsia="宋体"/>
                <w:color w:val="auto"/>
                <w:sz w:val="24"/>
                <w:szCs w:val="24"/>
              </w:rPr>
              <w:t>单位</w:t>
            </w:r>
          </w:p>
        </w:tc>
        <w:tc>
          <w:tcPr>
            <w:tcW w:w="933" w:type="dxa"/>
            <w:gridSpan w:val="2"/>
            <w:vAlign w:val="center"/>
          </w:tcPr>
          <w:p>
            <w:pPr>
              <w:jc w:val="center"/>
              <w:outlineLvl w:val="9"/>
              <w:rPr>
                <w:rFonts w:hint="eastAsia" w:ascii="宋体" w:hAnsi="宋体" w:eastAsia="宋体"/>
                <w:color w:val="auto"/>
                <w:sz w:val="24"/>
                <w:szCs w:val="24"/>
              </w:rPr>
            </w:pPr>
            <w:r>
              <w:rPr>
                <w:rFonts w:hint="eastAsia" w:ascii="宋体" w:hAnsi="宋体" w:eastAsia="宋体"/>
                <w:color w:val="auto"/>
                <w:sz w:val="24"/>
                <w:szCs w:val="24"/>
              </w:rPr>
              <w:t>数量</w:t>
            </w:r>
          </w:p>
        </w:tc>
        <w:tc>
          <w:tcPr>
            <w:tcW w:w="978" w:type="dxa"/>
            <w:vAlign w:val="center"/>
          </w:tcPr>
          <w:p>
            <w:pPr>
              <w:jc w:val="center"/>
              <w:outlineLvl w:val="9"/>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品牌</w:t>
            </w:r>
          </w:p>
        </w:tc>
        <w:tc>
          <w:tcPr>
            <w:tcW w:w="1293" w:type="dxa"/>
            <w:gridSpan w:val="2"/>
            <w:vAlign w:val="center"/>
          </w:tcPr>
          <w:p>
            <w:pPr>
              <w:jc w:val="center"/>
              <w:outlineLvl w:val="9"/>
              <w:rPr>
                <w:rFonts w:hint="eastAsia" w:ascii="宋体" w:hAnsi="宋体" w:eastAsia="宋体"/>
                <w:color w:val="auto"/>
                <w:sz w:val="24"/>
                <w:szCs w:val="24"/>
              </w:rPr>
            </w:pPr>
            <w:r>
              <w:rPr>
                <w:rFonts w:hint="eastAsia" w:ascii="宋体" w:hAnsi="宋体" w:eastAsia="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19" w:type="dxa"/>
            <w:vMerge w:val="continue"/>
            <w:vAlign w:val="center"/>
          </w:tcPr>
          <w:p>
            <w:pPr>
              <w:outlineLvl w:val="9"/>
              <w:rPr>
                <w:rFonts w:hint="eastAsia" w:ascii="宋体" w:hAnsi="宋体" w:eastAsia="宋体"/>
                <w:color w:val="auto"/>
                <w:sz w:val="24"/>
                <w:szCs w:val="24"/>
              </w:rPr>
            </w:pPr>
          </w:p>
        </w:tc>
        <w:tc>
          <w:tcPr>
            <w:tcW w:w="768" w:type="dxa"/>
            <w:vAlign w:val="center"/>
          </w:tcPr>
          <w:p>
            <w:pPr>
              <w:outlineLvl w:val="9"/>
              <w:rPr>
                <w:rFonts w:hint="eastAsia" w:ascii="宋体" w:hAnsi="宋体" w:eastAsia="宋体"/>
                <w:color w:val="auto"/>
                <w:sz w:val="24"/>
                <w:szCs w:val="24"/>
              </w:rPr>
            </w:pPr>
          </w:p>
        </w:tc>
        <w:tc>
          <w:tcPr>
            <w:tcW w:w="1589" w:type="dxa"/>
            <w:gridSpan w:val="2"/>
            <w:vAlign w:val="center"/>
          </w:tcPr>
          <w:p>
            <w:pPr>
              <w:outlineLvl w:val="9"/>
              <w:rPr>
                <w:rFonts w:hint="eastAsia" w:ascii="宋体" w:hAnsi="宋体" w:eastAsia="宋体"/>
                <w:color w:val="auto"/>
                <w:sz w:val="24"/>
                <w:szCs w:val="24"/>
              </w:rPr>
            </w:pPr>
          </w:p>
        </w:tc>
        <w:tc>
          <w:tcPr>
            <w:tcW w:w="1433" w:type="dxa"/>
            <w:gridSpan w:val="3"/>
            <w:vAlign w:val="center"/>
          </w:tcPr>
          <w:p>
            <w:pPr>
              <w:outlineLvl w:val="9"/>
              <w:rPr>
                <w:rFonts w:hint="eastAsia" w:ascii="宋体" w:hAnsi="宋体" w:eastAsia="宋体"/>
                <w:color w:val="auto"/>
                <w:sz w:val="24"/>
                <w:szCs w:val="24"/>
              </w:rPr>
            </w:pPr>
          </w:p>
        </w:tc>
        <w:tc>
          <w:tcPr>
            <w:tcW w:w="778" w:type="dxa"/>
            <w:vAlign w:val="center"/>
          </w:tcPr>
          <w:p>
            <w:pPr>
              <w:outlineLvl w:val="9"/>
              <w:rPr>
                <w:rFonts w:hint="eastAsia" w:ascii="宋体" w:hAnsi="宋体" w:eastAsia="宋体"/>
                <w:color w:val="auto"/>
                <w:sz w:val="24"/>
                <w:szCs w:val="24"/>
              </w:rPr>
            </w:pPr>
          </w:p>
        </w:tc>
        <w:tc>
          <w:tcPr>
            <w:tcW w:w="933" w:type="dxa"/>
            <w:gridSpan w:val="2"/>
            <w:vAlign w:val="center"/>
          </w:tcPr>
          <w:p>
            <w:pPr>
              <w:outlineLvl w:val="9"/>
              <w:rPr>
                <w:rFonts w:hint="eastAsia" w:ascii="宋体" w:hAnsi="宋体" w:eastAsia="宋体"/>
                <w:color w:val="auto"/>
                <w:sz w:val="24"/>
                <w:szCs w:val="24"/>
              </w:rPr>
            </w:pPr>
          </w:p>
        </w:tc>
        <w:tc>
          <w:tcPr>
            <w:tcW w:w="978" w:type="dxa"/>
            <w:vAlign w:val="center"/>
          </w:tcPr>
          <w:p>
            <w:pPr>
              <w:outlineLvl w:val="9"/>
              <w:rPr>
                <w:rFonts w:hint="eastAsia" w:ascii="宋体" w:hAnsi="宋体" w:eastAsia="宋体"/>
                <w:color w:val="auto"/>
                <w:sz w:val="24"/>
                <w:szCs w:val="24"/>
              </w:rPr>
            </w:pPr>
          </w:p>
        </w:tc>
        <w:tc>
          <w:tcPr>
            <w:tcW w:w="1293" w:type="dxa"/>
            <w:gridSpan w:val="2"/>
            <w:vAlign w:val="center"/>
          </w:tcPr>
          <w:p>
            <w:pPr>
              <w:outlineLvl w:val="9"/>
              <w:rPr>
                <w:rFonts w:hint="eastAsia"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19" w:type="dxa"/>
            <w:vMerge w:val="continue"/>
            <w:vAlign w:val="center"/>
          </w:tcPr>
          <w:p>
            <w:pPr>
              <w:outlineLvl w:val="9"/>
              <w:rPr>
                <w:rFonts w:hint="eastAsia" w:ascii="宋体" w:hAnsi="宋体" w:eastAsia="宋体"/>
                <w:color w:val="auto"/>
                <w:sz w:val="24"/>
                <w:szCs w:val="24"/>
              </w:rPr>
            </w:pPr>
          </w:p>
        </w:tc>
        <w:tc>
          <w:tcPr>
            <w:tcW w:w="768" w:type="dxa"/>
            <w:vAlign w:val="center"/>
          </w:tcPr>
          <w:p>
            <w:pPr>
              <w:outlineLvl w:val="9"/>
              <w:rPr>
                <w:rFonts w:hint="eastAsia" w:ascii="宋体" w:hAnsi="宋体" w:eastAsia="宋体"/>
                <w:color w:val="auto"/>
                <w:sz w:val="24"/>
                <w:szCs w:val="24"/>
              </w:rPr>
            </w:pPr>
          </w:p>
        </w:tc>
        <w:tc>
          <w:tcPr>
            <w:tcW w:w="1589" w:type="dxa"/>
            <w:gridSpan w:val="2"/>
            <w:vAlign w:val="center"/>
          </w:tcPr>
          <w:p>
            <w:pPr>
              <w:outlineLvl w:val="9"/>
              <w:rPr>
                <w:rFonts w:hint="eastAsia" w:ascii="宋体" w:hAnsi="宋体" w:eastAsia="宋体"/>
                <w:color w:val="auto"/>
                <w:sz w:val="24"/>
                <w:szCs w:val="24"/>
              </w:rPr>
            </w:pPr>
          </w:p>
        </w:tc>
        <w:tc>
          <w:tcPr>
            <w:tcW w:w="1433" w:type="dxa"/>
            <w:gridSpan w:val="3"/>
            <w:vAlign w:val="center"/>
          </w:tcPr>
          <w:p>
            <w:pPr>
              <w:outlineLvl w:val="9"/>
              <w:rPr>
                <w:rFonts w:hint="eastAsia" w:ascii="宋体" w:hAnsi="宋体" w:eastAsia="宋体"/>
                <w:color w:val="auto"/>
                <w:sz w:val="24"/>
                <w:szCs w:val="24"/>
              </w:rPr>
            </w:pPr>
          </w:p>
        </w:tc>
        <w:tc>
          <w:tcPr>
            <w:tcW w:w="778" w:type="dxa"/>
            <w:vAlign w:val="center"/>
          </w:tcPr>
          <w:p>
            <w:pPr>
              <w:outlineLvl w:val="9"/>
              <w:rPr>
                <w:rFonts w:hint="eastAsia" w:ascii="宋体" w:hAnsi="宋体" w:eastAsia="宋体"/>
                <w:color w:val="auto"/>
                <w:sz w:val="24"/>
                <w:szCs w:val="24"/>
              </w:rPr>
            </w:pPr>
          </w:p>
        </w:tc>
        <w:tc>
          <w:tcPr>
            <w:tcW w:w="933" w:type="dxa"/>
            <w:gridSpan w:val="2"/>
            <w:vAlign w:val="center"/>
          </w:tcPr>
          <w:p>
            <w:pPr>
              <w:outlineLvl w:val="9"/>
              <w:rPr>
                <w:rFonts w:hint="eastAsia" w:ascii="宋体" w:hAnsi="宋体" w:eastAsia="宋体"/>
                <w:color w:val="auto"/>
                <w:sz w:val="24"/>
                <w:szCs w:val="24"/>
              </w:rPr>
            </w:pPr>
          </w:p>
        </w:tc>
        <w:tc>
          <w:tcPr>
            <w:tcW w:w="978" w:type="dxa"/>
            <w:vAlign w:val="center"/>
          </w:tcPr>
          <w:p>
            <w:pPr>
              <w:outlineLvl w:val="9"/>
              <w:rPr>
                <w:rFonts w:hint="eastAsia" w:ascii="宋体" w:hAnsi="宋体" w:eastAsia="宋体"/>
                <w:color w:val="auto"/>
                <w:sz w:val="24"/>
                <w:szCs w:val="24"/>
              </w:rPr>
            </w:pPr>
          </w:p>
        </w:tc>
        <w:tc>
          <w:tcPr>
            <w:tcW w:w="1293" w:type="dxa"/>
            <w:gridSpan w:val="2"/>
            <w:vAlign w:val="center"/>
          </w:tcPr>
          <w:p>
            <w:pPr>
              <w:outlineLvl w:val="9"/>
              <w:rPr>
                <w:rFonts w:hint="eastAsia"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619" w:type="dxa"/>
            <w:vMerge w:val="continue"/>
            <w:vAlign w:val="center"/>
          </w:tcPr>
          <w:p>
            <w:pPr>
              <w:outlineLvl w:val="9"/>
              <w:rPr>
                <w:rFonts w:hint="eastAsia" w:ascii="宋体" w:hAnsi="宋体" w:eastAsia="宋体"/>
                <w:color w:val="auto"/>
                <w:sz w:val="24"/>
                <w:szCs w:val="24"/>
              </w:rPr>
            </w:pPr>
          </w:p>
        </w:tc>
        <w:tc>
          <w:tcPr>
            <w:tcW w:w="768" w:type="dxa"/>
            <w:vAlign w:val="center"/>
          </w:tcPr>
          <w:p>
            <w:pPr>
              <w:outlineLvl w:val="9"/>
              <w:rPr>
                <w:rFonts w:hint="eastAsia" w:ascii="宋体" w:hAnsi="宋体" w:eastAsia="宋体"/>
                <w:color w:val="auto"/>
                <w:sz w:val="24"/>
                <w:szCs w:val="24"/>
              </w:rPr>
            </w:pPr>
          </w:p>
        </w:tc>
        <w:tc>
          <w:tcPr>
            <w:tcW w:w="1589" w:type="dxa"/>
            <w:gridSpan w:val="2"/>
            <w:vAlign w:val="center"/>
          </w:tcPr>
          <w:p>
            <w:pPr>
              <w:outlineLvl w:val="9"/>
              <w:rPr>
                <w:rFonts w:hint="eastAsia" w:ascii="宋体" w:hAnsi="宋体" w:eastAsia="宋体"/>
                <w:color w:val="auto"/>
                <w:sz w:val="24"/>
                <w:szCs w:val="24"/>
              </w:rPr>
            </w:pPr>
          </w:p>
        </w:tc>
        <w:tc>
          <w:tcPr>
            <w:tcW w:w="1433" w:type="dxa"/>
            <w:gridSpan w:val="3"/>
            <w:vAlign w:val="center"/>
          </w:tcPr>
          <w:p>
            <w:pPr>
              <w:outlineLvl w:val="9"/>
              <w:rPr>
                <w:rFonts w:hint="eastAsia" w:ascii="宋体" w:hAnsi="宋体" w:eastAsia="宋体"/>
                <w:color w:val="auto"/>
                <w:sz w:val="24"/>
                <w:szCs w:val="24"/>
              </w:rPr>
            </w:pPr>
          </w:p>
        </w:tc>
        <w:tc>
          <w:tcPr>
            <w:tcW w:w="778" w:type="dxa"/>
            <w:vAlign w:val="center"/>
          </w:tcPr>
          <w:p>
            <w:pPr>
              <w:outlineLvl w:val="9"/>
              <w:rPr>
                <w:rFonts w:hint="eastAsia" w:ascii="宋体" w:hAnsi="宋体" w:eastAsia="宋体"/>
                <w:color w:val="auto"/>
                <w:sz w:val="24"/>
                <w:szCs w:val="24"/>
              </w:rPr>
            </w:pPr>
          </w:p>
        </w:tc>
        <w:tc>
          <w:tcPr>
            <w:tcW w:w="933" w:type="dxa"/>
            <w:gridSpan w:val="2"/>
            <w:vAlign w:val="center"/>
          </w:tcPr>
          <w:p>
            <w:pPr>
              <w:outlineLvl w:val="9"/>
              <w:rPr>
                <w:rFonts w:hint="eastAsia" w:ascii="宋体" w:hAnsi="宋体" w:eastAsia="宋体"/>
                <w:color w:val="auto"/>
                <w:sz w:val="24"/>
                <w:szCs w:val="24"/>
              </w:rPr>
            </w:pPr>
          </w:p>
        </w:tc>
        <w:tc>
          <w:tcPr>
            <w:tcW w:w="978" w:type="dxa"/>
            <w:vAlign w:val="center"/>
          </w:tcPr>
          <w:p>
            <w:pPr>
              <w:outlineLvl w:val="9"/>
              <w:rPr>
                <w:rFonts w:hint="eastAsia" w:ascii="宋体" w:hAnsi="宋体" w:eastAsia="宋体"/>
                <w:color w:val="auto"/>
                <w:sz w:val="24"/>
                <w:szCs w:val="24"/>
              </w:rPr>
            </w:pPr>
          </w:p>
        </w:tc>
        <w:tc>
          <w:tcPr>
            <w:tcW w:w="1293" w:type="dxa"/>
            <w:gridSpan w:val="2"/>
            <w:vAlign w:val="center"/>
          </w:tcPr>
          <w:p>
            <w:pPr>
              <w:outlineLvl w:val="9"/>
              <w:rPr>
                <w:rFonts w:hint="eastAsia"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19" w:type="dxa"/>
            <w:vMerge w:val="continue"/>
            <w:vAlign w:val="center"/>
          </w:tcPr>
          <w:p>
            <w:pPr>
              <w:outlineLvl w:val="9"/>
              <w:rPr>
                <w:rFonts w:hint="eastAsia" w:ascii="宋体" w:hAnsi="宋体" w:eastAsia="宋体"/>
                <w:color w:val="auto"/>
                <w:sz w:val="24"/>
                <w:szCs w:val="24"/>
              </w:rPr>
            </w:pPr>
          </w:p>
        </w:tc>
        <w:tc>
          <w:tcPr>
            <w:tcW w:w="768" w:type="dxa"/>
            <w:vAlign w:val="center"/>
          </w:tcPr>
          <w:p>
            <w:pPr>
              <w:outlineLvl w:val="9"/>
              <w:rPr>
                <w:rFonts w:hint="eastAsia" w:ascii="宋体" w:hAnsi="宋体" w:eastAsia="宋体"/>
                <w:color w:val="auto"/>
                <w:sz w:val="24"/>
                <w:szCs w:val="24"/>
              </w:rPr>
            </w:pPr>
          </w:p>
        </w:tc>
        <w:tc>
          <w:tcPr>
            <w:tcW w:w="1589" w:type="dxa"/>
            <w:gridSpan w:val="2"/>
            <w:vAlign w:val="center"/>
          </w:tcPr>
          <w:p>
            <w:pPr>
              <w:outlineLvl w:val="9"/>
              <w:rPr>
                <w:rFonts w:hint="eastAsia" w:ascii="宋体" w:hAnsi="宋体" w:eastAsia="宋体"/>
                <w:color w:val="auto"/>
                <w:sz w:val="24"/>
                <w:szCs w:val="24"/>
              </w:rPr>
            </w:pPr>
          </w:p>
        </w:tc>
        <w:tc>
          <w:tcPr>
            <w:tcW w:w="1433" w:type="dxa"/>
            <w:gridSpan w:val="3"/>
            <w:vAlign w:val="center"/>
          </w:tcPr>
          <w:p>
            <w:pPr>
              <w:outlineLvl w:val="9"/>
              <w:rPr>
                <w:rFonts w:hint="eastAsia" w:ascii="宋体" w:hAnsi="宋体" w:eastAsia="宋体"/>
                <w:color w:val="auto"/>
                <w:sz w:val="24"/>
                <w:szCs w:val="24"/>
              </w:rPr>
            </w:pPr>
          </w:p>
        </w:tc>
        <w:tc>
          <w:tcPr>
            <w:tcW w:w="778" w:type="dxa"/>
            <w:vAlign w:val="center"/>
          </w:tcPr>
          <w:p>
            <w:pPr>
              <w:outlineLvl w:val="9"/>
              <w:rPr>
                <w:rFonts w:hint="eastAsia" w:ascii="宋体" w:hAnsi="宋体" w:eastAsia="宋体"/>
                <w:color w:val="auto"/>
                <w:sz w:val="24"/>
                <w:szCs w:val="24"/>
              </w:rPr>
            </w:pPr>
          </w:p>
        </w:tc>
        <w:tc>
          <w:tcPr>
            <w:tcW w:w="933" w:type="dxa"/>
            <w:gridSpan w:val="2"/>
            <w:vAlign w:val="center"/>
          </w:tcPr>
          <w:p>
            <w:pPr>
              <w:outlineLvl w:val="9"/>
              <w:rPr>
                <w:rFonts w:hint="eastAsia" w:ascii="宋体" w:hAnsi="宋体" w:eastAsia="宋体"/>
                <w:color w:val="auto"/>
                <w:sz w:val="24"/>
                <w:szCs w:val="24"/>
              </w:rPr>
            </w:pPr>
          </w:p>
        </w:tc>
        <w:tc>
          <w:tcPr>
            <w:tcW w:w="978" w:type="dxa"/>
            <w:vAlign w:val="center"/>
          </w:tcPr>
          <w:p>
            <w:pPr>
              <w:outlineLvl w:val="9"/>
              <w:rPr>
                <w:rFonts w:hint="eastAsia" w:ascii="宋体" w:hAnsi="宋体" w:eastAsia="宋体"/>
                <w:color w:val="auto"/>
                <w:sz w:val="24"/>
                <w:szCs w:val="24"/>
              </w:rPr>
            </w:pPr>
          </w:p>
        </w:tc>
        <w:tc>
          <w:tcPr>
            <w:tcW w:w="1293" w:type="dxa"/>
            <w:gridSpan w:val="2"/>
            <w:vAlign w:val="center"/>
          </w:tcPr>
          <w:p>
            <w:pPr>
              <w:outlineLvl w:val="9"/>
              <w:rPr>
                <w:rFonts w:hint="eastAsia"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619" w:type="dxa"/>
            <w:vMerge w:val="continue"/>
            <w:vAlign w:val="center"/>
          </w:tcPr>
          <w:p>
            <w:pPr>
              <w:outlineLvl w:val="9"/>
              <w:rPr>
                <w:rFonts w:hint="eastAsia" w:ascii="宋体" w:hAnsi="宋体" w:eastAsia="宋体"/>
                <w:color w:val="auto"/>
                <w:sz w:val="24"/>
                <w:szCs w:val="24"/>
              </w:rPr>
            </w:pPr>
          </w:p>
        </w:tc>
        <w:tc>
          <w:tcPr>
            <w:tcW w:w="7772" w:type="dxa"/>
            <w:gridSpan w:val="12"/>
            <w:vAlign w:val="center"/>
          </w:tcPr>
          <w:p>
            <w:pPr>
              <w:outlineLvl w:val="9"/>
              <w:rPr>
                <w:rFonts w:hint="eastAsia" w:ascii="宋体" w:hAnsi="宋体" w:eastAsia="宋体"/>
                <w:color w:val="auto"/>
                <w:sz w:val="24"/>
                <w:szCs w:val="24"/>
              </w:rPr>
            </w:pPr>
            <w:r>
              <w:rPr>
                <w:rFonts w:hint="eastAsia" w:ascii="宋体" w:hAnsi="宋体" w:eastAsia="宋体"/>
                <w:color w:val="auto"/>
                <w:sz w:val="24"/>
                <w:szCs w:val="24"/>
              </w:rPr>
              <w:t>备注：以上栏目由供货单位填写。如果不能将所发货物描述清楚，需附“发货清单”或“装箱单”，并加盖骑缝章。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57" w:hRule="atLeast"/>
          <w:jc w:val="center"/>
        </w:trPr>
        <w:tc>
          <w:tcPr>
            <w:tcW w:w="1619" w:type="dxa"/>
            <w:vMerge w:val="restart"/>
            <w:vAlign w:val="center"/>
          </w:tcPr>
          <w:p>
            <w:pPr>
              <w:jc w:val="center"/>
              <w:outlineLvl w:val="9"/>
              <w:rPr>
                <w:rFonts w:hint="eastAsia" w:ascii="宋体" w:hAnsi="宋体" w:eastAsia="宋体"/>
                <w:color w:val="auto"/>
                <w:sz w:val="24"/>
                <w:szCs w:val="24"/>
              </w:rPr>
            </w:pPr>
            <w:r>
              <w:rPr>
                <w:rFonts w:hint="eastAsia" w:ascii="宋体" w:hAnsi="宋体" w:eastAsia="宋体"/>
                <w:color w:val="auto"/>
                <w:sz w:val="24"/>
                <w:szCs w:val="24"/>
              </w:rPr>
              <w:t>货物验收</w:t>
            </w:r>
          </w:p>
        </w:tc>
        <w:tc>
          <w:tcPr>
            <w:tcW w:w="2209" w:type="dxa"/>
            <w:gridSpan w:val="2"/>
            <w:vAlign w:val="center"/>
          </w:tcPr>
          <w:p>
            <w:pPr>
              <w:outlineLvl w:val="9"/>
              <w:rPr>
                <w:rFonts w:hint="eastAsia" w:ascii="宋体" w:hAnsi="宋体" w:eastAsia="宋体"/>
                <w:color w:val="auto"/>
                <w:sz w:val="24"/>
                <w:szCs w:val="24"/>
              </w:rPr>
            </w:pPr>
            <w:r>
              <w:rPr>
                <w:rFonts w:hint="eastAsia" w:ascii="宋体" w:hAnsi="宋体" w:eastAsia="宋体"/>
                <w:color w:val="auto"/>
                <w:sz w:val="24"/>
                <w:szCs w:val="24"/>
              </w:rPr>
              <w:t>货物数量是否齐全</w:t>
            </w:r>
          </w:p>
        </w:tc>
        <w:tc>
          <w:tcPr>
            <w:tcW w:w="5555" w:type="dxa"/>
            <w:gridSpan w:val="9"/>
            <w:vAlign w:val="center"/>
          </w:tcPr>
          <w:p>
            <w:pPr>
              <w:ind w:firstLine="960" w:firstLineChars="400"/>
              <w:outlineLvl w:val="9"/>
              <w:rPr>
                <w:rFonts w:hint="eastAsia" w:ascii="宋体" w:hAnsi="宋体" w:eastAsia="宋体"/>
                <w:color w:val="auto"/>
                <w:sz w:val="24"/>
                <w:szCs w:val="24"/>
              </w:rPr>
            </w:pPr>
            <w:r>
              <w:rPr>
                <w:rFonts w:hint="eastAsia" w:ascii="宋体" w:hAnsi="宋体" w:eastAsia="宋体"/>
                <w:color w:val="auto"/>
                <w:sz w:val="24"/>
                <w:szCs w:val="24"/>
              </w:rPr>
              <w:t xml:space="preserve">是 </w:t>
            </w:r>
            <w:r>
              <w:rPr>
                <w:rFonts w:hint="eastAsia" w:ascii="宋体" w:hAnsi="宋体" w:eastAsia="宋体"/>
                <w:color w:val="auto"/>
                <w:sz w:val="24"/>
                <w:szCs w:val="24"/>
              </w:rPr>
              <w:sym w:font="Wingdings 2" w:char="F0A3"/>
            </w:r>
            <w:r>
              <w:rPr>
                <w:rFonts w:hint="eastAsia" w:ascii="宋体" w:hAnsi="宋体" w:eastAsia="宋体"/>
                <w:color w:val="auto"/>
                <w:sz w:val="24"/>
                <w:szCs w:val="24"/>
              </w:rPr>
              <w:t xml:space="preserve">               否</w:t>
            </w:r>
            <w:r>
              <w:rPr>
                <w:rFonts w:hint="eastAsia" w:ascii="宋体" w:hAnsi="宋体" w:eastAsia="宋体"/>
                <w:color w:val="auto"/>
                <w:sz w:val="24"/>
                <w:szCs w:val="24"/>
              </w:rPr>
              <w:sym w:font="Wingdings 2" w:char="F0A3"/>
            </w:r>
            <w:r>
              <w:rPr>
                <w:rFonts w:hint="eastAsia" w:ascii="宋体" w:hAnsi="宋体" w:eastAsia="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51" w:hRule="atLeast"/>
          <w:jc w:val="center"/>
        </w:trPr>
        <w:tc>
          <w:tcPr>
            <w:tcW w:w="1619" w:type="dxa"/>
            <w:vMerge w:val="continue"/>
          </w:tcPr>
          <w:p>
            <w:pPr>
              <w:outlineLvl w:val="9"/>
              <w:rPr>
                <w:rFonts w:hint="eastAsia" w:ascii="宋体" w:hAnsi="宋体" w:eastAsia="宋体"/>
                <w:color w:val="auto"/>
                <w:sz w:val="24"/>
                <w:szCs w:val="24"/>
              </w:rPr>
            </w:pPr>
          </w:p>
        </w:tc>
        <w:tc>
          <w:tcPr>
            <w:tcW w:w="2209" w:type="dxa"/>
            <w:gridSpan w:val="2"/>
            <w:vAlign w:val="center"/>
          </w:tcPr>
          <w:p>
            <w:pPr>
              <w:outlineLvl w:val="9"/>
              <w:rPr>
                <w:rFonts w:hint="eastAsia" w:ascii="宋体" w:hAnsi="宋体" w:eastAsia="宋体"/>
                <w:color w:val="auto"/>
                <w:sz w:val="24"/>
                <w:szCs w:val="24"/>
              </w:rPr>
            </w:pPr>
            <w:r>
              <w:rPr>
                <w:rFonts w:hint="eastAsia" w:ascii="宋体" w:hAnsi="宋体" w:eastAsia="宋体"/>
                <w:color w:val="auto"/>
                <w:sz w:val="24"/>
                <w:szCs w:val="24"/>
              </w:rPr>
              <w:t>所有货物是否完好</w:t>
            </w:r>
          </w:p>
        </w:tc>
        <w:tc>
          <w:tcPr>
            <w:tcW w:w="5555" w:type="dxa"/>
            <w:gridSpan w:val="9"/>
            <w:vAlign w:val="center"/>
          </w:tcPr>
          <w:p>
            <w:pPr>
              <w:ind w:firstLine="960" w:firstLineChars="400"/>
              <w:outlineLvl w:val="9"/>
              <w:rPr>
                <w:rFonts w:hint="eastAsia" w:ascii="宋体" w:hAnsi="宋体" w:eastAsia="宋体"/>
                <w:color w:val="auto"/>
                <w:sz w:val="24"/>
                <w:szCs w:val="24"/>
              </w:rPr>
            </w:pPr>
            <w:r>
              <w:rPr>
                <w:rFonts w:hint="eastAsia" w:ascii="宋体" w:hAnsi="宋体" w:eastAsia="宋体"/>
                <w:color w:val="auto"/>
                <w:sz w:val="24"/>
                <w:szCs w:val="24"/>
              </w:rPr>
              <w:t xml:space="preserve">是 </w:t>
            </w:r>
            <w:r>
              <w:rPr>
                <w:rFonts w:hint="eastAsia" w:ascii="宋体" w:hAnsi="宋体" w:eastAsia="宋体"/>
                <w:color w:val="auto"/>
                <w:sz w:val="24"/>
                <w:szCs w:val="24"/>
              </w:rPr>
              <w:sym w:font="Wingdings 2" w:char="F0A3"/>
            </w:r>
            <w:r>
              <w:rPr>
                <w:rFonts w:hint="eastAsia" w:ascii="宋体" w:hAnsi="宋体" w:eastAsia="宋体"/>
                <w:color w:val="auto"/>
                <w:sz w:val="24"/>
                <w:szCs w:val="24"/>
              </w:rPr>
              <w:t xml:space="preserve">               否</w:t>
            </w:r>
            <w:r>
              <w:rPr>
                <w:rFonts w:hint="eastAsia" w:ascii="宋体" w:hAnsi="宋体" w:eastAsia="宋体"/>
                <w:color w:val="auto"/>
                <w:sz w:val="24"/>
                <w:szCs w:val="24"/>
              </w:rPr>
              <w:sym w:font="Wingdings 2" w:char="F0A3"/>
            </w:r>
            <w:r>
              <w:rPr>
                <w:rFonts w:hint="eastAsia" w:ascii="宋体" w:hAnsi="宋体" w:eastAsia="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975" w:hRule="atLeast"/>
          <w:jc w:val="center"/>
        </w:trPr>
        <w:tc>
          <w:tcPr>
            <w:tcW w:w="1619" w:type="dxa"/>
            <w:vMerge w:val="continue"/>
          </w:tcPr>
          <w:p>
            <w:pPr>
              <w:outlineLvl w:val="9"/>
              <w:rPr>
                <w:rFonts w:hint="eastAsia" w:ascii="宋体" w:hAnsi="宋体" w:eastAsia="宋体"/>
                <w:color w:val="auto"/>
                <w:sz w:val="24"/>
                <w:szCs w:val="24"/>
              </w:rPr>
            </w:pPr>
          </w:p>
        </w:tc>
        <w:tc>
          <w:tcPr>
            <w:tcW w:w="2209" w:type="dxa"/>
            <w:gridSpan w:val="2"/>
            <w:vAlign w:val="center"/>
          </w:tcPr>
          <w:p>
            <w:pPr>
              <w:outlineLvl w:val="9"/>
              <w:rPr>
                <w:rFonts w:hint="eastAsia" w:ascii="宋体" w:hAnsi="宋体" w:eastAsia="宋体"/>
                <w:color w:val="auto"/>
                <w:sz w:val="24"/>
                <w:szCs w:val="24"/>
              </w:rPr>
            </w:pPr>
            <w:r>
              <w:rPr>
                <w:rFonts w:hint="eastAsia" w:ascii="宋体" w:hAnsi="宋体" w:eastAsia="宋体"/>
                <w:color w:val="auto"/>
                <w:sz w:val="24"/>
                <w:szCs w:val="24"/>
              </w:rPr>
              <w:t>货损描述</w:t>
            </w:r>
          </w:p>
        </w:tc>
        <w:tc>
          <w:tcPr>
            <w:tcW w:w="5555" w:type="dxa"/>
            <w:gridSpan w:val="9"/>
            <w:vAlign w:val="center"/>
          </w:tcPr>
          <w:p>
            <w:pPr>
              <w:outlineLvl w:val="9"/>
              <w:rPr>
                <w:rFonts w:hint="eastAsia"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089" w:hRule="atLeast"/>
          <w:jc w:val="center"/>
        </w:trPr>
        <w:tc>
          <w:tcPr>
            <w:tcW w:w="1619" w:type="dxa"/>
            <w:vMerge w:val="continue"/>
          </w:tcPr>
          <w:p>
            <w:pPr>
              <w:outlineLvl w:val="9"/>
              <w:rPr>
                <w:rFonts w:hint="eastAsia" w:ascii="宋体" w:hAnsi="宋体" w:eastAsia="宋体"/>
                <w:color w:val="auto"/>
                <w:sz w:val="24"/>
                <w:szCs w:val="24"/>
              </w:rPr>
            </w:pPr>
          </w:p>
        </w:tc>
        <w:tc>
          <w:tcPr>
            <w:tcW w:w="2209" w:type="dxa"/>
            <w:gridSpan w:val="2"/>
            <w:vAlign w:val="center"/>
          </w:tcPr>
          <w:p>
            <w:pPr>
              <w:outlineLvl w:val="9"/>
              <w:rPr>
                <w:rFonts w:hint="eastAsia" w:ascii="宋体" w:hAnsi="宋体" w:eastAsia="宋体"/>
                <w:color w:val="auto"/>
                <w:sz w:val="24"/>
                <w:szCs w:val="24"/>
              </w:rPr>
            </w:pPr>
            <w:r>
              <w:rPr>
                <w:rFonts w:hint="eastAsia" w:ascii="宋体" w:hAnsi="宋体" w:eastAsia="宋体"/>
                <w:color w:val="auto"/>
                <w:sz w:val="24"/>
                <w:szCs w:val="24"/>
              </w:rPr>
              <w:t>缺货、错货描述</w:t>
            </w:r>
          </w:p>
        </w:tc>
        <w:tc>
          <w:tcPr>
            <w:tcW w:w="5555" w:type="dxa"/>
            <w:gridSpan w:val="9"/>
            <w:vAlign w:val="center"/>
          </w:tcPr>
          <w:p>
            <w:pPr>
              <w:outlineLvl w:val="9"/>
              <w:rPr>
                <w:rFonts w:hint="eastAsia"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133" w:hRule="atLeast"/>
          <w:jc w:val="center"/>
        </w:trPr>
        <w:tc>
          <w:tcPr>
            <w:tcW w:w="1619" w:type="dxa"/>
            <w:vMerge w:val="continue"/>
          </w:tcPr>
          <w:p>
            <w:pPr>
              <w:outlineLvl w:val="9"/>
              <w:rPr>
                <w:rFonts w:hint="eastAsia" w:ascii="宋体" w:hAnsi="宋体" w:eastAsia="宋体"/>
                <w:color w:val="auto"/>
                <w:sz w:val="24"/>
                <w:szCs w:val="24"/>
              </w:rPr>
            </w:pPr>
          </w:p>
        </w:tc>
        <w:tc>
          <w:tcPr>
            <w:tcW w:w="2209" w:type="dxa"/>
            <w:gridSpan w:val="2"/>
            <w:vAlign w:val="center"/>
          </w:tcPr>
          <w:p>
            <w:pPr>
              <w:outlineLvl w:val="9"/>
              <w:rPr>
                <w:rFonts w:hint="eastAsia" w:ascii="宋体" w:hAnsi="宋体" w:eastAsia="宋体"/>
                <w:color w:val="auto"/>
                <w:sz w:val="24"/>
                <w:szCs w:val="24"/>
              </w:rPr>
            </w:pPr>
            <w:r>
              <w:rPr>
                <w:rFonts w:hint="eastAsia" w:ascii="宋体" w:hAnsi="宋体" w:eastAsia="宋体"/>
                <w:color w:val="auto"/>
                <w:sz w:val="24"/>
                <w:szCs w:val="24"/>
              </w:rPr>
              <w:t>随货资料内容</w:t>
            </w:r>
          </w:p>
        </w:tc>
        <w:tc>
          <w:tcPr>
            <w:tcW w:w="5555" w:type="dxa"/>
            <w:gridSpan w:val="9"/>
            <w:vAlign w:val="center"/>
          </w:tcPr>
          <w:p>
            <w:pPr>
              <w:outlineLvl w:val="9"/>
              <w:rPr>
                <w:rFonts w:hint="default" w:ascii="宋体" w:hAnsi="宋体" w:eastAsia="宋体"/>
                <w:color w:val="auto"/>
                <w:sz w:val="24"/>
                <w:szCs w:val="24"/>
                <w:u w:val="single"/>
                <w:lang w:val="en-US" w:eastAsia="zh-CN"/>
              </w:rPr>
            </w:pPr>
            <w:r>
              <w:rPr>
                <w:rFonts w:hint="eastAsia" w:ascii="宋体" w:hAnsi="宋体" w:eastAsia="宋体"/>
                <w:color w:val="auto"/>
                <w:sz w:val="24"/>
                <w:szCs w:val="24"/>
              </w:rPr>
              <w:t>产品合格证</w:t>
            </w:r>
            <w:r>
              <w:rPr>
                <w:rFonts w:hint="eastAsia" w:ascii="宋体" w:hAnsi="宋体" w:eastAsia="宋体"/>
                <w:color w:val="auto"/>
                <w:sz w:val="24"/>
                <w:szCs w:val="24"/>
              </w:rPr>
              <w:sym w:font="Wingdings 2" w:char="F0A3"/>
            </w:r>
            <w:r>
              <w:rPr>
                <w:rFonts w:hint="eastAsia" w:ascii="宋体" w:hAnsi="宋体" w:eastAsia="宋体"/>
                <w:color w:val="auto"/>
                <w:sz w:val="24"/>
                <w:szCs w:val="24"/>
              </w:rPr>
              <w:t>、检验报告</w:t>
            </w:r>
            <w:r>
              <w:rPr>
                <w:rFonts w:hint="eastAsia" w:ascii="宋体" w:hAnsi="宋体" w:eastAsia="宋体"/>
                <w:color w:val="auto"/>
                <w:sz w:val="24"/>
                <w:szCs w:val="24"/>
              </w:rPr>
              <w:sym w:font="Wingdings 2" w:char="F0A3"/>
            </w:r>
            <w:r>
              <w:rPr>
                <w:rFonts w:hint="eastAsia" w:ascii="宋体" w:hAnsi="宋体" w:eastAsia="宋体"/>
                <w:color w:val="auto"/>
                <w:sz w:val="24"/>
                <w:szCs w:val="24"/>
              </w:rPr>
              <w:t>、产品说明书</w:t>
            </w:r>
            <w:r>
              <w:rPr>
                <w:rFonts w:hint="eastAsia" w:ascii="宋体" w:hAnsi="宋体" w:eastAsia="宋体"/>
                <w:color w:val="auto"/>
                <w:sz w:val="24"/>
                <w:szCs w:val="24"/>
              </w:rPr>
              <w:sym w:font="Wingdings 2" w:char="F0A3"/>
            </w:r>
            <w:r>
              <w:rPr>
                <w:rFonts w:hint="eastAsia" w:ascii="宋体" w:hAnsi="宋体" w:eastAsia="宋体"/>
                <w:color w:val="auto"/>
                <w:sz w:val="24"/>
                <w:szCs w:val="24"/>
              </w:rPr>
              <w:t>、       其他</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121" w:hRule="atLeast"/>
          <w:jc w:val="center"/>
        </w:trPr>
        <w:tc>
          <w:tcPr>
            <w:tcW w:w="1619" w:type="dxa"/>
            <w:vMerge w:val="continue"/>
          </w:tcPr>
          <w:p>
            <w:pPr>
              <w:outlineLvl w:val="9"/>
              <w:rPr>
                <w:rFonts w:hint="eastAsia" w:ascii="宋体" w:hAnsi="宋体" w:eastAsia="宋体"/>
                <w:color w:val="auto"/>
                <w:sz w:val="24"/>
                <w:szCs w:val="24"/>
              </w:rPr>
            </w:pPr>
          </w:p>
        </w:tc>
        <w:tc>
          <w:tcPr>
            <w:tcW w:w="2209" w:type="dxa"/>
            <w:gridSpan w:val="2"/>
            <w:vAlign w:val="center"/>
          </w:tcPr>
          <w:p>
            <w:pPr>
              <w:outlineLvl w:val="9"/>
              <w:rPr>
                <w:rFonts w:hint="eastAsia" w:ascii="宋体" w:hAnsi="宋体" w:eastAsia="宋体"/>
                <w:color w:val="auto"/>
                <w:sz w:val="24"/>
                <w:szCs w:val="24"/>
              </w:rPr>
            </w:pPr>
            <w:r>
              <w:rPr>
                <w:rFonts w:hint="eastAsia" w:ascii="宋体" w:hAnsi="宋体" w:eastAsia="宋体"/>
                <w:color w:val="auto"/>
                <w:sz w:val="24"/>
                <w:szCs w:val="24"/>
              </w:rPr>
              <w:t>现场初检结果</w:t>
            </w:r>
          </w:p>
        </w:tc>
        <w:tc>
          <w:tcPr>
            <w:tcW w:w="5555" w:type="dxa"/>
            <w:gridSpan w:val="9"/>
            <w:vAlign w:val="center"/>
          </w:tcPr>
          <w:p>
            <w:pPr>
              <w:outlineLvl w:val="9"/>
              <w:rPr>
                <w:rFonts w:hint="eastAsia"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4537" w:type="dxa"/>
            <w:gridSpan w:val="5"/>
          </w:tcPr>
          <w:p>
            <w:pPr>
              <w:outlineLvl w:val="9"/>
              <w:rPr>
                <w:rFonts w:ascii="宋体" w:hAnsi="宋体" w:eastAsia="宋体"/>
                <w:color w:val="auto"/>
                <w:sz w:val="24"/>
                <w:szCs w:val="24"/>
              </w:rPr>
            </w:pPr>
          </w:p>
          <w:p>
            <w:pPr>
              <w:outlineLvl w:val="9"/>
              <w:rPr>
                <w:rFonts w:hint="eastAsia" w:ascii="宋体" w:hAnsi="宋体" w:eastAsia="宋体"/>
                <w:color w:val="auto"/>
                <w:sz w:val="24"/>
                <w:szCs w:val="24"/>
              </w:rPr>
            </w:pPr>
            <w:r>
              <w:rPr>
                <w:rFonts w:hint="eastAsia" w:ascii="宋体" w:hAnsi="宋体" w:eastAsia="宋体"/>
                <w:color w:val="auto"/>
                <w:sz w:val="24"/>
                <w:szCs w:val="24"/>
              </w:rPr>
              <w:t>供货单位名称（签章）：</w:t>
            </w:r>
          </w:p>
          <w:p>
            <w:pPr>
              <w:outlineLvl w:val="9"/>
              <w:rPr>
                <w:rFonts w:ascii="宋体" w:hAnsi="宋体" w:eastAsia="宋体"/>
                <w:color w:val="auto"/>
                <w:sz w:val="24"/>
                <w:szCs w:val="24"/>
              </w:rPr>
            </w:pPr>
          </w:p>
          <w:p>
            <w:pPr>
              <w:outlineLvl w:val="9"/>
              <w:rPr>
                <w:rFonts w:ascii="宋体" w:hAnsi="宋体" w:eastAsia="宋体"/>
                <w:color w:val="auto"/>
                <w:sz w:val="24"/>
                <w:szCs w:val="24"/>
              </w:rPr>
            </w:pPr>
          </w:p>
          <w:p>
            <w:pPr>
              <w:outlineLvl w:val="9"/>
              <w:rPr>
                <w:rFonts w:ascii="宋体" w:hAnsi="宋体" w:eastAsia="宋体"/>
                <w:color w:val="auto"/>
                <w:sz w:val="24"/>
                <w:szCs w:val="24"/>
              </w:rPr>
            </w:pPr>
          </w:p>
          <w:p>
            <w:pPr>
              <w:outlineLvl w:val="9"/>
              <w:rPr>
                <w:rFonts w:ascii="宋体" w:hAnsi="宋体" w:eastAsia="宋体"/>
                <w:color w:val="auto"/>
                <w:sz w:val="24"/>
                <w:szCs w:val="24"/>
              </w:rPr>
            </w:pPr>
          </w:p>
          <w:p>
            <w:pPr>
              <w:outlineLvl w:val="9"/>
              <w:rPr>
                <w:rFonts w:hint="eastAsia" w:ascii="宋体" w:hAnsi="宋体" w:eastAsia="宋体"/>
                <w:color w:val="auto"/>
                <w:sz w:val="24"/>
                <w:szCs w:val="24"/>
              </w:rPr>
            </w:pPr>
            <w:r>
              <w:rPr>
                <w:rFonts w:hint="eastAsia" w:ascii="宋体" w:hAnsi="宋体" w:eastAsia="宋体"/>
                <w:color w:val="auto"/>
                <w:sz w:val="24"/>
                <w:szCs w:val="24"/>
              </w:rPr>
              <w:t>现场代表签字/日期：</w:t>
            </w:r>
          </w:p>
        </w:tc>
        <w:tc>
          <w:tcPr>
            <w:tcW w:w="4854" w:type="dxa"/>
            <w:gridSpan w:val="8"/>
          </w:tcPr>
          <w:p>
            <w:pPr>
              <w:outlineLvl w:val="9"/>
              <w:rPr>
                <w:rFonts w:ascii="宋体" w:hAnsi="宋体" w:eastAsia="宋体"/>
                <w:color w:val="auto"/>
                <w:sz w:val="24"/>
                <w:szCs w:val="24"/>
              </w:rPr>
            </w:pPr>
          </w:p>
          <w:p>
            <w:pPr>
              <w:outlineLvl w:val="9"/>
              <w:rPr>
                <w:rFonts w:ascii="宋体" w:hAnsi="宋体" w:eastAsia="宋体"/>
                <w:color w:val="auto"/>
                <w:sz w:val="24"/>
                <w:szCs w:val="24"/>
              </w:rPr>
            </w:pPr>
            <w:r>
              <w:rPr>
                <w:rFonts w:hint="eastAsia" w:ascii="宋体" w:hAnsi="宋体" w:eastAsia="宋体"/>
                <w:color w:val="auto"/>
                <w:sz w:val="24"/>
                <w:szCs w:val="24"/>
              </w:rPr>
              <w:t>采购单位同意接收：是</w:t>
            </w:r>
            <w:r>
              <w:rPr>
                <w:rFonts w:hint="eastAsia" w:ascii="宋体" w:hAnsi="宋体" w:eastAsia="宋体"/>
                <w:color w:val="auto"/>
                <w:sz w:val="24"/>
                <w:szCs w:val="24"/>
              </w:rPr>
              <w:sym w:font="Wingdings 2" w:char="F0A3"/>
            </w:r>
            <w:r>
              <w:rPr>
                <w:rFonts w:hint="eastAsia" w:ascii="宋体" w:hAnsi="宋体" w:eastAsia="宋体"/>
                <w:color w:val="auto"/>
                <w:sz w:val="24"/>
                <w:szCs w:val="24"/>
              </w:rPr>
              <w:t xml:space="preserve">      否</w:t>
            </w:r>
            <w:r>
              <w:rPr>
                <w:rFonts w:hint="eastAsia" w:ascii="宋体" w:hAnsi="宋体" w:eastAsia="宋体"/>
                <w:color w:val="auto"/>
                <w:sz w:val="24"/>
                <w:szCs w:val="24"/>
              </w:rPr>
              <w:sym w:font="Wingdings 2" w:char="F0A3"/>
            </w:r>
            <w:r>
              <w:rPr>
                <w:rFonts w:hint="eastAsia" w:ascii="宋体" w:hAnsi="宋体" w:eastAsia="宋体"/>
                <w:color w:val="auto"/>
                <w:sz w:val="24"/>
                <w:szCs w:val="24"/>
              </w:rPr>
              <w:t xml:space="preserve">  </w:t>
            </w:r>
          </w:p>
          <w:p>
            <w:pPr>
              <w:outlineLvl w:val="9"/>
              <w:rPr>
                <w:rFonts w:ascii="宋体" w:hAnsi="宋体" w:eastAsia="宋体"/>
                <w:color w:val="auto"/>
                <w:sz w:val="24"/>
                <w:szCs w:val="24"/>
              </w:rPr>
            </w:pPr>
          </w:p>
          <w:p>
            <w:pPr>
              <w:outlineLvl w:val="9"/>
              <w:rPr>
                <w:rFonts w:ascii="宋体" w:hAnsi="宋体" w:eastAsia="宋体"/>
                <w:color w:val="auto"/>
                <w:sz w:val="24"/>
                <w:szCs w:val="24"/>
              </w:rPr>
            </w:pPr>
          </w:p>
          <w:p>
            <w:pPr>
              <w:outlineLvl w:val="9"/>
              <w:rPr>
                <w:rFonts w:ascii="宋体" w:hAnsi="宋体" w:eastAsia="宋体"/>
                <w:color w:val="auto"/>
                <w:sz w:val="24"/>
                <w:szCs w:val="24"/>
              </w:rPr>
            </w:pPr>
          </w:p>
          <w:p>
            <w:pPr>
              <w:outlineLvl w:val="9"/>
              <w:rPr>
                <w:rFonts w:hint="eastAsia" w:ascii="宋体" w:hAnsi="宋体" w:eastAsia="宋体"/>
                <w:color w:val="auto"/>
                <w:sz w:val="24"/>
                <w:szCs w:val="24"/>
              </w:rPr>
            </w:pPr>
          </w:p>
          <w:p>
            <w:pPr>
              <w:outlineLvl w:val="9"/>
              <w:rPr>
                <w:rFonts w:hint="eastAsia" w:ascii="宋体" w:hAnsi="宋体" w:eastAsia="宋体"/>
                <w:color w:val="auto"/>
                <w:sz w:val="24"/>
                <w:szCs w:val="24"/>
              </w:rPr>
            </w:pPr>
            <w:r>
              <w:rPr>
                <w:rFonts w:hint="eastAsia" w:ascii="宋体" w:hAnsi="宋体" w:eastAsia="宋体"/>
                <w:color w:val="auto"/>
                <w:sz w:val="24"/>
                <w:szCs w:val="24"/>
              </w:rPr>
              <w:t>采购单位代表签字/日期：</w:t>
            </w:r>
          </w:p>
        </w:tc>
      </w:tr>
    </w:tbl>
    <w:p>
      <w:pPr>
        <w:spacing w:line="360" w:lineRule="auto"/>
        <w:ind w:firstLine="0" w:firstLineChars="0"/>
        <w:jc w:val="left"/>
        <w:outlineLvl w:val="9"/>
        <w:rPr>
          <w:rFonts w:hint="eastAsia" w:ascii="宋体" w:hAnsi="宋体" w:eastAsia="宋体" w:cs="宋体"/>
          <w:b/>
          <w:color w:val="auto"/>
          <w:sz w:val="24"/>
          <w:szCs w:val="24"/>
          <w:lang w:val="en-US" w:eastAsia="zh-CN"/>
        </w:rPr>
      </w:pPr>
    </w:p>
    <w:p>
      <w:pPr>
        <w:spacing w:line="360" w:lineRule="auto"/>
        <w:ind w:firstLine="0" w:firstLineChars="0"/>
        <w:jc w:val="left"/>
        <w:outlineLvl w:val="9"/>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附件3：</w:t>
      </w:r>
    </w:p>
    <w:p>
      <w:pPr>
        <w:spacing w:line="360" w:lineRule="auto"/>
        <w:ind w:firstLine="0" w:firstLineChars="0"/>
        <w:jc w:val="center"/>
        <w:outlineLvl w:val="9"/>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供应商履约评价表</w:t>
      </w:r>
    </w:p>
    <w:tbl>
      <w:tblPr>
        <w:tblStyle w:val="38"/>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490"/>
        <w:gridCol w:w="1826"/>
        <w:gridCol w:w="2237"/>
        <w:gridCol w:w="490"/>
        <w:gridCol w:w="1482"/>
        <w:gridCol w:w="643"/>
        <w:gridCol w:w="885"/>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pPr>
              <w:widowControl/>
              <w:autoSpaceDE/>
              <w:autoSpaceDN/>
              <w:adjustRightInd/>
              <w:snapToGrid w:val="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合同</w:t>
            </w:r>
            <w:r>
              <w:rPr>
                <w:rFonts w:hint="eastAsia" w:ascii="宋体" w:hAnsi="宋体" w:eastAsia="宋体" w:cs="宋体"/>
                <w:bCs/>
                <w:color w:val="auto"/>
                <w:sz w:val="21"/>
                <w:szCs w:val="21"/>
              </w:rPr>
              <w:t>名称</w:t>
            </w:r>
          </w:p>
        </w:tc>
        <w:tc>
          <w:tcPr>
            <w:tcW w:w="3975" w:type="pct"/>
            <w:gridSpan w:val="7"/>
            <w:noWrap w:val="0"/>
            <w:vAlign w:val="center"/>
          </w:tcPr>
          <w:p>
            <w:pPr>
              <w:widowControl/>
              <w:autoSpaceDE/>
              <w:autoSpaceDN/>
              <w:adjustRightInd/>
              <w:snapToGrid w:val="0"/>
              <w:ind w:firstLine="420"/>
              <w:jc w:val="center"/>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pPr>
              <w:widowControl/>
              <w:autoSpaceDE/>
              <w:autoSpaceDN/>
              <w:adjustRightInd/>
              <w:snapToGrid w:val="0"/>
              <w:jc w:val="center"/>
              <w:outlineLvl w:val="9"/>
              <w:rPr>
                <w:rFonts w:hint="default" w:ascii="宋体" w:hAnsi="宋体" w:eastAsia="宋体" w:cs="宋体"/>
                <w:color w:val="auto"/>
                <w:sz w:val="21"/>
                <w:szCs w:val="21"/>
                <w:lang w:val="en-US" w:eastAsia="zh-CN"/>
              </w:rPr>
            </w:pPr>
            <w:r>
              <w:rPr>
                <w:rFonts w:hint="eastAsia" w:ascii="宋体" w:hAnsi="宋体" w:eastAsia="宋体" w:cs="宋体"/>
                <w:bCs/>
                <w:color w:val="auto"/>
                <w:sz w:val="21"/>
                <w:szCs w:val="21"/>
                <w:lang w:val="en-US" w:eastAsia="zh-CN"/>
              </w:rPr>
              <w:t>合同编号</w:t>
            </w:r>
          </w:p>
        </w:tc>
        <w:tc>
          <w:tcPr>
            <w:tcW w:w="3975" w:type="pct"/>
            <w:gridSpan w:val="7"/>
            <w:noWrap w:val="0"/>
            <w:vAlign w:val="center"/>
          </w:tcPr>
          <w:p>
            <w:pPr>
              <w:widowControl/>
              <w:autoSpaceDE/>
              <w:autoSpaceDN/>
              <w:adjustRightInd/>
              <w:snapToGrid w:val="0"/>
              <w:ind w:firstLine="420"/>
              <w:jc w:val="center"/>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pPr>
              <w:widowControl/>
              <w:autoSpaceDE/>
              <w:autoSpaceDN/>
              <w:adjustRightInd/>
              <w:snapToGrid w:val="0"/>
              <w:jc w:val="center"/>
              <w:outlineLvl w:val="9"/>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甲方（买方）名称</w:t>
            </w:r>
          </w:p>
        </w:tc>
        <w:tc>
          <w:tcPr>
            <w:tcW w:w="3975" w:type="pct"/>
            <w:gridSpan w:val="7"/>
            <w:noWrap w:val="0"/>
            <w:vAlign w:val="center"/>
          </w:tcPr>
          <w:p>
            <w:pPr>
              <w:widowControl/>
              <w:autoSpaceDE/>
              <w:autoSpaceDN/>
              <w:adjustRightInd/>
              <w:snapToGrid w:val="0"/>
              <w:ind w:firstLine="420"/>
              <w:jc w:val="center"/>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pPr>
              <w:widowControl/>
              <w:autoSpaceDE/>
              <w:autoSpaceDN/>
              <w:adjustRightInd/>
              <w:snapToGrid w:val="0"/>
              <w:jc w:val="center"/>
              <w:outlineLvl w:val="9"/>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供应商名称</w:t>
            </w:r>
          </w:p>
        </w:tc>
        <w:tc>
          <w:tcPr>
            <w:tcW w:w="3975" w:type="pct"/>
            <w:gridSpan w:val="7"/>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712"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履约评价项目</w:t>
            </w:r>
          </w:p>
        </w:tc>
        <w:tc>
          <w:tcPr>
            <w:tcW w:w="1944" w:type="pct"/>
            <w:gridSpan w:val="2"/>
            <w:noWrap w:val="0"/>
            <w:vAlign w:val="center"/>
          </w:tcPr>
          <w:p>
            <w:pPr>
              <w:widowControl/>
              <w:autoSpaceDE/>
              <w:autoSpaceDN/>
              <w:adjustRightInd/>
              <w:snapToGrid w:val="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评价标准</w:t>
            </w:r>
          </w:p>
        </w:tc>
        <w:tc>
          <w:tcPr>
            <w:tcW w:w="943" w:type="pct"/>
            <w:gridSpan w:val="2"/>
            <w:noWrap w:val="0"/>
            <w:vAlign w:val="center"/>
          </w:tcPr>
          <w:p>
            <w:pPr>
              <w:widowControl/>
              <w:autoSpaceDE/>
              <w:autoSpaceDN/>
              <w:adjustRightInd/>
              <w:snapToGrid w:val="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评分说明</w:t>
            </w:r>
          </w:p>
        </w:tc>
        <w:tc>
          <w:tcPr>
            <w:tcW w:w="307"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分值</w:t>
            </w:r>
          </w:p>
        </w:tc>
        <w:tc>
          <w:tcPr>
            <w:tcW w:w="423"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实得分</w:t>
            </w:r>
          </w:p>
        </w:tc>
        <w:tc>
          <w:tcPr>
            <w:tcW w:w="356" w:type="pct"/>
            <w:noWrap w:val="0"/>
            <w:vAlign w:val="center"/>
          </w:tcPr>
          <w:p>
            <w:pPr>
              <w:widowControl/>
              <w:autoSpaceDE/>
              <w:autoSpaceDN/>
              <w:adjustRightInd/>
              <w:snapToGrid w:val="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712"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highlight w:val="green"/>
              </w:rPr>
            </w:pPr>
            <w:r>
              <w:rPr>
                <w:rFonts w:hint="eastAsia" w:ascii="宋体" w:hAnsi="宋体" w:eastAsia="宋体" w:cs="宋体"/>
                <w:bCs/>
                <w:color w:val="auto"/>
                <w:sz w:val="21"/>
                <w:szCs w:val="21"/>
              </w:rPr>
              <w:t>质量</w:t>
            </w:r>
          </w:p>
        </w:tc>
        <w:tc>
          <w:tcPr>
            <w:tcW w:w="1944" w:type="pct"/>
            <w:gridSpan w:val="2"/>
            <w:noWrap w:val="0"/>
            <w:vAlign w:val="center"/>
          </w:tcPr>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(1)货物未出现全部拒收或换货等质量问题；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供货</w:t>
            </w:r>
            <w:r>
              <w:rPr>
                <w:rFonts w:hint="eastAsia" w:ascii="宋体" w:hAnsi="宋体" w:eastAsia="宋体" w:cs="宋体"/>
                <w:color w:val="auto"/>
                <w:sz w:val="21"/>
                <w:szCs w:val="21"/>
              </w:rPr>
              <w:t xml:space="preserve">货物符合合同规定，其他指标符合合同规定； </w:t>
            </w:r>
          </w:p>
          <w:p>
            <w:pPr>
              <w:widowControl/>
              <w:autoSpaceDE/>
              <w:autoSpaceDN/>
              <w:adjustRightInd/>
              <w:snapToGrid w:val="0"/>
              <w:ind w:firstLine="0" w:firstLineChars="0"/>
              <w:jc w:val="both"/>
              <w:outlineLvl w:val="9"/>
              <w:rPr>
                <w:rFonts w:hint="default" w:ascii="宋体" w:hAnsi="宋体" w:eastAsia="宋体" w:cs="宋体"/>
                <w:bCs/>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每月或临时的供货</w:t>
            </w:r>
            <w:r>
              <w:rPr>
                <w:rFonts w:hint="eastAsia" w:ascii="宋体" w:hAnsi="宋体" w:eastAsia="宋体" w:cs="宋体"/>
                <w:color w:val="auto"/>
                <w:sz w:val="21"/>
                <w:szCs w:val="21"/>
              </w:rPr>
              <w:t>货物质量稳定，</w:t>
            </w:r>
            <w:r>
              <w:rPr>
                <w:rFonts w:hint="eastAsia" w:ascii="宋体" w:hAnsi="宋体" w:eastAsia="宋体" w:cs="宋体"/>
                <w:color w:val="auto"/>
                <w:sz w:val="21"/>
                <w:szCs w:val="21"/>
                <w:lang w:val="en-US" w:eastAsia="zh-CN"/>
              </w:rPr>
              <w:t>未出现由于每批次货物质量参差不齐或在同一类货物产生不同效果，而对甲方使用需求造成实质性影响或损失等情况。</w:t>
            </w:r>
          </w:p>
        </w:tc>
        <w:tc>
          <w:tcPr>
            <w:tcW w:w="943" w:type="pct"/>
            <w:gridSpan w:val="2"/>
            <w:noWrap w:val="0"/>
            <w:vAlign w:val="center"/>
          </w:tcPr>
          <w:p>
            <w:pPr>
              <w:widowControl/>
              <w:autoSpaceDE/>
              <w:autoSpaceDN/>
              <w:adjustRightInd/>
              <w:snapToGrid w:val="0"/>
              <w:ind w:firstLine="0" w:firstLineChars="0"/>
              <w:outlineLvl w:val="9"/>
              <w:rPr>
                <w:rFonts w:hint="eastAsia" w:ascii="宋体" w:hAnsi="宋体" w:eastAsia="宋体" w:cs="宋体"/>
                <w:color w:val="auto"/>
                <w:sz w:val="21"/>
                <w:szCs w:val="21"/>
              </w:rPr>
            </w:pPr>
            <w:r>
              <w:rPr>
                <w:rFonts w:hint="eastAsia" w:ascii="宋体" w:hAnsi="宋体" w:eastAsia="宋体" w:cs="宋体"/>
                <w:color w:val="auto"/>
                <w:sz w:val="21"/>
                <w:szCs w:val="21"/>
              </w:rPr>
              <w:t>达到标准的得满 分，每月每次有 一项未达到标准的扣4分。</w:t>
            </w:r>
          </w:p>
        </w:tc>
        <w:tc>
          <w:tcPr>
            <w:tcW w:w="307" w:type="pct"/>
            <w:noWrap w:val="0"/>
            <w:vAlign w:val="center"/>
          </w:tcPr>
          <w:p>
            <w:pPr>
              <w:widowControl/>
              <w:autoSpaceDE/>
              <w:autoSpaceDN/>
              <w:adjustRightInd/>
              <w:snapToGrid w:val="0"/>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423"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c>
          <w:tcPr>
            <w:tcW w:w="356"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712"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包装</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运输</w:t>
            </w:r>
          </w:p>
        </w:tc>
        <w:tc>
          <w:tcPr>
            <w:tcW w:w="1944" w:type="pct"/>
            <w:gridSpan w:val="2"/>
            <w:noWrap w:val="0"/>
            <w:vAlign w:val="center"/>
          </w:tcPr>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货物的包装、运输符合</w:t>
            </w:r>
            <w:r>
              <w:rPr>
                <w:rFonts w:hint="eastAsia" w:ascii="宋体" w:hAnsi="宋体" w:eastAsia="宋体" w:cs="宋体"/>
                <w:color w:val="auto"/>
                <w:sz w:val="21"/>
                <w:szCs w:val="21"/>
                <w:lang w:val="en-US" w:eastAsia="zh-CN"/>
              </w:rPr>
              <w:t>合同规定及</w:t>
            </w:r>
            <w:r>
              <w:rPr>
                <w:rFonts w:hint="eastAsia" w:ascii="宋体" w:hAnsi="宋体" w:eastAsia="宋体" w:cs="宋体"/>
                <w:color w:val="auto"/>
                <w:sz w:val="21"/>
                <w:szCs w:val="21"/>
              </w:rPr>
              <w:t xml:space="preserve">行业标准；未出现由于包装、运输方式不当造成以下不良后果：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(1)影响货物</w:t>
            </w:r>
            <w:r>
              <w:rPr>
                <w:rFonts w:hint="eastAsia" w:ascii="宋体" w:hAnsi="宋体" w:eastAsia="宋体" w:cs="宋体"/>
                <w:color w:val="auto"/>
                <w:sz w:val="21"/>
                <w:szCs w:val="21"/>
                <w:lang w:val="en-US" w:eastAsia="zh-CN"/>
              </w:rPr>
              <w:t>输送</w:t>
            </w:r>
            <w:r>
              <w:rPr>
                <w:rFonts w:hint="eastAsia" w:ascii="宋体" w:hAnsi="宋体" w:eastAsia="宋体" w:cs="宋体"/>
                <w:color w:val="auto"/>
                <w:sz w:val="21"/>
                <w:szCs w:val="21"/>
              </w:rPr>
              <w:t xml:space="preserve">质量；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(2)货物质量下降；             </w:t>
            </w:r>
          </w:p>
          <w:p>
            <w:pPr>
              <w:widowControl/>
              <w:autoSpaceDE/>
              <w:autoSpaceDN/>
              <w:adjustRightInd/>
              <w:snapToGrid w:val="0"/>
              <w:ind w:firstLine="0" w:firstLineChars="0"/>
              <w:jc w:val="both"/>
              <w:outlineLvl w:val="9"/>
              <w:rPr>
                <w:rFonts w:hint="eastAsia" w:ascii="宋体" w:hAnsi="宋体" w:eastAsia="宋体" w:cs="宋体"/>
                <w:bCs/>
                <w:color w:val="auto"/>
                <w:sz w:val="21"/>
                <w:szCs w:val="21"/>
                <w:lang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货物损坏</w:t>
            </w:r>
            <w:r>
              <w:rPr>
                <w:rFonts w:hint="eastAsia" w:ascii="宋体" w:hAnsi="宋体" w:eastAsia="宋体" w:cs="宋体"/>
                <w:color w:val="auto"/>
                <w:sz w:val="21"/>
                <w:szCs w:val="21"/>
              </w:rPr>
              <w:t>导致供货量不足</w:t>
            </w:r>
            <w:r>
              <w:rPr>
                <w:rFonts w:hint="eastAsia" w:ascii="宋体" w:hAnsi="宋体" w:eastAsia="宋体" w:cs="宋体"/>
                <w:color w:val="auto"/>
                <w:sz w:val="21"/>
                <w:szCs w:val="21"/>
                <w:lang w:eastAsia="zh-CN"/>
              </w:rPr>
              <w:t>。</w:t>
            </w:r>
          </w:p>
        </w:tc>
        <w:tc>
          <w:tcPr>
            <w:tcW w:w="943" w:type="pct"/>
            <w:gridSpan w:val="2"/>
            <w:noWrap w:val="0"/>
            <w:vAlign w:val="center"/>
          </w:tcPr>
          <w:p>
            <w:pPr>
              <w:widowControl/>
              <w:autoSpaceDE/>
              <w:autoSpaceDN/>
              <w:adjustRightInd/>
              <w:snapToGrid w:val="0"/>
              <w:ind w:firstLine="0" w:firstLineChars="0"/>
              <w:jc w:val="both"/>
              <w:outlineLvl w:val="9"/>
              <w:rPr>
                <w:rFonts w:hint="eastAsia" w:ascii="宋体" w:hAnsi="宋体" w:eastAsia="宋体" w:cs="宋体"/>
                <w:bCs/>
                <w:color w:val="auto"/>
                <w:sz w:val="21"/>
                <w:szCs w:val="21"/>
              </w:rPr>
            </w:pPr>
            <w:r>
              <w:rPr>
                <w:rFonts w:hint="eastAsia" w:ascii="宋体" w:hAnsi="宋体" w:eastAsia="宋体" w:cs="宋体"/>
                <w:color w:val="auto"/>
                <w:sz w:val="21"/>
                <w:szCs w:val="21"/>
              </w:rPr>
              <w:t>达到标准的得满分，每月每次有一项未达到标准的扣3分。</w:t>
            </w:r>
          </w:p>
        </w:tc>
        <w:tc>
          <w:tcPr>
            <w:tcW w:w="307" w:type="pct"/>
            <w:noWrap w:val="0"/>
            <w:vAlign w:val="center"/>
          </w:tcPr>
          <w:p>
            <w:pPr>
              <w:widowControl/>
              <w:autoSpaceDE/>
              <w:autoSpaceDN/>
              <w:adjustRightInd/>
              <w:snapToGrid w:val="0"/>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423"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c>
          <w:tcPr>
            <w:tcW w:w="356"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712"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货物交货</w:t>
            </w:r>
          </w:p>
        </w:tc>
        <w:tc>
          <w:tcPr>
            <w:tcW w:w="1944" w:type="pct"/>
            <w:gridSpan w:val="2"/>
            <w:noWrap w:val="0"/>
            <w:vAlign w:val="center"/>
          </w:tcPr>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(1)按合同约定时间供货；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(2)每批次供货配合提供货物清单、配合清点货物；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(3)交付人员专业性强，工作效率高，熟悉交付操作流程；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(4)运输车辆按厂区指示行驶及停放、卸货方式恰当； </w:t>
            </w:r>
          </w:p>
          <w:p>
            <w:pPr>
              <w:widowControl/>
              <w:autoSpaceDE/>
              <w:autoSpaceDN/>
              <w:adjustRightInd/>
              <w:snapToGrid w:val="0"/>
              <w:ind w:firstLine="0" w:firstLineChars="0"/>
              <w:jc w:val="both"/>
              <w:outlineLvl w:val="9"/>
              <w:rPr>
                <w:rFonts w:hint="eastAsia" w:ascii="宋体" w:hAnsi="宋体" w:eastAsia="宋体" w:cs="宋体"/>
                <w:bCs/>
                <w:color w:val="auto"/>
                <w:sz w:val="21"/>
                <w:szCs w:val="21"/>
              </w:rPr>
            </w:pPr>
            <w:r>
              <w:rPr>
                <w:rFonts w:hint="eastAsia" w:ascii="宋体" w:hAnsi="宋体" w:eastAsia="宋体" w:cs="宋体"/>
                <w:color w:val="auto"/>
                <w:sz w:val="21"/>
                <w:szCs w:val="21"/>
              </w:rPr>
              <w:t>(5)每批次实际供货数量与</w:t>
            </w:r>
            <w:r>
              <w:rPr>
                <w:rFonts w:hint="eastAsia" w:ascii="宋体" w:hAnsi="宋体" w:eastAsia="宋体" w:cs="宋体"/>
                <w:color w:val="auto"/>
                <w:sz w:val="21"/>
                <w:szCs w:val="21"/>
                <w:lang w:val="en-US" w:eastAsia="zh-CN"/>
              </w:rPr>
              <w:t>甲方（买方）所</w:t>
            </w:r>
            <w:r>
              <w:rPr>
                <w:rFonts w:hint="eastAsia" w:ascii="宋体" w:hAnsi="宋体" w:eastAsia="宋体" w:cs="宋体"/>
                <w:color w:val="auto"/>
                <w:sz w:val="21"/>
                <w:szCs w:val="21"/>
              </w:rPr>
              <w:t>发出的供货通知清单要求的供货数量一致。</w:t>
            </w:r>
          </w:p>
        </w:tc>
        <w:tc>
          <w:tcPr>
            <w:tcW w:w="943" w:type="pct"/>
            <w:gridSpan w:val="2"/>
            <w:noWrap w:val="0"/>
            <w:vAlign w:val="center"/>
          </w:tcPr>
          <w:p>
            <w:pPr>
              <w:widowControl/>
              <w:autoSpaceDE/>
              <w:autoSpaceDN/>
              <w:adjustRightInd/>
              <w:snapToGrid w:val="0"/>
              <w:ind w:firstLine="0" w:firstLineChars="0"/>
              <w:jc w:val="both"/>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达到标准的得满分，每月每次有一项未达到标准的扣</w:t>
            </w: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分。</w:t>
            </w:r>
          </w:p>
        </w:tc>
        <w:tc>
          <w:tcPr>
            <w:tcW w:w="307" w:type="pct"/>
            <w:noWrap w:val="0"/>
            <w:vAlign w:val="center"/>
          </w:tcPr>
          <w:p>
            <w:pPr>
              <w:widowControl/>
              <w:autoSpaceDE/>
              <w:autoSpaceDN/>
              <w:adjustRightInd/>
              <w:snapToGrid w:val="0"/>
              <w:ind w:firstLine="0" w:firstLineChars="0"/>
              <w:jc w:val="center"/>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423"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c>
          <w:tcPr>
            <w:tcW w:w="356"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712"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验收</w:t>
            </w:r>
          </w:p>
        </w:tc>
        <w:tc>
          <w:tcPr>
            <w:tcW w:w="1944" w:type="pct"/>
            <w:gridSpan w:val="2"/>
            <w:noWrap w:val="0"/>
            <w:vAlign w:val="center"/>
          </w:tcPr>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(1)及时提供货物的各项资料；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(2)高效处理退换货工作、态度良好；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(3)未出现因对检验结果存在异议而影响供货的情况；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(4)所送货物的品种、规格型号、数量、 推荐品牌均供货清单一致；  </w:t>
            </w:r>
          </w:p>
          <w:p>
            <w:pPr>
              <w:widowControl/>
              <w:autoSpaceDE/>
              <w:autoSpaceDN/>
              <w:adjustRightInd/>
              <w:snapToGrid w:val="0"/>
              <w:ind w:firstLine="0" w:firstLineChars="0"/>
              <w:jc w:val="both"/>
              <w:outlineLvl w:val="9"/>
              <w:rPr>
                <w:rFonts w:hint="eastAsia" w:ascii="宋体" w:hAnsi="宋体" w:eastAsia="宋体" w:cs="宋体"/>
                <w:bCs/>
                <w:color w:val="auto"/>
                <w:sz w:val="21"/>
                <w:szCs w:val="21"/>
              </w:rPr>
            </w:pPr>
            <w:r>
              <w:rPr>
                <w:rFonts w:hint="eastAsia" w:ascii="宋体" w:hAnsi="宋体" w:eastAsia="宋体" w:cs="宋体"/>
                <w:color w:val="auto"/>
                <w:sz w:val="21"/>
                <w:szCs w:val="21"/>
              </w:rPr>
              <w:t>(5)未出现因货物检验不合格，或因货物不合格影响厂区生产效果的情况。</w:t>
            </w:r>
          </w:p>
        </w:tc>
        <w:tc>
          <w:tcPr>
            <w:tcW w:w="943" w:type="pct"/>
            <w:gridSpan w:val="2"/>
            <w:noWrap w:val="0"/>
            <w:vAlign w:val="center"/>
          </w:tcPr>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bCs/>
                <w:color w:val="auto"/>
                <w:sz w:val="21"/>
                <w:szCs w:val="21"/>
              </w:rPr>
              <w:t>达到标准的得满分，每月每次有一项未达到标准的扣4分。</w:t>
            </w:r>
          </w:p>
        </w:tc>
        <w:tc>
          <w:tcPr>
            <w:tcW w:w="307" w:type="pct"/>
            <w:noWrap w:val="0"/>
            <w:vAlign w:val="center"/>
          </w:tcPr>
          <w:p>
            <w:pPr>
              <w:widowControl/>
              <w:autoSpaceDE/>
              <w:autoSpaceDN/>
              <w:adjustRightInd/>
              <w:snapToGrid w:val="0"/>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423"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c>
          <w:tcPr>
            <w:tcW w:w="356"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5</w:t>
            </w:r>
          </w:p>
        </w:tc>
        <w:tc>
          <w:tcPr>
            <w:tcW w:w="712"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安全</w:t>
            </w:r>
          </w:p>
        </w:tc>
        <w:tc>
          <w:tcPr>
            <w:tcW w:w="1944" w:type="pct"/>
            <w:gridSpan w:val="2"/>
            <w:noWrap w:val="0"/>
            <w:vAlign w:val="center"/>
          </w:tcPr>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(1)未出现超载或非法运输等情况；</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(2)未出现因超载或非法运输造成第三方或厂区事故、损失的情况。</w:t>
            </w:r>
          </w:p>
          <w:p>
            <w:pPr>
              <w:widowControl/>
              <w:autoSpaceDE/>
              <w:autoSpaceDN/>
              <w:adjustRightInd/>
              <w:snapToGrid w:val="0"/>
              <w:ind w:firstLine="0" w:firstLineChars="0"/>
              <w:jc w:val="both"/>
              <w:outlineLvl w:val="9"/>
              <w:rPr>
                <w:rFonts w:hint="default" w:ascii="宋体" w:hAnsi="宋体" w:eastAsia="宋体" w:cs="宋体"/>
                <w:bCs/>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所提供货物符合国家安全生产标准；</w:t>
            </w: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所提供货物无因产品质量问题发生相关安全事故</w:t>
            </w:r>
            <w:r>
              <w:rPr>
                <w:rFonts w:hint="eastAsia" w:ascii="宋体" w:hAnsi="宋体" w:eastAsia="宋体" w:cs="宋体"/>
                <w:color w:val="auto"/>
                <w:sz w:val="21"/>
                <w:szCs w:val="21"/>
              </w:rPr>
              <w:t>；</w:t>
            </w:r>
          </w:p>
        </w:tc>
        <w:tc>
          <w:tcPr>
            <w:tcW w:w="943" w:type="pct"/>
            <w:gridSpan w:val="2"/>
            <w:noWrap w:val="0"/>
            <w:vAlign w:val="center"/>
          </w:tcPr>
          <w:p>
            <w:pPr>
              <w:widowControl/>
              <w:autoSpaceDE/>
              <w:autoSpaceDN/>
              <w:adjustRightInd/>
              <w:snapToGrid w:val="0"/>
              <w:ind w:firstLine="0" w:firstLineChars="0"/>
              <w:jc w:val="both"/>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达到标准的得满分，每月每次有一项未达到标准的扣3分。</w:t>
            </w:r>
          </w:p>
        </w:tc>
        <w:tc>
          <w:tcPr>
            <w:tcW w:w="307"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15</w:t>
            </w:r>
          </w:p>
        </w:tc>
        <w:tc>
          <w:tcPr>
            <w:tcW w:w="423"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c>
          <w:tcPr>
            <w:tcW w:w="356"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6</w:t>
            </w:r>
          </w:p>
        </w:tc>
        <w:tc>
          <w:tcPr>
            <w:tcW w:w="712"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售后服务</w:t>
            </w:r>
          </w:p>
        </w:tc>
        <w:tc>
          <w:tcPr>
            <w:tcW w:w="1944" w:type="pct"/>
            <w:gridSpan w:val="2"/>
            <w:noWrap w:val="0"/>
            <w:vAlign w:val="center"/>
          </w:tcPr>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(1)人员：</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①对接人员均符合投标文件的承诺，服务队伍稳定，人员充足、专业性强，充分配合</w:t>
            </w:r>
            <w:r>
              <w:rPr>
                <w:rFonts w:hint="eastAsia" w:ascii="宋体" w:hAnsi="宋体" w:eastAsia="宋体" w:cs="宋体"/>
                <w:color w:val="auto"/>
                <w:sz w:val="21"/>
                <w:szCs w:val="21"/>
                <w:lang w:val="en-US" w:eastAsia="zh-CN"/>
              </w:rPr>
              <w:t>甲方（买方）</w:t>
            </w:r>
            <w:r>
              <w:rPr>
                <w:rFonts w:hint="eastAsia" w:ascii="宋体" w:hAnsi="宋体" w:eastAsia="宋体" w:cs="宋体"/>
                <w:color w:val="auto"/>
                <w:sz w:val="21"/>
                <w:szCs w:val="21"/>
              </w:rPr>
              <w:t xml:space="preserve">供货需求；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②对接人员与</w:t>
            </w:r>
            <w:r>
              <w:rPr>
                <w:rFonts w:hint="eastAsia" w:ascii="宋体" w:hAnsi="宋体" w:eastAsia="宋体" w:cs="宋体"/>
                <w:color w:val="auto"/>
                <w:sz w:val="21"/>
                <w:szCs w:val="21"/>
                <w:lang w:val="en-US" w:eastAsia="zh-CN"/>
              </w:rPr>
              <w:t>甲方（买方）</w:t>
            </w:r>
            <w:r>
              <w:rPr>
                <w:rFonts w:hint="eastAsia" w:ascii="宋体" w:hAnsi="宋体" w:eastAsia="宋体" w:cs="宋体"/>
                <w:color w:val="auto"/>
                <w:sz w:val="21"/>
                <w:szCs w:val="21"/>
              </w:rPr>
              <w:t xml:space="preserve">沟通良好、理解到位、执行力强，能及时发现、解决问题；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③未出现推诿，借故不肯签署合同规定的文件或者敷衍了事、置之不理等情况。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(2)配合：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①售后服务流程完善，跟踪到位，响应速度快；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②就货物储存保质方式、方法提出合理化建议并能提供专业技术指导；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③积极配合招标人进行试验、积极协助招标人接受相关部门的检查工作及提供各类资质证明材料；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④能根据</w:t>
            </w:r>
            <w:r>
              <w:rPr>
                <w:rFonts w:hint="eastAsia" w:ascii="宋体" w:hAnsi="宋体" w:eastAsia="宋体" w:cs="宋体"/>
                <w:color w:val="auto"/>
                <w:sz w:val="21"/>
                <w:szCs w:val="21"/>
                <w:lang w:val="en-US" w:eastAsia="zh-CN"/>
              </w:rPr>
              <w:t>甲方（买方）</w:t>
            </w:r>
            <w:r>
              <w:rPr>
                <w:rFonts w:hint="eastAsia" w:ascii="宋体" w:hAnsi="宋体" w:eastAsia="宋体" w:cs="宋体"/>
                <w:color w:val="auto"/>
                <w:sz w:val="21"/>
                <w:szCs w:val="21"/>
              </w:rPr>
              <w:t xml:space="preserve">要求提供专业培训； </w:t>
            </w:r>
          </w:p>
          <w:p>
            <w:pPr>
              <w:widowControl/>
              <w:autoSpaceDE/>
              <w:autoSpaceDN/>
              <w:adjustRightInd/>
              <w:snapToGrid w:val="0"/>
              <w:ind w:firstLine="0" w:firstLineChars="0"/>
              <w:jc w:val="both"/>
              <w:outlineLvl w:val="9"/>
              <w:rPr>
                <w:rFonts w:hint="eastAsia" w:ascii="宋体" w:hAnsi="宋体" w:eastAsia="宋体" w:cs="宋体"/>
                <w:bCs/>
                <w:color w:val="auto"/>
                <w:sz w:val="21"/>
                <w:szCs w:val="21"/>
              </w:rPr>
            </w:pPr>
            <w:r>
              <w:rPr>
                <w:rFonts w:hint="eastAsia" w:ascii="宋体" w:hAnsi="宋体" w:eastAsia="宋体" w:cs="宋体"/>
                <w:color w:val="auto"/>
                <w:sz w:val="21"/>
                <w:szCs w:val="21"/>
              </w:rPr>
              <w:t>⑤及时提供货物价款等额合法的增值税专用发票、请款报告等请款资料。</w:t>
            </w:r>
          </w:p>
        </w:tc>
        <w:tc>
          <w:tcPr>
            <w:tcW w:w="943" w:type="pct"/>
            <w:gridSpan w:val="2"/>
            <w:noWrap w:val="0"/>
            <w:vAlign w:val="center"/>
          </w:tcPr>
          <w:p>
            <w:pPr>
              <w:widowControl/>
              <w:autoSpaceDE/>
              <w:autoSpaceDN/>
              <w:adjustRightInd/>
              <w:snapToGrid w:val="0"/>
              <w:ind w:firstLine="0" w:firstLineChars="0"/>
              <w:jc w:val="both"/>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达到标准的得满分，每月每次有一项未达到标准的扣2分。</w:t>
            </w:r>
          </w:p>
        </w:tc>
        <w:tc>
          <w:tcPr>
            <w:tcW w:w="307"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10</w:t>
            </w:r>
          </w:p>
        </w:tc>
        <w:tc>
          <w:tcPr>
            <w:tcW w:w="423"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c>
          <w:tcPr>
            <w:tcW w:w="356"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911" w:type="pct"/>
            <w:gridSpan w:val="6"/>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合计</w:t>
            </w:r>
          </w:p>
        </w:tc>
        <w:tc>
          <w:tcPr>
            <w:tcW w:w="307"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100</w:t>
            </w:r>
          </w:p>
        </w:tc>
        <w:tc>
          <w:tcPr>
            <w:tcW w:w="423"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c>
          <w:tcPr>
            <w:tcW w:w="356"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7" w:type="pct"/>
            <w:gridSpan w:val="3"/>
            <w:noWrap w:val="0"/>
            <w:vAlign w:val="center"/>
          </w:tcPr>
          <w:p>
            <w:pPr>
              <w:widowControl/>
              <w:autoSpaceDE/>
              <w:autoSpaceDN/>
              <w:adjustRightInd/>
              <w:snapToGrid w:val="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评审结论</w:t>
            </w:r>
          </w:p>
        </w:tc>
        <w:tc>
          <w:tcPr>
            <w:tcW w:w="3102" w:type="pct"/>
            <w:gridSpan w:val="6"/>
            <w:noWrap w:val="0"/>
            <w:vAlign w:val="top"/>
          </w:tcPr>
          <w:p>
            <w:pPr>
              <w:widowControl/>
              <w:autoSpaceDE/>
              <w:autoSpaceDN/>
              <w:adjustRightInd/>
              <w:snapToGrid w:val="0"/>
              <w:spacing w:before="120" w:beforeLines="50"/>
              <w:outlineLvl w:val="9"/>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□综合得分不低于</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0分的，评审结论合格</w:t>
            </w:r>
          </w:p>
          <w:p>
            <w:pPr>
              <w:pStyle w:val="2"/>
              <w:outlineLvl w:val="9"/>
              <w:rPr>
                <w:rFonts w:hint="eastAsia"/>
                <w:color w:val="auto"/>
                <w:lang w:eastAsia="zh-CN"/>
              </w:rPr>
            </w:pPr>
          </w:p>
          <w:p>
            <w:pPr>
              <w:widowControl/>
              <w:autoSpaceDE/>
              <w:autoSpaceDN/>
              <w:adjustRightInd/>
              <w:snapToGrid w:val="0"/>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□评审结论不合格，说明：</w:t>
            </w:r>
            <w:r>
              <w:rPr>
                <w:rFonts w:hint="eastAsia" w:ascii="宋体" w:hAnsi="宋体" w:eastAsia="宋体" w:cs="宋体"/>
                <w:bCs/>
                <w:color w:val="auto"/>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97" w:type="pct"/>
            <w:gridSpan w:val="3"/>
            <w:vMerge w:val="restart"/>
            <w:noWrap w:val="0"/>
            <w:vAlign w:val="center"/>
          </w:tcPr>
          <w:p>
            <w:pPr>
              <w:widowControl/>
              <w:autoSpaceDE/>
              <w:autoSpaceDN/>
              <w:adjustRightInd/>
              <w:snapToGrid w:val="0"/>
              <w:jc w:val="center"/>
              <w:outlineLvl w:val="9"/>
              <w:rPr>
                <w:rFonts w:hint="eastAsia" w:ascii="宋体" w:hAnsi="宋体" w:eastAsia="宋体" w:cs="宋体"/>
                <w:color w:val="auto"/>
                <w:sz w:val="21"/>
                <w:szCs w:val="21"/>
              </w:rPr>
            </w:pPr>
            <w:r>
              <w:rPr>
                <w:rFonts w:hint="eastAsia" w:ascii="宋体" w:hAnsi="宋体" w:eastAsia="宋体" w:cs="宋体"/>
                <w:bCs/>
                <w:color w:val="auto"/>
                <w:sz w:val="21"/>
                <w:szCs w:val="21"/>
              </w:rPr>
              <w:t>履约评审</w:t>
            </w:r>
            <w:r>
              <w:rPr>
                <w:rFonts w:hint="eastAsia" w:ascii="宋体" w:hAnsi="宋体" w:eastAsia="宋体" w:cs="宋体"/>
                <w:bCs/>
                <w:color w:val="auto"/>
                <w:sz w:val="21"/>
                <w:szCs w:val="21"/>
                <w:lang w:val="en-US" w:eastAsia="zh-CN"/>
              </w:rPr>
              <w:t>部门（使用部门）</w:t>
            </w:r>
            <w:r>
              <w:rPr>
                <w:rFonts w:hint="eastAsia" w:ascii="宋体" w:hAnsi="宋体" w:eastAsia="宋体" w:cs="宋体"/>
                <w:color w:val="auto"/>
                <w:sz w:val="21"/>
                <w:szCs w:val="21"/>
              </w:rPr>
              <w:t>其他</w:t>
            </w:r>
            <w:r>
              <w:rPr>
                <w:rFonts w:hint="eastAsia" w:ascii="宋体" w:hAnsi="宋体" w:eastAsia="宋体" w:cs="宋体"/>
                <w:bCs/>
                <w:color w:val="auto"/>
                <w:sz w:val="21"/>
                <w:szCs w:val="21"/>
              </w:rPr>
              <w:t>意见及签署</w:t>
            </w:r>
          </w:p>
        </w:tc>
        <w:tc>
          <w:tcPr>
            <w:tcW w:w="1304" w:type="pct"/>
            <w:gridSpan w:val="2"/>
            <w:noWrap w:val="0"/>
            <w:vAlign w:val="center"/>
          </w:tcPr>
          <w:p>
            <w:pPr>
              <w:widowControl/>
              <w:autoSpaceDE/>
              <w:autoSpaceDN/>
              <w:adjustRightInd/>
              <w:snapToGrid w:val="0"/>
              <w:jc w:val="both"/>
              <w:outlineLvl w:val="9"/>
              <w:rPr>
                <w:rFonts w:hint="eastAsia" w:ascii="宋体" w:hAnsi="宋体" w:eastAsia="宋体" w:cs="宋体"/>
                <w:color w:val="auto"/>
                <w:sz w:val="21"/>
                <w:szCs w:val="21"/>
              </w:rPr>
            </w:pPr>
            <w:r>
              <w:rPr>
                <w:rFonts w:hint="eastAsia" w:ascii="宋体" w:hAnsi="宋体" w:eastAsia="宋体" w:cs="宋体"/>
                <w:bCs/>
                <w:color w:val="auto"/>
                <w:sz w:val="21"/>
                <w:szCs w:val="21"/>
              </w:rPr>
              <w:t>经办人</w:t>
            </w:r>
          </w:p>
        </w:tc>
        <w:tc>
          <w:tcPr>
            <w:tcW w:w="1797" w:type="pct"/>
            <w:gridSpan w:val="4"/>
            <w:noWrap w:val="0"/>
            <w:vAlign w:val="center"/>
          </w:tcPr>
          <w:p>
            <w:pPr>
              <w:widowControl/>
              <w:autoSpaceDE/>
              <w:autoSpaceDN/>
              <w:adjustRightInd/>
              <w:snapToGrid w:val="0"/>
              <w:ind w:firstLine="420"/>
              <w:outlineLvl w:val="9"/>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97" w:type="pct"/>
            <w:gridSpan w:val="3"/>
            <w:vMerge w:val="continue"/>
            <w:noWrap w:val="0"/>
            <w:vAlign w:val="top"/>
          </w:tcPr>
          <w:p>
            <w:pPr>
              <w:widowControl/>
              <w:autoSpaceDE/>
              <w:autoSpaceDN/>
              <w:adjustRightInd/>
              <w:snapToGrid w:val="0"/>
              <w:ind w:firstLine="420"/>
              <w:outlineLvl w:val="9"/>
              <w:rPr>
                <w:rFonts w:hint="eastAsia" w:ascii="宋体" w:hAnsi="宋体" w:eastAsia="宋体" w:cs="宋体"/>
                <w:bCs/>
                <w:color w:val="auto"/>
                <w:sz w:val="21"/>
                <w:szCs w:val="21"/>
              </w:rPr>
            </w:pPr>
          </w:p>
        </w:tc>
        <w:tc>
          <w:tcPr>
            <w:tcW w:w="1304" w:type="pct"/>
            <w:gridSpan w:val="2"/>
            <w:noWrap w:val="0"/>
            <w:vAlign w:val="center"/>
          </w:tcPr>
          <w:p>
            <w:pPr>
              <w:widowControl/>
              <w:autoSpaceDE/>
              <w:autoSpaceDN/>
              <w:adjustRightInd/>
              <w:snapToGrid w:val="0"/>
              <w:jc w:val="both"/>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部门</w:t>
            </w:r>
            <w:r>
              <w:rPr>
                <w:rFonts w:hint="eastAsia" w:ascii="宋体" w:hAnsi="宋体" w:eastAsia="宋体" w:cs="宋体"/>
                <w:bCs/>
                <w:color w:val="auto"/>
                <w:sz w:val="21"/>
                <w:szCs w:val="21"/>
              </w:rPr>
              <w:t>负责人</w:t>
            </w:r>
          </w:p>
        </w:tc>
        <w:tc>
          <w:tcPr>
            <w:tcW w:w="1797" w:type="pct"/>
            <w:gridSpan w:val="4"/>
            <w:noWrap w:val="0"/>
            <w:vAlign w:val="center"/>
          </w:tcPr>
          <w:p>
            <w:pPr>
              <w:widowControl/>
              <w:autoSpaceDE/>
              <w:autoSpaceDN/>
              <w:adjustRightInd/>
              <w:snapToGrid w:val="0"/>
              <w:ind w:firstLine="420"/>
              <w:outlineLvl w:val="9"/>
              <w:rPr>
                <w:rFonts w:hint="eastAsia" w:ascii="宋体" w:hAnsi="宋体" w:eastAsia="宋体" w:cs="宋体"/>
                <w:bCs/>
                <w:color w:val="auto"/>
                <w:sz w:val="21"/>
                <w:szCs w:val="21"/>
              </w:rPr>
            </w:pPr>
          </w:p>
        </w:tc>
      </w:tr>
    </w:tbl>
    <w:p>
      <w:pPr>
        <w:outlineLvl w:val="9"/>
        <w:rPr>
          <w:rFonts w:hint="eastAsia"/>
          <w:color w:val="auto"/>
        </w:rPr>
      </w:pPr>
    </w:p>
    <w:p>
      <w:pPr>
        <w:pStyle w:val="2"/>
        <w:outlineLvl w:val="9"/>
        <w:rPr>
          <w:rFonts w:hint="eastAsia"/>
          <w:color w:val="auto"/>
        </w:rPr>
      </w:pPr>
    </w:p>
    <w:p>
      <w:pPr>
        <w:pStyle w:val="2"/>
        <w:outlineLvl w:val="9"/>
        <w:rPr>
          <w:rFonts w:hint="eastAsia"/>
          <w:color w:val="auto"/>
        </w:rPr>
      </w:pPr>
    </w:p>
    <w:p>
      <w:pPr>
        <w:pStyle w:val="2"/>
        <w:outlineLvl w:val="9"/>
        <w:rPr>
          <w:rFonts w:hint="eastAsia"/>
          <w:color w:val="auto"/>
        </w:rPr>
      </w:pPr>
    </w:p>
    <w:p>
      <w:pPr>
        <w:pStyle w:val="2"/>
        <w:outlineLvl w:val="9"/>
        <w:rPr>
          <w:rFonts w:hint="eastAsia"/>
          <w:color w:val="auto"/>
        </w:rPr>
      </w:pPr>
    </w:p>
    <w:p>
      <w:pPr>
        <w:spacing w:line="360" w:lineRule="auto"/>
        <w:ind w:firstLine="0" w:firstLineChars="0"/>
        <w:jc w:val="left"/>
        <w:outlineLvl w:val="9"/>
        <w:rPr>
          <w:rFonts w:hint="eastAsia" w:ascii="宋体" w:hAnsi="宋体" w:eastAsia="宋体" w:cs="宋体"/>
          <w:b/>
          <w:color w:val="auto"/>
          <w:sz w:val="24"/>
          <w:szCs w:val="24"/>
          <w:lang w:val="en-US" w:eastAsia="zh-CN"/>
        </w:rPr>
      </w:pPr>
    </w:p>
    <w:p>
      <w:pPr>
        <w:spacing w:line="360" w:lineRule="auto"/>
        <w:ind w:firstLine="0" w:firstLineChars="0"/>
        <w:jc w:val="left"/>
        <w:outlineLvl w:val="9"/>
        <w:rPr>
          <w:rFonts w:hint="eastAsia" w:ascii="宋体" w:hAnsi="宋体" w:eastAsia="宋体" w:cs="宋体"/>
          <w:b/>
          <w:color w:val="auto"/>
          <w:sz w:val="24"/>
          <w:szCs w:val="24"/>
          <w:lang w:val="en-US" w:eastAsia="zh-CN"/>
        </w:rPr>
      </w:pPr>
    </w:p>
    <w:p>
      <w:pPr>
        <w:spacing w:line="360" w:lineRule="auto"/>
        <w:ind w:firstLine="0" w:firstLineChars="0"/>
        <w:jc w:val="left"/>
        <w:outlineLvl w:val="9"/>
        <w:rPr>
          <w:rFonts w:hint="eastAsia" w:ascii="宋体" w:hAnsi="宋体" w:eastAsia="宋体" w:cs="宋体"/>
          <w:b/>
          <w:color w:val="auto"/>
          <w:sz w:val="24"/>
          <w:szCs w:val="24"/>
          <w:lang w:val="en-US" w:eastAsia="zh-CN"/>
        </w:rPr>
      </w:pPr>
    </w:p>
    <w:p>
      <w:pPr>
        <w:spacing w:line="360" w:lineRule="auto"/>
        <w:ind w:firstLine="0" w:firstLineChars="0"/>
        <w:jc w:val="left"/>
        <w:outlineLvl w:val="9"/>
        <w:rPr>
          <w:rFonts w:hint="eastAsia" w:ascii="宋体" w:hAnsi="宋体" w:eastAsia="宋体" w:cs="宋体"/>
          <w:b/>
          <w:color w:val="auto"/>
          <w:sz w:val="24"/>
          <w:szCs w:val="24"/>
          <w:lang w:val="en-US" w:eastAsia="zh-CN"/>
        </w:rPr>
      </w:pPr>
    </w:p>
    <w:p>
      <w:pPr>
        <w:spacing w:line="360" w:lineRule="auto"/>
        <w:ind w:firstLine="0" w:firstLineChars="0"/>
        <w:jc w:val="left"/>
        <w:outlineLvl w:val="9"/>
        <w:rPr>
          <w:rFonts w:hint="eastAsia" w:ascii="宋体" w:hAnsi="宋体" w:eastAsia="宋体" w:cs="宋体"/>
          <w:b/>
          <w:color w:val="auto"/>
          <w:sz w:val="24"/>
          <w:szCs w:val="24"/>
          <w:lang w:val="en-US" w:eastAsia="zh-CN"/>
        </w:rPr>
      </w:pPr>
    </w:p>
    <w:p>
      <w:pPr>
        <w:spacing w:line="360" w:lineRule="auto"/>
        <w:ind w:firstLine="0" w:firstLineChars="0"/>
        <w:jc w:val="left"/>
        <w:outlineLvl w:val="9"/>
        <w:rPr>
          <w:rFonts w:hint="eastAsia" w:ascii="宋体" w:hAnsi="宋体" w:eastAsia="宋体" w:cs="宋体"/>
          <w:b/>
          <w:color w:val="auto"/>
          <w:sz w:val="24"/>
          <w:szCs w:val="24"/>
          <w:lang w:val="en-US" w:eastAsia="zh-CN"/>
        </w:rPr>
      </w:pPr>
    </w:p>
    <w:p>
      <w:pPr>
        <w:spacing w:line="360" w:lineRule="auto"/>
        <w:ind w:firstLine="0" w:firstLineChars="0"/>
        <w:jc w:val="left"/>
        <w:outlineLvl w:val="9"/>
        <w:rPr>
          <w:rFonts w:hint="eastAsia" w:ascii="宋体" w:hAnsi="宋体" w:eastAsia="宋体" w:cs="宋体"/>
          <w:b/>
          <w:color w:val="auto"/>
          <w:sz w:val="24"/>
          <w:szCs w:val="24"/>
          <w:lang w:val="en-US" w:eastAsia="zh-CN"/>
        </w:rPr>
      </w:pPr>
    </w:p>
    <w:p>
      <w:pPr>
        <w:spacing w:line="360" w:lineRule="auto"/>
        <w:ind w:firstLine="0" w:firstLineChars="0"/>
        <w:jc w:val="left"/>
        <w:outlineLvl w:val="9"/>
        <w:rPr>
          <w:rFonts w:hint="eastAsia" w:ascii="宋体" w:hAnsi="宋体" w:eastAsia="宋体" w:cs="宋体"/>
          <w:b/>
          <w:color w:val="auto"/>
          <w:sz w:val="24"/>
          <w:szCs w:val="24"/>
          <w:lang w:val="en-US" w:eastAsia="zh-CN"/>
        </w:rPr>
      </w:pPr>
    </w:p>
    <w:p>
      <w:pPr>
        <w:spacing w:line="360" w:lineRule="auto"/>
        <w:ind w:firstLine="0" w:firstLineChars="0"/>
        <w:jc w:val="left"/>
        <w:outlineLvl w:val="9"/>
        <w:rPr>
          <w:rFonts w:hint="eastAsia" w:ascii="宋体" w:hAnsi="宋体" w:eastAsia="宋体" w:cs="宋体"/>
          <w:b/>
          <w:color w:val="auto"/>
          <w:sz w:val="24"/>
          <w:szCs w:val="24"/>
          <w:lang w:val="en-US" w:eastAsia="zh-CN"/>
        </w:rPr>
        <w:sectPr>
          <w:footerReference r:id="rId4" w:type="first"/>
          <w:footerReference r:id="rId3" w:type="default"/>
          <w:pgSz w:w="12240" w:h="15840"/>
          <w:pgMar w:top="1191" w:right="1043" w:bottom="1191" w:left="1043" w:header="720" w:footer="720" w:gutter="0"/>
          <w:cols w:space="720" w:num="1"/>
          <w:titlePg/>
          <w:docGrid w:linePitch="326" w:charSpace="0"/>
        </w:sectPr>
      </w:pPr>
    </w:p>
    <w:p>
      <w:pPr>
        <w:spacing w:line="360" w:lineRule="auto"/>
        <w:ind w:firstLine="0" w:firstLineChars="0"/>
        <w:jc w:val="left"/>
        <w:outlineLvl w:val="9"/>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附件4：</w:t>
      </w:r>
    </w:p>
    <w:p>
      <w:pPr>
        <w:pStyle w:val="2"/>
        <w:jc w:val="center"/>
        <w:outlineLvl w:val="9"/>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东莞市众源环境投资有限公司五金配件及劳保物资采购清单</w:t>
      </w:r>
    </w:p>
    <w:p>
      <w:pPr>
        <w:pStyle w:val="2"/>
        <w:outlineLvl w:val="9"/>
        <w:rPr>
          <w:rFonts w:hint="eastAsia" w:ascii="宋体" w:hAnsi="宋体" w:eastAsia="宋体" w:cs="宋体"/>
          <w:b/>
          <w:color w:val="auto"/>
          <w:sz w:val="28"/>
          <w:szCs w:val="28"/>
          <w:lang w:eastAsia="zh-CN"/>
        </w:rPr>
      </w:pPr>
    </w:p>
    <w:tbl>
      <w:tblPr>
        <w:tblStyle w:val="38"/>
        <w:tblW w:w="4827" w:type="pct"/>
        <w:jc w:val="center"/>
        <w:tblLayout w:type="fixed"/>
        <w:tblCellMar>
          <w:top w:w="0" w:type="dxa"/>
          <w:left w:w="108" w:type="dxa"/>
          <w:bottom w:w="0" w:type="dxa"/>
          <w:right w:w="108" w:type="dxa"/>
        </w:tblCellMar>
      </w:tblPr>
      <w:tblGrid>
        <w:gridCol w:w="551"/>
        <w:gridCol w:w="757"/>
        <w:gridCol w:w="2403"/>
        <w:gridCol w:w="2872"/>
        <w:gridCol w:w="713"/>
        <w:gridCol w:w="728"/>
        <w:gridCol w:w="1572"/>
        <w:gridCol w:w="1271"/>
        <w:gridCol w:w="2333"/>
      </w:tblGrid>
      <w:tr>
        <w:tblPrEx>
          <w:tblCellMar>
            <w:top w:w="0" w:type="dxa"/>
            <w:left w:w="108" w:type="dxa"/>
            <w:bottom w:w="0" w:type="dxa"/>
            <w:right w:w="108" w:type="dxa"/>
          </w:tblCellMar>
        </w:tblPrEx>
        <w:trPr>
          <w:trHeight w:val="57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240" w:lineRule="auto"/>
              <w:ind w:firstLine="0" w:firstLineChars="0"/>
              <w:jc w:val="center"/>
              <w:outlineLvl w:val="9"/>
              <w:rPr>
                <w:rFonts w:hint="eastAsia" w:ascii="宋体" w:hAnsi="宋体" w:eastAsia="宋体" w:cs="宋体"/>
                <w:b/>
                <w:bCs/>
                <w:color w:val="auto"/>
                <w:sz w:val="22"/>
                <w:szCs w:val="22"/>
              </w:rPr>
            </w:pPr>
            <w:r>
              <w:rPr>
                <w:rFonts w:hint="eastAsia" w:ascii="宋体" w:hAnsi="宋体" w:eastAsia="宋体" w:cs="宋体"/>
                <w:b/>
                <w:bCs/>
                <w:color w:val="auto"/>
                <w:sz w:val="22"/>
                <w:szCs w:val="22"/>
              </w:rPr>
              <w:t>序号</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240" w:lineRule="auto"/>
              <w:ind w:firstLine="0" w:firstLineChars="0"/>
              <w:jc w:val="center"/>
              <w:outlineLvl w:val="9"/>
              <w:rPr>
                <w:rFonts w:hint="eastAsia" w:ascii="宋体" w:hAnsi="宋体" w:eastAsia="宋体" w:cs="宋体"/>
                <w:b/>
                <w:bCs/>
                <w:color w:val="auto"/>
                <w:sz w:val="22"/>
                <w:szCs w:val="22"/>
              </w:rPr>
            </w:pPr>
            <w:r>
              <w:rPr>
                <w:rFonts w:hint="eastAsia" w:ascii="宋体" w:hAnsi="宋体" w:eastAsia="宋体" w:cs="宋体"/>
                <w:b/>
                <w:bCs/>
                <w:color w:val="auto"/>
                <w:sz w:val="22"/>
                <w:szCs w:val="22"/>
              </w:rPr>
              <w:t>物资类别</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240" w:lineRule="auto"/>
              <w:ind w:firstLine="0" w:firstLineChars="0"/>
              <w:jc w:val="center"/>
              <w:outlineLvl w:val="9"/>
              <w:rPr>
                <w:rFonts w:hint="eastAsia" w:ascii="宋体" w:hAnsi="宋体" w:eastAsia="宋体" w:cs="宋体"/>
                <w:b/>
                <w:bCs/>
                <w:color w:val="auto"/>
                <w:sz w:val="22"/>
                <w:szCs w:val="22"/>
              </w:rPr>
            </w:pPr>
            <w:r>
              <w:rPr>
                <w:rFonts w:hint="eastAsia" w:ascii="宋体" w:hAnsi="宋体" w:eastAsia="宋体" w:cs="宋体"/>
                <w:b/>
                <w:bCs/>
                <w:color w:val="auto"/>
                <w:sz w:val="22"/>
                <w:szCs w:val="22"/>
              </w:rPr>
              <w:t>物资名称</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240" w:lineRule="auto"/>
              <w:ind w:firstLine="0" w:firstLineChars="0"/>
              <w:jc w:val="center"/>
              <w:outlineLvl w:val="9"/>
              <w:rPr>
                <w:rFonts w:hint="default" w:ascii="宋体" w:hAnsi="宋体" w:eastAsia="宋体" w:cs="宋体"/>
                <w:b/>
                <w:bCs/>
                <w:color w:val="auto"/>
                <w:sz w:val="22"/>
                <w:szCs w:val="22"/>
                <w:lang w:val="en-US"/>
              </w:rPr>
            </w:pPr>
            <w:r>
              <w:rPr>
                <w:rFonts w:hint="eastAsia" w:ascii="宋体" w:hAnsi="宋体" w:eastAsia="宋体" w:cs="宋体"/>
                <w:b/>
                <w:bCs/>
                <w:color w:val="auto"/>
                <w:sz w:val="22"/>
                <w:szCs w:val="22"/>
                <w:lang w:val="en-US" w:eastAsia="zh-CN"/>
              </w:rPr>
              <w:t>规格型号</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240" w:lineRule="auto"/>
              <w:ind w:firstLine="0" w:firstLineChars="0"/>
              <w:jc w:val="center"/>
              <w:outlineLvl w:val="9"/>
              <w:rPr>
                <w:rFonts w:hint="eastAsia" w:ascii="宋体" w:hAnsi="宋体" w:eastAsia="宋体" w:cs="宋体"/>
                <w:b/>
                <w:bCs/>
                <w:color w:val="auto"/>
                <w:sz w:val="22"/>
                <w:szCs w:val="22"/>
              </w:rPr>
            </w:pPr>
            <w:r>
              <w:rPr>
                <w:rFonts w:hint="eastAsia" w:ascii="宋体" w:hAnsi="宋体" w:eastAsia="宋体" w:cs="宋体"/>
                <w:b/>
                <w:bCs/>
                <w:color w:val="auto"/>
                <w:sz w:val="22"/>
                <w:szCs w:val="22"/>
              </w:rPr>
              <w:t>单位</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240" w:lineRule="auto"/>
              <w:ind w:firstLine="0" w:firstLineChars="0"/>
              <w:jc w:val="center"/>
              <w:outlineLvl w:val="9"/>
              <w:rPr>
                <w:rFonts w:hint="eastAsia" w:ascii="宋体" w:hAnsi="宋体" w:eastAsia="宋体" w:cs="宋体"/>
                <w:b/>
                <w:bCs/>
                <w:color w:val="auto"/>
                <w:sz w:val="22"/>
                <w:szCs w:val="22"/>
              </w:rPr>
            </w:pPr>
            <w:r>
              <w:rPr>
                <w:rFonts w:hint="eastAsia" w:ascii="宋体" w:hAnsi="宋体" w:eastAsia="宋体" w:cs="宋体"/>
                <w:b/>
                <w:bCs/>
                <w:color w:val="auto"/>
                <w:sz w:val="22"/>
                <w:szCs w:val="22"/>
              </w:rPr>
              <w:t>暂定数量</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240" w:lineRule="auto"/>
              <w:ind w:firstLine="0" w:firstLineChars="0"/>
              <w:jc w:val="center"/>
              <w:outlineLvl w:val="9"/>
              <w:rPr>
                <w:rFonts w:hint="eastAsia" w:ascii="宋体" w:hAnsi="宋体" w:eastAsia="宋体" w:cs="宋体"/>
                <w:b/>
                <w:bCs/>
                <w:color w:val="auto"/>
                <w:sz w:val="22"/>
                <w:szCs w:val="22"/>
              </w:rPr>
            </w:pPr>
            <w:r>
              <w:rPr>
                <w:rFonts w:hint="eastAsia" w:ascii="宋体" w:hAnsi="宋体" w:eastAsia="宋体" w:cs="宋体"/>
                <w:b/>
                <w:bCs/>
                <w:color w:val="auto"/>
                <w:sz w:val="22"/>
                <w:szCs w:val="22"/>
                <w:lang w:val="en-US" w:eastAsia="zh-CN"/>
              </w:rPr>
              <w:t>不含税</w:t>
            </w:r>
            <w:r>
              <w:rPr>
                <w:rFonts w:hint="eastAsia" w:ascii="宋体" w:hAnsi="宋体" w:eastAsia="宋体" w:cs="宋体"/>
                <w:b/>
                <w:bCs/>
                <w:color w:val="auto"/>
                <w:sz w:val="22"/>
                <w:szCs w:val="22"/>
              </w:rPr>
              <w:t>预算</w:t>
            </w:r>
            <w:r>
              <w:rPr>
                <w:rFonts w:hint="eastAsia" w:ascii="宋体" w:hAnsi="宋体" w:eastAsia="宋体" w:cs="宋体"/>
                <w:b/>
                <w:bCs/>
                <w:color w:val="auto"/>
                <w:sz w:val="22"/>
                <w:szCs w:val="22"/>
                <w:lang w:val="en-US" w:eastAsia="zh-CN"/>
              </w:rPr>
              <w:t>综合</w:t>
            </w:r>
            <w:r>
              <w:rPr>
                <w:rFonts w:hint="eastAsia" w:ascii="宋体" w:hAnsi="宋体" w:eastAsia="宋体" w:cs="宋体"/>
                <w:b/>
                <w:bCs/>
                <w:color w:val="auto"/>
                <w:sz w:val="22"/>
                <w:szCs w:val="22"/>
              </w:rPr>
              <w:t>单价（元）</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240" w:lineRule="auto"/>
              <w:ind w:firstLine="0" w:firstLineChars="0"/>
              <w:jc w:val="center"/>
              <w:outlineLvl w:val="9"/>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不含税预算小计（元）</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240" w:lineRule="auto"/>
              <w:ind w:firstLine="0" w:firstLineChars="0"/>
              <w:jc w:val="center"/>
              <w:outlineLvl w:val="9"/>
              <w:rPr>
                <w:rFonts w:hint="eastAsia" w:ascii="宋体" w:hAnsi="宋体" w:eastAsia="宋体" w:cs="宋体"/>
                <w:b/>
                <w:bCs/>
                <w:color w:val="auto"/>
                <w:sz w:val="22"/>
                <w:szCs w:val="22"/>
              </w:rPr>
            </w:pPr>
            <w:r>
              <w:rPr>
                <w:rFonts w:hint="eastAsia" w:ascii="宋体" w:hAnsi="宋体" w:eastAsia="宋体" w:cs="宋体"/>
                <w:b/>
                <w:bCs/>
                <w:color w:val="auto"/>
                <w:sz w:val="22"/>
                <w:szCs w:val="22"/>
              </w:rPr>
              <w:t>备注</w:t>
            </w:r>
          </w:p>
        </w:tc>
      </w:tr>
      <w:tr>
        <w:tblPrEx>
          <w:tblCellMar>
            <w:top w:w="0" w:type="dxa"/>
            <w:left w:w="108" w:type="dxa"/>
            <w:bottom w:w="0" w:type="dxa"/>
            <w:right w:w="108" w:type="dxa"/>
          </w:tblCellMar>
        </w:tblPrEx>
        <w:trPr>
          <w:trHeight w:val="42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槽钢</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碳钢材质，国标尺寸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　</w:t>
            </w:r>
            <w:r>
              <w:rPr>
                <w:rFonts w:hint="eastAsia" w:ascii="宋体" w:hAnsi="宋体" w:eastAsia="宋体" w:cs="宋体"/>
                <w:color w:val="auto"/>
                <w:sz w:val="20"/>
                <w:szCs w:val="20"/>
                <w:lang w:val="en-US" w:eastAsia="zh-CN"/>
              </w:rPr>
              <w:t>12.75</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1275.00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角钢</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碳钢材质，国标尺寸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w:t>
            </w:r>
            <w:r>
              <w:rPr>
                <w:rFonts w:hint="eastAsia" w:ascii="宋体" w:hAnsi="宋体" w:eastAsia="宋体" w:cs="宋体"/>
                <w:color w:val="auto"/>
                <w:sz w:val="20"/>
                <w:szCs w:val="20"/>
                <w:lang w:val="en-US" w:eastAsia="zh-CN"/>
              </w:rPr>
              <w:t>12.75</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1275.00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方通</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碳钢材质，国标尺寸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13.38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1338.00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钢板</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碳钢材质，国标尺寸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13.42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2013.00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304不锈钢方通</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6750.00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304不锈钢格网</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55.67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8350.50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304不锈钢链条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47.73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7159.50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304不锈钢薄板</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1220×2440mm,0.8mm厚</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张</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497.50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3482.50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304不锈钢薄板</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1220×2440mm,1.0mm厚</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张</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614.17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4299.19</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304不锈钢薄板</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1220×2440mm,1.2mm厚</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张</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754.83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5283.81</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镀锌方通</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碳钢镀锌，国标尺寸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15.90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1590.00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镀锌钢管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碳钢镀锌，国标尺寸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15.90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1590.00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镀锌格栅板</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碳钢镀锌，国标尺寸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28.50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5700.00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镀锌链条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碳钢镀锌，国标尺寸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80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19.47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1557.60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镀锌板</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1220×2440mm,1.0mm厚</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张</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287.57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287.57</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镀锌板</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1220×2440mm,2.0mm厚</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张</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511.22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511.22</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304不锈钢管件</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90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101.00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9090.00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碳钢焊接法兰</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21.50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107.50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碳钢焊接法兰</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DN32，PN16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125.00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碳钢焊接法兰</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DN40，PN16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28.34</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85.02</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碳钢焊接法兰</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9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30.01</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270.09</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碳钢焊接法兰</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9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35.20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316.80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碳钢焊接法兰</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53.54</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321.24</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304不锈钢焊接法兰</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47.30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236.50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304不锈钢焊接法兰</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DN32，PN16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64.40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322.00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304不锈钢焊接法兰</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DN40，PN16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73.40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220.20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304不锈钢焊接法兰</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91.00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273.00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304不锈钢焊接法兰</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121.00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363.00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304不锈钢法兰盲板</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137.00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548.00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304不锈钢法兰盲板</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177.00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708.00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304不锈钢法兰盲板</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261.00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1305.00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304不锈钢波纹伸缩接头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DN100，PN10</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467.00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934.00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304不锈钢波纹伸缩接头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DN125，PN10</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591.00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591.00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304不锈钢波纹伸缩接头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DN150，PN10</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736.00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1472.00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304不锈钢波纹伸缩接头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DN200，PN10</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　</w:t>
            </w:r>
            <w:r>
              <w:rPr>
                <w:rFonts w:hint="eastAsia" w:ascii="宋体" w:hAnsi="宋体" w:eastAsia="宋体" w:cs="宋体"/>
                <w:color w:val="auto"/>
                <w:sz w:val="20"/>
                <w:szCs w:val="20"/>
                <w:lang w:val="en-US" w:eastAsia="zh-CN"/>
              </w:rPr>
              <w:t>928.00</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1856.00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304不锈钢波纹伸缩接头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DN250，PN10</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　</w:t>
            </w:r>
            <w:r>
              <w:rPr>
                <w:rFonts w:hint="eastAsia" w:ascii="宋体" w:hAnsi="宋体" w:eastAsia="宋体" w:cs="宋体"/>
                <w:color w:val="auto"/>
                <w:sz w:val="20"/>
                <w:szCs w:val="20"/>
                <w:lang w:val="en-US" w:eastAsia="zh-CN"/>
              </w:rPr>
              <w:t>1576.00</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1576.00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304不锈钢法兰橡胶软接头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DN100，PN25，耐酸碱、高温</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140.00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2100.00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304不锈钢法兰橡胶软接头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DN100，PN16，耐酸碱、高温</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1350.00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304不锈钢法兰橡胶软接头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DN80，PN25，耐酸碱、高温</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304不锈钢法兰橡胶软接头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DN50，PN16，耐酸碱、高温</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碳钢镀锌外六角螺栓</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85.50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2137.50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碳钢镀锌内六角螺栓</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85.50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855.00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碳钢镀锌螺母</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93.50</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935.00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碳钢镀锌弹垫</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101.50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1015.00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碳钢镀锌平垫</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101.50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1015.00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304不锈钢外六角螺栓</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117.60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4704.00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304不锈钢内六角螺栓</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117.60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4704.00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304不锈钢螺母</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23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166.00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3818.00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304不锈钢弹垫</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13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176.00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2288.00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304不锈钢平垫</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13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176.00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2288.00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碳钢镀锌螺钉</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13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82.00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1066.00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碳钢镀锌膨胀螺栓</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28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1260.00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碳钢镀锌花篮螺栓</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8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83.00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664.00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410不锈钢自钻螺钉</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28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　</w:t>
            </w:r>
            <w:r>
              <w:rPr>
                <w:rFonts w:hint="eastAsia" w:ascii="宋体" w:hAnsi="宋体" w:eastAsia="宋体" w:cs="宋体"/>
                <w:color w:val="auto"/>
                <w:sz w:val="20"/>
                <w:szCs w:val="20"/>
                <w:lang w:val="en-US" w:eastAsia="zh-CN"/>
              </w:rPr>
              <w:t>145.00</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4060.00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304不锈钢U型卸扣</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208.00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3328.00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304不锈钢钢丝绳锁扣</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193.00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1930.00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拉簧</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1.2*12*60，碳钢</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条</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58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116.00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铁丝</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19.00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190.00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镀锌铁丝</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21.00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210.00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不锈钢氩弧焊丝</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304不锈钢喉箍</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14-51mm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304不锈钢喉箍</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46-95mm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1.90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9.50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304不锈钢喉箍</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84-140mm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304不锈钢喉箍</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130-178mm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　</w:t>
            </w:r>
            <w:r>
              <w:rPr>
                <w:rFonts w:hint="eastAsia" w:ascii="宋体" w:hAnsi="宋体" w:eastAsia="宋体" w:cs="宋体"/>
                <w:color w:val="auto"/>
                <w:sz w:val="20"/>
                <w:szCs w:val="20"/>
                <w:lang w:val="en-US" w:eastAsia="zh-CN"/>
              </w:rPr>
              <w:t>2.80</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304不锈钢喉箍</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160-245mm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3.80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83.60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铁管卡箍</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铆钉</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M2.4×10，1000枚/盒</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190.00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铆钉</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M3.2×20，1000枚/盒</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107.00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214.00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铆钉</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M4×25，500枚/盒</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97.00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194.00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绝缘橡胶垫</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10KV，5mm厚，1米宽，绿色，防滑，5米/卷</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卷</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21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310.00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6510.00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石墨盘根</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任意尺寸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82.00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1230.00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紫铜棒</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任意尺寸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1725.00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紫铜板</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任意尺寸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144.00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1440.00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304不锈钢钢丝绳</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直径3mm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2.80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304不锈钢钢丝绳</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直径5mm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225.00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304不锈钢钢丝绳</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直径8mm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13.40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402.00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4.50</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225.00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7.03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351.50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26.27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1313.50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36.31</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3631.00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51.72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10344.00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64.89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12978.00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DN150,PN16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129.10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19365.00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1.85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46.25</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2.08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52.00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4.72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118.00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7.48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187.00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10.23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716.10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80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17.67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1413.60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DN150,PN16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49.25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3447.50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2.08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41.60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2.63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52.60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8.09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161.80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13.12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459.20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17.80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623.00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34.68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1213.80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DN150,PN16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98.75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3456.25</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UPVC给水管45°弯头（灰色）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1.99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39.80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UPVC给水管45°弯头（灰色）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2.34</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46.80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UPVC给水管45°弯头（灰色）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6.01</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120.20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UPVC给水管45°弯头（灰色）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10.18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356.30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UPVC给水管45°弯头（灰色）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15.76</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551.60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UPVC给水管45°弯头（灰色）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25.09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878.15</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UPVC给水管45°弯头（灰色）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DN150,PN16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68.93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2412.55</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2.34</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46.80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2.85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57.00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11.80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236.00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16.81</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588.35</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25.21</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882.35</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43.35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1517.25</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DN150,PN16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118.34</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4141.90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UPVC给水管异径三通（灰色）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DN25转DN20，PN16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UPVC给水管异径三通（灰色）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DN65转DN50，PN16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37.00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370.00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UPVC给水管异径三通（灰色）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DN80转DN65，PN16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UPVC给水管异径三通（灰色）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DN100转DN80，PN16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UPVC带法兰接头  （灰色）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12.86</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128.60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UPVC带法兰接头  （灰色）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13.63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136.30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UPVC带法兰接头  （灰色）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24.43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244.30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UPVC带法兰接头  （灰色）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29.57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295.70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UPVC带法兰接头  （灰色）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38.12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381.20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UPVC带法兰接头  （灰色）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54.85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548.50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UPVC带法兰接头  （灰色）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DN150,PN16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119.07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1190.70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4.58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91.60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6.89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137.80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32.23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644.60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41.17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823.40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69.92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1398.40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93.15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1863.00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UPVC补芯（灰色）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DN25转DN20</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23.60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UPVC补芯（灰色）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DN65转DN50</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5.43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108.60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UPVC补芯（灰色）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DN80转DN65</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9.65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193.00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UPVC补芯（灰色）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DN100转DN80</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15.53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310.60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5.83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116.60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188.00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27.84</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556.80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59.19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1183.80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78.90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1578.00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191.45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3829.00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DN150,PN16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310.62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6212.40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UPVC球式止回阀  （灰色）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UPVC球式止回阀  （灰色）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UPVC球式止回阀  （灰色）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220.00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2200.00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UPVC球式止回阀  （灰色）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DN150,PN16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350.00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3500.00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UPVC给水管（蓝色）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7.03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140.60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26.27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525.40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UPVC给水管（蓝色）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36.31</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726.20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51.72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1034.40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UPVC给水管（蓝色）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64.89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1297.80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1.85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37.00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（蓝色）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2.08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41.60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4.72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94.40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（蓝色）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7.48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149.60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10.23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102.30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（蓝色）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17.67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176.70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2.08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41.60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UPVC给水管90°弯头（蓝色）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2.63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52.60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8.09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161.80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UPVC给水管90°弯头（蓝色）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13.12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262.40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17.80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178.00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UPVC给水管90°弯头（蓝色）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34.68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346.80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2.34</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46.80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UPVC给水管正三通（蓝色）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2.85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57.00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11.80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236.00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UPVC给水管正三通（蓝色）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16.81</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336.20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25.21</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252.10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UPVC给水管正三通（蓝色）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43.35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433.50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UPVC给水管异径三通（蓝色）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DN25转DN20，PN16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25.00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UPVC给水管异径三通（蓝色）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DN50转DN25，PN16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15.10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75.50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170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UPVC给水管异径三通（蓝色）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DN65转DN60，PN16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37.00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185.00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171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UPVC给水管异径三通（蓝色）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DN100转DN80，PN16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172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4.58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91.60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173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UPVC活接（蓝色）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6.89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137.80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174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32.23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644.60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175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UPVC活接（蓝色）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41.17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823.40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176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69.92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699.20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177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UPVC活接（蓝色）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93.15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931.50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178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UPVC补芯（蓝色）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DN25转DN20</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23.60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179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UPVC补芯（蓝色）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DN65转DN50</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5.43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108.60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UPVC补芯（蓝色）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DN80转DN65</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9.65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48.25</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UPVC补芯（蓝色）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DN100转DN80</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15.53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77.65</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5.83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116.60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（蓝色）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188.00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27.84</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556.80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（蓝色）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59.19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1183.80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78.90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789.00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（蓝色）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191.45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1914.50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UPVC球式止回阀  （蓝色）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UPVC球式止回阀  （蓝色）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190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UPVC球式止回阀  （蓝色）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220.00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2200.00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r>
      <w:tr>
        <w:tblPrEx>
          <w:tblCellMar>
            <w:top w:w="0" w:type="dxa"/>
            <w:left w:w="108" w:type="dxa"/>
            <w:bottom w:w="0" w:type="dxa"/>
            <w:right w:w="108" w:type="dxa"/>
          </w:tblCellMar>
        </w:tblPrEx>
        <w:trPr>
          <w:trHeight w:val="78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191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安全阀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A28W-16T，公称压力：1.0MPa，公称通径：DN25mm，排放压力≤0.92MPa，压力等级：0.7-1.0MPa</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6000.00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富羽</w:t>
            </w:r>
            <w:r>
              <w:rPr>
                <w:rFonts w:ascii="宋体" w:hAnsi="宋体" w:eastAsia="宋体" w:cs="宋体"/>
                <w:sz w:val="20"/>
                <w:szCs w:val="20"/>
                <w:highlight w:val="none"/>
              </w:rPr>
              <w:t>/</w:t>
            </w:r>
            <w:r>
              <w:rPr>
                <w:rFonts w:hint="eastAsia" w:ascii="宋体" w:hAnsi="宋体" w:eastAsia="宋体" w:cs="宋体"/>
                <w:sz w:val="20"/>
                <w:szCs w:val="20"/>
                <w:highlight w:val="none"/>
              </w:rPr>
              <w:t>永一</w:t>
            </w:r>
            <w:r>
              <w:rPr>
                <w:rFonts w:ascii="宋体" w:hAnsi="宋体" w:eastAsia="宋体" w:cs="宋体"/>
                <w:sz w:val="20"/>
                <w:szCs w:val="20"/>
                <w:highlight w:val="none"/>
              </w:rPr>
              <w:t>/沪工</w:t>
            </w:r>
          </w:p>
        </w:tc>
      </w:tr>
      <w:tr>
        <w:tblPrEx>
          <w:tblCellMar>
            <w:top w:w="0" w:type="dxa"/>
            <w:left w:w="108" w:type="dxa"/>
            <w:bottom w:w="0" w:type="dxa"/>
            <w:right w:w="108" w:type="dxa"/>
          </w:tblCellMar>
        </w:tblPrEx>
        <w:trPr>
          <w:trHeight w:val="78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192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安全阀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A28W-16T，公称压力：1.0MPa，公称通径：DN20mm，整定压力：0.84Mpa，排放压力：0.92MPa，压力等级：0.7-1.0MPa</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550.00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5500.00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富羽</w:t>
            </w:r>
            <w:r>
              <w:rPr>
                <w:rFonts w:ascii="宋体" w:hAnsi="宋体" w:eastAsia="宋体" w:cs="宋体"/>
                <w:sz w:val="20"/>
                <w:szCs w:val="20"/>
                <w:highlight w:val="none"/>
              </w:rPr>
              <w:t>/</w:t>
            </w:r>
            <w:r>
              <w:rPr>
                <w:rFonts w:hint="eastAsia" w:ascii="宋体" w:hAnsi="宋体" w:eastAsia="宋体" w:cs="宋体"/>
                <w:sz w:val="20"/>
                <w:szCs w:val="20"/>
                <w:highlight w:val="none"/>
              </w:rPr>
              <w:t>永一</w:t>
            </w:r>
            <w:r>
              <w:rPr>
                <w:rFonts w:ascii="宋体" w:hAnsi="宋体" w:eastAsia="宋体" w:cs="宋体"/>
                <w:sz w:val="20"/>
                <w:szCs w:val="20"/>
                <w:highlight w:val="none"/>
              </w:rPr>
              <w:t>/沪工</w:t>
            </w:r>
          </w:p>
        </w:tc>
      </w:tr>
      <w:tr>
        <w:tblPrEx>
          <w:tblCellMar>
            <w:top w:w="0" w:type="dxa"/>
            <w:left w:w="108" w:type="dxa"/>
            <w:bottom w:w="0" w:type="dxa"/>
            <w:right w:w="108" w:type="dxa"/>
          </w:tblCellMar>
        </w:tblPrEx>
        <w:trPr>
          <w:trHeight w:val="78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193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安全阀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A28H-16,公称通径：DN40mm，公称压力 1.6MPa，整定压力1.05，排放压力≤1.1.整定压力</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750.00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富羽</w:t>
            </w:r>
            <w:r>
              <w:rPr>
                <w:rFonts w:ascii="宋体" w:hAnsi="宋体" w:eastAsia="宋体" w:cs="宋体"/>
                <w:sz w:val="20"/>
                <w:szCs w:val="20"/>
                <w:highlight w:val="none"/>
              </w:rPr>
              <w:t>/</w:t>
            </w:r>
            <w:r>
              <w:rPr>
                <w:rFonts w:hint="eastAsia" w:ascii="宋体" w:hAnsi="宋体" w:eastAsia="宋体" w:cs="宋体"/>
                <w:sz w:val="20"/>
                <w:szCs w:val="20"/>
                <w:highlight w:val="none"/>
              </w:rPr>
              <w:t>永一</w:t>
            </w:r>
            <w:r>
              <w:rPr>
                <w:rFonts w:ascii="宋体" w:hAnsi="宋体" w:eastAsia="宋体" w:cs="宋体"/>
                <w:sz w:val="20"/>
                <w:szCs w:val="20"/>
                <w:highlight w:val="none"/>
              </w:rPr>
              <w:t>/沪工</w:t>
            </w:r>
          </w:p>
        </w:tc>
      </w:tr>
      <w:tr>
        <w:tblPrEx>
          <w:tblCellMar>
            <w:top w:w="0" w:type="dxa"/>
            <w:left w:w="108" w:type="dxa"/>
            <w:bottom w:w="0" w:type="dxa"/>
            <w:right w:w="108" w:type="dxa"/>
          </w:tblCellMar>
        </w:tblPrEx>
        <w:trPr>
          <w:trHeight w:val="52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194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安全阀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A28H-16,公称通径：DN25mm，公称压力 1.6MPa，排放压力≤1.1.整定压力1.05MPa</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650.00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富羽</w:t>
            </w:r>
            <w:r>
              <w:rPr>
                <w:rFonts w:ascii="宋体" w:hAnsi="宋体" w:eastAsia="宋体" w:cs="宋体"/>
                <w:sz w:val="20"/>
                <w:szCs w:val="20"/>
                <w:highlight w:val="none"/>
              </w:rPr>
              <w:t>/</w:t>
            </w:r>
            <w:r>
              <w:rPr>
                <w:rFonts w:hint="eastAsia" w:ascii="宋体" w:hAnsi="宋体" w:eastAsia="宋体" w:cs="宋体"/>
                <w:sz w:val="20"/>
                <w:szCs w:val="20"/>
                <w:highlight w:val="none"/>
              </w:rPr>
              <w:t>永一</w:t>
            </w:r>
            <w:r>
              <w:rPr>
                <w:rFonts w:ascii="宋体" w:hAnsi="宋体" w:eastAsia="宋体" w:cs="宋体"/>
                <w:sz w:val="20"/>
                <w:szCs w:val="20"/>
                <w:highlight w:val="none"/>
              </w:rPr>
              <w:t>/沪工</w:t>
            </w:r>
          </w:p>
        </w:tc>
      </w:tr>
      <w:tr>
        <w:tblPrEx>
          <w:tblCellMar>
            <w:top w:w="0" w:type="dxa"/>
            <w:left w:w="108" w:type="dxa"/>
            <w:bottom w:w="0" w:type="dxa"/>
            <w:right w:w="108" w:type="dxa"/>
          </w:tblCellMar>
        </w:tblPrEx>
        <w:trPr>
          <w:trHeight w:val="52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195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法兰安全阀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A42H-25C,公称通径：DN40mm，公称压力 2.5MPa，整定压力2.4MPa，排放压力2.88MPa</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1050.00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2100.00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永一/飞峰/海一</w:t>
            </w:r>
          </w:p>
        </w:tc>
      </w:tr>
      <w:tr>
        <w:tblPrEx>
          <w:tblCellMar>
            <w:top w:w="0" w:type="dxa"/>
            <w:left w:w="108" w:type="dxa"/>
            <w:bottom w:w="0" w:type="dxa"/>
            <w:right w:w="108" w:type="dxa"/>
          </w:tblCellMar>
        </w:tblPrEx>
        <w:trPr>
          <w:trHeight w:val="52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196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安全阀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A48Y-16，公称压力：1.60MPa，公称通径：DN40mm，整定压力：1.0MPa</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sz w:val="20"/>
                <w:szCs w:val="20"/>
                <w:highlight w:val="none"/>
              </w:rPr>
              <w:t>富羽</w:t>
            </w:r>
            <w:r>
              <w:rPr>
                <w:rFonts w:ascii="宋体" w:hAnsi="宋体" w:eastAsia="宋体" w:cs="宋体"/>
                <w:sz w:val="20"/>
                <w:szCs w:val="20"/>
                <w:highlight w:val="none"/>
              </w:rPr>
              <w:t>/</w:t>
            </w:r>
            <w:r>
              <w:rPr>
                <w:rFonts w:hint="eastAsia" w:ascii="宋体" w:hAnsi="宋体" w:eastAsia="宋体" w:cs="宋体"/>
                <w:sz w:val="20"/>
                <w:szCs w:val="20"/>
                <w:highlight w:val="none"/>
              </w:rPr>
              <w:t>永一</w:t>
            </w:r>
            <w:r>
              <w:rPr>
                <w:rFonts w:ascii="宋体" w:hAnsi="宋体" w:eastAsia="宋体" w:cs="宋体"/>
                <w:sz w:val="20"/>
                <w:szCs w:val="20"/>
                <w:highlight w:val="none"/>
              </w:rPr>
              <w:t>/沪工</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197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手动闸阀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650.00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1950.00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冠龙/郑蝶/凯士比</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198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手动闸阀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825.00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2475.00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冠龙/郑蝶/凯士比</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199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 Y型过滤器</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9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34.30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308.70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 Y型过滤器</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9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46.00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414.00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 Y型过滤器</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9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205.00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1845.00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 Y型过滤器</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9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560.00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5040.00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UPVC管码</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UPVC管码</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DN32</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UPVC管码</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塑料管转子流量计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最大量程600L/h</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99.00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594.00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塑料管转子流量计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最大量程1000L/h</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99.00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1485.00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塑料管转子流量计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最大量程1600L/h</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8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PVC阻燃线槽</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20mmX10mmX4000mm ，2米/条</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条</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210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PVC阻燃线槽</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30mmX15mmX4000mm ，2米/条</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条</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19.00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380.00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211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DN20，4米/根</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根</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345.00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212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DN25，4米/根</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根</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18.00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540.00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213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DN32，4米/根</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根</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27.30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819.00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214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PVC阻燃线管三通</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48.00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215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PVC阻燃线管三通</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56.00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216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PVC阻燃线管三通</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DN32</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1.70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68.00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217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PVC阻燃线管90°弯头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218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PVC阻燃线管90°弯头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48.00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219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PVC阻燃线管90°弯头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DN32</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56.00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PVC阻燃线管直接</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PVC阻燃线管直接</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PVC阻燃线管直接</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DN32</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72.00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PVC阻燃波纹管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内径20mm，50米/卷，任意颜色</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卷</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88.00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440.00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PVC阻燃波纹管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内径25mm，50米/卷，任意颜色</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卷</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123.00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615.00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28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PVC阻燃波纹管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内径32mm，50米/卷，任意颜色</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卷</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126.00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378.00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2"/>
                <w:szCs w:val="22"/>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涂塑水带</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1寸，壁厚2-3mm，20米/卷，耐磨</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卷</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280.00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涂塑水带</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2寸，壁厚2-3mm，20米/卷，耐磨</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卷</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134.00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1608.00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涂塑水带加厚铝接头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46.70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93.40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涂塑水带加厚铝接头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88.00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528.00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304不锈钢卡扣式快速接头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115.60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693.60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304不锈钢卡扣式快速接头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166.80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1000.80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304不锈钢卡扣式快速接头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228.80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457.60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304不锈钢卡扣式快速接头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348.40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696.80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PVC透明钢丝软管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内径25mm，厚3.5mm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80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10.20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816.00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PVC透明钢丝软管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内径32mm，厚4mm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80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PVC透明钢丝软管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内径40mm，厚3.5mm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80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18.20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1456.00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PVC透明钢丝软管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内径50mm，厚5mm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80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32.20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2576.00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PVC透明钢丝软管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内径64mm，厚4.5mm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80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44.00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3520.00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纤维增强软管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4分</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11.30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1130.00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纤维增强软管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6分</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纤维增强软管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18.70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935.00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纤维增强软管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26.77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1338.50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PU气管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外径6mm、内径4mm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1.76</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176.00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PU气管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外径8mm、内径5mm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550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2.36</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1298.00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PU气管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外径10mm、内径6.5mm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气管直通二口接头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PU6-6   10只/包</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包</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48.00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气管直通二口接头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PU8-8   10只/包</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包</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11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121.00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气管直通二口接头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PU10-10   10只/包</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包</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72.00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气管直通三口T型接头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PU6-6   10只/包</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包</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72.00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气管直通三口T型接头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PU8-8   10只/包</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包</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72.00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气管直通三口T型接头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PU10-10   10只/包</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包</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16.90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101.40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气管自锁快速接头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公母头  接内径6mmPU气管</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对</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7.60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114.00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气管自锁快速接头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公母头  接内径8mmPU气管</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对</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8.60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129.00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气管自锁快速接头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公母头  接内径10mmPU气管</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对</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9.60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144.00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宝塔接头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304不锈钢材质</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192.60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1348.20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加厚黄蜡管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管径5mm，100米/卷</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卷</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97.00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97.00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加厚黄蜡管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管径10mm，100米/卷</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卷</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102.66</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102.66</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加厚黄蜡管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管径16mm，50米/卷</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卷</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89.90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89.90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加厚黄蜡管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管径20mm，50米/卷</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卷</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121.20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121.20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加厚黄蜡管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管径25mm，20米/卷</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卷</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133.00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133.00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加厚黄蜡管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管径30mm，20米/卷</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卷</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151.60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151.60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玻璃胶</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300ml/支，任意颜色</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54.27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1628.10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AB胶</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20g/组</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组</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13.37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534.80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中性硅酮幕墙结构胶</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室外使用寿命30年</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34.15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341.50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硅酮免垫片红胶</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K-383耐油耐压耐高温，85g/支</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卡夫特/硅宝/万达</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铸铁金属修补剂</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双组分，1kg/组，铸铁件修复</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组</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165.90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1659.00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螺纹紧固剂</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50ml/瓶，K243</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瓶</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乐泰/奥斯邦/金士达</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502胶水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快干</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3.90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78.00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UPVC给水管胶水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500ml/瓶</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瓶</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25.50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637.50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南亚</w:t>
            </w:r>
            <w:r>
              <w:rPr>
                <w:rFonts w:ascii="宋体" w:hAnsi="宋体" w:eastAsia="宋体" w:cs="宋体"/>
                <w:sz w:val="20"/>
                <w:szCs w:val="20"/>
                <w:highlight w:val="none"/>
              </w:rPr>
              <w:t>/</w:t>
            </w:r>
            <w:r>
              <w:rPr>
                <w:rFonts w:hint="eastAsia" w:ascii="宋体" w:hAnsi="宋体" w:eastAsia="宋体" w:cs="宋体"/>
                <w:sz w:val="20"/>
                <w:szCs w:val="20"/>
                <w:highlight w:val="none"/>
              </w:rPr>
              <w:t>威卡固</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270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UPVC给水管胶水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100ml/瓶</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瓶</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294.00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南亚</w:t>
            </w:r>
            <w:r>
              <w:rPr>
                <w:rFonts w:ascii="宋体" w:hAnsi="宋体" w:eastAsia="宋体" w:cs="宋体"/>
                <w:sz w:val="20"/>
                <w:szCs w:val="20"/>
                <w:highlight w:val="none"/>
              </w:rPr>
              <w:t>/</w:t>
            </w:r>
            <w:r>
              <w:rPr>
                <w:rFonts w:hint="eastAsia" w:ascii="宋体" w:hAnsi="宋体" w:eastAsia="宋体" w:cs="宋体"/>
                <w:sz w:val="20"/>
                <w:szCs w:val="20"/>
                <w:highlight w:val="none"/>
              </w:rPr>
              <w:t>威卡固</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271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免钉胶</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12g/支</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225.00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272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3号润滑脂</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5kg/罐</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罐</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长城/美孚/昆仑</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273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WD-40 除锈剂</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400ml/瓶</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瓶</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65.30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2612.00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274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油漆</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丙烯酸面漆，任意颜色 11kg/桶</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桶</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18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215.00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3870.00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电视塔/迅彩/诺一美</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275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铁红防锈底漆</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15kg/桶，红色</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桶</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18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5400.00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电视塔/迅彩/诺一美</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276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环氧地坪漆</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任意颜色 防水耐磨面漆 15kg/桶</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桶</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18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12600.00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三青/千居美/迅彩</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277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自动喷漆</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任意颜色，400ml/瓶</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瓶</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14.60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730.00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278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油漆稀释剂</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414# 6kg/桶</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桶</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13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93.60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1216.80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279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油漆稀释剂</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414# 1kg/桶</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桶</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18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40.17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723.06</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304不锈钢电焊条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36.40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1092.00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大桥</w:t>
            </w:r>
            <w:r>
              <w:rPr>
                <w:rFonts w:ascii="宋体" w:hAnsi="宋体" w:eastAsia="宋体" w:cs="宋体"/>
                <w:sz w:val="20"/>
                <w:szCs w:val="20"/>
                <w:highlight w:val="none"/>
              </w:rPr>
              <w:t>/</w:t>
            </w:r>
            <w:r>
              <w:rPr>
                <w:rFonts w:hint="eastAsia" w:ascii="宋体" w:hAnsi="宋体" w:eastAsia="宋体" w:cs="宋体"/>
                <w:sz w:val="20"/>
                <w:szCs w:val="20"/>
                <w:highlight w:val="none"/>
              </w:rPr>
              <w:t>上海东风</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304不锈钢电焊条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33.70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1011.00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大桥</w:t>
            </w:r>
            <w:r>
              <w:rPr>
                <w:rFonts w:ascii="宋体" w:hAnsi="宋体" w:eastAsia="宋体" w:cs="宋体"/>
                <w:sz w:val="20"/>
                <w:szCs w:val="20"/>
                <w:highlight w:val="none"/>
              </w:rPr>
              <w:t>/</w:t>
            </w:r>
            <w:r>
              <w:rPr>
                <w:rFonts w:hint="eastAsia" w:ascii="宋体" w:hAnsi="宋体" w:eastAsia="宋体" w:cs="宋体"/>
                <w:sz w:val="20"/>
                <w:szCs w:val="20"/>
                <w:highlight w:val="none"/>
              </w:rPr>
              <w:t>上海东风</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304不锈钢电焊条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33.20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664.00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大桥</w:t>
            </w:r>
            <w:r>
              <w:rPr>
                <w:rFonts w:ascii="宋体" w:hAnsi="宋体" w:eastAsia="宋体" w:cs="宋体"/>
                <w:sz w:val="20"/>
                <w:szCs w:val="20"/>
                <w:highlight w:val="none"/>
              </w:rPr>
              <w:t>/</w:t>
            </w:r>
            <w:r>
              <w:rPr>
                <w:rFonts w:hint="eastAsia" w:ascii="宋体" w:hAnsi="宋体" w:eastAsia="宋体" w:cs="宋体"/>
                <w:sz w:val="20"/>
                <w:szCs w:val="20"/>
                <w:highlight w:val="none"/>
              </w:rPr>
              <w:t>上海东风</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国标碳钢电焊条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11.80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354.00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大桥</w:t>
            </w:r>
            <w:r>
              <w:rPr>
                <w:rFonts w:ascii="宋体" w:hAnsi="宋体" w:eastAsia="宋体" w:cs="宋体"/>
                <w:sz w:val="20"/>
                <w:szCs w:val="20"/>
                <w:highlight w:val="none"/>
              </w:rPr>
              <w:t>/</w:t>
            </w:r>
            <w:r>
              <w:rPr>
                <w:rFonts w:hint="eastAsia" w:ascii="宋体" w:hAnsi="宋体" w:eastAsia="宋体" w:cs="宋体"/>
                <w:sz w:val="20"/>
                <w:szCs w:val="20"/>
                <w:highlight w:val="none"/>
              </w:rPr>
              <w:t>上海东风</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国标碳钢电焊条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10.70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321.00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大桥</w:t>
            </w:r>
            <w:r>
              <w:rPr>
                <w:rFonts w:ascii="宋体" w:hAnsi="宋体" w:eastAsia="宋体" w:cs="宋体"/>
                <w:sz w:val="20"/>
                <w:szCs w:val="20"/>
                <w:highlight w:val="none"/>
              </w:rPr>
              <w:t>/</w:t>
            </w:r>
            <w:r>
              <w:rPr>
                <w:rFonts w:hint="eastAsia" w:ascii="宋体" w:hAnsi="宋体" w:eastAsia="宋体" w:cs="宋体"/>
                <w:sz w:val="20"/>
                <w:szCs w:val="20"/>
                <w:highlight w:val="none"/>
              </w:rPr>
              <w:t>上海东风</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国标碳钢电焊条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rPr>
            </w:pPr>
            <w:r>
              <w:rPr>
                <w:rFonts w:hint="eastAsia" w:ascii="宋体" w:hAnsi="宋体" w:eastAsia="宋体" w:cs="宋体"/>
                <w:color w:val="auto"/>
                <w:sz w:val="20"/>
                <w:szCs w:val="20"/>
                <w:lang w:val="en-US" w:eastAsia="zh-CN"/>
              </w:rPr>
              <w:t>10.70</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214.00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大桥</w:t>
            </w:r>
            <w:r>
              <w:rPr>
                <w:rFonts w:ascii="宋体" w:hAnsi="宋体" w:eastAsia="宋体" w:cs="宋体"/>
                <w:sz w:val="20"/>
                <w:szCs w:val="20"/>
                <w:highlight w:val="none"/>
              </w:rPr>
              <w:t>/</w:t>
            </w:r>
            <w:r>
              <w:rPr>
                <w:rFonts w:hint="eastAsia" w:ascii="宋体" w:hAnsi="宋体" w:eastAsia="宋体" w:cs="宋体"/>
                <w:sz w:val="20"/>
                <w:szCs w:val="20"/>
                <w:highlight w:val="none"/>
              </w:rPr>
              <w:t>上海东风</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生料带</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卷</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80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青壳纸</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0.5mm厚，耐油、耐高温</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平方米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40.90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204.50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青壳纸</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1.0mm厚，耐油、耐高温</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平方米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46.13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276.78</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青壳纸</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1.2mm厚，耐油、耐高温</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平方米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50.30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251.50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290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青壳纸</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1.5mm厚，耐油、耐高温</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平方米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52.40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262.00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291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青壳纸</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2.0mm厚，耐油、耐高温</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平方米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60.77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364.62</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292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橡胶垫片</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DN32</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1.87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56.10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293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橡胶垫片</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DN40</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1.87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56.10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294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橡胶垫片</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1.87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56.10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295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橡胶垫片</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2.43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72.90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296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橡胶垫片</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2.43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72.90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297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橡胶垫片</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2.95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59.00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298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橡胶垫片</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DN125</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299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橡胶垫片</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DN150</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52.50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橡胶垫片</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DN200</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4.02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40.20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橡胶垫片</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DN250</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5.07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25.35</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橡胶垫片</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DN300</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8.56</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42.80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丁晴橡胶O型密封圈</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直径10-15mm，线径1.0-2.4mm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16.80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丁晴橡胶O型密封圈</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直径15-20mm，线径1.0-2.5mm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18.45</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丁晴橡胶O型密封圈</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直径20-30mm，线径1.0-3.5mm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1.34</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20.10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丁晴橡胶O型密封圈</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直径30-40mm，线径1.5-5.0mm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1.66</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24.90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丁晴橡胶O型密封圈</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直径40-50mm，线径2.0-5.0mm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rPr>
            </w:pPr>
            <w:r>
              <w:rPr>
                <w:rFonts w:hint="eastAsia" w:ascii="宋体" w:hAnsi="宋体" w:eastAsia="宋体" w:cs="宋体"/>
                <w:color w:val="auto"/>
                <w:sz w:val="20"/>
                <w:szCs w:val="20"/>
                <w:lang w:val="en-US" w:eastAsia="zh-CN"/>
              </w:rPr>
              <w:t>1.77</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26.55</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丁晴橡胶O型密封圈</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直径50-65mm，线径2.5-5.0mm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2.09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color w:val="auto"/>
                <w:lang w:val="en-US" w:eastAsia="zh-CN"/>
              </w:rPr>
            </w:pPr>
            <w:r>
              <w:rPr>
                <w:rFonts w:hint="eastAsia" w:ascii="宋体" w:hAnsi="宋体" w:eastAsia="宋体" w:cs="宋体"/>
                <w:color w:val="auto"/>
                <w:sz w:val="20"/>
                <w:szCs w:val="20"/>
                <w:lang w:val="en-US" w:eastAsia="zh-CN"/>
              </w:rPr>
              <w:t>31.35</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丁晴橡胶O型密封圈</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直径65-80mm，线径2.5-6.0mm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2.20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33.00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氟橡胶O型密封圈</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直径10-15mm，线径1.0-2.4mm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1.87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9.35</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氟橡胶O型密封圈</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直径15-20mm，线径1.0-2.5mm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1.87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9.35</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氟橡胶O型密封圈</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直径20-30mm，线径1.0-3.5mm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2.41</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12.05</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氟橡胶O型密封圈</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直径30-40mm，线径1.5-5.0mm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4.02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20.10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氟橡胶O型密封圈</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直径40-50mm，线径2.0-5.0mm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4.45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22.25</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氟橡胶O型密封圈</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直径50-65mm，线径2.5-5.0mm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4.99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24.95</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氟橡胶O型密封圈</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直径65-80mm，线径2.5-6.0mm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4.99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24.95</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线径2.5-3.0mm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2.67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13.35</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线径3.1-4.0mm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17.50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线径4.1-5.0mm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线径5.1-6.5mm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22.50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线径6.6-7.5mm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5.90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29.50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线径7.6-8.5mm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32.00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线径8.5-10.0mm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线径10.1-12.0mm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57.50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线径12.1-14.0mm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14.47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72.35</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硬骨架密封</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轴径10mm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21.40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214.00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UCK/NOK/CFW</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硬骨架密封</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轴径11-20mm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21.40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214.00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UCK/NOK/CFW</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硬骨架密封</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轴径21-30mm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22.48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224.80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UCK/NOK/CFW</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硬骨架密封</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轴径31-40mm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30.12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301.20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UCK/NOK/CFW</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330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硬骨架密封</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轴径41-55mm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34.33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343.30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UCK/NOK/CFW</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331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硬骨架密封</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轴径56-70mm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43.33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433.30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UCK/NOK/CFW</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332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硬骨架密封</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轴径71-85mm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59.39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593.90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UCK/NOK/CFW</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333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硬骨架密封</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轴径86-100mm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60.44</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604.40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UCK/NOK/CFW</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334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硬骨架密封</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轴径101-125mm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90.57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905.70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UCK/NOK/CFW</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335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硬骨架密封</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轴径126-150mm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99.79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997.90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UCK/NOK/CFW</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336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含油四氟盘根</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12x12mm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175.00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337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含油四氟盘根</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14x14mm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250.00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338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工业级尼龙扎带</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3×150mm，500根/包</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包</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15.43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385.75</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339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工业级尼龙扎带</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8×300mm，100根/包</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包</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340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可拆卸扎带</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8×200mm，100根/包</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包</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2325.00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341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配电柜门锁</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MS818</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15.12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151.20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342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配电柜门锁</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AB303-1-2平面锁</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17.21</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172.10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343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配电柜门锁</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MS401铜芯</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17.59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175.90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344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配电柜门锁</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MS308-2-1亮铬</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22.16</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221.60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345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配电柜门锁</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MS830-P米色带挂</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47.67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476.70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346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合页</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304不锈钢，4寸，不分左右</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付</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39.15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391.50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347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碎布/碎布条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10.88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1088.00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348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磨砂工业油污洗手液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5L/桶</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桶</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104.40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1670.40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349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洗手粉</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8斤/箱</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箱</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堵漏王</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2kg/包</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包</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34.83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522.45</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小型储药罐</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容积300L</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370.00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1850.00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采水器</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透明亚克力；容积3L；厚5mm；含5米尼龙绳</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310.00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1860.00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油漆刷</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1英寸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1.30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39.00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油漆刷</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2英寸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1.70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51.00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油漆刷</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3英寸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2.24</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67.20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黄油嘴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铜M8×1，中直，国标</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18.45</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黄油嘴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铜M10×1，中直，国标</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1.34</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20.10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黄油嘴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铜M12×1，中直，国标</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2.19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32.85</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黄油嘴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铜M8×1，45°，国标</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2.69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40.35</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360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黄油嘴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铜M10×1，45°，国标</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3.20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48.00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361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PVC挡鼠板</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2000mm*600mm*10mm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806.67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4840.02</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362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百叶窗</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电柜散热风扇用</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8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155.80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1246.40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363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不锈钢扇形喷嘴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1/8-65度 出水孔径2.0</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94.00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364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不锈钢扇形喷嘴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1/4-65度 出水孔径2.0</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95.00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365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地板警示胶带</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颜色：黑黄，宽50mm，卷长33米</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卷</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83.83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2095.75</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3M/鸣固/优仪</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366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杀虫喷雾</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专杀蜘蛛</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瓶</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875.00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367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磁吸式库存卡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55×75三轮磁，蓝色</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466.00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368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导轨</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电气元件安装用，国标尺寸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公斤</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414.33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4143.30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369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缓冲闭门器</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大号 承重65-85KG</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370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隔热棉</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20mm厚</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平方米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65.80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3290.00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371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三角皮带</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SPZ型</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条</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三维/风豹/三力士</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372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三角皮带</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SPA型</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条</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三维/风豹/三力士</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373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三角皮带</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SPB型</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条</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三维/风豹/三力士</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374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三角皮带</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SPC型</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条</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三维/风豹/三力士</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375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三角皮带</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A型</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条</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350.00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三维/风豹/三力士</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376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三角皮带</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B型</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条</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450.00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三维/风豹/三力士</w:t>
            </w:r>
          </w:p>
        </w:tc>
      </w:tr>
      <w:tr>
        <w:tblPrEx>
          <w:tblCellMar>
            <w:top w:w="0" w:type="dxa"/>
            <w:left w:w="108" w:type="dxa"/>
            <w:bottom w:w="0" w:type="dxa"/>
            <w:right w:w="108" w:type="dxa"/>
          </w:tblCellMar>
        </w:tblPrEx>
        <w:trPr>
          <w:trHeight w:val="28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377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抗震压力表</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 YTN-100，量程0-1.6MPa</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800.00</w:t>
            </w:r>
          </w:p>
        </w:tc>
        <w:tc>
          <w:tcPr>
            <w:tcW w:w="2333" w:type="dxa"/>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rPr>
              <w:t>红旗/伊莱斯/鹤山</w:t>
            </w:r>
          </w:p>
        </w:tc>
      </w:tr>
      <w:tr>
        <w:tblPrEx>
          <w:tblCellMar>
            <w:top w:w="0" w:type="dxa"/>
            <w:left w:w="108" w:type="dxa"/>
            <w:bottom w:w="0" w:type="dxa"/>
            <w:right w:w="108" w:type="dxa"/>
          </w:tblCellMar>
        </w:tblPrEx>
        <w:trPr>
          <w:trHeight w:val="28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378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五金</w:t>
            </w:r>
            <w:r>
              <w:rPr>
                <w:rFonts w:hint="eastAsia" w:ascii="宋体" w:hAnsi="宋体" w:eastAsia="宋体" w:cs="宋体"/>
                <w:color w:val="auto"/>
                <w:sz w:val="20"/>
                <w:szCs w:val="20"/>
                <w:lang w:val="en-US" w:eastAsia="zh-CN"/>
              </w:rPr>
              <w:t>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抗震压力表</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YTN-60，量程0-2.5MPa</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350.00</w:t>
            </w:r>
          </w:p>
        </w:tc>
        <w:tc>
          <w:tcPr>
            <w:tcW w:w="2333" w:type="dxa"/>
            <w:tcBorders>
              <w:top w:val="single" w:color="auto" w:sz="4" w:space="0"/>
              <w:left w:val="single" w:color="auto" w:sz="4" w:space="0"/>
              <w:bottom w:val="single" w:color="auto" w:sz="4" w:space="0"/>
              <w:right w:val="single" w:color="auto" w:sz="4" w:space="0"/>
            </w:tcBorders>
            <w:noWrap/>
            <w:vAlign w:val="center"/>
          </w:tcPr>
          <w:p>
            <w:pPr>
              <w:widowControl/>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rPr>
              <w:t>红旗/伊莱斯/鹤山</w:t>
            </w:r>
          </w:p>
        </w:tc>
      </w:tr>
      <w:tr>
        <w:tblPrEx>
          <w:tblCellMar>
            <w:top w:w="0" w:type="dxa"/>
            <w:left w:w="108" w:type="dxa"/>
            <w:bottom w:w="0" w:type="dxa"/>
            <w:right w:w="108" w:type="dxa"/>
          </w:tblCellMar>
        </w:tblPrEx>
        <w:trPr>
          <w:trHeight w:val="28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379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压力表（储气罐用）</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0-1.6MPa，背接式</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280.00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2800.00</w:t>
            </w:r>
          </w:p>
        </w:tc>
        <w:tc>
          <w:tcPr>
            <w:tcW w:w="2333" w:type="dxa"/>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rPr>
              <w:t>红旗</w:t>
            </w:r>
            <w:r>
              <w:rPr>
                <w:rFonts w:ascii="宋体" w:hAnsi="宋体" w:eastAsia="宋体" w:cs="宋体"/>
                <w:sz w:val="20"/>
                <w:szCs w:val="20"/>
                <w:highlight w:val="none"/>
              </w:rPr>
              <w:t>/伊莱斯/</w:t>
            </w:r>
            <w:r>
              <w:rPr>
                <w:rFonts w:hint="eastAsia" w:ascii="宋体" w:hAnsi="宋体" w:eastAsia="宋体" w:cs="宋体"/>
                <w:sz w:val="20"/>
                <w:szCs w:val="20"/>
                <w:highlight w:val="none"/>
              </w:rPr>
              <w:t>鹤山</w:t>
            </w:r>
          </w:p>
        </w:tc>
      </w:tr>
      <w:tr>
        <w:tblPrEx>
          <w:tblCellMar>
            <w:top w:w="0" w:type="dxa"/>
            <w:left w:w="108" w:type="dxa"/>
            <w:bottom w:w="0" w:type="dxa"/>
            <w:right w:w="108" w:type="dxa"/>
          </w:tblCellMar>
        </w:tblPrEx>
        <w:trPr>
          <w:trHeight w:val="28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380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压力表（储气罐用）</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0-2.5MPa，立式</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280.00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1400.00</w:t>
            </w:r>
          </w:p>
        </w:tc>
        <w:tc>
          <w:tcPr>
            <w:tcW w:w="2333" w:type="dxa"/>
            <w:tcBorders>
              <w:top w:val="single" w:color="auto" w:sz="4" w:space="0"/>
              <w:left w:val="single" w:color="auto" w:sz="4" w:space="0"/>
              <w:bottom w:val="single" w:color="auto" w:sz="4" w:space="0"/>
              <w:right w:val="single" w:color="auto" w:sz="4" w:space="0"/>
            </w:tcBorders>
            <w:noWrap/>
            <w:vAlign w:val="center"/>
          </w:tcPr>
          <w:p>
            <w:pPr>
              <w:widowControl/>
              <w:jc w:val="center"/>
              <w:outlineLvl w:val="9"/>
              <w:rPr>
                <w:rFonts w:hint="eastAsia" w:ascii="宋体" w:hAnsi="宋体" w:eastAsia="宋体" w:cs="宋体"/>
                <w:color w:val="auto"/>
                <w:sz w:val="22"/>
                <w:szCs w:val="22"/>
                <w:highlight w:val="none"/>
              </w:rPr>
            </w:pPr>
            <w:r>
              <w:rPr>
                <w:rFonts w:hint="eastAsia" w:ascii="宋体" w:hAnsi="宋体" w:eastAsia="宋体" w:cs="宋体"/>
                <w:sz w:val="20"/>
                <w:szCs w:val="20"/>
                <w:highlight w:val="none"/>
              </w:rPr>
              <w:t>红旗</w:t>
            </w:r>
            <w:r>
              <w:rPr>
                <w:rFonts w:ascii="宋体" w:hAnsi="宋体" w:eastAsia="宋体" w:cs="宋体"/>
                <w:sz w:val="20"/>
                <w:szCs w:val="20"/>
                <w:highlight w:val="none"/>
              </w:rPr>
              <w:t>/伊莱斯/鹤山</w:t>
            </w:r>
          </w:p>
        </w:tc>
      </w:tr>
      <w:tr>
        <w:tblPrEx>
          <w:tblCellMar>
            <w:top w:w="0" w:type="dxa"/>
            <w:left w:w="108" w:type="dxa"/>
            <w:bottom w:w="0" w:type="dxa"/>
            <w:right w:w="108" w:type="dxa"/>
          </w:tblCellMar>
        </w:tblPrEx>
        <w:trPr>
          <w:trHeight w:val="52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381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耐震压力表</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YN-100，量程0-1.6MPa</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2"/>
                <w:szCs w:val="22"/>
              </w:rPr>
            </w:pPr>
            <w:r>
              <w:rPr>
                <w:rFonts w:hint="eastAsia" w:ascii="宋体" w:hAnsi="宋体" w:eastAsia="宋体" w:cs="宋体"/>
                <w:color w:val="auto"/>
                <w:sz w:val="20"/>
                <w:szCs w:val="20"/>
              </w:rPr>
              <w:t>上海江云仪表厂/红旗/伊莱斯</w:t>
            </w:r>
          </w:p>
        </w:tc>
      </w:tr>
      <w:tr>
        <w:tblPrEx>
          <w:tblCellMar>
            <w:top w:w="0" w:type="dxa"/>
            <w:left w:w="108" w:type="dxa"/>
            <w:bottom w:w="0" w:type="dxa"/>
            <w:right w:w="108" w:type="dxa"/>
          </w:tblCellMar>
        </w:tblPrEx>
        <w:trPr>
          <w:trHeight w:val="52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382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隔膜压力表</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YE-100，量程0-16KPa</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500.00</w:t>
            </w:r>
          </w:p>
        </w:tc>
        <w:tc>
          <w:tcPr>
            <w:tcW w:w="883"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2"/>
                <w:szCs w:val="22"/>
              </w:rPr>
            </w:pPr>
            <w:r>
              <w:rPr>
                <w:rFonts w:hint="eastAsia" w:ascii="宋体" w:hAnsi="宋体" w:eastAsia="宋体" w:cs="宋体"/>
                <w:color w:val="auto"/>
                <w:sz w:val="20"/>
                <w:szCs w:val="20"/>
              </w:rPr>
              <w:t>上海江云仪表厂/红旗/伊莱斯</w:t>
            </w:r>
          </w:p>
        </w:tc>
      </w:tr>
      <w:tr>
        <w:tblPrEx>
          <w:tblCellMar>
            <w:top w:w="0" w:type="dxa"/>
            <w:left w:w="108" w:type="dxa"/>
            <w:bottom w:w="0" w:type="dxa"/>
            <w:right w:w="108" w:type="dxa"/>
          </w:tblCellMar>
        </w:tblPrEx>
        <w:trPr>
          <w:trHeight w:val="52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383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压力表</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Y-100，量程0-0.4MPa</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上海江云仪表厂/红旗/伊莱斯</w:t>
            </w:r>
          </w:p>
        </w:tc>
      </w:tr>
      <w:tr>
        <w:tblPrEx>
          <w:tblCellMar>
            <w:top w:w="0" w:type="dxa"/>
            <w:left w:w="108" w:type="dxa"/>
            <w:bottom w:w="0" w:type="dxa"/>
            <w:right w:w="108" w:type="dxa"/>
          </w:tblCellMar>
        </w:tblPrEx>
        <w:trPr>
          <w:trHeight w:val="52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384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压力表</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Y-100，量程0-1.0MPa</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133.17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665.85</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上海江云仪表厂/红旗/伊莱斯</w:t>
            </w:r>
          </w:p>
        </w:tc>
      </w:tr>
      <w:tr>
        <w:tblPrEx>
          <w:tblCellMar>
            <w:top w:w="0" w:type="dxa"/>
            <w:left w:w="108" w:type="dxa"/>
            <w:bottom w:w="0" w:type="dxa"/>
            <w:right w:w="108" w:type="dxa"/>
          </w:tblCellMar>
        </w:tblPrEx>
        <w:trPr>
          <w:trHeight w:val="66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385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电接点压力表</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YXCHK-100 , Vcc=24V， lo=0.25A,量程0-40MPa，立式</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4000.00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红旗/伊莱斯/润能</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386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电接点压力表</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YXCHK-100 , Vcc=380V， lo=30VA，立式</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红旗/伊莱斯/润能</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387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水表</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388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水表</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389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水表</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125mm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390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水表</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391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水表</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369.00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738.00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392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水表</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250.00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393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水表</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197.67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395.34</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394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水表</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185.33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370.66</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395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水表</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164.67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658.68</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396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油水分离器</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AFC2000</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101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5555.00</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正泰</w:t>
            </w:r>
            <w:r>
              <w:rPr>
                <w:rFonts w:ascii="宋体" w:hAnsi="宋体" w:eastAsia="宋体" w:cs="宋体"/>
                <w:sz w:val="20"/>
                <w:szCs w:val="20"/>
                <w:highlight w:val="none"/>
              </w:rPr>
              <w:t>/德力西/</w:t>
            </w:r>
            <w:r>
              <w:rPr>
                <w:rFonts w:hint="eastAsia" w:ascii="宋体" w:hAnsi="宋体" w:eastAsia="宋体" w:cs="宋体"/>
                <w:sz w:val="20"/>
                <w:szCs w:val="20"/>
                <w:highlight w:val="none"/>
              </w:rPr>
              <w:t>亚德客</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397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电磁换向阀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4M310-08</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3250.00</w:t>
            </w:r>
          </w:p>
        </w:tc>
        <w:tc>
          <w:tcPr>
            <w:tcW w:w="2333" w:type="dxa"/>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正泰</w:t>
            </w:r>
            <w:r>
              <w:rPr>
                <w:rFonts w:ascii="宋体" w:hAnsi="宋体" w:eastAsia="宋体" w:cs="宋体"/>
                <w:sz w:val="20"/>
                <w:szCs w:val="20"/>
                <w:highlight w:val="none"/>
              </w:rPr>
              <w:t>/</w:t>
            </w:r>
            <w:r>
              <w:rPr>
                <w:rFonts w:hint="eastAsia" w:ascii="宋体" w:hAnsi="宋体" w:eastAsia="宋体" w:cs="宋体"/>
                <w:sz w:val="20"/>
                <w:szCs w:val="20"/>
                <w:highlight w:val="none"/>
              </w:rPr>
              <w:t>亚德客</w:t>
            </w:r>
            <w:r>
              <w:rPr>
                <w:rFonts w:ascii="宋体" w:hAnsi="宋体" w:eastAsia="宋体" w:cs="宋体"/>
                <w:sz w:val="20"/>
                <w:szCs w:val="20"/>
                <w:highlight w:val="none"/>
              </w:rPr>
              <w:t>/SNS</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398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气动风炮</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含M9至M27套筒</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399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遮蔽保护膜</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2m×20m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卷</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3000.00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气动球阀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 (16 CF8)，双作用，含三联件</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2700.00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27000.00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气动球阀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 (16 CF8)，双作用，含三联件</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2215.14</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22151.40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气动球阀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 (16 CF8)，双作用，含三联件</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1374.12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13741.20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气动球阀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 (25 WCB)，双作用，含三联件</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1900.00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11400.00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气动球阀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DN40 (25 WCB)，双作用，含三联件</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6000.00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气动闸阀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4500.00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9000.00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气动闸阀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 ，PN10</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3000.00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6000.00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彩钢瓦</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彩涂钢板材质，厚度0.4-0.6mm，宽度0.8m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电工胶布</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18mmX10m,阻燃防潮，任意颜色</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卷</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120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360.00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公牛/3M/正泰</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防火泥</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3C消防认证，10kg/箱</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箱</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工业草酸清洗剂</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25kg/桶，浓度≥55%</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桶</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吸油棉</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400*500*2mm，100片/箱</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箱</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卷尺</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5米</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240.00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世达/史丹利/老A</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游标卡尺</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0-200mm（带表）</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390.00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1170.00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上工/世达/史丹利</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游标卡尺</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0-300mm（带表）</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519.50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1558.50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上工/世达/史丹利</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2.5mm，含钴高速钢全磨制</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1.88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11.28</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3mm，含钴高速钢全磨制</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2.32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13.92</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3.5mm，含钴高速钢全磨制</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3.30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19.80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4mm，含钴高速钢全磨制</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4.11</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24.66</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4.5mm，含钴高速钢全磨制</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4.61</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27.66</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420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5mm，含钴高速钢全磨制</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5.18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31.08</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421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6mm，含钴高速钢全磨制</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7.10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42.60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422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7mm，含钴高速钢全磨制</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423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8mm，含钴高速钢全磨制</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13.63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81.78</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424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9mm，含钴高速钢全磨制</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16.87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101.22</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425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10.5含钴高速钢全磨制</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25.93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155.58</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426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11.5含钴高速钢全磨制</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31.40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188.40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427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12.5含钴高速钢全磨制</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38.36</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230.16</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428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13mm，含钴高速钢全磨制</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45.47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272.82</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429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14mm，含钴高速钢全磨制</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47.36</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284.16</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430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16mm，含钴高速钢全磨制</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65.95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395.70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431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高速合金硬质麻花钻头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12mm-13.5mm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42.10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252.60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432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高速合金硬质麻花钻头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13.5mm-15.5mm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47.43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284.58</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433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高速合金硬质麻花钻头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15.6mm-16.5mm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55.20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331.20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434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高速合金硬质麻花钻头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16.6mm-18.5mm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62.60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375.60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435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高速合金硬质麻花钻头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18.6mm-20.5mm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81.33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487.98</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436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高速合金硬质麻花钻头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20.6mm-22.5mm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94.00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564.00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437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高速合金硬质麻花钻头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22.6mm-24.5mm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120.90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725.40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438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高速合金硬质麻花钻头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24.6mm-26.5mm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150.83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904.98</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439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高速合金硬质麻花钻头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26.6mm-28.5mm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164.53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987.18</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440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高速合金硬质麻花钻头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28.6mm-30.5mm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218.50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1311.00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东成/上工/绿林</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441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瓷砖专用钻头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M6</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4.90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29.40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442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瓷砖专用钻头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M8</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6.80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40.80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443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瓷砖专用钻头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M10</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8.70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52.20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444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超硬钨钢合金，M6×100mm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42.00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445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超硬钨钢合金，M8×100mm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48.00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446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超硬钨钢合金，M10×100mm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54.00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447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超硬钨钢合金，M10×160mm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11.63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69.78</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448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超硬钨钢合金，M12×120mm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72.00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449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超硬钨钢合金，M12×160mm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14.60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87.60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超硬钨钢合金，M12×200mm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18.70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112.20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超硬钨钢合金，M14×160mm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15.50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93.00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超硬钨钢合金，M14×200mm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19.20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115.20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超硬钨钢合金，M16×160mm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99.00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超硬钨钢合金，M16×200mm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超硬钨钢合金，M16×350mm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53.50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321.00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超硬钨钢合金，M18×200mm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31.80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190.80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超硬钨钢合金，M18×350mm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91.70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550.20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超硬钨钢合金，M20×200mm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39.80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238.80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超硬钨钢合金，M20×350mm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103.30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619.80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超硬钨钢合金，M22×200mm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45.50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273.00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超硬钨钢合金，M22×350mm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148.70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892.20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超硬钨钢合金，M25×200mm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62.00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372.00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超硬钨钢合金，M25×350mm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155.33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931.98</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梅花扳手套装</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5.5mm-32mm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765.33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5357.31</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世达/史丹利/田岛</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开口扳手套装</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5.5mm-32mm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310.17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2171.19</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百威狮/世达/史丹利</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套筒扳手套装</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5.5mm-32mm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317.33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2221.31</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沪工/百威狮/瑞能</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棘轮齿轮扳手套装</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8mm-24mm（14件套）</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666.33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4664.31</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开拓/世达/史丹利</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内六角扳手套装</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1.5mm-10mm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122.87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860.09</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史丹利/世达/高松</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活动扳手</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34.53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207.18</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世达/宝工/史丹利</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活动扳手</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40.70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244.20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世达/宝工/史丹利</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活动扳手</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50.87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305.22</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世达/宝工/史丹利</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活动扳手</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67.80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406.80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世达/宝工/史丹利</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活动扳手</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132.00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792.00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世达/宝工/史丹利</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链条扳手</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480.00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世达/宝工/史丹利</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杆径3.2mm，杆长60-75mm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11.45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80.15</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杆径3.2mm，杆长100mm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12.08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84.56</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杆径3.2mm，杆长125mm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12.70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88.90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杆径3.2mm，杆长150mm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14.30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100.10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杆径5mm，杆长60-75mm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16.93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118.51</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杆径5mm，杆长100mm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17.69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123.83</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杆径5mm，杆长150mm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　</w:t>
            </w:r>
            <w:r>
              <w:rPr>
                <w:rFonts w:hint="eastAsia" w:ascii="宋体" w:hAnsi="宋体" w:eastAsia="宋体" w:cs="宋体"/>
                <w:color w:val="auto"/>
                <w:sz w:val="20"/>
                <w:szCs w:val="20"/>
                <w:lang w:val="en-US" w:eastAsia="zh-CN"/>
              </w:rPr>
              <w:t>18.20</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127.40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杆径5mm，杆长200mm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21.27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148.89</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杆径6mm，杆长40-60mm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14.47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101.29</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杆径6mm，杆长100mm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18.33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128.31</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杆径6mm，杆长125mm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20.17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141.19</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杆径6mm，杆长150mm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20.63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144.41</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杆径6mm，杆长200mm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23.30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163.10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杆径6mm，杆长250mm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25.47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178.29</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杆径3.2mm，杆长60-75mm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79.80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490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杆径3.2mm，杆长100mm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12.07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84.49</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491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杆径3.2mm，杆长125mm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12.70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88.90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492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杆径3.2mm，杆长150mm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14.30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100.10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493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杆径5mm，杆长60-75mm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16.93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118.51</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494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杆径5mm，杆长100mm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17.57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122.99</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495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杆径5mm，杆长150mm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19.63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137.41</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496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杆径5mm，杆长200mm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21.33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149.31</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497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杆径6mm，杆长40-60mm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14.47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101.29</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498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杆径6mm，杆长100mm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18.33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128.31</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499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杆径6mm，杆长125mm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21.53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150.71</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杆径6mm，杆长150mm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21.98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153.86</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杆径6mm，杆长200mm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23.03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161.21</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杆径6mm，杆长250mm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25.47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178.29</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可敲击十字螺丝刀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杆径6mm，杆长150mm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46.56</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325.92</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可敲击十字螺丝刀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杆径8mm，杆长200mm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48.99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342.93</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可敲击十字螺丝刀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杆径8mm，杆长250mm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50.24</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351.68</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可敲击十字螺丝刀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杆径8mm，杆长300mm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54.08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378.56</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可敲击一字螺丝刀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杆径6mm，杆长150mm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35.95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251.65</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可敲击一字螺丝刀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杆径8mm，杆长200mm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46.66</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326.62</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可敲击一字螺丝刀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杆径8mm，杆长250mm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50.43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353.01</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510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十字绝缘螺丝刀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杆径3mm，杆长60mm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42.00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294.00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511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十字绝缘螺丝刀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杆径5mm，杆长80mm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315.00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512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十字绝缘螺丝刀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杆径6mm，杆长100mm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58.99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412.93</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513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一字绝缘螺丝刀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杆径3mm，杆长60mm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41.48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290.36</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514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一字绝缘螺丝刀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杆径5mm，杆长80mm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47.33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331.31</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515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一字绝缘螺丝刀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杆径6mm，杆长100mm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57.90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405.30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516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精修螺丝刀套装</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6件套</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55.78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334.68</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517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钢丝钳</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8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63.40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507.20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518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钢丝钳</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68.60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411.60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519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斜口钳</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45.80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274.80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520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斜口钳</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8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46.50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372.00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521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斜口钳</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55.90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335.40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522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尖嘴钳</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43.39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260.34</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523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尖嘴钳</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8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52.35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418.80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524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尖嘴钳</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65.82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394.92</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525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大力钳</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42.33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211.65</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老A/世达/史丹利</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526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大力钳</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70.73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353.65</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老A/世达/史丹利</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527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台虎钳</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绿林</w:t>
            </w:r>
            <w:r>
              <w:rPr>
                <w:rFonts w:ascii="宋体" w:hAnsi="宋体" w:eastAsia="宋体" w:cs="宋体"/>
                <w:sz w:val="20"/>
                <w:szCs w:val="20"/>
                <w:highlight w:val="none"/>
              </w:rPr>
              <w:t>/</w:t>
            </w:r>
            <w:r>
              <w:rPr>
                <w:rFonts w:hint="eastAsia" w:ascii="宋体" w:hAnsi="宋体" w:eastAsia="宋体" w:cs="宋体"/>
                <w:sz w:val="20"/>
                <w:szCs w:val="20"/>
                <w:highlight w:val="none"/>
              </w:rPr>
              <w:t>得力</w:t>
            </w:r>
            <w:r>
              <w:rPr>
                <w:rFonts w:ascii="宋体" w:hAnsi="宋体" w:eastAsia="宋体" w:cs="宋体"/>
                <w:sz w:val="20"/>
                <w:szCs w:val="20"/>
                <w:highlight w:val="none"/>
              </w:rPr>
              <w:t>/</w:t>
            </w:r>
            <w:r>
              <w:rPr>
                <w:rFonts w:hint="eastAsia" w:ascii="宋体" w:hAnsi="宋体" w:eastAsia="宋体" w:cs="宋体"/>
                <w:sz w:val="20"/>
                <w:szCs w:val="20"/>
                <w:highlight w:val="none"/>
              </w:rPr>
              <w:t>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528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管钳</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35.16</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246.12</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绿林</w:t>
            </w:r>
            <w:r>
              <w:rPr>
                <w:rFonts w:ascii="宋体" w:hAnsi="宋体" w:eastAsia="宋体" w:cs="宋体"/>
                <w:sz w:val="20"/>
                <w:szCs w:val="20"/>
                <w:highlight w:val="none"/>
              </w:rPr>
              <w:t>/</w:t>
            </w:r>
            <w:r>
              <w:rPr>
                <w:rFonts w:hint="eastAsia" w:ascii="宋体" w:hAnsi="宋体" w:eastAsia="宋体" w:cs="宋体"/>
                <w:sz w:val="20"/>
                <w:szCs w:val="20"/>
                <w:highlight w:val="none"/>
              </w:rPr>
              <w:t>得力</w:t>
            </w:r>
            <w:r>
              <w:rPr>
                <w:rFonts w:ascii="宋体" w:hAnsi="宋体" w:eastAsia="宋体" w:cs="宋体"/>
                <w:sz w:val="20"/>
                <w:szCs w:val="20"/>
                <w:highlight w:val="none"/>
              </w:rPr>
              <w:t>/</w:t>
            </w:r>
            <w:r>
              <w:rPr>
                <w:rFonts w:hint="eastAsia" w:ascii="宋体" w:hAnsi="宋体" w:eastAsia="宋体" w:cs="宋体"/>
                <w:sz w:val="20"/>
                <w:szCs w:val="20"/>
                <w:highlight w:val="none"/>
              </w:rPr>
              <w:t>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529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管钳</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49.00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245.00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绿林</w:t>
            </w:r>
            <w:r>
              <w:rPr>
                <w:rFonts w:ascii="宋体" w:hAnsi="宋体" w:eastAsia="宋体" w:cs="宋体"/>
                <w:sz w:val="20"/>
                <w:szCs w:val="20"/>
                <w:highlight w:val="none"/>
              </w:rPr>
              <w:t>/</w:t>
            </w:r>
            <w:r>
              <w:rPr>
                <w:rFonts w:hint="eastAsia" w:ascii="宋体" w:hAnsi="宋体" w:eastAsia="宋体" w:cs="宋体"/>
                <w:sz w:val="20"/>
                <w:szCs w:val="20"/>
                <w:highlight w:val="none"/>
              </w:rPr>
              <w:t>得力</w:t>
            </w:r>
            <w:r>
              <w:rPr>
                <w:rFonts w:ascii="宋体" w:hAnsi="宋体" w:eastAsia="宋体" w:cs="宋体"/>
                <w:sz w:val="20"/>
                <w:szCs w:val="20"/>
                <w:highlight w:val="none"/>
              </w:rPr>
              <w:t>/</w:t>
            </w:r>
            <w:r>
              <w:rPr>
                <w:rFonts w:hint="eastAsia" w:ascii="宋体" w:hAnsi="宋体" w:eastAsia="宋体" w:cs="宋体"/>
                <w:sz w:val="20"/>
                <w:szCs w:val="20"/>
                <w:highlight w:val="none"/>
              </w:rPr>
              <w:t>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530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管钳</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420.00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绿林</w:t>
            </w:r>
            <w:r>
              <w:rPr>
                <w:rFonts w:ascii="宋体" w:hAnsi="宋体" w:eastAsia="宋体" w:cs="宋体"/>
                <w:sz w:val="20"/>
                <w:szCs w:val="20"/>
                <w:highlight w:val="none"/>
              </w:rPr>
              <w:t>/</w:t>
            </w:r>
            <w:r>
              <w:rPr>
                <w:rFonts w:hint="eastAsia" w:ascii="宋体" w:hAnsi="宋体" w:eastAsia="宋体" w:cs="宋体"/>
                <w:sz w:val="20"/>
                <w:szCs w:val="20"/>
                <w:highlight w:val="none"/>
              </w:rPr>
              <w:t>得力</w:t>
            </w:r>
            <w:r>
              <w:rPr>
                <w:rFonts w:ascii="宋体" w:hAnsi="宋体" w:eastAsia="宋体" w:cs="宋体"/>
                <w:sz w:val="20"/>
                <w:szCs w:val="20"/>
                <w:highlight w:val="none"/>
              </w:rPr>
              <w:t>/</w:t>
            </w:r>
            <w:r>
              <w:rPr>
                <w:rFonts w:hint="eastAsia" w:ascii="宋体" w:hAnsi="宋体" w:eastAsia="宋体" w:cs="宋体"/>
                <w:sz w:val="20"/>
                <w:szCs w:val="20"/>
                <w:highlight w:val="none"/>
              </w:rPr>
              <w:t>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531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管钳</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72.33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361.65</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绿林</w:t>
            </w:r>
            <w:r>
              <w:rPr>
                <w:rFonts w:ascii="宋体" w:hAnsi="宋体" w:eastAsia="宋体" w:cs="宋体"/>
                <w:sz w:val="20"/>
                <w:szCs w:val="20"/>
                <w:highlight w:val="none"/>
              </w:rPr>
              <w:t>/</w:t>
            </w:r>
            <w:r>
              <w:rPr>
                <w:rFonts w:hint="eastAsia" w:ascii="宋体" w:hAnsi="宋体" w:eastAsia="宋体" w:cs="宋体"/>
                <w:sz w:val="20"/>
                <w:szCs w:val="20"/>
                <w:highlight w:val="none"/>
              </w:rPr>
              <w:t>得力</w:t>
            </w:r>
            <w:r>
              <w:rPr>
                <w:rFonts w:ascii="宋体" w:hAnsi="宋体" w:eastAsia="宋体" w:cs="宋体"/>
                <w:sz w:val="20"/>
                <w:szCs w:val="20"/>
                <w:highlight w:val="none"/>
              </w:rPr>
              <w:t>/</w:t>
            </w:r>
            <w:r>
              <w:rPr>
                <w:rFonts w:hint="eastAsia" w:ascii="宋体" w:hAnsi="宋体" w:eastAsia="宋体" w:cs="宋体"/>
                <w:sz w:val="20"/>
                <w:szCs w:val="20"/>
                <w:highlight w:val="none"/>
              </w:rPr>
              <w:t>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532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管钳</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138.83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555.32</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绿林</w:t>
            </w:r>
            <w:r>
              <w:rPr>
                <w:rFonts w:ascii="宋体" w:hAnsi="宋体" w:eastAsia="宋体" w:cs="宋体"/>
                <w:sz w:val="20"/>
                <w:szCs w:val="20"/>
                <w:highlight w:val="none"/>
              </w:rPr>
              <w:t>/</w:t>
            </w:r>
            <w:r>
              <w:rPr>
                <w:rFonts w:hint="eastAsia" w:ascii="宋体" w:hAnsi="宋体" w:eastAsia="宋体" w:cs="宋体"/>
                <w:sz w:val="20"/>
                <w:szCs w:val="20"/>
                <w:highlight w:val="none"/>
              </w:rPr>
              <w:t>得力</w:t>
            </w:r>
            <w:r>
              <w:rPr>
                <w:rFonts w:ascii="宋体" w:hAnsi="宋体" w:eastAsia="宋体" w:cs="宋体"/>
                <w:sz w:val="20"/>
                <w:szCs w:val="20"/>
                <w:highlight w:val="none"/>
              </w:rPr>
              <w:t>/</w:t>
            </w:r>
            <w:r>
              <w:rPr>
                <w:rFonts w:hint="eastAsia" w:ascii="宋体" w:hAnsi="宋体" w:eastAsia="宋体" w:cs="宋体"/>
                <w:sz w:val="20"/>
                <w:szCs w:val="20"/>
                <w:highlight w:val="none"/>
              </w:rPr>
              <w:t>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533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管钳</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531.50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531.50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绿林</w:t>
            </w:r>
            <w:r>
              <w:rPr>
                <w:rFonts w:ascii="宋体" w:hAnsi="宋体" w:eastAsia="宋体" w:cs="宋体"/>
                <w:sz w:val="20"/>
                <w:szCs w:val="20"/>
                <w:highlight w:val="none"/>
              </w:rPr>
              <w:t>/</w:t>
            </w:r>
            <w:r>
              <w:rPr>
                <w:rFonts w:hint="eastAsia" w:ascii="宋体" w:hAnsi="宋体" w:eastAsia="宋体" w:cs="宋体"/>
                <w:sz w:val="20"/>
                <w:szCs w:val="20"/>
                <w:highlight w:val="none"/>
              </w:rPr>
              <w:t>得力</w:t>
            </w:r>
            <w:r>
              <w:rPr>
                <w:rFonts w:ascii="宋体" w:hAnsi="宋体" w:eastAsia="宋体" w:cs="宋体"/>
                <w:sz w:val="20"/>
                <w:szCs w:val="20"/>
                <w:highlight w:val="none"/>
              </w:rPr>
              <w:t>/</w:t>
            </w:r>
            <w:r>
              <w:rPr>
                <w:rFonts w:hint="eastAsia" w:ascii="宋体" w:hAnsi="宋体" w:eastAsia="宋体" w:cs="宋体"/>
                <w:sz w:val="20"/>
                <w:szCs w:val="20"/>
                <w:highlight w:val="none"/>
              </w:rPr>
              <w:t>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534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钢凿</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250mm，平头</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36.25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36.25</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绿林</w:t>
            </w:r>
            <w:r>
              <w:rPr>
                <w:rFonts w:ascii="宋体" w:hAnsi="宋体" w:eastAsia="宋体" w:cs="宋体"/>
                <w:sz w:val="20"/>
                <w:szCs w:val="20"/>
                <w:highlight w:val="none"/>
              </w:rPr>
              <w:t>/</w:t>
            </w:r>
            <w:r>
              <w:rPr>
                <w:rFonts w:hint="eastAsia" w:ascii="宋体" w:hAnsi="宋体" w:eastAsia="宋体" w:cs="宋体"/>
                <w:sz w:val="20"/>
                <w:szCs w:val="20"/>
                <w:highlight w:val="none"/>
              </w:rPr>
              <w:t>得力</w:t>
            </w:r>
            <w:r>
              <w:rPr>
                <w:rFonts w:ascii="宋体" w:hAnsi="宋体" w:eastAsia="宋体" w:cs="宋体"/>
                <w:sz w:val="20"/>
                <w:szCs w:val="20"/>
                <w:highlight w:val="none"/>
              </w:rPr>
              <w:t>/</w:t>
            </w:r>
            <w:r>
              <w:rPr>
                <w:rFonts w:hint="eastAsia" w:ascii="宋体" w:hAnsi="宋体" w:eastAsia="宋体" w:cs="宋体"/>
                <w:sz w:val="20"/>
                <w:szCs w:val="20"/>
                <w:highlight w:val="none"/>
              </w:rPr>
              <w:t>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535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钢凿</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300mm，平头</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43.45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43.45</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绿林</w:t>
            </w:r>
            <w:r>
              <w:rPr>
                <w:rFonts w:ascii="宋体" w:hAnsi="宋体" w:eastAsia="宋体" w:cs="宋体"/>
                <w:sz w:val="20"/>
                <w:szCs w:val="20"/>
                <w:highlight w:val="none"/>
              </w:rPr>
              <w:t>/</w:t>
            </w:r>
            <w:r>
              <w:rPr>
                <w:rFonts w:hint="eastAsia" w:ascii="宋体" w:hAnsi="宋体" w:eastAsia="宋体" w:cs="宋体"/>
                <w:sz w:val="20"/>
                <w:szCs w:val="20"/>
                <w:highlight w:val="none"/>
              </w:rPr>
              <w:t>得力</w:t>
            </w:r>
            <w:r>
              <w:rPr>
                <w:rFonts w:ascii="宋体" w:hAnsi="宋体" w:eastAsia="宋体" w:cs="宋体"/>
                <w:sz w:val="20"/>
                <w:szCs w:val="20"/>
                <w:highlight w:val="none"/>
              </w:rPr>
              <w:t>/</w:t>
            </w:r>
            <w:r>
              <w:rPr>
                <w:rFonts w:hint="eastAsia" w:ascii="宋体" w:hAnsi="宋体" w:eastAsia="宋体" w:cs="宋体"/>
                <w:sz w:val="20"/>
                <w:szCs w:val="20"/>
                <w:highlight w:val="none"/>
              </w:rPr>
              <w:t>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536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钢凿</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250mm，尖头</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29.60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29.60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绿林</w:t>
            </w:r>
            <w:r>
              <w:rPr>
                <w:rFonts w:ascii="宋体" w:hAnsi="宋体" w:eastAsia="宋体" w:cs="宋体"/>
                <w:sz w:val="20"/>
                <w:szCs w:val="20"/>
                <w:highlight w:val="none"/>
              </w:rPr>
              <w:t>/</w:t>
            </w:r>
            <w:r>
              <w:rPr>
                <w:rFonts w:hint="eastAsia" w:ascii="宋体" w:hAnsi="宋体" w:eastAsia="宋体" w:cs="宋体"/>
                <w:sz w:val="20"/>
                <w:szCs w:val="20"/>
                <w:highlight w:val="none"/>
              </w:rPr>
              <w:t>得力</w:t>
            </w:r>
            <w:r>
              <w:rPr>
                <w:rFonts w:ascii="宋体" w:hAnsi="宋体" w:eastAsia="宋体" w:cs="宋体"/>
                <w:sz w:val="20"/>
                <w:szCs w:val="20"/>
                <w:highlight w:val="none"/>
              </w:rPr>
              <w:t>/</w:t>
            </w:r>
            <w:r>
              <w:rPr>
                <w:rFonts w:hint="eastAsia" w:ascii="宋体" w:hAnsi="宋体" w:eastAsia="宋体" w:cs="宋体"/>
                <w:sz w:val="20"/>
                <w:szCs w:val="20"/>
                <w:highlight w:val="none"/>
              </w:rPr>
              <w:t>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537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钢凿</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300mm，尖头</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37.40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37.40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绿林</w:t>
            </w:r>
            <w:r>
              <w:rPr>
                <w:rFonts w:ascii="宋体" w:hAnsi="宋体" w:eastAsia="宋体" w:cs="宋体"/>
                <w:sz w:val="20"/>
                <w:szCs w:val="20"/>
                <w:highlight w:val="none"/>
              </w:rPr>
              <w:t>/</w:t>
            </w:r>
            <w:r>
              <w:rPr>
                <w:rFonts w:hint="eastAsia" w:ascii="宋体" w:hAnsi="宋体" w:eastAsia="宋体" w:cs="宋体"/>
                <w:sz w:val="20"/>
                <w:szCs w:val="20"/>
                <w:highlight w:val="none"/>
              </w:rPr>
              <w:t>得力</w:t>
            </w:r>
            <w:r>
              <w:rPr>
                <w:rFonts w:ascii="宋体" w:hAnsi="宋体" w:eastAsia="宋体" w:cs="宋体"/>
                <w:sz w:val="20"/>
                <w:szCs w:val="20"/>
                <w:highlight w:val="none"/>
              </w:rPr>
              <w:t>/</w:t>
            </w:r>
            <w:r>
              <w:rPr>
                <w:rFonts w:hint="eastAsia" w:ascii="宋体" w:hAnsi="宋体" w:eastAsia="宋体" w:cs="宋体"/>
                <w:sz w:val="20"/>
                <w:szCs w:val="20"/>
                <w:highlight w:val="none"/>
              </w:rPr>
              <w:t>德力西</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538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接油盘</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640x440x105</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8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640.00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539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漏斗</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大号胶质</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540.00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研磨器</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不锈钢材质</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150.00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卸泥铲头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板框压滤机用</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剥线钳</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17.00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51.00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世达/老A/罗宾汉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剪剥压线钳</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0.5-6mm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150.00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450.00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世达/老A/罗宾汉</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多功能网络压线钳</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4P/6P/8P</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　</w:t>
            </w:r>
            <w:r>
              <w:rPr>
                <w:rFonts w:hint="eastAsia" w:ascii="宋体" w:hAnsi="宋体" w:eastAsia="宋体" w:cs="宋体"/>
                <w:color w:val="auto"/>
                <w:sz w:val="20"/>
                <w:szCs w:val="20"/>
                <w:lang w:val="en-US" w:eastAsia="zh-CN"/>
              </w:rPr>
              <w:t>80.00</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240.00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胜为/锐能/山泽</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锯弓</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12寸，重型</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　</w:t>
            </w:r>
            <w:r>
              <w:rPr>
                <w:rFonts w:hint="eastAsia" w:ascii="宋体" w:hAnsi="宋体" w:eastAsia="宋体" w:cs="宋体"/>
                <w:color w:val="auto"/>
                <w:sz w:val="20"/>
                <w:szCs w:val="20"/>
                <w:lang w:val="en-US" w:eastAsia="zh-CN"/>
              </w:rPr>
              <w:t>138.83</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416.49</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锯条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12寸，18齿，10片/盒</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95.40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286.20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史丹利/世达/老A</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撬棍</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六凌钢   粗23mm，长95cm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76.40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382.00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撬棍</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六凌钢   粗16mm，长55cm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25.60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128.00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钳工锉刀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粗齿平锉10寸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56.85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227.40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史丹利/世达/得力</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钳工锉刀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中齿平锉10寸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59.41</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237.64</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史丹利/世达/得力</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钳工锉刀</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细齿平锉10寸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64.53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258.12</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史丹利/世达/得力</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手用丝锥</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付</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14.00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56.00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上工/沪工/博世</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手用丝锥</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M8</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付</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18.00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72.00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上工/沪工/博世</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手用丝锥</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M10</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付</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21.00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84.00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上工/沪工/博世</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手用丝锥</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M12</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付</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上工/沪工/博世</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丝攻铰手</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丝攻铰手</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锦纶尼龙绳</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绳径6mm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锦纶尼龙绳</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绳径18mm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560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起重吊带</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1T×2米</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条</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96.00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561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起重吊带</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2T×2米</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条</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562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起重吊带</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3T×2米</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条</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180.00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563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吊环链吊具</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1吨，1腿，2米</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150.00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564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焊把钳</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全铜，300A</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金象/沪工之星/长城精工</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565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电焊机地线钳</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全铜，300A</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31.40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62.80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566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电焊机地线钳</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全铜，500A</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49.50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99.00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567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氧气乙炔管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含氧气管、乙炔管，双色管，φ8mm，配接头</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210.50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1263.00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568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氧气减压表</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全铜</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　</w:t>
            </w:r>
            <w:r>
              <w:rPr>
                <w:rFonts w:hint="eastAsia" w:ascii="宋体" w:hAnsi="宋体" w:eastAsia="宋体" w:cs="宋体"/>
                <w:color w:val="auto"/>
                <w:sz w:val="20"/>
                <w:szCs w:val="20"/>
                <w:lang w:val="en-US" w:eastAsia="zh-CN"/>
              </w:rPr>
              <w:t>178.00</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356.00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569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乙炔减压表</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全铜</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178.60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357.20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570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氩气减压表</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全铜</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265.50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531.00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571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回火防止器</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适用于乙炔减压阀</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47.80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95.60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572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回火防止器</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适用于割枪</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56.31</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112.62</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573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氧气乙炔割枪</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30型，全铜国标</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95.99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191.98</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574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氧气乙炔割枪</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100型，全铜国标</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118.00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236.00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575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氧气乙炔割枪</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300型，全铜国标</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172.00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344.00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576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乙炔割嘴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30型，全铜，5只/盒</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19.50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39.00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577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乙炔割嘴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100型，全铜，5只/盒</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26.20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52.40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578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乙炔割嘴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300型，全铜，5只/盒</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39.25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78.50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52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579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氧气乙炔工具套装</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30型/100型，含铜割枪、氧气乙炔气管，氧气乙炔减压阀、回火防止器等。</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546.70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1093.40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580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氩弧焊机枪</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150A,4米长度</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163.37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326.74</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581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氩弧焊机枪</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150A,8米长度</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286.90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573.80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582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氩弧焊机枪头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150A</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19.35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38.70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583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1.6mm，铈钨，10支/盒</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52.79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105.58</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584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1.6mm，钍钨，10支/盒</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55.19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110.38</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585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1.6mm，纯钨，10支/盒</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55.19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110.38</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586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2.0mm，铈钨，10支/盒</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76.36</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152.72</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587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2.0mm，钍钨，10支/盒</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84.36</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168.72</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588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2.0mm，纯钨，10支/盒</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79.03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158.06</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589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2.4mm，铈钨，10支/盒</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103.00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206.00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590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2.4mm，钍钨，10支/盒</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113.70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227.40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591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2.4mm，纯钨，10支/盒</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116.35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232.70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592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3.0mm，铈钨，10支/盒</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174.52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349.04</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593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3.0mm，钍钨，10支/盒</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203.85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407.70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594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3.0mm，纯钨，10支/盒</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198.52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397.04</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595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钨针夹</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1.6mm，紫铜，10个/盒</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32.00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沪工/佳士/</w:t>
            </w:r>
            <w:r>
              <w:rPr>
                <w:rFonts w:ascii="宋体" w:hAnsi="宋体" w:eastAsia="宋体" w:cs="宋体"/>
                <w:sz w:val="20"/>
                <w:szCs w:val="20"/>
                <w:highlight w:val="none"/>
              </w:rPr>
              <w:t>YOBEL</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596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钨针夹</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2.0mm，紫铜，10个/盒</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32.00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沪工/佳士/</w:t>
            </w:r>
            <w:r>
              <w:rPr>
                <w:rFonts w:ascii="宋体" w:hAnsi="宋体" w:eastAsia="宋体" w:cs="宋体"/>
                <w:sz w:val="20"/>
                <w:szCs w:val="20"/>
                <w:highlight w:val="none"/>
              </w:rPr>
              <w:t>YOBEL</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597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钨针夹</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2.4mm，紫铜，10个/盒</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32.00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沪工/佳士/</w:t>
            </w:r>
            <w:r>
              <w:rPr>
                <w:rFonts w:ascii="宋体" w:hAnsi="宋体" w:eastAsia="宋体" w:cs="宋体"/>
                <w:sz w:val="20"/>
                <w:szCs w:val="20"/>
                <w:highlight w:val="none"/>
              </w:rPr>
              <w:t>YOBEL</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598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钨针夹</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3.0mm，紫铜，10个/盒</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32.00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沪工/佳士/</w:t>
            </w:r>
            <w:r>
              <w:rPr>
                <w:rFonts w:ascii="宋体" w:hAnsi="宋体" w:eastAsia="宋体" w:cs="宋体"/>
                <w:sz w:val="20"/>
                <w:szCs w:val="20"/>
                <w:highlight w:val="none"/>
              </w:rPr>
              <w:t>YOBEL</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599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氩弧焊枪瓷嘴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任意规格</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包</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20.10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40.20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氩弧焊保护套</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适配TIG150型焊枪</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米</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9.63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19.26</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氩弧焊手套</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全羊皮，耐高温</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副</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75.52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151.04</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52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等离子切割枪把</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含枪头、防爆橡胶管、纯铜线、防火橡胶套等，长度8米。</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418.27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836.54</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等离子切割枪头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P80</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140.96</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281.92</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P80电极割嘴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1.5孔，10套/盒</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100.26</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200.52</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P80电极铪丝割嘴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1.5孔，10套/盒</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87.07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174.14</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P80电极超音速割嘴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1.5孔，10套/盒</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97.00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194.00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切割枪头开关</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P80割枪使用，10只/包</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包</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47.45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94.90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橡胶锤</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 OZ</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175.00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圆头锤</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2磅</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86.00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602.00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麦思德/老A/史丹利</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610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八角锤</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6磅</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300.20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2101.40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世达/老A/史丹利</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611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松香</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20g</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7.18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35.90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612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无铅锡焊丝</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100g</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卷</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613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LED手提式照明灯</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50W 6-8小时</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盏</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380.00</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1140.00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614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手提式手电筒</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充电式，光源类型：LED，电池类型：锂电池</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690.00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615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PVC剪管器</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0-64mm+刀片</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203.00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1421.00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上匠/世达/史丹利</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616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剪刀</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不锈钢，中号</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25.79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257.90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617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锄头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木柄小号宽锄</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8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63.46</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507.68</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618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不锈钢铲</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1m，尖头</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176.09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880.45</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619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不锈钢铲</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1m，方头</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176.09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2641.35</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28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不锈钢铲（小）</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10cm宽，方头</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300.00</w:t>
            </w:r>
          </w:p>
        </w:tc>
        <w:tc>
          <w:tcPr>
            <w:tcW w:w="883"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2"/>
                <w:szCs w:val="22"/>
              </w:rPr>
            </w:pPr>
            <w:r>
              <w:rPr>
                <w:rFonts w:hint="eastAsia" w:ascii="宋体" w:hAnsi="宋体" w:eastAsia="宋体" w:cs="宋体"/>
                <w:color w:val="auto"/>
                <w:sz w:val="20"/>
                <w:szCs w:val="20"/>
              </w:rPr>
              <w:t>任意品牌　</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捞网</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带4米长杆、孔径30mm。口宽45×50cm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80.37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160.74</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台秤</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300kg，电子计数</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台</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462.33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1849.32</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氧气瓶</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国标40L,不带气</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瓶</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637.47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1274.94</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乙炔瓶</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国标40L,不带气</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瓶</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637.47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1274.94</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氩气瓶</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国标10L,不带气</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瓶</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637.47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1274.94</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氧气充装</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40L/瓶</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瓶</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91.00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455.00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乙炔充装</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40L/瓶</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瓶</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307.00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1535.00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氩气充装</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40L/瓶</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瓶</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平板小推车</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90cm×60cm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辆</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335.00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1340.00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零件盒</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350×200×150mm 斜口箱，任意颜色</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1225.00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塑料筐</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540×360×310mm 任意颜色</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货架</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长1.5m、宽0.4米、高2米</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3000.00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螺丝盒</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10mm×15mm×50mm     任意颜色</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4.59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183.60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分体式铁皮柜</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高390mm、宽850mm、深360mm。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226.33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905.32</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52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铁皮柜</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高810mm、宽630mm、深400mm,双门，2层，表面喷塑加工。</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665.67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2662.68</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不锈钢取样桶</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1L</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131.23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656.15</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吹尘枪</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带15米气管及接头</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85.77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428.85</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结构胶枪</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玻璃胶枪</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56.51</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395.57</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黄油枪</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400CC</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把</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黄油枪尖嘴</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通用尺寸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11.70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117.00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黄油枪油嘴</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通用尺寸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13.50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135.00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黄油枪软管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18英寸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条</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41.10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205.50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r>
      <w:tr>
        <w:tblPrEx>
          <w:tblCellMar>
            <w:top w:w="0" w:type="dxa"/>
            <w:left w:w="108" w:type="dxa"/>
            <w:bottom w:w="0" w:type="dxa"/>
            <w:right w:w="108" w:type="dxa"/>
          </w:tblCellMar>
        </w:tblPrEx>
        <w:trPr>
          <w:trHeight w:val="28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手摇油泵</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适用200L油桶，金属管、金属嘴</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500.00</w:t>
            </w:r>
          </w:p>
        </w:tc>
        <w:tc>
          <w:tcPr>
            <w:tcW w:w="883"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2"/>
                <w:szCs w:val="22"/>
              </w:rPr>
            </w:pPr>
            <w:r>
              <w:rPr>
                <w:rFonts w:hint="eastAsia" w:ascii="宋体" w:hAnsi="宋体" w:eastAsia="宋体" w:cs="宋体"/>
                <w:color w:val="auto"/>
                <w:sz w:val="20"/>
                <w:szCs w:val="20"/>
              </w:rPr>
              <w:t>任意品牌　</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便携储油桶</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20L，铝盖加厚</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150.23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300.46</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便携储油桶</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30L，铝盖加厚</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7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186.39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1304.73</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砂轮机砂轮片</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5寸，白刚玉</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8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49.74</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397.92</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砂轮机砂轮片</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6寸，白刚玉</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8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61.04</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488.32</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砂轮机砂轮片</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8寸，白刚玉</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8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113.84</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910.72</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650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切割片</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400*3.2*32mm 25片/盒</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395.33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1185.99</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大白鲨/金象/砂威</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651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切割片</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350*3.2*25.4mm 25片/盒</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375.33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1125.99</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大白鲨/金象/砂威</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652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手砂轮切割片</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105*1.2*16mm  50片/盒</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56.83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227.32</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大白鲨/金象/砂威</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653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手砂轮切割片</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105*2.5*16mm  50片/盒</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61.34</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245.36</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大白鲨/金象/砂威</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654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手砂轮磨片</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100*6*16mm 50片/盒</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106.42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425.68</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大白鲨/金象/砂威</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655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手砂轮磨片</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100*4*16mm 50片/盒</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101.00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404.00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大白鲨/金象/砂威</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656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手砂轮百叶砂轮片</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100*16mm 40片/盒</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116.70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233.40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大白鲨/金象/砂威</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657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角磨机钢丝刷</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孔径16mm，特厚耐磨</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658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砂纸</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干湿两用，120目</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张</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3.31</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132.40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659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砂纸</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干湿两用，320目</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张</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3.20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128.00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660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砂纸</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干湿两用，800目</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张</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3.16</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126.40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661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液压立式千斤顶</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2吨</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台</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92.67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92.67</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皇驰</w:t>
            </w:r>
            <w:r>
              <w:rPr>
                <w:rFonts w:ascii="宋体" w:hAnsi="宋体" w:eastAsia="宋体" w:cs="宋体"/>
                <w:sz w:val="20"/>
                <w:szCs w:val="20"/>
                <w:highlight w:val="none"/>
              </w:rPr>
              <w:t>/得力</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662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液压立式千斤顶</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3吨</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台</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121.33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121.33</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皇驰</w:t>
            </w:r>
            <w:r>
              <w:rPr>
                <w:rFonts w:ascii="宋体" w:hAnsi="宋体" w:eastAsia="宋体" w:cs="宋体"/>
                <w:sz w:val="20"/>
                <w:szCs w:val="20"/>
                <w:highlight w:val="none"/>
              </w:rPr>
              <w:t>/得力</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663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液压立式千斤顶</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5吨</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台</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139.83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279.66</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皇驰</w:t>
            </w:r>
            <w:r>
              <w:rPr>
                <w:rFonts w:ascii="宋体" w:hAnsi="宋体" w:eastAsia="宋体" w:cs="宋体"/>
                <w:sz w:val="20"/>
                <w:szCs w:val="20"/>
                <w:highlight w:val="none"/>
              </w:rPr>
              <w:t>/得力</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664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双轴承手拉葫芦</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1吨6米</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台</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750.00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750.00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沪工/世达/得力</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665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双轴承手拉葫芦</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2吨6米</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台</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1020.00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1020.00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沪工/世达/得力</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666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双轴承手拉葫芦</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2吨9米</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台</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1225.00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1225.00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沪工/世达/得力</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667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双轴承手拉葫芦</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3吨9米</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台</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1500.00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沪工/世达/得力</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668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三爪拉马</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24.32</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97.28</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669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三爪拉马</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36.13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144.52</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670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三爪拉马</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47.66</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190.64</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671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三爪拉马</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76.81</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307.24</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672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三爪拉马</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10寸</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4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121.30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485.20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673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三爪拉马</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12寸</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160.89</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482.67</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674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内孔轴承拉马</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拆卸内孔直径16-38mm轴承</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111.00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111.00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52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675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多用分离器工具套装</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齿轮、轴承拆卸器组合，14件套，适用范围35mm-75mm。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660.75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1982.25</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676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断头螺丝取丝器</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双头，4分-6分</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14.55</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14.55</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677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铝合金人字梯</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12步（3米），加厚</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张</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602.17</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1204.34</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678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铝合金人字梯</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20步（5米），加厚</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张</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1160.33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1160.33</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679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铝合金便携竹节升降人字梯</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4.7米</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张</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1942.33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3884.66</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680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铝合金伸缩直梯</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收5.5米，伸10米，加厚</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张</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3597.33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3597.33</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681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手动液压堆高叉车</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2T，升高高度1600mm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台</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3597.33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10791.99</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682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热缩绝缘套管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φ5mm，100米/卷</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卷</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683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热缩绝缘套管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φ6mm，100米/卷</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卷</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684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橡胶量杯</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500ml</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9.93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119.16</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685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橡胶量杯</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1000ml</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12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12.40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148.80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686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五金配件</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磁翻板液位计</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0-3米</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1800.00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3600.00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687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线手套</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12双/组，500G</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组</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2400.00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688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劳保鞋</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基础款，绝缘10kv，防砸防刺穿</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双</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25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3000.00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689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安全帽</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符合：GB2811-2019，需印“众源公司”字样</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2100.00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690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安全带</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全身式，2米双小钩</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条</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691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安全绳</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16mm，15米</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条</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650.00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692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雪糕筒</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4斤，方锥形，橡胶材质</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400.00</w:t>
            </w:r>
          </w:p>
        </w:tc>
        <w:tc>
          <w:tcPr>
            <w:tcW w:w="88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693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红白反光贴条</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23*4.5（cm）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片</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28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694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工业级耐酸碱加长乳胶手套</w:t>
            </w:r>
          </w:p>
        </w:tc>
        <w:tc>
          <w:tcPr>
            <w:tcW w:w="1087"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45cm</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50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16.88</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844.00</w:t>
            </w:r>
          </w:p>
        </w:tc>
        <w:tc>
          <w:tcPr>
            <w:tcW w:w="883"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2"/>
                <w:szCs w:val="22"/>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695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工业级耐酸碱加长乳胶手套</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55cm</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19.03</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190.30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2"/>
                <w:szCs w:val="22"/>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28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696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救生圈</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2.5KG加厚实心塑料</w:t>
            </w:r>
          </w:p>
        </w:tc>
        <w:tc>
          <w:tcPr>
            <w:tcW w:w="270"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1000.00</w:t>
            </w:r>
          </w:p>
        </w:tc>
        <w:tc>
          <w:tcPr>
            <w:tcW w:w="883"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2"/>
                <w:szCs w:val="22"/>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697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挂钩（挂救生圈用）</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不锈钢S型挂钩</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2"/>
                <w:szCs w:val="22"/>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698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救生浮绳</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橘色，绳长20米，绳径8mm,一环一扣。</w:t>
            </w:r>
          </w:p>
        </w:tc>
        <w:tc>
          <w:tcPr>
            <w:tcW w:w="270"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条</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500.00</w:t>
            </w:r>
          </w:p>
        </w:tc>
        <w:tc>
          <w:tcPr>
            <w:tcW w:w="883"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2"/>
                <w:szCs w:val="22"/>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699</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防晒帽</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加大帽檐15cm配遮阳帘子</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顶</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35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51.00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1785.00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2"/>
                <w:szCs w:val="22"/>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64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700</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氩弧焊面罩</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可戴式</w:t>
            </w:r>
          </w:p>
        </w:tc>
        <w:tc>
          <w:tcPr>
            <w:tcW w:w="270"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顶</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p>
        </w:tc>
        <w:tc>
          <w:tcPr>
            <w:tcW w:w="595"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200.00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400.00</w:t>
            </w:r>
          </w:p>
        </w:tc>
        <w:tc>
          <w:tcPr>
            <w:tcW w:w="883"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2"/>
                <w:szCs w:val="22"/>
              </w:rPr>
            </w:pPr>
            <w:r>
              <w:rPr>
                <w:rFonts w:hint="eastAsia" w:ascii="宋体" w:hAnsi="宋体" w:eastAsia="宋体" w:cs="宋体"/>
                <w:color w:val="auto"/>
                <w:sz w:val="20"/>
                <w:szCs w:val="20"/>
              </w:rPr>
              <w:t>众安、泰克曼110A、X.C.U</w:t>
            </w:r>
          </w:p>
        </w:tc>
      </w:tr>
      <w:tr>
        <w:tblPrEx>
          <w:tblCellMar>
            <w:top w:w="0" w:type="dxa"/>
            <w:left w:w="108" w:type="dxa"/>
            <w:bottom w:w="0" w:type="dxa"/>
            <w:right w:w="108" w:type="dxa"/>
          </w:tblCellMar>
        </w:tblPrEx>
        <w:trPr>
          <w:trHeight w:val="64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701</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防毒面罩主体</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7502防毒面罩主体</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240.00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1440.00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2"/>
                <w:szCs w:val="22"/>
              </w:rPr>
            </w:pPr>
            <w:r>
              <w:rPr>
                <w:rFonts w:hint="eastAsia" w:ascii="宋体" w:hAnsi="宋体" w:eastAsia="宋体" w:cs="宋体"/>
                <w:color w:val="auto"/>
                <w:sz w:val="20"/>
                <w:szCs w:val="20"/>
              </w:rPr>
              <w:t>3M、霍尼韦尔、代尔塔、MSA/梅</w:t>
            </w:r>
          </w:p>
        </w:tc>
      </w:tr>
      <w:tr>
        <w:tblPrEx>
          <w:tblCellMar>
            <w:top w:w="0" w:type="dxa"/>
            <w:left w:w="108" w:type="dxa"/>
            <w:bottom w:w="0" w:type="dxa"/>
            <w:right w:w="108" w:type="dxa"/>
          </w:tblCellMar>
        </w:tblPrEx>
        <w:trPr>
          <w:trHeight w:val="64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702</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防毒有机滤盒</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6046CN滤毒盒</w:t>
            </w:r>
          </w:p>
        </w:tc>
        <w:tc>
          <w:tcPr>
            <w:tcW w:w="270"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15 </w:t>
            </w:r>
          </w:p>
        </w:tc>
        <w:tc>
          <w:tcPr>
            <w:tcW w:w="595"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175.00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2625.00</w:t>
            </w:r>
          </w:p>
        </w:tc>
        <w:tc>
          <w:tcPr>
            <w:tcW w:w="883"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2"/>
                <w:szCs w:val="22"/>
              </w:rPr>
            </w:pPr>
            <w:r>
              <w:rPr>
                <w:rFonts w:hint="eastAsia" w:ascii="宋体" w:hAnsi="宋体" w:eastAsia="宋体" w:cs="宋体"/>
                <w:color w:val="auto"/>
                <w:sz w:val="20"/>
                <w:szCs w:val="20"/>
              </w:rPr>
              <w:t>3M、霍尼韦尔、代尔塔、MSA/梅</w:t>
            </w:r>
          </w:p>
        </w:tc>
      </w:tr>
      <w:tr>
        <w:tblPrEx>
          <w:tblCellMar>
            <w:top w:w="0" w:type="dxa"/>
            <w:left w:w="108" w:type="dxa"/>
            <w:bottom w:w="0" w:type="dxa"/>
            <w:right w:w="108" w:type="dxa"/>
          </w:tblCellMar>
        </w:tblPrEx>
        <w:trPr>
          <w:trHeight w:val="64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703</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5N11CN颗粒物过滤棉</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防毒面罩配件 过滤棉，5套/盒</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717.00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7170.00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2"/>
                <w:szCs w:val="22"/>
              </w:rPr>
            </w:pPr>
            <w:r>
              <w:rPr>
                <w:rFonts w:hint="eastAsia" w:ascii="宋体" w:hAnsi="宋体" w:eastAsia="宋体" w:cs="宋体"/>
                <w:color w:val="auto"/>
                <w:sz w:val="20"/>
                <w:szCs w:val="20"/>
              </w:rPr>
              <w:t>3M、霍尼韦尔、代尔塔、思安</w:t>
            </w:r>
          </w:p>
        </w:tc>
      </w:tr>
      <w:tr>
        <w:tblPrEx>
          <w:tblCellMar>
            <w:top w:w="0" w:type="dxa"/>
            <w:left w:w="108" w:type="dxa"/>
            <w:bottom w:w="0" w:type="dxa"/>
            <w:right w:w="108" w:type="dxa"/>
          </w:tblCellMar>
        </w:tblPrEx>
        <w:trPr>
          <w:trHeight w:val="64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704</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6200 防毒面具防尘面具</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朝美，新2002多功能独立口罩</w:t>
            </w:r>
          </w:p>
        </w:tc>
        <w:tc>
          <w:tcPr>
            <w:tcW w:w="270"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个</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6 </w:t>
            </w:r>
          </w:p>
        </w:tc>
        <w:tc>
          <w:tcPr>
            <w:tcW w:w="595"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134.00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804.00</w:t>
            </w:r>
          </w:p>
        </w:tc>
        <w:tc>
          <w:tcPr>
            <w:tcW w:w="883"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2"/>
                <w:szCs w:val="22"/>
              </w:rPr>
            </w:pPr>
            <w:r>
              <w:rPr>
                <w:rFonts w:hint="eastAsia" w:ascii="宋体" w:hAnsi="宋体" w:eastAsia="宋体" w:cs="宋体"/>
                <w:color w:val="auto"/>
                <w:sz w:val="20"/>
                <w:szCs w:val="20"/>
              </w:rPr>
              <w:t>3M、霍尼韦尔、代尔塔、MSA/梅</w:t>
            </w:r>
          </w:p>
        </w:tc>
      </w:tr>
      <w:tr>
        <w:tblPrEx>
          <w:tblCellMar>
            <w:top w:w="0" w:type="dxa"/>
            <w:left w:w="108" w:type="dxa"/>
            <w:bottom w:w="0" w:type="dxa"/>
            <w:right w:w="108" w:type="dxa"/>
          </w:tblCellMar>
        </w:tblPrEx>
        <w:trPr>
          <w:trHeight w:val="64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705</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防毒面具配件501胶盖接承盖</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滤盒盖2个为1套</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235.00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2350.00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2"/>
                <w:szCs w:val="22"/>
              </w:rPr>
            </w:pPr>
            <w:r>
              <w:rPr>
                <w:rFonts w:hint="eastAsia" w:ascii="宋体" w:hAnsi="宋体" w:eastAsia="宋体" w:cs="宋体"/>
                <w:color w:val="auto"/>
                <w:sz w:val="20"/>
                <w:szCs w:val="20"/>
              </w:rPr>
              <w:t>3M、霍尼韦尔、代尔塔、思安</w:t>
            </w:r>
          </w:p>
        </w:tc>
      </w:tr>
      <w:tr>
        <w:tblPrEx>
          <w:tblCellMar>
            <w:top w:w="0" w:type="dxa"/>
            <w:left w:w="108" w:type="dxa"/>
            <w:bottom w:w="0" w:type="dxa"/>
            <w:right w:w="108" w:type="dxa"/>
          </w:tblCellMar>
        </w:tblPrEx>
        <w:trPr>
          <w:trHeight w:val="64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706</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人工呼吸面膜</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CPR消毒面膜，50片/盒</w:t>
            </w:r>
          </w:p>
        </w:tc>
        <w:tc>
          <w:tcPr>
            <w:tcW w:w="270"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盒</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p>
        </w:tc>
        <w:tc>
          <w:tcPr>
            <w:tcW w:w="595"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72.00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72.00</w:t>
            </w:r>
          </w:p>
        </w:tc>
        <w:tc>
          <w:tcPr>
            <w:tcW w:w="883"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2"/>
                <w:szCs w:val="22"/>
              </w:rPr>
            </w:pPr>
            <w:r>
              <w:rPr>
                <w:rFonts w:hint="eastAsia" w:ascii="宋体" w:hAnsi="宋体" w:eastAsia="宋体" w:cs="宋体"/>
                <w:color w:val="auto"/>
                <w:sz w:val="20"/>
                <w:szCs w:val="20"/>
              </w:rPr>
              <w:t>华东、沪模、优模、画婷、好万家</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707</w:t>
            </w:r>
          </w:p>
        </w:tc>
        <w:tc>
          <w:tcPr>
            <w:tcW w:w="286"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91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灭火器</w:t>
            </w:r>
          </w:p>
        </w:tc>
        <w:tc>
          <w:tcPr>
            <w:tcW w:w="1087"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干粉MFZ/ABC3型 3KG</w:t>
            </w:r>
          </w:p>
        </w:tc>
        <w:tc>
          <w:tcPr>
            <w:tcW w:w="27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瓶</w:t>
            </w:r>
          </w:p>
        </w:tc>
        <w:tc>
          <w:tcPr>
            <w:tcW w:w="27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20 </w:t>
            </w:r>
          </w:p>
        </w:tc>
        <w:tc>
          <w:tcPr>
            <w:tcW w:w="59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65.00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1300.00</w:t>
            </w:r>
          </w:p>
        </w:tc>
        <w:tc>
          <w:tcPr>
            <w:tcW w:w="883"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2"/>
                <w:szCs w:val="22"/>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708</w:t>
            </w: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91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灭火器箱</w:t>
            </w:r>
          </w:p>
        </w:tc>
        <w:tc>
          <w:tcPr>
            <w:tcW w:w="1087"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2支装</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w:t>
            </w:r>
          </w:p>
        </w:tc>
        <w:tc>
          <w:tcPr>
            <w:tcW w:w="27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10 </w:t>
            </w:r>
          </w:p>
        </w:tc>
        <w:tc>
          <w:tcPr>
            <w:tcW w:w="59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56.00</w:t>
            </w:r>
            <w:r>
              <w:rPr>
                <w:rFonts w:hint="eastAsia" w:ascii="宋体" w:hAnsi="宋体" w:eastAsia="宋体" w:cs="宋体"/>
                <w:color w:val="auto"/>
                <w:sz w:val="20"/>
                <w:szCs w:val="20"/>
              </w:rPr>
              <w:t>　</w:t>
            </w:r>
          </w:p>
        </w:tc>
        <w:tc>
          <w:tcPr>
            <w:tcW w:w="481"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560.00</w:t>
            </w:r>
          </w:p>
        </w:tc>
        <w:tc>
          <w:tcPr>
            <w:tcW w:w="883"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2"/>
                <w:szCs w:val="22"/>
              </w:rPr>
            </w:pPr>
            <w:r>
              <w:rPr>
                <w:rFonts w:hint="eastAsia" w:ascii="宋体" w:hAnsi="宋体" w:eastAsia="宋体" w:cs="宋体"/>
                <w:color w:val="auto"/>
                <w:sz w:val="20"/>
                <w:szCs w:val="20"/>
              </w:rPr>
              <w:t>任意品牌</w:t>
            </w:r>
          </w:p>
        </w:tc>
      </w:tr>
      <w:tr>
        <w:tblPrEx>
          <w:tblCellMar>
            <w:top w:w="0" w:type="dxa"/>
            <w:left w:w="108" w:type="dxa"/>
            <w:bottom w:w="0" w:type="dxa"/>
            <w:right w:w="108" w:type="dxa"/>
          </w:tblCellMar>
        </w:tblPrEx>
        <w:trPr>
          <w:trHeight w:val="330" w:hRule="atLeast"/>
          <w:jc w:val="center"/>
        </w:trPr>
        <w:tc>
          <w:tcPr>
            <w:tcW w:w="3634" w:type="pct"/>
            <w:gridSpan w:val="7"/>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lang w:val="en-US" w:eastAsia="zh-CN"/>
              </w:rPr>
            </w:pPr>
            <w:r>
              <w:rPr>
                <w:rFonts w:hint="eastAsia" w:ascii="宋体" w:hAnsi="宋体" w:eastAsia="宋体" w:cs="宋体"/>
                <w:b/>
                <w:bCs/>
                <w:color w:val="auto"/>
                <w:sz w:val="20"/>
                <w:szCs w:val="20"/>
                <w:lang w:val="en-US" w:eastAsia="zh-CN"/>
              </w:rPr>
              <w:t>汇总</w:t>
            </w:r>
          </w:p>
        </w:tc>
        <w:tc>
          <w:tcPr>
            <w:tcW w:w="481"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706743.05</w:t>
            </w:r>
          </w:p>
        </w:tc>
        <w:tc>
          <w:tcPr>
            <w:tcW w:w="883"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bl>
    <w:p>
      <w:pPr>
        <w:rPr>
          <w:rFonts w:hint="eastAsia"/>
          <w:color w:val="auto"/>
        </w:rPr>
        <w:sectPr>
          <w:pgSz w:w="15840" w:h="12240" w:orient="landscape"/>
          <w:pgMar w:top="1043" w:right="1191" w:bottom="1043" w:left="1191" w:header="720" w:footer="720" w:gutter="0"/>
          <w:cols w:space="0" w:num="1"/>
          <w:titlePg/>
          <w:rtlGutter w:val="0"/>
          <w:docGrid w:linePitch="326" w:charSpace="0"/>
        </w:sectPr>
      </w:pPr>
    </w:p>
    <w:p>
      <w:pPr>
        <w:pageBreakBefore/>
        <w:tabs>
          <w:tab w:val="left" w:pos="1080"/>
        </w:tabs>
        <w:autoSpaceDE w:val="0"/>
        <w:autoSpaceDN w:val="0"/>
        <w:adjustRightInd w:val="0"/>
        <w:spacing w:line="360" w:lineRule="auto"/>
        <w:jc w:val="center"/>
        <w:outlineLvl w:val="0"/>
        <w:rPr>
          <w:rFonts w:ascii="宋体" w:hAnsi="宋体" w:eastAsia="宋体" w:cs="宋体"/>
          <w:b/>
          <w:bCs/>
          <w:color w:val="auto"/>
          <w:kern w:val="44"/>
          <w:sz w:val="32"/>
          <w:szCs w:val="32"/>
          <w:highlight w:val="none"/>
          <w:lang w:val="zh-CN"/>
        </w:rPr>
      </w:pPr>
      <w:bookmarkStart w:id="522" w:name="_Toc8587"/>
      <w:bookmarkStart w:id="523" w:name="_Toc450662892"/>
      <w:bookmarkStart w:id="524" w:name="_Toc142508359"/>
      <w:bookmarkStart w:id="525" w:name="_Toc486167707"/>
      <w:bookmarkStart w:id="526" w:name="_Toc7731"/>
      <w:bookmarkStart w:id="527" w:name="_Toc27026"/>
      <w:bookmarkStart w:id="528" w:name="_Toc11281_WPSOffice_Level1"/>
      <w:bookmarkStart w:id="529" w:name="_Toc19477"/>
      <w:bookmarkStart w:id="530" w:name="_Toc14772"/>
      <w:bookmarkStart w:id="531" w:name="_Toc12529"/>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522"/>
      <w:bookmarkEnd w:id="523"/>
      <w:bookmarkEnd w:id="524"/>
      <w:bookmarkEnd w:id="525"/>
      <w:bookmarkEnd w:id="526"/>
      <w:bookmarkEnd w:id="527"/>
      <w:bookmarkEnd w:id="528"/>
      <w:bookmarkEnd w:id="529"/>
      <w:bookmarkEnd w:id="530"/>
      <w:bookmarkEnd w:id="531"/>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pacing w:line="360" w:lineRule="auto"/>
        <w:jc w:val="center"/>
        <w:outlineLvl w:val="9"/>
        <w:rPr>
          <w:rFonts w:ascii="宋体" w:hAnsi="宋体" w:eastAsia="宋体" w:cs="Times New Roman"/>
          <w:b/>
          <w:color w:val="auto"/>
          <w:kern w:val="0"/>
          <w:sz w:val="52"/>
          <w:szCs w:val="96"/>
          <w:highlight w:val="none"/>
        </w:rPr>
      </w:pPr>
      <w:r>
        <w:rPr>
          <w:rFonts w:hint="eastAsia" w:ascii="宋体" w:hAnsi="宋体" w:eastAsia="宋体" w:cs="Times New Roman"/>
          <w:b/>
          <w:color w:val="auto"/>
          <w:kern w:val="0"/>
          <w:sz w:val="52"/>
          <w:szCs w:val="96"/>
          <w:highlight w:val="none"/>
        </w:rPr>
        <w:t>东莞市众源环境投资有限公司五金配件及劳保物资采购项目</w:t>
      </w:r>
    </w:p>
    <w:p>
      <w:pPr>
        <w:autoSpaceDE w:val="0"/>
        <w:autoSpaceDN w:val="0"/>
        <w:adjustRightInd w:val="0"/>
        <w:spacing w:line="360" w:lineRule="auto"/>
        <w:jc w:val="center"/>
        <w:outlineLvl w:val="9"/>
        <w:rPr>
          <w:rFonts w:ascii="宋体" w:hAnsi="宋体" w:eastAsia="宋体" w:cs="Times New Roman"/>
          <w:bCs/>
          <w:color w:val="auto"/>
          <w:kern w:val="0"/>
          <w:sz w:val="52"/>
          <w:szCs w:val="52"/>
          <w:highlight w:val="none"/>
        </w:rPr>
      </w:pPr>
    </w:p>
    <w:p>
      <w:pPr>
        <w:autoSpaceDE w:val="0"/>
        <w:autoSpaceDN w:val="0"/>
        <w:adjustRightInd w:val="0"/>
        <w:spacing w:before="840" w:beforeLines="350" w:after="360" w:afterLines="150" w:line="360" w:lineRule="auto"/>
        <w:jc w:val="center"/>
        <w:outlineLvl w:val="9"/>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pPr>
        <w:autoSpaceDE w:val="0"/>
        <w:autoSpaceDN w:val="0"/>
        <w:adjustRightInd w:val="0"/>
        <w:spacing w:line="360" w:lineRule="auto"/>
        <w:jc w:val="center"/>
        <w:outlineLvl w:val="9"/>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pPr>
        <w:autoSpaceDE w:val="0"/>
        <w:autoSpaceDN w:val="0"/>
        <w:adjustRightInd w:val="0"/>
        <w:spacing w:line="360" w:lineRule="auto"/>
        <w:jc w:val="left"/>
        <w:outlineLvl w:val="9"/>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outlineLvl w:val="9"/>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outlineLvl w:val="9"/>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outlineLvl w:val="9"/>
        <w:rPr>
          <w:rFonts w:ascii="宋体" w:hAnsi="宋体" w:eastAsia="宋体" w:cs="Times New Roman"/>
          <w:b/>
          <w:bCs/>
          <w:color w:val="auto"/>
          <w:kern w:val="0"/>
          <w:sz w:val="24"/>
          <w:szCs w:val="21"/>
          <w:highlight w:val="none"/>
        </w:rPr>
      </w:pPr>
    </w:p>
    <w:p>
      <w:pPr>
        <w:autoSpaceDE w:val="0"/>
        <w:autoSpaceDN w:val="0"/>
        <w:adjustRightInd w:val="0"/>
        <w:spacing w:line="480" w:lineRule="auto"/>
        <w:ind w:firstLine="1102" w:firstLineChars="392"/>
        <w:jc w:val="left"/>
        <w:outlineLvl w:val="9"/>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 xml:space="preserve">                          </w:t>
      </w:r>
    </w:p>
    <w:p>
      <w:pPr>
        <w:autoSpaceDE w:val="0"/>
        <w:autoSpaceDN w:val="0"/>
        <w:adjustRightInd w:val="0"/>
        <w:spacing w:line="480" w:lineRule="auto"/>
        <w:ind w:firstLine="1102" w:firstLineChars="392"/>
        <w:jc w:val="left"/>
        <w:outlineLvl w:val="9"/>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pPr>
        <w:autoSpaceDE w:val="0"/>
        <w:autoSpaceDN w:val="0"/>
        <w:adjustRightInd w:val="0"/>
        <w:spacing w:line="360" w:lineRule="auto"/>
        <w:ind w:firstLine="1102" w:firstLineChars="392"/>
        <w:jc w:val="left"/>
        <w:outlineLvl w:val="9"/>
        <w:rPr>
          <w:rFonts w:ascii="宋体" w:hAnsi="宋体" w:eastAsia="宋体" w:cs="宋体"/>
          <w:b/>
          <w:bCs/>
          <w:color w:val="auto"/>
          <w:kern w:val="0"/>
          <w:sz w:val="28"/>
          <w:szCs w:val="28"/>
          <w:highlight w:val="none"/>
        </w:rPr>
      </w:pPr>
    </w:p>
    <w:p>
      <w:pPr>
        <w:autoSpaceDE w:val="0"/>
        <w:autoSpaceDN w:val="0"/>
        <w:adjustRightInd w:val="0"/>
        <w:spacing w:line="360" w:lineRule="auto"/>
        <w:ind w:firstLine="1102" w:firstLineChars="392"/>
        <w:jc w:val="left"/>
        <w:outlineLvl w:val="9"/>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pPr>
        <w:autoSpaceDE w:val="0"/>
        <w:autoSpaceDN w:val="0"/>
        <w:adjustRightInd w:val="0"/>
        <w:jc w:val="left"/>
        <w:outlineLvl w:val="9"/>
        <w:rPr>
          <w:rFonts w:ascii="宋体" w:hAnsi="宋体" w:eastAsia="宋体" w:cs="宋体"/>
          <w:b/>
          <w:bCs/>
          <w:color w:val="auto"/>
          <w:kern w:val="0"/>
          <w:sz w:val="28"/>
          <w:szCs w:val="28"/>
          <w:highlight w:val="none"/>
        </w:rPr>
      </w:pPr>
    </w:p>
    <w:p>
      <w:pPr>
        <w:autoSpaceDE w:val="0"/>
        <w:autoSpaceDN w:val="0"/>
        <w:adjustRightInd w:val="0"/>
        <w:jc w:val="left"/>
        <w:outlineLvl w:val="9"/>
        <w:rPr>
          <w:rFonts w:ascii="宋体" w:hAnsi="宋体" w:eastAsia="宋体" w:cs="宋体"/>
          <w:b/>
          <w:bCs/>
          <w:color w:val="auto"/>
          <w:kern w:val="0"/>
          <w:sz w:val="28"/>
          <w:szCs w:val="28"/>
          <w:highlight w:val="none"/>
        </w:rPr>
      </w:pPr>
    </w:p>
    <w:p>
      <w:pPr>
        <w:autoSpaceDE w:val="0"/>
        <w:autoSpaceDN w:val="0"/>
        <w:adjustRightInd w:val="0"/>
        <w:snapToGrid w:val="0"/>
        <w:spacing w:line="360" w:lineRule="auto"/>
        <w:jc w:val="left"/>
        <w:outlineLvl w:val="9"/>
        <w:rPr>
          <w:rFonts w:ascii="宋体" w:hAnsi="宋体" w:eastAsia="宋体" w:cs="Times New Roman"/>
          <w:color w:val="auto"/>
          <w:kern w:val="0"/>
          <w:szCs w:val="21"/>
          <w:highlight w:val="none"/>
        </w:rPr>
      </w:pPr>
    </w:p>
    <w:p>
      <w:pPr>
        <w:outlineLvl w:val="9"/>
        <w:rPr>
          <w:rFonts w:hint="eastAsia" w:ascii="宋体" w:hAnsi="宋体" w:eastAsia="宋体" w:cs="Times New Roman"/>
          <w:b/>
          <w:bCs/>
          <w:color w:val="auto"/>
          <w:sz w:val="32"/>
          <w:szCs w:val="32"/>
          <w:highlight w:val="none"/>
          <w:lang w:val="zh-CN"/>
        </w:rPr>
      </w:pPr>
      <w:bookmarkStart w:id="532" w:name="_Toc22246"/>
      <w:bookmarkStart w:id="533" w:name="_Toc24427_WPSOffice_Level1"/>
      <w:bookmarkStart w:id="534" w:name="_Toc447045090"/>
      <w:bookmarkStart w:id="535" w:name="_Toc512353083"/>
      <w:bookmarkStart w:id="536" w:name="_Toc4388"/>
      <w:bookmarkStart w:id="537" w:name="_Toc447044603"/>
      <w:bookmarkStart w:id="538" w:name="_Toc142508360"/>
      <w:bookmarkStart w:id="539" w:name="_Toc447044479"/>
      <w:r>
        <w:rPr>
          <w:rFonts w:hint="eastAsia" w:ascii="宋体" w:hAnsi="宋体" w:eastAsia="宋体" w:cs="Times New Roman"/>
          <w:b/>
          <w:bCs/>
          <w:color w:val="auto"/>
          <w:sz w:val="32"/>
          <w:szCs w:val="32"/>
          <w:highlight w:val="none"/>
          <w:lang w:val="zh-CN"/>
        </w:rPr>
        <w:br w:type="page"/>
      </w:r>
    </w:p>
    <w:p>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b w:val="0"/>
          <w:bCs w:val="0"/>
          <w:color w:val="auto"/>
          <w:kern w:val="10"/>
          <w:sz w:val="21"/>
          <w:szCs w:val="21"/>
          <w:u w:val="none"/>
          <w:lang w:val="en-US" w:eastAsia="zh-CN"/>
        </w:rPr>
      </w:pPr>
      <w:r>
        <w:rPr>
          <w:rFonts w:hint="eastAsia" w:ascii="宋体" w:hAnsi="宋体" w:eastAsia="宋体" w:cs="宋体"/>
          <w:b w:val="0"/>
          <w:bCs w:val="0"/>
          <w:color w:val="auto"/>
          <w:sz w:val="21"/>
          <w:szCs w:val="21"/>
          <w:u w:val="none"/>
        </w:rPr>
        <w:t>甲方：</w:t>
      </w:r>
      <w:r>
        <w:rPr>
          <w:rFonts w:hint="eastAsia" w:ascii="宋体" w:hAnsi="宋体" w:eastAsia="宋体" w:cs="宋体"/>
          <w:b w:val="0"/>
          <w:bCs w:val="0"/>
          <w:color w:val="auto"/>
          <w:sz w:val="21"/>
          <w:szCs w:val="21"/>
          <w:u w:val="single"/>
        </w:rPr>
        <w:t xml:space="preserve">                      </w:t>
      </w:r>
    </w:p>
    <w:p>
      <w:pPr>
        <w:keepNext w:val="0"/>
        <w:keepLines w:val="0"/>
        <w:pageBreakBefore w:val="0"/>
        <w:kinsoku/>
        <w:wordWrap/>
        <w:overflowPunct/>
        <w:topLinePunct w:val="0"/>
        <w:bidi w:val="0"/>
        <w:snapToGrid w:val="0"/>
        <w:spacing w:line="360" w:lineRule="auto"/>
        <w:ind w:firstLine="420" w:firstLineChars="200"/>
        <w:textAlignment w:val="auto"/>
        <w:outlineLvl w:val="9"/>
        <w:rPr>
          <w:rFonts w:hint="eastAsia" w:ascii="宋体" w:hAnsi="宋体" w:eastAsia="宋体" w:cs="宋体"/>
          <w:color w:val="auto"/>
          <w:sz w:val="21"/>
          <w:szCs w:val="21"/>
          <w:u w:val="single"/>
        </w:rPr>
      </w:pPr>
      <w:r>
        <w:rPr>
          <w:rFonts w:hint="eastAsia" w:ascii="宋体" w:hAnsi="宋体" w:eastAsia="宋体" w:cs="宋体"/>
          <w:b w:val="0"/>
          <w:bCs w:val="0"/>
          <w:color w:val="auto"/>
          <w:sz w:val="21"/>
          <w:szCs w:val="21"/>
          <w:u w:val="none"/>
        </w:rPr>
        <w:t>乙方：</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u w:val="none"/>
        </w:rPr>
        <w:t xml:space="preserve">    </w:t>
      </w:r>
      <w:r>
        <w:rPr>
          <w:rFonts w:hint="eastAsia" w:ascii="宋体" w:hAnsi="宋体" w:eastAsia="宋体" w:cs="宋体"/>
          <w:b/>
          <w:bCs/>
          <w:color w:val="auto"/>
          <w:sz w:val="21"/>
          <w:szCs w:val="21"/>
          <w:u w:val="none"/>
        </w:rPr>
        <w:t xml:space="preserve">   </w:t>
      </w:r>
    </w:p>
    <w:p>
      <w:pPr>
        <w:keepNext w:val="0"/>
        <w:keepLines w:val="0"/>
        <w:pageBreakBefore w:val="0"/>
        <w:widowControl/>
        <w:kinsoku/>
        <w:wordWrap/>
        <w:overflowPunct/>
        <w:topLinePunct w:val="0"/>
        <w:bidi w:val="0"/>
        <w:spacing w:line="360" w:lineRule="auto"/>
        <w:ind w:left="0" w:leftChars="0" w:firstLine="0" w:firstLineChars="0"/>
        <w:textAlignment w:val="auto"/>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bidi w:val="0"/>
        <w:spacing w:line="360" w:lineRule="auto"/>
        <w:ind w:left="0" w:leftChars="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w:t>
      </w:r>
      <w:r>
        <w:rPr>
          <w:rFonts w:hint="eastAsia" w:ascii="宋体" w:hAnsi="宋体" w:eastAsia="宋体" w:cs="宋体"/>
          <w:color w:val="auto"/>
          <w:sz w:val="21"/>
          <w:szCs w:val="21"/>
          <w:lang w:val="en-US" w:eastAsia="zh-CN"/>
        </w:rPr>
        <w:t>民法典</w:t>
      </w:r>
      <w:r>
        <w:rPr>
          <w:rFonts w:hint="eastAsia" w:ascii="宋体" w:hAnsi="宋体" w:eastAsia="宋体" w:cs="宋体"/>
          <w:color w:val="auto"/>
          <w:sz w:val="21"/>
          <w:szCs w:val="21"/>
        </w:rPr>
        <w:t>》及</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日通知的</w:t>
      </w:r>
      <w:r>
        <w:rPr>
          <w:rFonts w:hint="eastAsia" w:ascii="宋体" w:hAnsi="宋体" w:eastAsia="宋体" w:cs="宋体"/>
          <w:color w:val="auto"/>
          <w:sz w:val="21"/>
          <w:szCs w:val="21"/>
          <w:u w:val="single"/>
          <w:lang w:val="en-US" w:eastAsia="zh-CN"/>
        </w:rPr>
        <w:t>东莞市众源环境投资有限公司五金配件及劳保物资采购项目</w:t>
      </w:r>
      <w:r>
        <w:rPr>
          <w:rFonts w:hint="eastAsia" w:ascii="宋体" w:hAnsi="宋体" w:eastAsia="宋体" w:cs="宋体"/>
          <w:color w:val="auto"/>
          <w:spacing w:val="6"/>
          <w:sz w:val="21"/>
          <w:szCs w:val="21"/>
        </w:rPr>
        <w:t>（项目编号：0832-SFCX24DG010A，下称“本项目”）</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结果和</w:t>
      </w:r>
      <w:r>
        <w:rPr>
          <w:rFonts w:hint="eastAsia" w:ascii="宋体" w:hAnsi="宋体" w:eastAsia="宋体" w:cs="宋体"/>
          <w:color w:val="auto"/>
          <w:sz w:val="21"/>
          <w:szCs w:val="21"/>
          <w:lang w:eastAsia="zh-CN"/>
        </w:rPr>
        <w:t>招标文件</w:t>
      </w:r>
      <w:r>
        <w:rPr>
          <w:rFonts w:hint="eastAsia" w:ascii="宋体" w:hAnsi="宋体" w:eastAsia="宋体" w:cs="宋体"/>
          <w:color w:val="auto"/>
          <w:sz w:val="21"/>
          <w:szCs w:val="21"/>
        </w:rPr>
        <w:t>的要求，结合本项目的具体情况，甲、乙双方在自愿、平等、协商一致的基础上订立本合同。</w:t>
      </w:r>
    </w:p>
    <w:p>
      <w:pPr>
        <w:keepNext w:val="0"/>
        <w:keepLines w:val="0"/>
        <w:pageBreakBefore w:val="0"/>
        <w:widowControl/>
        <w:kinsoku/>
        <w:wordWrap/>
        <w:overflowPunct/>
        <w:topLinePunct w:val="0"/>
        <w:bidi w:val="0"/>
        <w:spacing w:line="360" w:lineRule="auto"/>
        <w:ind w:left="0" w:leftChars="0" w:firstLine="422" w:firstLineChars="200"/>
        <w:textAlignment w:val="auto"/>
        <w:outlineLvl w:val="9"/>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val="en-US" w:eastAsia="zh-CN"/>
        </w:rPr>
        <w:t xml:space="preserve">第一条 </w:t>
      </w:r>
      <w:r>
        <w:rPr>
          <w:rFonts w:hint="eastAsia" w:ascii="宋体" w:hAnsi="宋体" w:eastAsia="宋体" w:cs="宋体"/>
          <w:b/>
          <w:color w:val="auto"/>
          <w:sz w:val="21"/>
          <w:szCs w:val="21"/>
        </w:rPr>
        <w:t>供货范围</w:t>
      </w:r>
    </w:p>
    <w:p>
      <w:pPr>
        <w:keepNext w:val="0"/>
        <w:keepLines w:val="0"/>
        <w:pageBreakBefore w:val="0"/>
        <w:kinsoku/>
        <w:wordWrap/>
        <w:overflowPunct/>
        <w:topLinePunct w:val="0"/>
        <w:bidi w:val="0"/>
        <w:spacing w:line="360" w:lineRule="auto"/>
        <w:ind w:firstLine="42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1、甲方确定乙方成为</w:t>
      </w:r>
      <w:r>
        <w:rPr>
          <w:rFonts w:hint="eastAsia" w:ascii="宋体" w:hAnsi="宋体" w:eastAsia="宋体" w:cs="宋体"/>
          <w:color w:val="auto"/>
          <w:sz w:val="21"/>
          <w:szCs w:val="21"/>
          <w:lang w:val="en-US" w:eastAsia="zh-CN"/>
        </w:rPr>
        <w:t>本项目</w:t>
      </w:r>
      <w:r>
        <w:rPr>
          <w:rFonts w:hint="eastAsia" w:ascii="宋体" w:hAnsi="宋体" w:eastAsia="宋体" w:cs="宋体"/>
          <w:color w:val="auto"/>
          <w:sz w:val="21"/>
          <w:szCs w:val="21"/>
        </w:rPr>
        <w:t>五金配件及劳保物资供应商，由乙方向甲方提供五金配件及劳保物资，</w:t>
      </w:r>
      <w:r>
        <w:rPr>
          <w:rFonts w:hint="eastAsia" w:ascii="宋体" w:hAnsi="宋体" w:eastAsia="宋体" w:cs="宋体"/>
          <w:color w:val="auto"/>
          <w:sz w:val="21"/>
          <w:szCs w:val="21"/>
          <w:lang w:val="en-US" w:eastAsia="zh-CN"/>
        </w:rPr>
        <w:t>供货货物综合单价以预算综合单价为基数根据乙方中标折扣系数对应调整，</w:t>
      </w:r>
      <w:r>
        <w:rPr>
          <w:rFonts w:hint="eastAsia" w:ascii="宋体" w:hAnsi="宋体" w:eastAsia="宋体" w:cs="宋体"/>
          <w:color w:val="auto"/>
          <w:sz w:val="21"/>
          <w:szCs w:val="21"/>
        </w:rPr>
        <w:t>在附件《东莞市众源环境投资有限公司五金配件及劳保物资采购清单</w:t>
      </w:r>
      <w:r>
        <w:rPr>
          <w:rFonts w:hint="eastAsia" w:ascii="宋体" w:hAnsi="宋体" w:eastAsia="宋体" w:cs="宋体"/>
          <w:color w:val="auto"/>
          <w:sz w:val="21"/>
          <w:szCs w:val="21"/>
          <w:lang w:val="en-US" w:eastAsia="zh-CN"/>
        </w:rPr>
        <w:t>及综合单价表</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以下简称为“《供货货物清单及综合单价表》”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列明的采购货物清单限定内，乙方按甲方需求供货</w:t>
      </w:r>
      <w:r>
        <w:rPr>
          <w:rFonts w:hint="eastAsia" w:ascii="宋体" w:hAnsi="宋体" w:eastAsia="宋体" w:cs="宋体"/>
          <w:color w:val="auto"/>
          <w:sz w:val="21"/>
          <w:szCs w:val="21"/>
        </w:rPr>
        <w:t>。</w:t>
      </w:r>
    </w:p>
    <w:p>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供货期内甲方（或甲方控股公司或由甲方管理的参股公司、代管项目主体公司）需求货物不在《供货货物清单及综合单价表》上的，由甲方（或甲方控股公司或由甲方管理的参股公司、代管项目主体公司）委托具有造价资质的第三方公司编制成果文件确定该类货物不含税预算综合单价，不含税预算综合单价经甲方（或甲方控股公司或由甲方管理的参股公司、代管项目主体公司）确认并与乙方协商确定后，该类货物不含税综合单价以前述不含税预算综合单价乘以乙方中标折扣系数计算。若乙方不同意按前述价格提供供货服务的，甲方（或甲方控股公司或由甲方管理的参股公司、代管项目主体公司）有权另行委托第三方供应货物，乙方不得以此为由要求甲方支付任何补偿或赔偿。</w:t>
      </w:r>
    </w:p>
    <w:p>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、本</w:t>
      </w:r>
      <w:r>
        <w:rPr>
          <w:rFonts w:hint="eastAsia" w:ascii="宋体" w:hAnsi="宋体" w:eastAsia="宋体" w:cs="宋体"/>
          <w:color w:val="auto"/>
          <w:sz w:val="21"/>
          <w:szCs w:val="21"/>
          <w:lang w:val="en-US" w:eastAsia="zh-CN"/>
        </w:rPr>
        <w:t>采购项目用户需求书采购清单中的货物</w:t>
      </w:r>
      <w:r>
        <w:rPr>
          <w:rFonts w:hint="eastAsia" w:ascii="宋体" w:hAnsi="宋体" w:eastAsia="宋体" w:cs="宋体"/>
          <w:color w:val="auto"/>
          <w:sz w:val="21"/>
          <w:szCs w:val="21"/>
        </w:rPr>
        <w:t>为暂定数量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仅为便于</w:t>
      </w:r>
      <w:r>
        <w:rPr>
          <w:rFonts w:hint="eastAsia" w:ascii="宋体" w:hAnsi="宋体" w:eastAsia="宋体" w:cs="宋体"/>
          <w:color w:val="auto"/>
          <w:sz w:val="21"/>
          <w:szCs w:val="21"/>
          <w:lang w:val="en-US" w:eastAsia="zh-CN"/>
        </w:rPr>
        <w:t>乙方投标报价和</w:t>
      </w:r>
      <w:r>
        <w:rPr>
          <w:rFonts w:hint="eastAsia" w:ascii="宋体" w:hAnsi="宋体" w:eastAsia="宋体" w:cs="宋体"/>
          <w:color w:val="auto"/>
          <w:sz w:val="21"/>
          <w:szCs w:val="21"/>
        </w:rPr>
        <w:t>计算暂定合同价使用，不作为甲方最终采购数量的保证。</w:t>
      </w:r>
      <w:r>
        <w:rPr>
          <w:rFonts w:hint="eastAsia" w:ascii="宋体" w:hAnsi="宋体" w:eastAsia="宋体" w:cs="宋体"/>
          <w:color w:val="auto"/>
          <w:sz w:val="21"/>
          <w:szCs w:val="21"/>
          <w:lang w:val="en-US" w:eastAsia="zh-CN"/>
        </w:rPr>
        <w:t>乙方的实际供货</w:t>
      </w:r>
      <w:r>
        <w:rPr>
          <w:rFonts w:hint="eastAsia" w:ascii="宋体" w:hAnsi="宋体" w:eastAsia="宋体" w:cs="宋体"/>
          <w:color w:val="auto"/>
          <w:sz w:val="21"/>
          <w:szCs w:val="21"/>
        </w:rPr>
        <w:t>数量以甲方具体供货通知为准，按实结算。</w:t>
      </w:r>
      <w:r>
        <w:rPr>
          <w:rFonts w:hint="eastAsia" w:ascii="宋体" w:hAnsi="宋体" w:eastAsia="宋体" w:cs="宋体"/>
          <w:color w:val="auto"/>
          <w:sz w:val="21"/>
          <w:szCs w:val="21"/>
          <w:lang w:val="en-US" w:eastAsia="zh-CN"/>
        </w:rPr>
        <w:t>合同履约过程中，</w:t>
      </w:r>
      <w:r>
        <w:rPr>
          <w:rFonts w:hint="eastAsia" w:ascii="宋体" w:hAnsi="宋体" w:eastAsia="宋体" w:cs="宋体"/>
          <w:color w:val="auto"/>
          <w:sz w:val="21"/>
          <w:szCs w:val="21"/>
        </w:rPr>
        <w:t>乙方不得因甲方实际采购数量的减少或增加而要求提供任何形式的补偿或赔偿，或者要求甲方按暂定数量采购相应货物。</w:t>
      </w:r>
      <w:r>
        <w:rPr>
          <w:rFonts w:hint="eastAsia" w:ascii="宋体" w:hAnsi="宋体" w:eastAsia="宋体" w:cs="宋体"/>
          <w:color w:val="auto"/>
          <w:sz w:val="21"/>
          <w:szCs w:val="21"/>
          <w:lang w:val="en-US" w:eastAsia="zh-CN"/>
        </w:rPr>
        <w:t>合同履约过程中，如甲方（或甲方控股公司或由甲方管理的参股公司、代管项目主体公司）新增运营项目需要供货的，可按《供货货物清单及综合单价表》的价格与乙方签订补充协议，乙方应无条件予以配合。</w:t>
      </w:r>
    </w:p>
    <w:p>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乙方必须清楚理解：本合同不具排他性，甲方对本合同范围内的五金配件及劳保物资采购享有自主选择的权利。本合同仅作为乙方在本合同期限内取得向甲方供应五金配件及劳保物资的资格，但并不代表乙方必然取得具体供货的权利。甲方根据乙方资质条件、履约能力和实际履约情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及甲方的</w:t>
      </w:r>
      <w:r>
        <w:rPr>
          <w:rFonts w:hint="eastAsia" w:ascii="宋体" w:hAnsi="宋体" w:eastAsia="宋体" w:cs="宋体"/>
          <w:color w:val="auto"/>
          <w:sz w:val="21"/>
          <w:szCs w:val="21"/>
        </w:rPr>
        <w:t>实际需求仍有权另行采购其他第三方进行本合同范围内的货物的供货服务。</w:t>
      </w:r>
    </w:p>
    <w:p>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、乙方知悉及声明：乙方成为甲方五金配件及劳保物资供货供应商，甲方无法预计及保证乙方所能获得的供货数量，对此，乙方保证不向甲方追讨任何费用及/或主张任何权利和责任。</w:t>
      </w:r>
    </w:p>
    <w:p>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b/>
          <w:color w:val="auto"/>
          <w:sz w:val="21"/>
          <w:szCs w:val="21"/>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有义务接受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的监督、评价及考核。供货期限内，甲方对乙方所提供的服务进行履约评价，甲方有权</w:t>
      </w:r>
      <w:r>
        <w:rPr>
          <w:rFonts w:hint="eastAsia" w:ascii="宋体" w:hAnsi="宋体" w:eastAsia="宋体" w:cs="宋体"/>
          <w:color w:val="auto"/>
          <w:sz w:val="21"/>
          <w:szCs w:val="21"/>
          <w:highlight w:val="none"/>
          <w:lang w:val="en-US" w:eastAsia="zh-CN"/>
        </w:rPr>
        <w:t>根据考核分数</w:t>
      </w:r>
      <w:r>
        <w:rPr>
          <w:rFonts w:hint="eastAsia" w:ascii="宋体" w:hAnsi="宋体" w:eastAsia="宋体" w:cs="宋体"/>
          <w:color w:val="auto"/>
          <w:sz w:val="21"/>
          <w:szCs w:val="21"/>
          <w:highlight w:val="none"/>
        </w:rPr>
        <w:t>按合同约定作出相应处理。</w:t>
      </w:r>
    </w:p>
    <w:p>
      <w:pPr>
        <w:widowControl/>
        <w:spacing w:line="360" w:lineRule="auto"/>
        <w:ind w:left="0" w:leftChars="0" w:firstLine="422" w:firstLineChars="200"/>
        <w:outlineLvl w:val="9"/>
        <w:rPr>
          <w:rFonts w:hint="default" w:hAnsi="宋体" w:eastAsia="宋体" w:cs="宋体"/>
          <w:b/>
          <w:color w:val="auto"/>
          <w:sz w:val="21"/>
          <w:szCs w:val="21"/>
          <w:lang w:val="en-US" w:eastAsia="zh-CN"/>
        </w:rPr>
      </w:pPr>
      <w:bookmarkStart w:id="540" w:name="_Toc19796_WPSOffice_Level2"/>
      <w:r>
        <w:rPr>
          <w:rFonts w:hint="eastAsia" w:hAnsi="宋体" w:eastAsia="宋体" w:cs="宋体"/>
          <w:b/>
          <w:color w:val="auto"/>
          <w:sz w:val="21"/>
          <w:szCs w:val="21"/>
          <w:lang w:val="en-US" w:eastAsia="zh-CN"/>
        </w:rPr>
        <w:t>第二条 合同供货期</w:t>
      </w:r>
      <w:bookmarkEnd w:id="540"/>
    </w:p>
    <w:p>
      <w:pPr>
        <w:spacing w:line="360" w:lineRule="auto"/>
        <w:ind w:firstLine="420" w:firstLineChars="200"/>
        <w:jc w:val="both"/>
        <w:outlineLvl w:val="9"/>
        <w:rPr>
          <w:rFonts w:hint="eastAsia" w:hAnsi="宋体" w:eastAsia="宋体" w:cs="Times New Roman"/>
          <w:color w:val="auto"/>
          <w:sz w:val="21"/>
          <w:szCs w:val="21"/>
          <w:lang w:eastAsia="zh-CN"/>
        </w:rPr>
      </w:pPr>
      <w:r>
        <w:rPr>
          <w:rFonts w:hint="eastAsia" w:ascii="宋体" w:hAnsi="宋体" w:eastAsia="宋体" w:cs="宋体"/>
          <w:color w:val="auto"/>
          <w:sz w:val="21"/>
          <w:szCs w:val="21"/>
          <w:lang w:val="en-US" w:eastAsia="zh-CN"/>
        </w:rPr>
        <w:t>1、供货期限：</w:t>
      </w:r>
      <w:r>
        <w:rPr>
          <w:rFonts w:hint="eastAsia" w:ascii="宋体" w:hAnsi="宋体" w:eastAsia="宋体" w:cs="宋体"/>
          <w:color w:val="auto"/>
          <w:sz w:val="21"/>
          <w:szCs w:val="21"/>
        </w:rPr>
        <w:t>自合同签订之日起12个月</w:t>
      </w:r>
      <w:r>
        <w:rPr>
          <w:rFonts w:hint="eastAsia" w:ascii="宋体" w:hAnsi="宋体" w:eastAsia="宋体" w:cs="宋体"/>
          <w:color w:val="auto"/>
          <w:sz w:val="21"/>
          <w:szCs w:val="21"/>
          <w:lang w:val="en-US" w:eastAsia="zh-CN"/>
        </w:rPr>
        <w:t>，</w:t>
      </w:r>
      <w:r>
        <w:rPr>
          <w:rFonts w:hint="eastAsia" w:hAnsi="宋体" w:eastAsia="宋体" w:cs="Times New Roman"/>
          <w:color w:val="auto"/>
          <w:sz w:val="21"/>
          <w:szCs w:val="21"/>
          <w:lang w:val="zh-CN" w:eastAsia="zh-CN"/>
        </w:rPr>
        <w:t>自</w:t>
      </w:r>
      <w:r>
        <w:rPr>
          <w:rFonts w:hint="eastAsia" w:hAnsi="宋体" w:eastAsia="宋体" w:cs="Times New Roman"/>
          <w:color w:val="auto"/>
          <w:sz w:val="21"/>
          <w:szCs w:val="21"/>
          <w:u w:val="single"/>
          <w:lang w:eastAsia="zh-CN"/>
        </w:rPr>
        <w:t xml:space="preserve">     年   月   日</w:t>
      </w:r>
      <w:r>
        <w:rPr>
          <w:rFonts w:hint="eastAsia" w:hAnsi="宋体" w:eastAsia="宋体" w:cs="Times New Roman"/>
          <w:color w:val="auto"/>
          <w:sz w:val="21"/>
          <w:szCs w:val="21"/>
          <w:lang w:eastAsia="zh-CN"/>
        </w:rPr>
        <w:t>至</w:t>
      </w:r>
      <w:r>
        <w:rPr>
          <w:rFonts w:hint="eastAsia" w:hAnsi="宋体" w:eastAsia="宋体" w:cs="Times New Roman"/>
          <w:color w:val="auto"/>
          <w:sz w:val="21"/>
          <w:szCs w:val="21"/>
          <w:u w:val="single"/>
          <w:lang w:eastAsia="zh-CN"/>
        </w:rPr>
        <w:t xml:space="preserve">     年   月   日</w:t>
      </w:r>
      <w:r>
        <w:rPr>
          <w:rFonts w:hint="eastAsia" w:hAnsi="宋体" w:eastAsia="宋体" w:cs="Times New Roman"/>
          <w:color w:val="auto"/>
          <w:sz w:val="21"/>
          <w:szCs w:val="21"/>
          <w:lang w:val="zh-CN" w:eastAsia="zh-CN"/>
        </w:rPr>
        <w:t>。</w:t>
      </w:r>
    </w:p>
    <w:p>
      <w:pPr>
        <w:spacing w:line="360" w:lineRule="auto"/>
        <w:ind w:firstLine="420" w:firstLineChars="200"/>
        <w:jc w:val="both"/>
        <w:outlineLvl w:val="9"/>
        <w:rPr>
          <w:rFonts w:hAnsi="宋体" w:eastAsia="宋体" w:cs="Times New Roman"/>
          <w:color w:val="auto"/>
          <w:sz w:val="21"/>
          <w:szCs w:val="21"/>
        </w:rPr>
      </w:pPr>
      <w:r>
        <w:rPr>
          <w:rFonts w:hint="eastAsia" w:ascii="宋体" w:hAnsi="宋体" w:eastAsia="宋体" w:cs="宋体"/>
          <w:color w:val="auto"/>
          <w:sz w:val="21"/>
          <w:szCs w:val="21"/>
          <w:lang w:val="en-US" w:eastAsia="zh-CN"/>
        </w:rPr>
        <w:t>2、供货期限满后，双方经友好协商一致之后，可在保持中标综合单价不变的情况下，签订补充协议延长供货资格期限，延长的供货资格期限原则上不超过3个月。</w:t>
      </w:r>
    </w:p>
    <w:p>
      <w:pPr>
        <w:keepNext w:val="0"/>
        <w:keepLines w:val="0"/>
        <w:pageBreakBefore w:val="0"/>
        <w:widowControl/>
        <w:kinsoku/>
        <w:wordWrap/>
        <w:overflowPunct/>
        <w:topLinePunct w:val="0"/>
        <w:bidi w:val="0"/>
        <w:spacing w:line="360" w:lineRule="auto"/>
        <w:ind w:left="0" w:leftChars="0" w:firstLine="422" w:firstLineChars="200"/>
        <w:textAlignment w:val="auto"/>
        <w:outlineLvl w:val="9"/>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第三条 中标折扣系数及</w:t>
      </w:r>
      <w:r>
        <w:rPr>
          <w:rFonts w:hint="eastAsia" w:ascii="宋体" w:hAnsi="宋体" w:eastAsia="宋体" w:cs="宋体"/>
          <w:b/>
          <w:color w:val="auto"/>
          <w:sz w:val="21"/>
          <w:szCs w:val="21"/>
        </w:rPr>
        <w:t>暂定合同价</w:t>
      </w:r>
    </w:p>
    <w:p>
      <w:pPr>
        <w:pStyle w:val="158"/>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1、中标折扣系数为：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大写</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eastAsia="zh-CN"/>
        </w:rPr>
        <w:t>）</w:t>
      </w:r>
      <w:r>
        <w:rPr>
          <w:rFonts w:hint="eastAsia" w:hAnsi="宋体" w:eastAsia="宋体" w:cs="宋体"/>
          <w:color w:val="auto"/>
          <w:sz w:val="21"/>
          <w:szCs w:val="21"/>
          <w:u w:val="none"/>
          <w:lang w:eastAsia="zh-CN"/>
        </w:rPr>
        <w:t>，</w:t>
      </w:r>
      <w:r>
        <w:rPr>
          <w:rFonts w:hint="eastAsia" w:ascii="宋体" w:hAnsi="宋体" w:eastAsia="宋体" w:cs="宋体"/>
          <w:color w:val="auto"/>
          <w:sz w:val="21"/>
          <w:szCs w:val="21"/>
        </w:rPr>
        <w:t>合同履约过程中，</w:t>
      </w:r>
      <w:r>
        <w:rPr>
          <w:rFonts w:hint="eastAsia" w:ascii="宋体" w:hAnsi="宋体" w:eastAsia="宋体" w:cs="宋体"/>
          <w:color w:val="auto"/>
          <w:sz w:val="21"/>
          <w:szCs w:val="21"/>
          <w:lang w:val="en-US" w:eastAsia="zh-CN"/>
        </w:rPr>
        <w:t>中标折扣系数固定不变，《供货货物清单及综合单价表》中不含税综合价单统一采取以下方式计算：不含税综合单价=不含税预算综合单价×中标折扣系数，以实际供货数量进行结算，不含税中标综合单价出现小数点，保留小数点后两位，从小数点后第3位四舍五入。未列入</w:t>
      </w:r>
      <w:r>
        <w:rPr>
          <w:rFonts w:hint="eastAsia" w:hAnsi="宋体" w:eastAsia="宋体" w:cs="宋体"/>
          <w:color w:val="auto"/>
          <w:sz w:val="21"/>
          <w:szCs w:val="21"/>
          <w:lang w:val="en-US" w:eastAsia="zh-CN"/>
        </w:rPr>
        <w:t>《</w:t>
      </w:r>
      <w:r>
        <w:rPr>
          <w:rFonts w:hint="eastAsia" w:ascii="宋体" w:hAnsi="宋体" w:eastAsia="宋体" w:cs="宋体"/>
          <w:color w:val="auto"/>
          <w:sz w:val="21"/>
          <w:szCs w:val="21"/>
          <w:lang w:val="en-US" w:eastAsia="zh-CN"/>
        </w:rPr>
        <w:t>供货货物清单</w:t>
      </w:r>
      <w:r>
        <w:rPr>
          <w:rFonts w:hint="eastAsia" w:hAnsi="宋体" w:eastAsia="宋体" w:cs="宋体"/>
          <w:color w:val="auto"/>
          <w:sz w:val="21"/>
          <w:szCs w:val="21"/>
          <w:lang w:val="en-US" w:eastAsia="zh-CN"/>
        </w:rPr>
        <w:t>及综合单价表》</w:t>
      </w:r>
      <w:r>
        <w:rPr>
          <w:rFonts w:hint="eastAsia" w:ascii="宋体" w:hAnsi="宋体" w:eastAsia="宋体" w:cs="宋体"/>
          <w:color w:val="auto"/>
          <w:sz w:val="21"/>
          <w:szCs w:val="21"/>
          <w:lang w:val="en-US" w:eastAsia="zh-CN"/>
        </w:rPr>
        <w:t>的五金配件及劳保物资，按甲方委托具有造价资质的第三方公司编制成果文件确定该类</w:t>
      </w:r>
      <w:r>
        <w:rPr>
          <w:rFonts w:hint="eastAsia" w:hAnsi="宋体" w:eastAsia="宋体" w:cs="宋体"/>
          <w:color w:val="auto"/>
          <w:sz w:val="21"/>
          <w:szCs w:val="21"/>
          <w:lang w:val="en-US" w:eastAsia="zh-CN"/>
        </w:rPr>
        <w:t>货物</w:t>
      </w:r>
      <w:r>
        <w:rPr>
          <w:rFonts w:hint="eastAsia" w:ascii="宋体" w:hAnsi="宋体" w:eastAsia="宋体" w:cs="宋体"/>
          <w:color w:val="auto"/>
          <w:sz w:val="21"/>
          <w:szCs w:val="21"/>
          <w:lang w:val="en-US" w:eastAsia="zh-CN"/>
        </w:rPr>
        <w:t>不含税预算综合单价，不含税预算综合单价经甲方确认并与乙方协商确定后，该类</w:t>
      </w:r>
      <w:r>
        <w:rPr>
          <w:rFonts w:hint="eastAsia" w:hAnsi="宋体" w:eastAsia="宋体" w:cs="宋体"/>
          <w:color w:val="auto"/>
          <w:sz w:val="21"/>
          <w:szCs w:val="21"/>
          <w:lang w:val="en-US" w:eastAsia="zh-CN"/>
        </w:rPr>
        <w:t>货物</w:t>
      </w:r>
      <w:r>
        <w:rPr>
          <w:rFonts w:hint="eastAsia" w:ascii="宋体" w:hAnsi="宋体" w:eastAsia="宋体" w:cs="宋体"/>
          <w:color w:val="auto"/>
          <w:sz w:val="21"/>
          <w:szCs w:val="21"/>
          <w:lang w:val="en-US" w:eastAsia="zh-CN"/>
        </w:rPr>
        <w:t>不含税综合单价以前述不含税预算综合单价乘以中标折扣系数</w:t>
      </w:r>
      <w:r>
        <w:rPr>
          <w:rFonts w:hint="eastAsia" w:hAnsi="宋体" w:eastAsia="宋体" w:cs="宋体"/>
          <w:color w:val="auto"/>
          <w:sz w:val="21"/>
          <w:szCs w:val="21"/>
          <w:lang w:val="en-US" w:eastAsia="zh-CN"/>
        </w:rPr>
        <w:t>计算</w:t>
      </w:r>
      <w:r>
        <w:rPr>
          <w:rFonts w:hint="eastAsia" w:ascii="宋体" w:hAnsi="宋体" w:eastAsia="宋体" w:cs="宋体"/>
          <w:color w:val="auto"/>
          <w:sz w:val="21"/>
          <w:szCs w:val="21"/>
          <w:lang w:val="en-US" w:eastAsia="zh-CN"/>
        </w:rPr>
        <w:t>。</w:t>
      </w:r>
    </w:p>
    <w:p>
      <w:pPr>
        <w:pStyle w:val="158"/>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rPr>
      </w:pPr>
      <w:r>
        <w:rPr>
          <w:rFonts w:hint="eastAsia" w:hAnsi="宋体" w:eastAsia="宋体" w:cs="宋体"/>
          <w:color w:val="auto"/>
          <w:sz w:val="21"/>
          <w:szCs w:val="21"/>
          <w:lang w:val="en-US" w:eastAsia="zh-CN"/>
        </w:rPr>
        <w:t>根据</w:t>
      </w:r>
      <w:r>
        <w:rPr>
          <w:rFonts w:hint="eastAsia" w:ascii="宋体" w:hAnsi="宋体" w:eastAsia="宋体" w:cs="宋体"/>
          <w:color w:val="auto"/>
          <w:sz w:val="21"/>
          <w:szCs w:val="21"/>
        </w:rPr>
        <w:t>招标时暂列采购数量清单计算的暂定合同价（即销售额，不含销项税额）为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pStyle w:val="158"/>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在本合同履行过程中，税收政策变动导致增值税税率调整，依法应调整销项税额的，依法调整；但因乙方未按甲方要求时间完成供货、未根据合同约定提供合法、完整的请款资料、货物验收不合格导致的返工或退货、货物验收合格前的非正常损耗等原因导致销项税额增加的，相应损失由乙方承担。</w:t>
      </w:r>
    </w:p>
    <w:p>
      <w:pPr>
        <w:pStyle w:val="158"/>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因乙方未按法定税率计算税额或未根据本合同约定出具对应税额的增值税专用发票等乙方原因导致甲方多支付税额的，乙方必须退还甲方，给甲方造成损失的，乙方须向甲方赔偿相应损失。</w:t>
      </w:r>
    </w:p>
    <w:p>
      <w:pPr>
        <w:pStyle w:val="158"/>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暂定合同价税合计为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元（大写人民币</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w:t>
      </w:r>
      <w:r>
        <w:rPr>
          <w:rFonts w:hint="eastAsia" w:hAnsi="宋体" w:eastAsia="宋体" w:cs="宋体"/>
          <w:color w:val="auto"/>
          <w:sz w:val="21"/>
          <w:szCs w:val="21"/>
          <w:lang w:val="en-US" w:eastAsia="zh-CN"/>
        </w:rPr>
        <w:t>（东莞市众源环境投资有限公司暂定合同价税合计占62.5%，东莞市利源有机资源再生有限公司暂定合同价税合计占37.5%。）</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合同履行期间根据实际</w:t>
      </w:r>
      <w:r>
        <w:rPr>
          <w:rFonts w:hint="eastAsia" w:hAnsi="宋体" w:eastAsia="宋体" w:cs="宋体"/>
          <w:color w:val="auto"/>
          <w:sz w:val="21"/>
          <w:szCs w:val="21"/>
          <w:lang w:val="en-US" w:eastAsia="zh-CN"/>
        </w:rPr>
        <w:t>经甲方验收合格的</w:t>
      </w:r>
      <w:r>
        <w:rPr>
          <w:rFonts w:hint="eastAsia" w:ascii="宋体" w:hAnsi="宋体" w:eastAsia="宋体" w:cs="宋体"/>
          <w:color w:val="auto"/>
          <w:sz w:val="21"/>
          <w:szCs w:val="21"/>
        </w:rPr>
        <w:t>供货量乘以《</w:t>
      </w:r>
      <w:r>
        <w:rPr>
          <w:rFonts w:hint="eastAsia" w:ascii="宋体" w:hAnsi="宋体" w:eastAsia="宋体" w:cs="宋体"/>
          <w:color w:val="auto"/>
          <w:sz w:val="21"/>
          <w:szCs w:val="21"/>
          <w:lang w:val="en-US" w:eastAsia="zh-CN"/>
        </w:rPr>
        <w:t>供货货物清单及综合单价表</w:t>
      </w:r>
      <w:r>
        <w:rPr>
          <w:rFonts w:hint="eastAsia" w:ascii="宋体" w:hAnsi="宋体" w:eastAsia="宋体" w:cs="宋体"/>
          <w:color w:val="auto"/>
          <w:sz w:val="21"/>
          <w:szCs w:val="21"/>
        </w:rPr>
        <w:t>》的不含税综合单价并加上相应销项税额结算。</w:t>
      </w:r>
      <w:r>
        <w:rPr>
          <w:rFonts w:hint="eastAsia" w:hAnsi="宋体" w:eastAsia="宋体" w:cs="宋体"/>
          <w:color w:val="auto"/>
          <w:sz w:val="21"/>
          <w:szCs w:val="21"/>
          <w:lang w:val="en-US" w:eastAsia="zh-CN"/>
        </w:rPr>
        <w:t>合同履行期间根据</w:t>
      </w:r>
      <w:r>
        <w:rPr>
          <w:rFonts w:hint="eastAsia" w:ascii="宋体" w:hAnsi="宋体" w:eastAsia="宋体" w:cs="宋体"/>
          <w:color w:val="auto"/>
          <w:sz w:val="21"/>
          <w:szCs w:val="21"/>
        </w:rPr>
        <w:t>本条第2</w:t>
      </w:r>
      <w:r>
        <w:rPr>
          <w:rFonts w:hint="eastAsia" w:hAnsi="宋体" w:eastAsia="宋体" w:cs="宋体"/>
          <w:color w:val="auto"/>
          <w:sz w:val="21"/>
          <w:szCs w:val="21"/>
          <w:lang w:val="en-US" w:eastAsia="zh-CN"/>
        </w:rPr>
        <w:t>款</w:t>
      </w:r>
      <w:r>
        <w:rPr>
          <w:rFonts w:hint="eastAsia" w:ascii="宋体" w:hAnsi="宋体" w:eastAsia="宋体" w:cs="宋体"/>
          <w:color w:val="auto"/>
          <w:sz w:val="21"/>
          <w:szCs w:val="21"/>
        </w:rPr>
        <w:t>规定调整销项税额的，结算价对应调整。</w:t>
      </w:r>
    </w:p>
    <w:p>
      <w:pPr>
        <w:pStyle w:val="158"/>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rPr>
      </w:pPr>
      <w:r>
        <w:rPr>
          <w:rFonts w:hint="eastAsia"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hAnsi="宋体" w:eastAsia="宋体" w:cs="宋体"/>
          <w:color w:val="auto"/>
          <w:sz w:val="21"/>
          <w:szCs w:val="21"/>
          <w:lang w:val="en-US" w:eastAsia="zh-CN"/>
        </w:rPr>
        <w:t>不含税</w:t>
      </w:r>
      <w:r>
        <w:rPr>
          <w:rFonts w:hint="eastAsia" w:ascii="宋体" w:hAnsi="宋体" w:eastAsia="宋体" w:cs="宋体"/>
          <w:color w:val="auto"/>
          <w:sz w:val="21"/>
          <w:szCs w:val="21"/>
        </w:rPr>
        <w:t>综合单价包括了甲方需就购买本合同项下货物及其服务所支付的全部价款，</w:t>
      </w:r>
      <w:r>
        <w:rPr>
          <w:rFonts w:hint="eastAsia" w:ascii="宋体" w:hAnsi="宋体" w:eastAsia="宋体" w:cs="宋体"/>
          <w:color w:val="auto"/>
          <w:sz w:val="21"/>
          <w:szCs w:val="21"/>
          <w:lang w:val="zh-CN"/>
        </w:rPr>
        <w:t>包括但不限于：</w:t>
      </w:r>
      <w:r>
        <w:rPr>
          <w:rFonts w:hint="eastAsia" w:ascii="宋体" w:hAnsi="宋体" w:eastAsia="宋体" w:cs="宋体"/>
          <w:color w:val="auto"/>
          <w:sz w:val="21"/>
          <w:szCs w:val="21"/>
        </w:rPr>
        <w:t>（1）货物及用户需求书采购清单中要求</w:t>
      </w:r>
      <w:r>
        <w:rPr>
          <w:rFonts w:hint="eastAsia" w:hAnsi="宋体" w:eastAsia="宋体" w:cs="宋体"/>
          <w:color w:val="auto"/>
          <w:sz w:val="21"/>
          <w:szCs w:val="21"/>
          <w:lang w:val="en-US" w:eastAsia="zh-CN"/>
        </w:rPr>
        <w:t>的</w:t>
      </w:r>
      <w:r>
        <w:rPr>
          <w:rFonts w:hint="eastAsia" w:ascii="宋体" w:hAnsi="宋体" w:eastAsia="宋体" w:cs="宋体"/>
          <w:color w:val="auto"/>
          <w:sz w:val="21"/>
          <w:szCs w:val="21"/>
        </w:rPr>
        <w:t>每项货物</w:t>
      </w:r>
      <w:r>
        <w:rPr>
          <w:rFonts w:hint="eastAsia" w:hAnsi="宋体" w:eastAsia="宋体" w:cs="宋体"/>
          <w:color w:val="auto"/>
          <w:sz w:val="21"/>
          <w:szCs w:val="21"/>
          <w:lang w:eastAsia="zh-CN"/>
        </w:rPr>
        <w:t>、</w:t>
      </w:r>
      <w:r>
        <w:rPr>
          <w:rFonts w:hint="eastAsia" w:ascii="宋体" w:hAnsi="宋体" w:eastAsia="宋体" w:cs="宋体"/>
          <w:color w:val="auto"/>
          <w:sz w:val="21"/>
          <w:szCs w:val="21"/>
        </w:rPr>
        <w:t>配备的附件、备品备件的采购、制造、检测、试验、送货、搬运（含二次搬运至甲方指定仓储地点）、包装费、运费</w:t>
      </w:r>
      <w:r>
        <w:rPr>
          <w:rFonts w:hint="eastAsia" w:hAnsi="宋体" w:eastAsia="宋体" w:cs="宋体"/>
          <w:color w:val="auto"/>
          <w:sz w:val="21"/>
          <w:szCs w:val="21"/>
          <w:lang w:eastAsia="zh-CN"/>
        </w:rPr>
        <w:t>（</w:t>
      </w:r>
      <w:r>
        <w:rPr>
          <w:rFonts w:hint="eastAsia" w:hAnsi="宋体" w:eastAsia="宋体" w:cs="宋体"/>
          <w:color w:val="auto"/>
          <w:sz w:val="21"/>
          <w:szCs w:val="21"/>
          <w:lang w:val="en-US" w:eastAsia="zh-CN"/>
        </w:rPr>
        <w:t>包含退送货</w:t>
      </w:r>
      <w:r>
        <w:rPr>
          <w:rFonts w:hint="eastAsia" w:hAnsi="宋体" w:eastAsia="宋体" w:cs="宋体"/>
          <w:color w:val="auto"/>
          <w:sz w:val="21"/>
          <w:szCs w:val="21"/>
          <w:lang w:eastAsia="zh-CN"/>
        </w:rPr>
        <w:t>）</w:t>
      </w:r>
      <w:r>
        <w:rPr>
          <w:rFonts w:hint="eastAsia" w:ascii="宋体" w:hAnsi="宋体" w:eastAsia="宋体" w:cs="宋体"/>
          <w:color w:val="auto"/>
          <w:sz w:val="21"/>
          <w:szCs w:val="21"/>
        </w:rPr>
        <w:t>、保险、现场仓储等相关服务的全部费用；（2）免费的质保服务，包括但不限于质量问题处理或更换失效产品；（3）供货货物及其工艺所有制造方、使用方应支付的对专有技术、商标权、专利权和版权、设计或其他知识产权而需要向其他方支付的版税；（</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）货物验收合格前发生的安全事故所产生的一切费用；（</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）合理利润、乙方销项税额以外的税费、中标服务费等；（</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）法律法规、商业公认、招标文件规定由乙方承担的其他直接及间接费用。</w:t>
      </w:r>
    </w:p>
    <w:p>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b/>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在本合同履行过程中，</w:t>
      </w:r>
      <w:r>
        <w:rPr>
          <w:rFonts w:hint="eastAsia" w:ascii="宋体" w:hAnsi="宋体" w:eastAsia="宋体" w:cs="宋体"/>
          <w:color w:val="auto"/>
          <w:sz w:val="21"/>
          <w:szCs w:val="21"/>
        </w:rPr>
        <w:t>综合单价（不含销项税额）固定不变，不得因材料、劳务成本、运输成本、国家政策、货物的行业标准或国家标准的变动或其他任何理由</w:t>
      </w:r>
      <w:r>
        <w:rPr>
          <w:rFonts w:hint="eastAsia" w:ascii="宋体" w:hAnsi="宋体" w:eastAsia="宋体" w:cs="宋体"/>
          <w:color w:val="auto"/>
          <w:sz w:val="21"/>
          <w:szCs w:val="21"/>
          <w:lang w:val="zh-CN"/>
        </w:rPr>
        <w:t>予以变更。</w:t>
      </w:r>
      <w:r>
        <w:rPr>
          <w:rFonts w:hint="eastAsia" w:ascii="宋体" w:hAnsi="宋体" w:eastAsia="宋体" w:cs="宋体"/>
          <w:color w:val="auto"/>
          <w:sz w:val="21"/>
          <w:szCs w:val="21"/>
        </w:rPr>
        <w:t>未经甲方书面确认，乙方无权另行收取其它任何费用。</w:t>
      </w:r>
    </w:p>
    <w:p>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第</w:t>
      </w:r>
      <w:r>
        <w:rPr>
          <w:rFonts w:hint="eastAsia" w:ascii="宋体" w:hAnsi="宋体" w:eastAsia="宋体" w:cs="宋体"/>
          <w:b/>
          <w:color w:val="auto"/>
          <w:sz w:val="21"/>
          <w:szCs w:val="21"/>
          <w:lang w:val="en-US" w:eastAsia="zh-CN"/>
        </w:rPr>
        <w:t>四</w:t>
      </w:r>
      <w:r>
        <w:rPr>
          <w:rFonts w:hint="eastAsia" w:ascii="宋体" w:hAnsi="宋体" w:eastAsia="宋体" w:cs="宋体"/>
          <w:b/>
          <w:color w:val="auto"/>
          <w:sz w:val="21"/>
          <w:szCs w:val="21"/>
        </w:rPr>
        <w:t>条 付款方式</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b/>
          <w:color w:val="auto"/>
          <w:sz w:val="21"/>
          <w:szCs w:val="21"/>
        </w:rPr>
      </w:pPr>
      <w:r>
        <w:rPr>
          <w:rFonts w:hint="eastAsia" w:ascii="宋体" w:hAnsi="宋体" w:eastAsia="宋体" w:cs="宋体"/>
          <w:b/>
          <w:bCs w:val="0"/>
          <w:color w:val="auto"/>
          <w:sz w:val="21"/>
          <w:szCs w:val="21"/>
          <w:lang w:val="en-US" w:eastAsia="zh-CN"/>
        </w:rPr>
        <w:t>1</w:t>
      </w:r>
      <w:r>
        <w:rPr>
          <w:rFonts w:hint="eastAsia" w:ascii="宋体" w:hAnsi="宋体" w:eastAsia="宋体" w:cs="宋体"/>
          <w:b/>
          <w:bCs w:val="0"/>
          <w:color w:val="auto"/>
          <w:sz w:val="21"/>
          <w:szCs w:val="21"/>
        </w:rPr>
        <w:t>、付款方式：</w:t>
      </w:r>
      <w:r>
        <w:rPr>
          <w:rFonts w:hint="eastAsia" w:ascii="宋体" w:hAnsi="宋体" w:eastAsia="宋体" w:cs="宋体"/>
          <w:b w:val="0"/>
          <w:bCs/>
          <w:color w:val="auto"/>
          <w:sz w:val="21"/>
          <w:szCs w:val="21"/>
          <w:lang w:val="en-US" w:eastAsia="zh-CN"/>
        </w:rPr>
        <w:t>甲方按月进行支付、结算。</w:t>
      </w:r>
      <w:r>
        <w:rPr>
          <w:rFonts w:hint="eastAsia" w:ascii="宋体" w:hAnsi="宋体" w:eastAsia="宋体" w:cs="宋体"/>
          <w:b w:val="0"/>
          <w:bCs/>
          <w:color w:val="auto"/>
          <w:sz w:val="21"/>
          <w:szCs w:val="21"/>
          <w:lang w:eastAsia="zh-CN"/>
        </w:rPr>
        <w:t>甲方</w:t>
      </w:r>
      <w:r>
        <w:rPr>
          <w:rFonts w:hint="eastAsia" w:ascii="宋体" w:hAnsi="宋体" w:eastAsia="宋体" w:cs="宋体"/>
          <w:b w:val="0"/>
          <w:bCs/>
          <w:color w:val="auto"/>
          <w:sz w:val="21"/>
          <w:szCs w:val="21"/>
        </w:rPr>
        <w:t>收到每批货物并最终验收合格后，每月中旬办理支付上月实际</w:t>
      </w:r>
      <w:r>
        <w:rPr>
          <w:rFonts w:hint="eastAsia" w:hAnsi="宋体" w:eastAsia="宋体" w:cs="宋体"/>
          <w:b w:val="0"/>
          <w:bCs/>
          <w:color w:val="auto"/>
          <w:sz w:val="21"/>
          <w:szCs w:val="21"/>
          <w:lang w:val="en-US" w:eastAsia="zh-CN"/>
        </w:rPr>
        <w:t>经验收合格</w:t>
      </w:r>
      <w:r>
        <w:rPr>
          <w:rFonts w:hint="eastAsia" w:ascii="宋体" w:hAnsi="宋体" w:eastAsia="宋体" w:cs="宋体"/>
          <w:b w:val="0"/>
          <w:bCs/>
          <w:color w:val="auto"/>
          <w:sz w:val="21"/>
          <w:szCs w:val="21"/>
        </w:rPr>
        <w:t>供货量</w:t>
      </w:r>
      <w:r>
        <w:rPr>
          <w:rFonts w:hint="eastAsia" w:hAnsi="宋体" w:eastAsia="宋体" w:cs="宋体"/>
          <w:b w:val="0"/>
          <w:bCs/>
          <w:color w:val="auto"/>
          <w:sz w:val="21"/>
          <w:szCs w:val="21"/>
          <w:lang w:val="en-US" w:eastAsia="zh-CN"/>
        </w:rPr>
        <w:t>对应</w:t>
      </w:r>
      <w:r>
        <w:rPr>
          <w:rFonts w:hint="eastAsia" w:ascii="宋体" w:hAnsi="宋体" w:eastAsia="宋体" w:cs="宋体"/>
          <w:b w:val="0"/>
          <w:bCs/>
          <w:color w:val="auto"/>
          <w:sz w:val="21"/>
          <w:szCs w:val="21"/>
        </w:rPr>
        <w:t>的款项，</w:t>
      </w:r>
      <w:r>
        <w:rPr>
          <w:rFonts w:hint="eastAsia" w:ascii="宋体" w:hAnsi="宋体" w:eastAsia="宋体" w:cs="宋体"/>
          <w:b w:val="0"/>
          <w:bCs/>
          <w:color w:val="auto"/>
          <w:sz w:val="21"/>
          <w:szCs w:val="21"/>
          <w:lang w:eastAsia="zh-CN"/>
        </w:rPr>
        <w:t>乙方</w:t>
      </w:r>
      <w:r>
        <w:rPr>
          <w:rFonts w:hint="eastAsia" w:ascii="宋体" w:hAnsi="宋体" w:eastAsia="宋体" w:cs="宋体"/>
          <w:b w:val="0"/>
          <w:bCs/>
          <w:color w:val="auto"/>
          <w:sz w:val="21"/>
          <w:szCs w:val="21"/>
        </w:rPr>
        <w:t>向</w:t>
      </w:r>
      <w:r>
        <w:rPr>
          <w:rFonts w:hint="eastAsia" w:ascii="宋体" w:hAnsi="宋体" w:eastAsia="宋体" w:cs="宋体"/>
          <w:b w:val="0"/>
          <w:bCs/>
          <w:color w:val="auto"/>
          <w:sz w:val="21"/>
          <w:szCs w:val="21"/>
          <w:lang w:eastAsia="zh-CN"/>
        </w:rPr>
        <w:t>甲方</w:t>
      </w:r>
      <w:r>
        <w:rPr>
          <w:rFonts w:hint="eastAsia" w:ascii="宋体" w:hAnsi="宋体" w:eastAsia="宋体" w:cs="宋体"/>
          <w:b w:val="0"/>
          <w:bCs/>
          <w:color w:val="auto"/>
          <w:sz w:val="21"/>
          <w:szCs w:val="21"/>
        </w:rPr>
        <w:t>提交请款报告和等额的合法、有效的增值税专用发票，</w:t>
      </w:r>
      <w:r>
        <w:rPr>
          <w:rFonts w:hint="eastAsia" w:ascii="宋体" w:hAnsi="宋体" w:eastAsia="宋体" w:cs="宋体"/>
          <w:b w:val="0"/>
          <w:bCs/>
          <w:color w:val="auto"/>
          <w:sz w:val="21"/>
          <w:szCs w:val="21"/>
          <w:lang w:eastAsia="zh-CN"/>
        </w:rPr>
        <w:t>甲方</w:t>
      </w:r>
      <w:r>
        <w:rPr>
          <w:rFonts w:hint="eastAsia" w:ascii="宋体" w:hAnsi="宋体" w:eastAsia="宋体" w:cs="宋体"/>
          <w:b w:val="0"/>
          <w:bCs/>
          <w:color w:val="auto"/>
          <w:sz w:val="21"/>
          <w:szCs w:val="21"/>
        </w:rPr>
        <w:t>在收到前述材料并确认无误后 15 个工作日内，</w:t>
      </w:r>
      <w:r>
        <w:rPr>
          <w:rFonts w:hint="eastAsia" w:hAnsi="宋体" w:eastAsia="宋体" w:cs="宋体"/>
          <w:b w:val="0"/>
          <w:bCs/>
          <w:color w:val="auto"/>
          <w:sz w:val="21"/>
          <w:szCs w:val="21"/>
          <w:lang w:val="en-US" w:eastAsia="zh-CN"/>
        </w:rPr>
        <w:t>向乙方</w:t>
      </w:r>
      <w:r>
        <w:rPr>
          <w:rFonts w:hint="eastAsia" w:ascii="宋体" w:hAnsi="宋体" w:eastAsia="宋体" w:cs="宋体"/>
          <w:b w:val="0"/>
          <w:bCs/>
          <w:color w:val="auto"/>
          <w:sz w:val="21"/>
          <w:szCs w:val="21"/>
        </w:rPr>
        <w:t>支付上月实际</w:t>
      </w:r>
      <w:r>
        <w:rPr>
          <w:rFonts w:hint="eastAsia" w:hAnsi="宋体" w:eastAsia="宋体" w:cs="宋体"/>
          <w:b w:val="0"/>
          <w:bCs/>
          <w:color w:val="auto"/>
          <w:sz w:val="21"/>
          <w:szCs w:val="21"/>
          <w:lang w:val="en-US" w:eastAsia="zh-CN"/>
        </w:rPr>
        <w:t>经验收合格</w:t>
      </w:r>
      <w:r>
        <w:rPr>
          <w:rFonts w:hint="eastAsia" w:ascii="宋体" w:hAnsi="宋体" w:eastAsia="宋体" w:cs="宋体"/>
          <w:b w:val="0"/>
          <w:bCs/>
          <w:color w:val="auto"/>
          <w:sz w:val="21"/>
          <w:szCs w:val="21"/>
        </w:rPr>
        <w:t>供货量总价的【100%】及对应税额。</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按相应的运营项目采购需求清单提供货物价款等额合法的增值税</w:t>
      </w:r>
      <w:r>
        <w:rPr>
          <w:rFonts w:hint="eastAsia" w:hAnsi="宋体" w:eastAsia="宋体" w:cs="宋体"/>
          <w:color w:val="auto"/>
          <w:sz w:val="21"/>
          <w:szCs w:val="21"/>
          <w:lang w:val="en-US" w:eastAsia="zh-CN"/>
        </w:rPr>
        <w:t>专用</w:t>
      </w:r>
      <w:r>
        <w:rPr>
          <w:rFonts w:hint="eastAsia" w:ascii="宋体" w:hAnsi="宋体" w:eastAsia="宋体" w:cs="宋体"/>
          <w:color w:val="auto"/>
          <w:sz w:val="21"/>
          <w:szCs w:val="21"/>
        </w:rPr>
        <w:t>发票、请款报告等请款资料，</w:t>
      </w:r>
      <w:r>
        <w:rPr>
          <w:rFonts w:hint="eastAsia" w:hAnsi="宋体" w:eastAsia="宋体" w:cs="宋体"/>
          <w:color w:val="auto"/>
          <w:sz w:val="21"/>
          <w:szCs w:val="21"/>
          <w:lang w:val="en-US" w:eastAsia="zh-CN"/>
        </w:rPr>
        <w:t>乙方</w:t>
      </w:r>
      <w:r>
        <w:rPr>
          <w:rFonts w:hint="eastAsia" w:ascii="宋体" w:hAnsi="宋体" w:eastAsia="宋体" w:cs="宋体"/>
          <w:color w:val="auto"/>
          <w:sz w:val="21"/>
          <w:szCs w:val="21"/>
        </w:rPr>
        <w:t>逾期提交请款资料及发票或提交资料</w:t>
      </w:r>
      <w:r>
        <w:rPr>
          <w:rFonts w:hint="eastAsia" w:hAnsi="宋体" w:eastAsia="宋体" w:cs="宋体"/>
          <w:color w:val="auto"/>
          <w:sz w:val="21"/>
          <w:szCs w:val="21"/>
          <w:lang w:val="en-US" w:eastAsia="zh-CN"/>
        </w:rPr>
        <w:t>或发票</w:t>
      </w:r>
      <w:r>
        <w:rPr>
          <w:rFonts w:hint="eastAsia" w:ascii="宋体" w:hAnsi="宋体" w:eastAsia="宋体" w:cs="宋体"/>
          <w:color w:val="auto"/>
          <w:sz w:val="21"/>
          <w:szCs w:val="21"/>
        </w:rPr>
        <w:t>不符合</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要求的，</w:t>
      </w:r>
      <w:r>
        <w:rPr>
          <w:rFonts w:hint="eastAsia" w:hAnsi="宋体" w:eastAsia="宋体" w:cs="宋体"/>
          <w:color w:val="auto"/>
          <w:sz w:val="21"/>
          <w:szCs w:val="21"/>
          <w:lang w:val="en-US" w:eastAsia="zh-CN"/>
        </w:rPr>
        <w:t>甲方</w:t>
      </w:r>
      <w:r>
        <w:rPr>
          <w:rFonts w:hint="eastAsia" w:ascii="宋体" w:hAnsi="宋体" w:eastAsia="宋体" w:cs="宋体"/>
          <w:color w:val="auto"/>
          <w:sz w:val="21"/>
          <w:szCs w:val="21"/>
        </w:rPr>
        <w:t>付款时间顺延，并不承担逾期付款违约责任</w:t>
      </w:r>
      <w:r>
        <w:rPr>
          <w:rFonts w:hint="eastAsia" w:ascii="宋体" w:hAnsi="宋体" w:eastAsia="宋体" w:cs="宋体"/>
          <w:b w:val="0"/>
          <w:bCs/>
          <w:color w:val="auto"/>
          <w:sz w:val="21"/>
          <w:szCs w:val="21"/>
        </w:rPr>
        <w:t>，由此产生的后果由乙方自行承担</w:t>
      </w:r>
      <w:r>
        <w:rPr>
          <w:rFonts w:hint="eastAsia" w:ascii="宋体" w:hAnsi="宋体" w:eastAsia="宋体" w:cs="宋体"/>
          <w:color w:val="auto"/>
          <w:sz w:val="21"/>
          <w:szCs w:val="21"/>
        </w:rPr>
        <w:t>。由于</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提供的发票不符合税法规定，给</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造成的损失由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承担赔偿责任。</w:t>
      </w:r>
    </w:p>
    <w:p>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、乙方指定收款账户：</w:t>
      </w:r>
    </w:p>
    <w:p>
      <w:pPr>
        <w:pStyle w:val="128"/>
        <w:keepNext w:val="0"/>
        <w:keepLines w:val="0"/>
        <w:pageBreakBefore w:val="0"/>
        <w:kinsoku/>
        <w:wordWrap/>
        <w:overflowPunct/>
        <w:topLinePunct w:val="0"/>
        <w:bidi w:val="0"/>
        <w:spacing w:line="360" w:lineRule="auto"/>
        <w:ind w:left="720"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户名： </w:t>
      </w:r>
    </w:p>
    <w:p>
      <w:pPr>
        <w:pStyle w:val="128"/>
        <w:keepNext w:val="0"/>
        <w:keepLines w:val="0"/>
        <w:pageBreakBefore w:val="0"/>
        <w:kinsoku/>
        <w:wordWrap/>
        <w:overflowPunct/>
        <w:topLinePunct w:val="0"/>
        <w:bidi w:val="0"/>
        <w:spacing w:line="360" w:lineRule="auto"/>
        <w:ind w:left="720"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开户行： </w:t>
      </w:r>
    </w:p>
    <w:p>
      <w:pPr>
        <w:pStyle w:val="128"/>
        <w:keepNext w:val="0"/>
        <w:keepLines w:val="0"/>
        <w:pageBreakBefore w:val="0"/>
        <w:kinsoku/>
        <w:wordWrap/>
        <w:overflowPunct/>
        <w:topLinePunct w:val="0"/>
        <w:bidi w:val="0"/>
        <w:spacing w:line="360" w:lineRule="auto"/>
        <w:ind w:left="720"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账号：</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乙方确认本合同项下的款项均支付至上述银行账户，甲方将款项支付至乙方指定账户即完成支付义务。如乙方收款账户发生任何变更，乙方应至少提前【15】个工作日书面通知甲方；因</w:t>
      </w:r>
      <w:r>
        <w:rPr>
          <w:rFonts w:hint="eastAsia" w:hAnsi="宋体" w:eastAsia="宋体" w:cs="宋体"/>
          <w:b w:val="0"/>
          <w:bCs/>
          <w:color w:val="auto"/>
          <w:sz w:val="21"/>
          <w:szCs w:val="21"/>
          <w:lang w:val="en-US" w:eastAsia="zh-CN"/>
        </w:rPr>
        <w:t>乙方</w:t>
      </w:r>
      <w:r>
        <w:rPr>
          <w:rFonts w:hint="eastAsia" w:ascii="宋体" w:hAnsi="宋体" w:eastAsia="宋体" w:cs="宋体"/>
          <w:b w:val="0"/>
          <w:bCs/>
          <w:color w:val="auto"/>
          <w:sz w:val="21"/>
          <w:szCs w:val="21"/>
        </w:rPr>
        <w:t>未及时通知</w:t>
      </w:r>
      <w:r>
        <w:rPr>
          <w:rFonts w:hint="eastAsia" w:hAnsi="宋体" w:eastAsia="宋体" w:cs="宋体"/>
          <w:b w:val="0"/>
          <w:bCs/>
          <w:color w:val="auto"/>
          <w:sz w:val="21"/>
          <w:szCs w:val="21"/>
          <w:lang w:val="en-US" w:eastAsia="zh-CN"/>
        </w:rPr>
        <w:t>甲方上述变更</w:t>
      </w:r>
      <w:r>
        <w:rPr>
          <w:rFonts w:hint="eastAsia" w:ascii="宋体" w:hAnsi="宋体" w:eastAsia="宋体" w:cs="宋体"/>
          <w:b w:val="0"/>
          <w:bCs/>
          <w:color w:val="auto"/>
          <w:sz w:val="21"/>
          <w:szCs w:val="21"/>
        </w:rPr>
        <w:t>或因上述银行账户被查封、冻结或发生其他非因甲方原因导致款项未能及时到账的，因此导致的后果由乙方自行承担，与甲方无关。</w:t>
      </w:r>
    </w:p>
    <w:p>
      <w:pPr>
        <w:keepNext w:val="0"/>
        <w:keepLines w:val="0"/>
        <w:pageBreakBefore w:val="0"/>
        <w:widowControl/>
        <w:kinsoku/>
        <w:wordWrap/>
        <w:overflowPunct/>
        <w:topLinePunct w:val="0"/>
        <w:bidi w:val="0"/>
        <w:spacing w:line="360" w:lineRule="auto"/>
        <w:ind w:left="0" w:leftChars="0" w:firstLine="422" w:firstLineChars="200"/>
        <w:textAlignment w:val="auto"/>
        <w:outlineLvl w:val="9"/>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第五条 交货要求</w:t>
      </w:r>
    </w:p>
    <w:p>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配送形式和交货期：</w:t>
      </w:r>
    </w:p>
    <w:p>
      <w:pPr>
        <w:keepNext w:val="0"/>
        <w:keepLines w:val="0"/>
        <w:pageBreakBefore w:val="0"/>
        <w:widowControl/>
        <w:kinsoku/>
        <w:wordWrap/>
        <w:overflowPunct/>
        <w:topLinePunct w:val="0"/>
        <w:bidi w:val="0"/>
        <w:spacing w:line="360" w:lineRule="auto"/>
        <w:ind w:firstLine="42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① 月度配送。每月10号前</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发出供货通知，</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自接到</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供货通知后，需在【10】个工作日内按</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该次发出供货清单送达</w:t>
      </w:r>
      <w:r>
        <w:rPr>
          <w:rFonts w:hint="eastAsia" w:ascii="宋体" w:hAnsi="宋体" w:eastAsia="宋体" w:cs="宋体"/>
          <w:color w:val="auto"/>
          <w:sz w:val="21"/>
          <w:szCs w:val="21"/>
          <w:lang w:val="en-US" w:eastAsia="zh-CN"/>
        </w:rPr>
        <w:t>货物</w:t>
      </w:r>
      <w:r>
        <w:rPr>
          <w:rFonts w:hint="eastAsia" w:ascii="宋体" w:hAnsi="宋体" w:eastAsia="宋体" w:cs="宋体"/>
          <w:color w:val="auto"/>
          <w:sz w:val="21"/>
          <w:szCs w:val="21"/>
        </w:rPr>
        <w:t>并经</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验收合格，由双方签字确认。</w:t>
      </w:r>
    </w:p>
    <w:p>
      <w:pPr>
        <w:keepNext w:val="0"/>
        <w:keepLines w:val="0"/>
        <w:pageBreakBefore w:val="0"/>
        <w:widowControl/>
        <w:kinsoku/>
        <w:wordWrap/>
        <w:overflowPunct/>
        <w:topLinePunct w:val="0"/>
        <w:bidi w:val="0"/>
        <w:spacing w:line="360" w:lineRule="auto"/>
        <w:ind w:firstLine="42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② 临时配送。如遇临时紧急配送，</w:t>
      </w:r>
      <w:r>
        <w:rPr>
          <w:rFonts w:hint="eastAsia" w:ascii="宋体" w:hAnsi="宋体" w:eastAsia="宋体" w:cs="宋体"/>
          <w:color w:val="auto"/>
          <w:sz w:val="21"/>
          <w:szCs w:val="21"/>
          <w:lang w:val="en-US" w:eastAsia="zh-CN"/>
        </w:rPr>
        <w:t>乙方应</w:t>
      </w:r>
      <w:r>
        <w:rPr>
          <w:rFonts w:hint="eastAsia" w:ascii="宋体" w:hAnsi="宋体" w:eastAsia="宋体" w:cs="宋体"/>
          <w:color w:val="auto"/>
          <w:sz w:val="21"/>
          <w:szCs w:val="21"/>
        </w:rPr>
        <w:t>自接到</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供货通知后，在【2】个工作日内按</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该次发出供货清单送达</w:t>
      </w:r>
      <w:r>
        <w:rPr>
          <w:rFonts w:hint="eastAsia" w:ascii="宋体" w:hAnsi="宋体" w:eastAsia="宋体" w:cs="宋体"/>
          <w:color w:val="auto"/>
          <w:sz w:val="21"/>
          <w:szCs w:val="21"/>
          <w:lang w:val="en-US" w:eastAsia="zh-CN"/>
        </w:rPr>
        <w:t>货物</w:t>
      </w:r>
      <w:r>
        <w:rPr>
          <w:rFonts w:hint="eastAsia" w:ascii="宋体" w:hAnsi="宋体" w:eastAsia="宋体" w:cs="宋体"/>
          <w:color w:val="auto"/>
          <w:sz w:val="21"/>
          <w:szCs w:val="21"/>
        </w:rPr>
        <w:t>并经</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验收合格，由双方签字确认，供货是否为紧急配送以</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通知为准。</w:t>
      </w:r>
    </w:p>
    <w:p>
      <w:pPr>
        <w:keepNext w:val="0"/>
        <w:keepLines w:val="0"/>
        <w:pageBreakBefore w:val="0"/>
        <w:widowControl/>
        <w:kinsoku/>
        <w:wordWrap/>
        <w:overflowPunct/>
        <w:topLinePunct w:val="0"/>
        <w:bidi w:val="0"/>
        <w:spacing w:line="360" w:lineRule="auto"/>
        <w:ind w:firstLine="42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③ 交货延期要求。</w:t>
      </w:r>
      <w:r>
        <w:rPr>
          <w:rFonts w:hint="eastAsia" w:ascii="宋体" w:hAnsi="宋体" w:eastAsia="宋体" w:cs="宋体"/>
          <w:color w:val="auto"/>
          <w:sz w:val="21"/>
          <w:szCs w:val="21"/>
          <w:lang w:val="en-US" w:eastAsia="zh-CN"/>
        </w:rPr>
        <w:t>对于</w:t>
      </w:r>
      <w:r>
        <w:rPr>
          <w:rFonts w:hint="eastAsia" w:ascii="宋体" w:hAnsi="宋体" w:eastAsia="宋体" w:cs="宋体"/>
          <w:color w:val="auto"/>
          <w:sz w:val="21"/>
          <w:szCs w:val="21"/>
        </w:rPr>
        <w:t>货源不充足需要订购的五金</w:t>
      </w:r>
      <w:r>
        <w:rPr>
          <w:rFonts w:hint="eastAsia" w:ascii="宋体" w:hAnsi="宋体" w:eastAsia="宋体" w:cs="宋体"/>
          <w:color w:val="auto"/>
          <w:sz w:val="21"/>
          <w:szCs w:val="21"/>
          <w:lang w:val="en-US" w:eastAsia="zh-CN"/>
        </w:rPr>
        <w:t>配件</w:t>
      </w:r>
      <w:r>
        <w:rPr>
          <w:rFonts w:hint="eastAsia" w:ascii="宋体" w:hAnsi="宋体" w:eastAsia="宋体" w:cs="宋体"/>
          <w:color w:val="auto"/>
          <w:sz w:val="21"/>
          <w:szCs w:val="21"/>
        </w:rPr>
        <w:t>及劳保物资，</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在收到</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的供货通知后48小时内与</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进行沟通并经</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同意后，可延长交货期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延长的交货期以甲方指定为准</w:t>
      </w:r>
      <w:r>
        <w:rPr>
          <w:rFonts w:hint="eastAsia" w:ascii="宋体" w:hAnsi="宋体" w:eastAsia="宋体" w:cs="宋体"/>
          <w:color w:val="auto"/>
          <w:sz w:val="21"/>
          <w:szCs w:val="21"/>
        </w:rPr>
        <w:t>。</w:t>
      </w:r>
    </w:p>
    <w:p>
      <w:pPr>
        <w:keepNext w:val="0"/>
        <w:keepLines w:val="0"/>
        <w:pageBreakBefore w:val="0"/>
        <w:widowControl/>
        <w:kinsoku/>
        <w:wordWrap/>
        <w:overflowPunct/>
        <w:topLinePunct w:val="0"/>
        <w:bidi w:val="0"/>
        <w:spacing w:line="360" w:lineRule="auto"/>
        <w:ind w:firstLine="42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交货地点：详见附件</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《送货地址汇总表》。后续</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根据业务需求在东莞市范围内新增的运营点，将提前【3】个工作日通知</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进行新增配货地点登记。</w:t>
      </w:r>
    </w:p>
    <w:p>
      <w:pPr>
        <w:keepNext w:val="0"/>
        <w:keepLines w:val="0"/>
        <w:pageBreakBefore w:val="0"/>
        <w:widowControl/>
        <w:kinsoku/>
        <w:wordWrap/>
        <w:overflowPunct/>
        <w:topLinePunct w:val="0"/>
        <w:bidi w:val="0"/>
        <w:spacing w:line="360" w:lineRule="auto"/>
        <w:ind w:firstLine="42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交货方式：乙方应采用可靠、安全的包装及运输方式将货物运输至甲方指定地点，并承担相应的运输、装卸等费用。由于货物包装不良、运输方式不当或非法运输造成的事故、损失、行政处罚和由此产生的其他全部费用均由乙方自行全部承担。</w:t>
      </w:r>
    </w:p>
    <w:p>
      <w:pPr>
        <w:keepNext w:val="0"/>
        <w:keepLines w:val="0"/>
        <w:pageBreakBefore w:val="0"/>
        <w:widowControl/>
        <w:kinsoku/>
        <w:wordWrap/>
        <w:overflowPunct/>
        <w:topLinePunct w:val="0"/>
        <w:bidi w:val="0"/>
        <w:spacing w:line="360" w:lineRule="auto"/>
        <w:ind w:firstLine="420"/>
        <w:textAlignment w:val="auto"/>
        <w:outlineLvl w:val="9"/>
        <w:rPr>
          <w:rFonts w:hint="eastAsia" w:ascii="宋体" w:hAnsi="宋体" w:eastAsia="宋体" w:cs="宋体"/>
          <w:b/>
          <w:color w:val="auto"/>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交货方式与风险承担：在货物移交给</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并经</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最终验收合格前，货物的毁损、灭失的风险和责任均由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承担。</w:t>
      </w:r>
    </w:p>
    <w:p>
      <w:pPr>
        <w:keepNext w:val="0"/>
        <w:keepLines w:val="0"/>
        <w:pageBreakBefore w:val="0"/>
        <w:widowControl/>
        <w:kinsoku/>
        <w:wordWrap/>
        <w:overflowPunct/>
        <w:topLinePunct w:val="0"/>
        <w:bidi w:val="0"/>
        <w:spacing w:line="360" w:lineRule="auto"/>
        <w:ind w:left="0" w:leftChars="0" w:firstLine="422" w:firstLineChars="200"/>
        <w:textAlignment w:val="auto"/>
        <w:outlineLvl w:val="9"/>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第六条 货物质量要求</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1、乙方所供货物的品牌可参考推荐品牌</w:t>
      </w:r>
      <w:r>
        <w:rPr>
          <w:rFonts w:hint="eastAsia" w:hAnsi="宋体" w:eastAsia="宋体" w:cs="宋体"/>
          <w:color w:val="auto"/>
          <w:sz w:val="21"/>
          <w:szCs w:val="21"/>
          <w:lang w:eastAsia="zh-CN"/>
        </w:rPr>
        <w:t>，</w:t>
      </w:r>
      <w:r>
        <w:rPr>
          <w:rFonts w:hint="eastAsia" w:hAnsi="宋体" w:eastAsia="宋体" w:cs="宋体"/>
          <w:color w:val="auto"/>
          <w:sz w:val="21"/>
          <w:szCs w:val="21"/>
          <w:lang w:val="en-US" w:eastAsia="zh-CN"/>
        </w:rPr>
        <w:t>若</w:t>
      </w:r>
      <w:r>
        <w:rPr>
          <w:rFonts w:hint="eastAsia" w:ascii="宋体" w:hAnsi="宋体" w:eastAsia="宋体" w:cs="宋体"/>
          <w:color w:val="auto"/>
          <w:sz w:val="21"/>
          <w:szCs w:val="21"/>
        </w:rPr>
        <w:t>乙方所供货物的品牌</w:t>
      </w:r>
      <w:r>
        <w:rPr>
          <w:rFonts w:hint="eastAsia" w:hAnsi="宋体" w:eastAsia="宋体" w:cs="宋体"/>
          <w:color w:val="auto"/>
          <w:sz w:val="21"/>
          <w:szCs w:val="21"/>
          <w:lang w:val="en-US" w:eastAsia="zh-CN"/>
        </w:rPr>
        <w:t>在推荐品牌范围外的，乙方应保证所供货物品牌</w:t>
      </w:r>
      <w:r>
        <w:rPr>
          <w:rFonts w:hint="eastAsia" w:ascii="宋体" w:hAnsi="宋体" w:eastAsia="宋体" w:cs="宋体"/>
          <w:color w:val="auto"/>
          <w:sz w:val="21"/>
          <w:szCs w:val="21"/>
        </w:rPr>
        <w:t>质量同等或优于推荐品牌。</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所供货物的品牌质量优于推荐品牌的，</w:t>
      </w:r>
      <w:r>
        <w:rPr>
          <w:rFonts w:hint="eastAsia" w:hAnsi="宋体" w:eastAsia="宋体" w:cs="宋体"/>
          <w:color w:val="auto"/>
          <w:sz w:val="21"/>
          <w:szCs w:val="21"/>
          <w:lang w:val="en-US" w:eastAsia="zh-CN"/>
        </w:rPr>
        <w:t>本合同</w:t>
      </w:r>
      <w:r>
        <w:rPr>
          <w:rFonts w:hint="eastAsia" w:ascii="宋体" w:hAnsi="宋体" w:eastAsia="宋体" w:cs="宋体"/>
          <w:color w:val="auto"/>
          <w:sz w:val="21"/>
          <w:szCs w:val="21"/>
        </w:rPr>
        <w:t>综合单价或总价均不作</w:t>
      </w:r>
      <w:r>
        <w:rPr>
          <w:rFonts w:hint="eastAsia" w:hAnsi="宋体" w:eastAsia="宋体" w:cs="宋体"/>
          <w:color w:val="auto"/>
          <w:sz w:val="21"/>
          <w:szCs w:val="21"/>
          <w:lang w:val="en-US" w:eastAsia="zh-CN"/>
        </w:rPr>
        <w:t>任何</w:t>
      </w:r>
      <w:r>
        <w:rPr>
          <w:rFonts w:hint="eastAsia" w:ascii="宋体" w:hAnsi="宋体" w:eastAsia="宋体" w:cs="宋体"/>
          <w:color w:val="auto"/>
          <w:sz w:val="21"/>
          <w:szCs w:val="21"/>
        </w:rPr>
        <w:t>变更。</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rPr>
      </w:pPr>
      <w:r>
        <w:rPr>
          <w:rFonts w:hint="eastAsia" w:hAnsi="宋体" w:eastAsia="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eastAsia="宋体" w:cs="宋体"/>
          <w:bCs/>
          <w:color w:val="auto"/>
          <w:sz w:val="21"/>
          <w:szCs w:val="21"/>
          <w:lang w:val="en-US" w:eastAsia="zh-CN"/>
        </w:rPr>
        <w:t>乙方</w:t>
      </w:r>
      <w:r>
        <w:rPr>
          <w:rFonts w:hint="eastAsia" w:ascii="宋体" w:hAnsi="宋体" w:eastAsia="宋体" w:cs="宋体"/>
          <w:bCs/>
          <w:color w:val="auto"/>
          <w:sz w:val="21"/>
          <w:szCs w:val="21"/>
        </w:rPr>
        <w:t>所提供的货物必须符合国家现行有效的法律法规、行业规范及相关的质量标准并保证其产品使用质量，满足</w:t>
      </w:r>
      <w:r>
        <w:rPr>
          <w:rFonts w:hint="eastAsia" w:ascii="宋体" w:hAnsi="宋体" w:eastAsia="宋体" w:cs="宋体"/>
          <w:bCs/>
          <w:color w:val="auto"/>
          <w:sz w:val="21"/>
          <w:szCs w:val="21"/>
          <w:lang w:val="en-US" w:eastAsia="zh-CN"/>
        </w:rPr>
        <w:t>甲方</w:t>
      </w:r>
      <w:r>
        <w:rPr>
          <w:rFonts w:hint="eastAsia" w:ascii="宋体" w:hAnsi="宋体" w:eastAsia="宋体" w:cs="宋体"/>
          <w:bCs/>
          <w:color w:val="auto"/>
          <w:sz w:val="21"/>
          <w:szCs w:val="21"/>
        </w:rPr>
        <w:t>的实际使用需求。如在货物送货时发现货物破损或者发生质量问题，</w:t>
      </w:r>
      <w:r>
        <w:rPr>
          <w:rFonts w:hint="eastAsia" w:ascii="宋体" w:hAnsi="宋体" w:eastAsia="宋体" w:cs="宋体"/>
          <w:bCs/>
          <w:color w:val="auto"/>
          <w:sz w:val="21"/>
          <w:szCs w:val="21"/>
          <w:lang w:val="en-US" w:eastAsia="zh-CN"/>
        </w:rPr>
        <w:t>甲方</w:t>
      </w:r>
      <w:r>
        <w:rPr>
          <w:rFonts w:hint="eastAsia" w:ascii="宋体" w:hAnsi="宋体" w:eastAsia="宋体" w:cs="宋体"/>
          <w:bCs/>
          <w:color w:val="auto"/>
          <w:sz w:val="21"/>
          <w:szCs w:val="21"/>
        </w:rPr>
        <w:t>有权要求</w:t>
      </w:r>
      <w:r>
        <w:rPr>
          <w:rFonts w:hint="eastAsia" w:ascii="宋体" w:hAnsi="宋体" w:eastAsia="宋体" w:cs="宋体"/>
          <w:bCs/>
          <w:color w:val="auto"/>
          <w:sz w:val="21"/>
          <w:szCs w:val="21"/>
          <w:lang w:val="en-US" w:eastAsia="zh-CN"/>
        </w:rPr>
        <w:t>乙方</w:t>
      </w:r>
      <w:r>
        <w:rPr>
          <w:rFonts w:hint="eastAsia" w:ascii="宋体" w:hAnsi="宋体" w:eastAsia="宋体" w:cs="宋体"/>
          <w:bCs/>
          <w:color w:val="auto"/>
          <w:sz w:val="21"/>
          <w:szCs w:val="21"/>
        </w:rPr>
        <w:t>在收到通知后【3】日内退换相应的货物；如因货物质量问题在安装使用后导致设备损坏无法正常使用，由</w:t>
      </w:r>
      <w:r>
        <w:rPr>
          <w:rFonts w:hint="eastAsia" w:ascii="宋体" w:hAnsi="宋体" w:eastAsia="宋体" w:cs="宋体"/>
          <w:bCs/>
          <w:color w:val="auto"/>
          <w:sz w:val="21"/>
          <w:szCs w:val="21"/>
          <w:lang w:val="en-US" w:eastAsia="zh-CN"/>
        </w:rPr>
        <w:t>乙方</w:t>
      </w:r>
      <w:r>
        <w:rPr>
          <w:rFonts w:hint="eastAsia" w:ascii="宋体" w:hAnsi="宋体" w:eastAsia="宋体" w:cs="宋体"/>
          <w:bCs/>
          <w:color w:val="auto"/>
          <w:sz w:val="21"/>
          <w:szCs w:val="21"/>
        </w:rPr>
        <w:t>负责对该设备进行维修，因此产生的费用由</w:t>
      </w:r>
      <w:r>
        <w:rPr>
          <w:rFonts w:hint="eastAsia" w:ascii="宋体" w:hAnsi="宋体" w:eastAsia="宋体" w:cs="宋体"/>
          <w:bCs/>
          <w:color w:val="auto"/>
          <w:sz w:val="21"/>
          <w:szCs w:val="21"/>
          <w:lang w:val="en-US" w:eastAsia="zh-CN"/>
        </w:rPr>
        <w:t>乙方</w:t>
      </w:r>
      <w:r>
        <w:rPr>
          <w:rFonts w:hint="eastAsia" w:ascii="宋体" w:hAnsi="宋体" w:eastAsia="宋体" w:cs="宋体"/>
          <w:bCs/>
          <w:color w:val="auto"/>
          <w:sz w:val="21"/>
          <w:szCs w:val="21"/>
        </w:rPr>
        <w:t>承担。</w:t>
      </w:r>
    </w:p>
    <w:p>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、乙方提供的货物必须是原厂生产的、非组装的、全新的、未使用过的产品（含零部件、配件、随机工具等），随机配备的所有配件必须为原厂原配，表面无划伤、无碰撞的痕迹。有原厂包装的，应附有合格证。</w:t>
      </w:r>
    </w:p>
    <w:p>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4、乙方必须提供目前市场上技术较先进，成熟的原装产品，其质量、规格及技术特征符合合同的要求，并符合国家有关标准。</w:t>
      </w:r>
    </w:p>
    <w:p>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5、如货物属于国家规定的特种劳动防护用品的，乙方应在交货时提供相关产品检验报告等质量证明文件。</w:t>
      </w:r>
    </w:p>
    <w:p>
      <w:pPr>
        <w:keepNext w:val="0"/>
        <w:keepLines w:val="0"/>
        <w:pageBreakBefore w:val="0"/>
        <w:kinsoku/>
        <w:wordWrap/>
        <w:overflowPunct/>
        <w:topLinePunct w:val="0"/>
        <w:bidi w:val="0"/>
        <w:adjustRightInd/>
        <w:spacing w:line="360" w:lineRule="auto"/>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乙方所提供的货物，如需要甲方自行安装使用，乙方需提供配套的安装培训或指导，避免因安装失误而导致设备损坏。如因乙方未进行安装培训或指导，导致甲方设备损坏的，乙方需对该设备进行维修，所产生的费用由乙方负责。</w:t>
      </w:r>
    </w:p>
    <w:p>
      <w:pPr>
        <w:keepNext w:val="0"/>
        <w:keepLines w:val="0"/>
        <w:pageBreakBefore w:val="0"/>
        <w:kinsoku/>
        <w:wordWrap/>
        <w:overflowPunct/>
        <w:topLinePunct w:val="0"/>
        <w:bidi w:val="0"/>
        <w:adjustRightInd/>
        <w:spacing w:line="360" w:lineRule="auto"/>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乙方必须保证，甲方在使用该货物或货物的任何一部分时，免受因第三方提出的侵犯专利权、著作权、商标权和工艺设计权等侵犯知识产权的起诉。如果任何第三方提出侵权主张，乙方须与第三方交涉并承担由此发生的一切责任、费用和经济赔偿。由于乙方提供的货物或货物的任何一部分不符合知识产权规定，给甲方造成的损失由乙方承担赔偿责任。</w:t>
      </w:r>
    </w:p>
    <w:p>
      <w:pPr>
        <w:pStyle w:val="19"/>
        <w:keepNext w:val="0"/>
        <w:keepLines w:val="0"/>
        <w:pageBreakBefore w:val="0"/>
        <w:kinsoku/>
        <w:wordWrap/>
        <w:overflowPunct/>
        <w:topLinePunct w:val="0"/>
        <w:bidi w:val="0"/>
        <w:adjustRightInd/>
        <w:spacing w:line="360" w:lineRule="auto"/>
        <w:ind w:firstLine="420" w:firstLineChars="200"/>
        <w:jc w:val="left"/>
        <w:textAlignment w:val="auto"/>
        <w:outlineLvl w:val="9"/>
        <w:rPr>
          <w:rFonts w:hint="eastAsia" w:ascii="宋体" w:hAnsi="宋体" w:eastAsia="宋体" w:cs="宋体"/>
          <w:b/>
          <w:color w:val="auto"/>
          <w:sz w:val="21"/>
          <w:szCs w:val="21"/>
        </w:rPr>
      </w:pPr>
      <w:r>
        <w:rPr>
          <w:rFonts w:hint="eastAsia" w:hAnsi="宋体" w:cs="宋体"/>
          <w:b w:val="0"/>
          <w:bCs w:val="0"/>
          <w:color w:val="auto"/>
          <w:sz w:val="21"/>
          <w:szCs w:val="21"/>
          <w:lang w:val="en-US" w:eastAsia="zh-CN"/>
        </w:rPr>
        <w:t>8</w:t>
      </w:r>
      <w:r>
        <w:rPr>
          <w:rFonts w:hint="eastAsia" w:ascii="宋体" w:hAnsi="宋体" w:eastAsia="宋体" w:cs="宋体"/>
          <w:b w:val="0"/>
          <w:bCs w:val="0"/>
          <w:color w:val="auto"/>
          <w:sz w:val="21"/>
          <w:szCs w:val="21"/>
        </w:rPr>
        <w:t>、乙方应负责将合同所供货物运至甲方指定位置，包括到场货物搬卸和采取安全措施。货物相关运输、装卸、保险、关税（进口货物）等费用已包含在综合报价中。乙方对任何甲方不予接收的存在缺损或不符合技术文件规定的货物或有关机件、附件，应立即运走，予以更换</w:t>
      </w:r>
      <w:r>
        <w:rPr>
          <w:rFonts w:hint="eastAsia" w:ascii="宋体" w:hAnsi="宋体" w:eastAsia="宋体" w:cs="宋体"/>
          <w:b w:val="0"/>
          <w:bCs w:val="0"/>
          <w:color w:val="auto"/>
          <w:sz w:val="21"/>
          <w:szCs w:val="21"/>
          <w:lang w:val="en-US"/>
        </w:rPr>
        <w:t>并自行承担所有因此产生的费用</w:t>
      </w:r>
      <w:r>
        <w:rPr>
          <w:rFonts w:hint="eastAsia" w:ascii="宋体" w:hAnsi="宋体" w:eastAsia="宋体" w:cs="宋体"/>
          <w:b w:val="0"/>
          <w:bCs w:val="0"/>
          <w:color w:val="auto"/>
          <w:sz w:val="21"/>
          <w:szCs w:val="21"/>
        </w:rPr>
        <w:t>。</w:t>
      </w:r>
    </w:p>
    <w:p>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第</w:t>
      </w:r>
      <w:r>
        <w:rPr>
          <w:rFonts w:hint="eastAsia" w:ascii="宋体" w:hAnsi="宋体" w:eastAsia="宋体" w:cs="宋体"/>
          <w:b/>
          <w:color w:val="auto"/>
          <w:sz w:val="21"/>
          <w:szCs w:val="21"/>
          <w:lang w:val="en-US" w:eastAsia="zh-CN"/>
        </w:rPr>
        <w:t>七</w:t>
      </w:r>
      <w:r>
        <w:rPr>
          <w:rFonts w:hint="eastAsia" w:ascii="宋体" w:hAnsi="宋体" w:eastAsia="宋体" w:cs="宋体"/>
          <w:b/>
          <w:color w:val="auto"/>
          <w:sz w:val="21"/>
          <w:szCs w:val="21"/>
        </w:rPr>
        <w:t xml:space="preserve">条 </w:t>
      </w:r>
      <w:r>
        <w:rPr>
          <w:rFonts w:hint="eastAsia" w:ascii="宋体" w:hAnsi="宋体" w:eastAsia="宋体" w:cs="宋体"/>
          <w:b/>
          <w:color w:val="auto"/>
          <w:sz w:val="21"/>
          <w:szCs w:val="21"/>
          <w:lang w:val="en-US" w:eastAsia="zh-CN"/>
        </w:rPr>
        <w:t>验收要求</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每</w:t>
      </w:r>
      <w:r>
        <w:rPr>
          <w:rFonts w:hint="eastAsia" w:hAnsi="宋体" w:eastAsia="宋体" w:cs="宋体"/>
          <w:color w:val="auto"/>
          <w:sz w:val="21"/>
          <w:szCs w:val="21"/>
          <w:lang w:val="en-US" w:eastAsia="zh-CN"/>
        </w:rPr>
        <w:t>批</w:t>
      </w:r>
      <w:r>
        <w:rPr>
          <w:rFonts w:hint="eastAsia" w:ascii="宋体" w:hAnsi="宋体" w:eastAsia="宋体" w:cs="宋体"/>
          <w:color w:val="auto"/>
          <w:sz w:val="21"/>
          <w:szCs w:val="21"/>
        </w:rPr>
        <w:t>次货物到达交货地点后，</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（含</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委托的第三方）、</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代表共同清点及验货。</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（含</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委托的第三方）按照合同及货物清单、国家相关法律法规以及规范的要求等相关的规定，对货物的品种、品牌、规格型号、数量、外观质量、资料进行清点，并作详细的记录</w:t>
      </w:r>
      <w:r>
        <w:rPr>
          <w:rFonts w:hint="eastAsia" w:hAnsi="宋体" w:eastAsia="宋体" w:cs="宋体"/>
          <w:color w:val="auto"/>
          <w:sz w:val="21"/>
          <w:szCs w:val="21"/>
          <w:lang w:eastAsia="zh-CN"/>
        </w:rPr>
        <w:t>，</w:t>
      </w:r>
      <w:r>
        <w:rPr>
          <w:rFonts w:hint="eastAsia" w:hAnsi="宋体" w:eastAsia="宋体" w:cs="宋体"/>
          <w:color w:val="auto"/>
          <w:sz w:val="21"/>
          <w:szCs w:val="21"/>
          <w:lang w:val="en-US" w:eastAsia="zh-CN"/>
        </w:rPr>
        <w:t>办理验收手续，并在《物资验收单》作详细的记录</w:t>
      </w:r>
      <w:r>
        <w:rPr>
          <w:rFonts w:hint="eastAsia" w:ascii="宋体" w:hAnsi="宋体" w:eastAsia="宋体" w:cs="宋体"/>
          <w:color w:val="auto"/>
          <w:sz w:val="21"/>
          <w:szCs w:val="21"/>
        </w:rPr>
        <w:t>。</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货期内乙方需安排固定的代表人员与甲方对接，并在本项目合同中提供代表人员的姓名、职务、联系方式信息。供货期内乙方不得随意变更其代表人员，如乙方需变更其代表人员的，应当在下一次供货前【3】日内将书面的变更申请提交至甲方；否则甲方有权依据本合同项下乙方代表人员名单对相关货物进行检验或确认，由此产生的责任均由乙方自行承担。</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代表联系方式</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姓名：          </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职务：                        </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2、乙方</w:t>
      </w:r>
      <w:r>
        <w:rPr>
          <w:rFonts w:hint="eastAsia" w:ascii="宋体" w:hAnsi="宋体" w:eastAsia="宋体" w:cs="宋体"/>
          <w:color w:val="auto"/>
          <w:sz w:val="21"/>
          <w:szCs w:val="21"/>
        </w:rPr>
        <w:t>的货物应当按照</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要求送到指定的地点，由于使用第三方送货服务导致货物未能经过双方共同验收、未送到指定地点仓库的，</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有权拒绝收货。</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未经</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同意，</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或</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委托的第三方送货服务仅将货物放置在门口/门卫室，而没有送货至</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指定的地点的，视为</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未履行送货义务，</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有权拒绝接受货物且不予支付货款。上述情况下</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不负保管责任，货物未按照</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要求放置而造成的损毁、灭失风险概由</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承担。</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如发现货物的品种、规格型号、数量、外观质量、品牌与合同及供货清单不符，或货物短缺、质次、损坏等问题，应作详细记录，且</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有权拒绝收货及拒绝付款，</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应在收到</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通知后【3】日内、无条件为</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免费更换、补齐或无条件退货。更换或补齐后的货物，</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有权按照本条有关验收的约定进行验收，由此产生的制造、修理、运费及保险费等费用均应由</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负担，与</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无关。</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由于非</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原因而引起货物的修理或更换的</w:t>
      </w:r>
      <w:r>
        <w:rPr>
          <w:rFonts w:hint="eastAsia" w:hAnsi="宋体" w:eastAsia="宋体" w:cs="宋体"/>
          <w:color w:val="auto"/>
          <w:sz w:val="21"/>
          <w:szCs w:val="21"/>
          <w:lang w:val="en-US" w:eastAsia="zh-CN"/>
        </w:rPr>
        <w:t>时间，如乙方在甲方规定的时间内完成修理或更换的，则不视为逾期交货，否则将视为逾期交货。</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货物经验收合格后，</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仍应在质保期内对产品质量承担保证责任。</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7、每批次货物在甲方清点无误后，甲乙双方共同对该批次货物进行最终验收。最终验收合格后，甲方出具相关签收手续。</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rPr>
      </w:pPr>
      <w:r>
        <w:rPr>
          <w:rFonts w:hint="eastAsia" w:hAnsi="宋体" w:eastAsia="宋体" w:cs="宋体"/>
          <w:color w:val="auto"/>
          <w:sz w:val="21"/>
          <w:szCs w:val="21"/>
          <w:lang w:val="en-US" w:eastAsia="zh-CN"/>
        </w:rPr>
        <w:t>8</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根据本条约定对货物所做出的验收，仅作为起算付款及质保期之用，不视为</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对于货物质量的最终认定。</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lang w:val="en-US" w:eastAsia="zh-CN"/>
        </w:rPr>
      </w:pPr>
      <w:r>
        <w:rPr>
          <w:rFonts w:hint="eastAsia" w:hAnsi="宋体" w:eastAsia="宋体" w:cs="宋体"/>
          <w:color w:val="auto"/>
          <w:sz w:val="21"/>
          <w:szCs w:val="21"/>
          <w:lang w:val="en-US" w:eastAsia="zh-CN"/>
        </w:rPr>
        <w:t>9</w:t>
      </w:r>
      <w:r>
        <w:rPr>
          <w:rFonts w:hint="eastAsia" w:ascii="宋体" w:hAnsi="宋体" w:eastAsia="宋体" w:cs="宋体"/>
          <w:color w:val="auto"/>
          <w:sz w:val="21"/>
          <w:szCs w:val="21"/>
          <w:lang w:val="en-US" w:eastAsia="zh-CN"/>
        </w:rPr>
        <w:t>、货物在</w:t>
      </w:r>
      <w:r>
        <w:rPr>
          <w:rFonts w:hint="eastAsia" w:hAnsi="宋体" w:eastAsia="宋体" w:cs="宋体"/>
          <w:color w:val="auto"/>
          <w:sz w:val="21"/>
          <w:szCs w:val="21"/>
          <w:lang w:val="en-US" w:eastAsia="zh-CN"/>
        </w:rPr>
        <w:t>每批次</w:t>
      </w:r>
      <w:r>
        <w:rPr>
          <w:rFonts w:hint="eastAsia" w:ascii="宋体" w:hAnsi="宋体" w:eastAsia="宋体" w:cs="宋体"/>
          <w:color w:val="auto"/>
          <w:sz w:val="21"/>
          <w:szCs w:val="21"/>
          <w:lang w:val="en-US" w:eastAsia="zh-CN"/>
        </w:rPr>
        <w:t>全部经甲方验收合格前，其损耗、毁损、灭失等风险及责任由乙方承担，如因发生前述情形，导致乙方所供应的货物不能通过甲方验收的，乙方应按甲方要求予以免费更换、补齐或无条件退货。乙方逾期未将退、换货物拆除及运回的，甲方有权自行或委托第三方对前述退、换货物进行拆除及处置，由此产生的一切费用及损失由乙方自行承担，且甲方有权从应付未付货款、履约担保中直接抵扣前述费用。</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lang w:val="en-US" w:eastAsia="zh-CN"/>
        </w:rPr>
      </w:pPr>
      <w:r>
        <w:rPr>
          <w:rFonts w:hint="eastAsia" w:hAnsi="宋体" w:eastAsia="宋体" w:cs="宋体"/>
          <w:color w:val="auto"/>
          <w:sz w:val="21"/>
          <w:szCs w:val="21"/>
          <w:lang w:val="en-US" w:eastAsia="zh-CN"/>
        </w:rPr>
        <w:t>10</w:t>
      </w:r>
      <w:r>
        <w:rPr>
          <w:rFonts w:hint="eastAsia" w:ascii="宋体" w:hAnsi="宋体" w:eastAsia="宋体" w:cs="宋体"/>
          <w:color w:val="auto"/>
          <w:sz w:val="21"/>
          <w:szCs w:val="21"/>
          <w:lang w:val="en-US" w:eastAsia="zh-CN"/>
        </w:rPr>
        <w:t>、验收过程中，因货物的质量问题而发生争议，有广东省或东莞市质检部门进行质量鉴定。鉴定费用由乙方预交，货物符合质量标准的，鉴定费用由甲方承担；货物不符合质量标准的，鉴定费用由乙方承担。</w:t>
      </w:r>
    </w:p>
    <w:p>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第</w:t>
      </w:r>
      <w:r>
        <w:rPr>
          <w:rFonts w:hint="eastAsia" w:ascii="宋体" w:hAnsi="宋体" w:eastAsia="宋体" w:cs="宋体"/>
          <w:b/>
          <w:color w:val="auto"/>
          <w:sz w:val="21"/>
          <w:szCs w:val="21"/>
          <w:lang w:val="en-US" w:eastAsia="zh-CN"/>
        </w:rPr>
        <w:t>八</w:t>
      </w:r>
      <w:r>
        <w:rPr>
          <w:rFonts w:hint="eastAsia" w:ascii="宋体" w:hAnsi="宋体" w:eastAsia="宋体" w:cs="宋体"/>
          <w:b/>
          <w:color w:val="auto"/>
          <w:sz w:val="21"/>
          <w:szCs w:val="21"/>
        </w:rPr>
        <w:t xml:space="preserve">条 </w:t>
      </w:r>
      <w:r>
        <w:rPr>
          <w:rFonts w:hint="eastAsia" w:ascii="宋体" w:hAnsi="宋体" w:eastAsia="宋体" w:cs="宋体"/>
          <w:b/>
          <w:color w:val="auto"/>
          <w:sz w:val="21"/>
          <w:szCs w:val="21"/>
          <w:lang w:val="en-US" w:eastAsia="zh-CN"/>
        </w:rPr>
        <w:t>质保及售后要求</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由</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负责所供货物的安装工作，</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在安装、使用货物时所遇技术问题，</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应按</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要求及时向</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提供技术指导服务。</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质保期为一年，自</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完成每次</w:t>
      </w:r>
      <w:r>
        <w:rPr>
          <w:rFonts w:hint="eastAsia" w:hAnsi="宋体" w:eastAsia="宋体" w:cs="宋体"/>
          <w:color w:val="auto"/>
          <w:sz w:val="21"/>
          <w:szCs w:val="21"/>
          <w:lang w:val="en-US" w:eastAsia="zh-CN"/>
        </w:rPr>
        <w:t>供货</w:t>
      </w:r>
      <w:r>
        <w:rPr>
          <w:rFonts w:hint="eastAsia" w:ascii="宋体" w:hAnsi="宋体" w:eastAsia="宋体" w:cs="宋体"/>
          <w:color w:val="auto"/>
          <w:sz w:val="21"/>
          <w:szCs w:val="21"/>
        </w:rPr>
        <w:t>清单的所有货物</w:t>
      </w:r>
      <w:r>
        <w:rPr>
          <w:rFonts w:hint="eastAsia" w:hAnsi="宋体" w:eastAsia="宋体" w:cs="宋体"/>
          <w:color w:val="auto"/>
          <w:sz w:val="21"/>
          <w:szCs w:val="21"/>
          <w:lang w:val="en-US" w:eastAsia="zh-CN"/>
        </w:rPr>
        <w:t>配送</w:t>
      </w:r>
      <w:r>
        <w:rPr>
          <w:rFonts w:hint="eastAsia" w:ascii="宋体" w:hAnsi="宋体" w:eastAsia="宋体" w:cs="宋体"/>
          <w:color w:val="auto"/>
          <w:sz w:val="21"/>
          <w:szCs w:val="21"/>
        </w:rPr>
        <w:t>并经</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最终验收合格之日起计算，质保期内</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在收到质保通知之日起【3】日内免费提供上门服务（该费用已包含在货款内）。若货物厂家出厂时承诺更长的质保期限或更高标准的质保义务的，</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需按厂家承诺提供质保服务。若</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逾期提供质保服务或未能对具有质量问题的货物进行维护的，</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有权另行委托第三方对上述货物进行维护，因此产生的所有费用均由</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承担。</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质保期内，若货物经</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次维修或维修时间超过</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个月</w:t>
      </w:r>
      <w:r>
        <w:rPr>
          <w:rFonts w:hint="eastAsia" w:hAnsi="宋体" w:eastAsia="宋体" w:cs="宋体"/>
          <w:color w:val="auto"/>
          <w:sz w:val="21"/>
          <w:szCs w:val="21"/>
          <w:lang w:eastAsia="zh-CN"/>
        </w:rPr>
        <w:t>，</w:t>
      </w:r>
      <w:r>
        <w:rPr>
          <w:rFonts w:hint="eastAsia" w:ascii="宋体" w:hAnsi="宋体" w:eastAsia="宋体" w:cs="宋体"/>
          <w:color w:val="auto"/>
          <w:sz w:val="21"/>
          <w:szCs w:val="21"/>
        </w:rPr>
        <w:t>仍不能正常使用的，</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应免费给予更换，被更换的货物的质保期为从更换日起重新计算。</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在合同规定的质保期内，当货物出现故障问题时，</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接到</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通知后4小时内响应，24小时内赶到现场维修或更换，保证货物的正常使用。</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甲方根据本合同的约定要求乙方更换货物的，乙方在收到甲方发出更换通知后3日内无条件更换全新并符合本合同约定的货物，同时应承担因此产生的全部费用并赔偿甲方因此遭受的损失，更换的货物的质量保证期应按本合同的相关约定重新计算。</w:t>
      </w:r>
    </w:p>
    <w:p>
      <w:pPr>
        <w:keepNext w:val="0"/>
        <w:keepLines w:val="0"/>
        <w:pageBreakBefore w:val="0"/>
        <w:kinsoku/>
        <w:wordWrap/>
        <w:overflowPunct/>
        <w:topLinePunct w:val="0"/>
        <w:bidi w:val="0"/>
        <w:spacing w:line="360" w:lineRule="auto"/>
        <w:ind w:firstLine="373" w:firstLineChars="177"/>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w:t>
      </w:r>
      <w:r>
        <w:rPr>
          <w:rFonts w:hint="eastAsia" w:ascii="宋体" w:hAnsi="宋体" w:eastAsia="宋体" w:cs="宋体"/>
          <w:b/>
          <w:bCs/>
          <w:color w:val="auto"/>
          <w:sz w:val="21"/>
          <w:szCs w:val="21"/>
          <w:lang w:val="en-US" w:eastAsia="zh-CN"/>
        </w:rPr>
        <w:t>九</w:t>
      </w:r>
      <w:r>
        <w:rPr>
          <w:rFonts w:hint="eastAsia" w:ascii="宋体" w:hAnsi="宋体" w:eastAsia="宋体" w:cs="宋体"/>
          <w:b/>
          <w:bCs/>
          <w:color w:val="auto"/>
          <w:sz w:val="21"/>
          <w:szCs w:val="21"/>
        </w:rPr>
        <w:t xml:space="preserve">条 </w:t>
      </w:r>
      <w:r>
        <w:rPr>
          <w:rFonts w:hint="eastAsia" w:ascii="宋体" w:hAnsi="宋体" w:eastAsia="宋体" w:cs="宋体"/>
          <w:b/>
          <w:color w:val="auto"/>
          <w:sz w:val="21"/>
          <w:szCs w:val="21"/>
        </w:rPr>
        <w:t>履约担保</w:t>
      </w:r>
    </w:p>
    <w:p>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1、乙方应当根据招标文件的规定在签订本合同前向甲方提供履约担保，履约担保形式及金额由乙方从以下方式中任选一种：</w:t>
      </w:r>
    </w:p>
    <w:p>
      <w:pPr>
        <w:keepNext w:val="0"/>
        <w:keepLines w:val="0"/>
        <w:pageBreakBefore w:val="0"/>
        <w:kinsoku/>
        <w:wordWrap/>
        <w:overflowPunct/>
        <w:topLinePunct w:val="0"/>
        <w:bidi w:val="0"/>
        <w:adjustRightInd/>
        <w:spacing w:line="360" w:lineRule="auto"/>
        <w:ind w:firstLine="371" w:firstLineChars="177"/>
        <w:textAlignment w:val="auto"/>
        <w:outlineLvl w:val="9"/>
        <w:rPr>
          <w:rFonts w:hint="eastAsia" w:ascii="宋体" w:hAnsi="宋体" w:eastAsia="宋体" w:cs="宋体"/>
          <w:color w:val="auto"/>
          <w:sz w:val="21"/>
          <w:szCs w:val="21"/>
          <w:u w:val="single"/>
        </w:rPr>
      </w:pP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履约保证金（银行转账形式）金额为人民币      ；</w:t>
      </w:r>
    </w:p>
    <w:p>
      <w:pPr>
        <w:keepNext w:val="0"/>
        <w:keepLines w:val="0"/>
        <w:pageBreakBefore w:val="0"/>
        <w:kinsoku/>
        <w:wordWrap/>
        <w:overflowPunct/>
        <w:topLinePunct w:val="0"/>
        <w:bidi w:val="0"/>
        <w:adjustRightInd/>
        <w:spacing w:line="360" w:lineRule="auto"/>
        <w:ind w:firstLine="371" w:firstLineChars="177"/>
        <w:textAlignment w:val="auto"/>
        <w:outlineLvl w:val="9"/>
        <w:rPr>
          <w:rFonts w:hint="eastAsia" w:ascii="宋体" w:hAnsi="宋体" w:eastAsia="宋体" w:cs="宋体"/>
          <w:color w:val="auto"/>
          <w:sz w:val="21"/>
          <w:szCs w:val="21"/>
          <w:u w:val="single"/>
        </w:rPr>
      </w:pPr>
      <w:bookmarkStart w:id="541" w:name="_Hlk32915973"/>
      <w:r>
        <w:rPr>
          <w:rFonts w:hint="eastAsia" w:ascii="宋体" w:hAnsi="宋体" w:eastAsia="宋体" w:cs="宋体"/>
          <w:color w:val="auto"/>
          <w:sz w:val="21"/>
          <w:szCs w:val="21"/>
        </w:rPr>
        <w:t>□</w:t>
      </w:r>
      <w:r>
        <w:rPr>
          <w:rFonts w:hint="eastAsia" w:ascii="宋体" w:hAnsi="宋体" w:eastAsia="宋体" w:cs="宋体"/>
          <w:color w:val="auto"/>
          <w:sz w:val="21"/>
          <w:szCs w:val="21"/>
          <w:u w:val="single"/>
        </w:rPr>
        <w:t>不可撤销银行履约保函金额为</w:t>
      </w:r>
      <w:r>
        <w:rPr>
          <w:rFonts w:hint="eastAsia" w:ascii="宋体" w:hAnsi="宋体" w:eastAsia="宋体" w:cs="宋体"/>
          <w:color w:val="auto"/>
          <w:sz w:val="21"/>
          <w:szCs w:val="21"/>
          <w:u w:val="single"/>
          <w:lang w:val="zh-CN"/>
        </w:rPr>
        <w:t xml:space="preserve">人民币      </w:t>
      </w:r>
      <w:bookmarkEnd w:id="541"/>
      <w:r>
        <w:rPr>
          <w:rFonts w:hint="eastAsia" w:ascii="宋体" w:hAnsi="宋体" w:eastAsia="宋体" w:cs="宋体"/>
          <w:color w:val="auto"/>
          <w:sz w:val="21"/>
          <w:szCs w:val="21"/>
          <w:u w:val="single"/>
        </w:rPr>
        <w:t>；</w:t>
      </w:r>
    </w:p>
    <w:p>
      <w:pPr>
        <w:keepNext w:val="0"/>
        <w:keepLines w:val="0"/>
        <w:pageBreakBefore w:val="0"/>
        <w:kinsoku/>
        <w:wordWrap/>
        <w:overflowPunct/>
        <w:topLinePunct w:val="0"/>
        <w:bidi w:val="0"/>
        <w:adjustRightInd/>
        <w:spacing w:line="360" w:lineRule="auto"/>
        <w:ind w:firstLine="371" w:firstLineChars="177"/>
        <w:textAlignment w:val="auto"/>
        <w:outlineLvl w:val="9"/>
        <w:rPr>
          <w:rFonts w:hint="eastAsia" w:ascii="宋体" w:hAnsi="宋体" w:eastAsia="宋体" w:cs="宋体"/>
          <w:color w:val="auto"/>
          <w:sz w:val="21"/>
          <w:szCs w:val="21"/>
          <w:u w:val="single"/>
        </w:rPr>
      </w:pP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履约保证保险金额为</w:t>
      </w:r>
      <w:r>
        <w:rPr>
          <w:rFonts w:hint="eastAsia" w:ascii="宋体" w:hAnsi="宋体" w:eastAsia="宋体" w:cs="宋体"/>
          <w:color w:val="auto"/>
          <w:sz w:val="21"/>
          <w:szCs w:val="21"/>
          <w:u w:val="single"/>
          <w:lang w:val="zh-CN"/>
        </w:rPr>
        <w:t xml:space="preserve">人民币      </w:t>
      </w:r>
      <w:r>
        <w:rPr>
          <w:rFonts w:hint="eastAsia" w:ascii="宋体" w:hAnsi="宋体" w:eastAsia="宋体" w:cs="宋体"/>
          <w:color w:val="auto"/>
          <w:sz w:val="21"/>
          <w:szCs w:val="21"/>
          <w:u w:val="single"/>
        </w:rPr>
        <w:t>；</w:t>
      </w:r>
    </w:p>
    <w:p>
      <w:pPr>
        <w:pStyle w:val="19"/>
        <w:keepNext w:val="0"/>
        <w:keepLines w:val="0"/>
        <w:pageBreakBefore w:val="0"/>
        <w:kinsoku/>
        <w:wordWrap/>
        <w:overflowPunct/>
        <w:topLinePunct w:val="0"/>
        <w:bidi w:val="0"/>
        <w:adjustRightInd/>
        <w:spacing w:line="360" w:lineRule="auto"/>
        <w:ind w:firstLine="371" w:firstLineChars="177"/>
        <w:jc w:val="left"/>
        <w:textAlignment w:val="auto"/>
        <w:outlineLvl w:val="9"/>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rPr>
        <w:t>□</w:t>
      </w:r>
      <w:r>
        <w:rPr>
          <w:rFonts w:hint="eastAsia" w:ascii="宋体" w:hAnsi="宋体" w:eastAsia="宋体" w:cs="宋体"/>
          <w:b w:val="0"/>
          <w:bCs w:val="0"/>
          <w:color w:val="auto"/>
          <w:sz w:val="21"/>
          <w:szCs w:val="21"/>
          <w:u w:val="single"/>
          <w:lang w:val="en-US"/>
        </w:rPr>
        <w:t>担保公司履约担保书金额为人民币      。</w:t>
      </w:r>
    </w:p>
    <w:p>
      <w:pPr>
        <w:keepNext w:val="0"/>
        <w:keepLines w:val="0"/>
        <w:pageBreakBefore w:val="0"/>
        <w:kinsoku/>
        <w:wordWrap/>
        <w:overflowPunct/>
        <w:topLinePunct w:val="0"/>
        <w:bidi w:val="0"/>
        <w:adjustRightInd/>
        <w:spacing w:line="360" w:lineRule="auto"/>
        <w:ind w:firstLine="371" w:firstLineChars="177"/>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2、履约担保用于补偿甲方因乙方不能完成其合同义务而蒙受的损失或其他合同约定的事项。如发生下列任一情况时，甲方有权依合同追究违约责任外，同时有权提取履约担保并进行相应处理：</w:t>
      </w:r>
    </w:p>
    <w:p>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将合同项下</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的权利义务全部转让给第三方，或未经</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书面同意将部分权利义务</w:t>
      </w:r>
      <w:r>
        <w:rPr>
          <w:rFonts w:hint="eastAsia" w:ascii="宋体" w:hAnsi="宋体" w:eastAsia="宋体" w:cs="宋体"/>
          <w:color w:val="auto"/>
          <w:sz w:val="21"/>
          <w:szCs w:val="21"/>
          <w:lang w:val="en-US" w:eastAsia="zh-CN"/>
        </w:rPr>
        <w:t>分包</w:t>
      </w:r>
      <w:r>
        <w:rPr>
          <w:rFonts w:hint="eastAsia" w:ascii="宋体" w:hAnsi="宋体" w:eastAsia="宋体" w:cs="宋体"/>
          <w:color w:val="auto"/>
          <w:sz w:val="21"/>
          <w:szCs w:val="21"/>
        </w:rPr>
        <w:t>给第三方的，</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有权没收其履约担保。</w:t>
      </w:r>
    </w:p>
    <w:p>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（2）在合同履行期间，</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怠于履行合同义务，经</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通知或要求承担违约金后仍拒不改正的，</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可依法没收或适当扣除其履约担保。</w:t>
      </w:r>
    </w:p>
    <w:p>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（3）在合同履行期间，因</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货物、服务质量问题造成损害、侵权损失（包括但不限于</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经济损失、第三人人身财产损失等）、拖欠原材料供应商货款或与其所雇用员工发生劳资纠纷、上访、闹事或其他影响</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生产经营等情况而其未及时妥善处理的，</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有权使用履约担保予以支付或作出相应处理，由此产生的一切法律后果由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承担。</w:t>
      </w:r>
    </w:p>
    <w:p>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（4）在合同履行期间，</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违约产生的违约金、赔偿、罚款或其他应付费用等款项，</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有权直接从未付款项中直接扣除或启用履约担保予以支付。</w:t>
      </w:r>
    </w:p>
    <w:p>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（5）合同期内，</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不能及时完成合同某项义务的，</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有权提取履约担保用于处理该项工作。</w:t>
      </w:r>
    </w:p>
    <w:p>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（6）其他根据本合同约定或法律规定，</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可启用履约担保的情形。</w:t>
      </w:r>
    </w:p>
    <w:p>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3、在乙方完成本合同下全部义务，</w:t>
      </w:r>
      <w:r>
        <w:rPr>
          <w:rFonts w:hint="eastAsia" w:ascii="宋体" w:hAnsi="宋体" w:eastAsia="宋体" w:cs="宋体"/>
          <w:color w:val="auto"/>
          <w:kern w:val="0"/>
          <w:sz w:val="21"/>
          <w:szCs w:val="21"/>
          <w:highlight w:val="none"/>
        </w:rPr>
        <w:t>且全部</w:t>
      </w:r>
      <w:r>
        <w:rPr>
          <w:rFonts w:hint="eastAsia" w:ascii="宋体" w:hAnsi="宋体" w:eastAsia="宋体" w:cs="宋体"/>
          <w:color w:val="auto"/>
          <w:kern w:val="0"/>
          <w:sz w:val="21"/>
          <w:szCs w:val="21"/>
          <w:highlight w:val="none"/>
          <w:lang w:val="en-US" w:eastAsia="zh-CN"/>
        </w:rPr>
        <w:t>货物经甲方验收合格后</w:t>
      </w:r>
      <w:r>
        <w:rPr>
          <w:rFonts w:hint="eastAsia" w:ascii="宋体" w:hAnsi="宋体" w:eastAsia="宋体" w:cs="宋体"/>
          <w:color w:val="auto"/>
          <w:kern w:val="0"/>
          <w:sz w:val="21"/>
          <w:szCs w:val="21"/>
          <w:highlight w:val="none"/>
        </w:rPr>
        <w:t>二十八（28）日</w:t>
      </w:r>
      <w:r>
        <w:rPr>
          <w:rFonts w:hint="eastAsia" w:ascii="宋体" w:hAnsi="宋体" w:eastAsia="宋体" w:cs="宋体"/>
          <w:color w:val="auto"/>
          <w:kern w:val="0"/>
          <w:sz w:val="21"/>
          <w:szCs w:val="21"/>
          <w:highlight w:val="none"/>
          <w:lang w:val="en-US" w:eastAsia="zh-CN"/>
        </w:rPr>
        <w:t>后</w:t>
      </w:r>
      <w:r>
        <w:rPr>
          <w:rFonts w:hint="eastAsia" w:ascii="宋体" w:hAnsi="宋体" w:eastAsia="宋体" w:cs="宋体"/>
          <w:color w:val="auto"/>
          <w:sz w:val="21"/>
          <w:szCs w:val="21"/>
        </w:rPr>
        <w:t>，甲方将履约保证金余额无息退还乙方。</w:t>
      </w:r>
    </w:p>
    <w:p>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4、如乙方提供不可撤销银行履约保函</w:t>
      </w:r>
      <w:r>
        <w:rPr>
          <w:rFonts w:hint="eastAsia" w:ascii="宋体" w:hAnsi="宋体" w:eastAsia="宋体" w:cs="宋体"/>
          <w:color w:val="auto"/>
          <w:kern w:val="0"/>
          <w:sz w:val="21"/>
          <w:szCs w:val="21"/>
          <w:highlight w:val="none"/>
        </w:rPr>
        <w:t>或履约保证保险</w:t>
      </w:r>
      <w:r>
        <w:rPr>
          <w:rFonts w:hint="eastAsia" w:ascii="宋体" w:hAnsi="宋体" w:eastAsia="宋体" w:cs="宋体"/>
          <w:color w:val="auto"/>
          <w:sz w:val="21"/>
          <w:szCs w:val="21"/>
        </w:rPr>
        <w:t>或担保公司履约担保书作为履约担保的，不可撤销银行履约保函</w:t>
      </w:r>
      <w:r>
        <w:rPr>
          <w:rFonts w:hint="eastAsia" w:ascii="宋体" w:hAnsi="宋体" w:eastAsia="宋体" w:cs="宋体"/>
          <w:color w:val="auto"/>
          <w:kern w:val="0"/>
          <w:sz w:val="21"/>
          <w:szCs w:val="21"/>
          <w:highlight w:val="none"/>
        </w:rPr>
        <w:t>或履约保证保险</w:t>
      </w:r>
      <w:r>
        <w:rPr>
          <w:rFonts w:hint="eastAsia" w:ascii="宋体" w:hAnsi="宋体" w:eastAsia="宋体" w:cs="宋体"/>
          <w:color w:val="auto"/>
          <w:sz w:val="21"/>
          <w:szCs w:val="21"/>
        </w:rPr>
        <w:t>或担保公司履约担保书</w:t>
      </w:r>
      <w:r>
        <w:rPr>
          <w:rFonts w:hint="eastAsia" w:ascii="宋体" w:hAnsi="宋体" w:eastAsia="宋体" w:cs="宋体"/>
          <w:color w:val="auto"/>
          <w:kern w:val="0"/>
          <w:sz w:val="21"/>
          <w:szCs w:val="21"/>
          <w:highlight w:val="none"/>
          <w:lang w:val="en-US" w:eastAsia="zh-CN"/>
        </w:rPr>
        <w:t>自</w:t>
      </w:r>
      <w:r>
        <w:rPr>
          <w:rFonts w:hint="eastAsia" w:ascii="宋体" w:hAnsi="宋体" w:eastAsia="宋体" w:cs="宋体"/>
          <w:color w:val="auto"/>
          <w:kern w:val="0"/>
          <w:sz w:val="21"/>
          <w:szCs w:val="21"/>
          <w:highlight w:val="none"/>
        </w:rPr>
        <w:t>合同签订之日起至</w:t>
      </w:r>
      <w:r>
        <w:rPr>
          <w:rFonts w:hint="eastAsia" w:ascii="宋体" w:hAnsi="宋体" w:eastAsia="宋体" w:cs="宋体"/>
          <w:color w:val="auto"/>
          <w:kern w:val="0"/>
          <w:sz w:val="21"/>
          <w:szCs w:val="21"/>
          <w:highlight w:val="none"/>
          <w:lang w:val="en-US" w:eastAsia="zh-CN"/>
        </w:rPr>
        <w:t>合同期限届满并</w:t>
      </w:r>
      <w:r>
        <w:rPr>
          <w:rFonts w:hint="eastAsia" w:ascii="宋体" w:hAnsi="宋体" w:eastAsia="宋体" w:cs="宋体"/>
          <w:color w:val="auto"/>
          <w:kern w:val="0"/>
          <w:sz w:val="21"/>
          <w:szCs w:val="21"/>
          <w:highlight w:val="none"/>
        </w:rPr>
        <w:t>全部</w:t>
      </w:r>
      <w:r>
        <w:rPr>
          <w:rFonts w:hint="eastAsia" w:ascii="宋体" w:hAnsi="宋体" w:eastAsia="宋体" w:cs="宋体"/>
          <w:color w:val="auto"/>
          <w:kern w:val="0"/>
          <w:sz w:val="21"/>
          <w:szCs w:val="21"/>
          <w:highlight w:val="none"/>
          <w:lang w:val="en-US" w:eastAsia="zh-CN"/>
        </w:rPr>
        <w:t>货物经甲方验收合格后</w:t>
      </w:r>
      <w:r>
        <w:rPr>
          <w:rFonts w:hint="eastAsia" w:ascii="宋体" w:hAnsi="宋体" w:eastAsia="宋体" w:cs="宋体"/>
          <w:color w:val="auto"/>
          <w:kern w:val="0"/>
          <w:sz w:val="21"/>
          <w:szCs w:val="21"/>
          <w:highlight w:val="none"/>
        </w:rPr>
        <w:t>二十八（28）日内保持有效</w:t>
      </w:r>
      <w:r>
        <w:rPr>
          <w:rFonts w:hint="eastAsia" w:ascii="宋体" w:hAnsi="宋体" w:eastAsia="宋体" w:cs="宋体"/>
          <w:color w:val="auto"/>
          <w:sz w:val="21"/>
          <w:szCs w:val="21"/>
        </w:rPr>
        <w:t>。如不可撤销银行履约保函</w:t>
      </w:r>
      <w:r>
        <w:rPr>
          <w:rFonts w:hint="eastAsia" w:ascii="宋体" w:hAnsi="宋体" w:eastAsia="宋体" w:cs="宋体"/>
          <w:color w:val="auto"/>
          <w:kern w:val="0"/>
          <w:sz w:val="21"/>
          <w:szCs w:val="21"/>
          <w:highlight w:val="none"/>
        </w:rPr>
        <w:t>或履约保证保险</w:t>
      </w:r>
      <w:r>
        <w:rPr>
          <w:rFonts w:hint="eastAsia" w:ascii="宋体" w:hAnsi="宋体" w:eastAsia="宋体" w:cs="宋体"/>
          <w:color w:val="auto"/>
          <w:sz w:val="21"/>
          <w:szCs w:val="21"/>
        </w:rPr>
        <w:t>或担保公司履约担保书在规定有效期届满时而货物尚未全部最终验收合格的，乙方必须在不可撤销银行履约保函</w:t>
      </w:r>
      <w:r>
        <w:rPr>
          <w:rFonts w:hint="eastAsia" w:ascii="宋体" w:hAnsi="宋体" w:eastAsia="宋体" w:cs="宋体"/>
          <w:color w:val="auto"/>
          <w:kern w:val="0"/>
          <w:sz w:val="21"/>
          <w:szCs w:val="21"/>
          <w:highlight w:val="none"/>
        </w:rPr>
        <w:t>或履约保证保险</w:t>
      </w:r>
      <w:r>
        <w:rPr>
          <w:rFonts w:hint="eastAsia" w:ascii="宋体" w:hAnsi="宋体" w:eastAsia="宋体" w:cs="宋体"/>
          <w:color w:val="auto"/>
          <w:sz w:val="21"/>
          <w:szCs w:val="21"/>
        </w:rPr>
        <w:t>或担保公司履约担保书到期15日前无条件办理办妥延期手续或重新提供；否则视为乙方违约，甲方有权在不可撤销银行履约保函</w:t>
      </w:r>
      <w:r>
        <w:rPr>
          <w:rFonts w:hint="eastAsia" w:ascii="宋体" w:hAnsi="宋体" w:eastAsia="宋体" w:cs="宋体"/>
          <w:color w:val="auto"/>
          <w:kern w:val="0"/>
          <w:sz w:val="21"/>
          <w:szCs w:val="21"/>
          <w:highlight w:val="none"/>
        </w:rPr>
        <w:t>或履约保证保险</w:t>
      </w:r>
      <w:r>
        <w:rPr>
          <w:rFonts w:hint="eastAsia" w:ascii="宋体" w:hAnsi="宋体" w:eastAsia="宋体" w:cs="宋体"/>
          <w:color w:val="auto"/>
          <w:sz w:val="21"/>
          <w:szCs w:val="21"/>
        </w:rPr>
        <w:t>或担保公司履约担保书到期前向出具履约担保的机构提取履约担保。在不可撤销银行履约保函</w:t>
      </w:r>
      <w:r>
        <w:rPr>
          <w:rFonts w:hint="eastAsia" w:ascii="宋体" w:hAnsi="宋体" w:eastAsia="宋体" w:cs="宋体"/>
          <w:color w:val="auto"/>
          <w:kern w:val="0"/>
          <w:sz w:val="21"/>
          <w:szCs w:val="21"/>
          <w:highlight w:val="none"/>
        </w:rPr>
        <w:t>或履约保证保险</w:t>
      </w:r>
      <w:r>
        <w:rPr>
          <w:rFonts w:hint="eastAsia" w:ascii="宋体" w:hAnsi="宋体" w:eastAsia="宋体" w:cs="宋体"/>
          <w:color w:val="auto"/>
          <w:sz w:val="21"/>
          <w:szCs w:val="21"/>
        </w:rPr>
        <w:t>或担保公司履约担保书到期后乙方未按甲方要求重新提供的，甲方有权要求乙方以履约担保金额为限承担违约金，违约金可直接从未付货款中扣除。</w:t>
      </w:r>
    </w:p>
    <w:p>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b/>
          <w:color w:val="auto"/>
          <w:sz w:val="21"/>
          <w:szCs w:val="21"/>
          <w:lang w:val="en-US" w:eastAsia="zh-CN"/>
        </w:rPr>
      </w:pPr>
      <w:r>
        <w:rPr>
          <w:rFonts w:hint="eastAsia" w:ascii="宋体" w:hAnsi="宋体" w:eastAsia="宋体" w:cs="宋体"/>
          <w:color w:val="auto"/>
          <w:sz w:val="21"/>
          <w:szCs w:val="21"/>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第</w:t>
      </w:r>
      <w:r>
        <w:rPr>
          <w:rFonts w:hint="eastAsia" w:ascii="宋体" w:hAnsi="宋体" w:eastAsia="宋体" w:cs="宋体"/>
          <w:b/>
          <w:color w:val="auto"/>
          <w:sz w:val="21"/>
          <w:szCs w:val="21"/>
          <w:lang w:val="en-US" w:eastAsia="zh-CN"/>
        </w:rPr>
        <w:t>十</w:t>
      </w:r>
      <w:r>
        <w:rPr>
          <w:rFonts w:hint="eastAsia" w:ascii="宋体" w:hAnsi="宋体" w:eastAsia="宋体" w:cs="宋体"/>
          <w:b/>
          <w:color w:val="auto"/>
          <w:sz w:val="21"/>
          <w:szCs w:val="21"/>
        </w:rPr>
        <w:t>条 违约责任</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因货物验收（检验）不合格、或货物在使用过程中出现质量问题，或甲方对货物（包括但不限于其规格、数量、质量、品牌等与合同不符）有异议的，乙方应根据甲方要求予以更换相应合同货物，在甲方发出通知后24小时内将换货货物运离甲方使用地，同时乙方必须加急（</w:t>
      </w:r>
      <w:r>
        <w:rPr>
          <w:rFonts w:hint="eastAsia" w:hAnsi="宋体" w:eastAsia="宋体" w:cs="宋体"/>
          <w:color w:val="auto"/>
          <w:sz w:val="21"/>
          <w:szCs w:val="21"/>
          <w:lang w:val="en-US" w:eastAsia="zh-CN"/>
        </w:rPr>
        <w:t>3</w:t>
      </w:r>
      <w:r>
        <w:rPr>
          <w:rFonts w:hint="eastAsia" w:ascii="宋体" w:hAnsi="宋体" w:eastAsia="宋体" w:cs="宋体"/>
          <w:color w:val="auto"/>
          <w:sz w:val="21"/>
          <w:szCs w:val="21"/>
          <w:lang w:val="en-US" w:eastAsia="zh-CN"/>
        </w:rPr>
        <w:t>日内送达）将等量的合格货物送交甲方，并由乙方赔偿甲方因此所造成的所有损失。若自甲方发出通知24小时后乙方未将不合格货物运离甲方使用地的，甲方可自行或委托第三方对不合格货物进行处置，除该批货物无需支付任何货款外，乙方还必须承担甲方处置该批不合格货物所需的全部费用，以及给甲方造成的一切损失。</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2、乙方未在约定的时间内完成交货的，每逾期1日，应按暂定合同价的3‰向甲方支付违约金。乙方逾期超过</w:t>
      </w:r>
      <w:r>
        <w:rPr>
          <w:rFonts w:hint="eastAsia" w:hAnsi="宋体" w:eastAsia="宋体" w:cs="宋体"/>
          <w:color w:val="auto"/>
          <w:sz w:val="21"/>
          <w:szCs w:val="21"/>
          <w:lang w:val="en-US" w:eastAsia="zh-CN"/>
        </w:rPr>
        <w:t>7</w:t>
      </w:r>
      <w:r>
        <w:rPr>
          <w:rFonts w:hint="eastAsia" w:ascii="宋体" w:hAnsi="宋体" w:eastAsia="宋体" w:cs="宋体"/>
          <w:color w:val="auto"/>
          <w:sz w:val="21"/>
          <w:szCs w:val="21"/>
          <w:lang w:val="en-US" w:eastAsia="zh-CN"/>
        </w:rPr>
        <w:t>日的，甲方</w:t>
      </w:r>
      <w:r>
        <w:rPr>
          <w:rFonts w:hint="eastAsia" w:hAnsi="宋体" w:eastAsia="宋体" w:cs="宋体"/>
          <w:color w:val="auto"/>
          <w:sz w:val="21"/>
          <w:szCs w:val="21"/>
          <w:lang w:val="en-US" w:eastAsia="zh-CN"/>
        </w:rPr>
        <w:t>有权</w:t>
      </w:r>
      <w:r>
        <w:rPr>
          <w:rFonts w:hint="eastAsia" w:ascii="宋体" w:hAnsi="宋体" w:eastAsia="宋体" w:cs="宋体"/>
          <w:color w:val="auto"/>
          <w:sz w:val="21"/>
          <w:szCs w:val="21"/>
          <w:lang w:val="en-US" w:eastAsia="zh-CN"/>
        </w:rPr>
        <w:t>单方解除本合同，乙方除支付前述逾期违约金外，还应额外按暂定合同价的3%向甲方支付违约金。</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乙方所交货物（包括但不限于品种、型号、规格、质量、品牌）不符合合同约定的，甲方有权拒收，并要求乙方予以退货，同时乙方应向甲方支付暂定合同价的1%的违约金。上述情况出现3次（含本数）以上时，甲方有权单方解除合同，并没收履约担保。</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未按约定履行售后服务义务的，</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有权要求限期改正，如逾期仍未改正的，</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有权要求其他第三方提供相关服务，因此产生的费用全部由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承担，并且</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有权单方解除合同，同时</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有权没收全部履约担保。</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甲方根据本合同的约定要求退货，或因本合同被解除或提前终止而需要退货的，乙方在收到甲方发出退货通知后24小时内无条件将退货货物运回，并自退货之日起3个工作日内返还甲方已全部支付的货款及其税额，并承担因此产生的全部费用，以及赔偿因此造成甲方的损失</w:t>
      </w:r>
      <w:r>
        <w:rPr>
          <w:rFonts w:hint="eastAsia" w:hAnsi="宋体" w:eastAsia="宋体" w:cs="宋体"/>
          <w:color w:val="auto"/>
          <w:sz w:val="21"/>
          <w:szCs w:val="21"/>
          <w:lang w:val="en-US" w:eastAsia="zh-CN"/>
        </w:rPr>
        <w:t>。若自甲方发出通知24小时后乙方未将退货货物运离甲方使用地的，甲方可自行或委托第三方对货物进行处置，除该批货物无需支付任何货款外，乙方还必须承担甲方处置该批退货货物所需的全部费用，以及给甲方造成的一切损失</w:t>
      </w:r>
      <w:r>
        <w:rPr>
          <w:rFonts w:hint="eastAsia" w:ascii="宋体" w:hAnsi="宋体" w:eastAsia="宋体" w:cs="宋体"/>
          <w:color w:val="auto"/>
          <w:sz w:val="21"/>
          <w:szCs w:val="21"/>
          <w:lang w:val="en-US" w:eastAsia="zh-CN"/>
        </w:rPr>
        <w:t>。</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6、无论是否在质保期内，因乙方所供货物质量问题导致甲方设备运行出现异常、故障、发生安全事故或引起其他损失和造成不良后果的，乙方应承担全部责任及损失赔偿。</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lang w:val="en-US" w:eastAsia="zh-CN"/>
        </w:rPr>
      </w:pPr>
      <w:r>
        <w:rPr>
          <w:rFonts w:hint="eastAsia" w:hAnsi="宋体" w:eastAsia="宋体" w:cs="宋体"/>
          <w:color w:val="auto"/>
          <w:sz w:val="21"/>
          <w:szCs w:val="21"/>
          <w:lang w:val="en-US" w:eastAsia="zh-CN"/>
        </w:rPr>
        <w:t>7</w:t>
      </w:r>
      <w:r>
        <w:rPr>
          <w:rFonts w:hint="eastAsia" w:ascii="宋体" w:hAnsi="宋体" w:eastAsia="宋体" w:cs="宋体"/>
          <w:color w:val="auto"/>
          <w:sz w:val="21"/>
          <w:szCs w:val="21"/>
          <w:lang w:val="en-US" w:eastAsia="zh-CN"/>
        </w:rPr>
        <w:t>、乙方应确保所交货物不得侵犯第三方任何权益，否则，由此引起的一切责任及损失都由乙方承担，造成甲方损失，乙方还需予以足额赔偿。</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lang w:val="en-US" w:eastAsia="zh-CN"/>
        </w:rPr>
      </w:pPr>
      <w:r>
        <w:rPr>
          <w:rFonts w:hint="eastAsia" w:hAnsi="宋体" w:eastAsia="宋体" w:cs="宋体"/>
          <w:color w:val="auto"/>
          <w:sz w:val="21"/>
          <w:szCs w:val="21"/>
          <w:lang w:val="en-US" w:eastAsia="zh-CN"/>
        </w:rPr>
        <w:t>8</w:t>
      </w:r>
      <w:r>
        <w:rPr>
          <w:rFonts w:hint="eastAsia" w:ascii="宋体" w:hAnsi="宋体" w:eastAsia="宋体" w:cs="宋体"/>
          <w:color w:val="auto"/>
          <w:sz w:val="21"/>
          <w:szCs w:val="21"/>
          <w:lang w:val="en-US" w:eastAsia="zh-CN"/>
        </w:rPr>
        <w:t>、合同期</w:t>
      </w:r>
      <w:r>
        <w:rPr>
          <w:rFonts w:hint="eastAsia" w:hAnsi="宋体" w:eastAsia="宋体" w:cs="宋体"/>
          <w:color w:val="auto"/>
          <w:sz w:val="21"/>
          <w:szCs w:val="21"/>
          <w:lang w:val="en-US" w:eastAsia="zh-CN"/>
        </w:rPr>
        <w:t>内</w:t>
      </w:r>
      <w:r>
        <w:rPr>
          <w:rFonts w:hint="eastAsia" w:ascii="宋体" w:hAnsi="宋体" w:eastAsia="宋体" w:cs="宋体"/>
          <w:color w:val="auto"/>
          <w:sz w:val="21"/>
          <w:szCs w:val="21"/>
          <w:lang w:val="en-US" w:eastAsia="zh-CN"/>
        </w:rPr>
        <w:t>，因乙方货物质量、交货时间、售后服务等问题影响</w:t>
      </w:r>
      <w:r>
        <w:rPr>
          <w:rFonts w:hint="eastAsia" w:hAnsi="宋体" w:eastAsia="宋体" w:cs="宋体"/>
          <w:color w:val="auto"/>
          <w:sz w:val="21"/>
          <w:szCs w:val="21"/>
          <w:lang w:val="en-US" w:eastAsia="zh-CN"/>
        </w:rPr>
        <w:t>甲方</w:t>
      </w:r>
      <w:r>
        <w:rPr>
          <w:rFonts w:hint="eastAsia" w:ascii="宋体" w:hAnsi="宋体" w:eastAsia="宋体" w:cs="宋体"/>
          <w:color w:val="auto"/>
          <w:sz w:val="21"/>
          <w:szCs w:val="21"/>
          <w:lang w:val="en-US" w:eastAsia="zh-CN"/>
        </w:rPr>
        <w:t>各运营项目的正常开展的，甲方有权单方解除合同，乙方</w:t>
      </w:r>
      <w:r>
        <w:rPr>
          <w:rFonts w:hint="eastAsia" w:hAnsi="宋体" w:eastAsia="宋体" w:cs="宋体"/>
          <w:color w:val="auto"/>
          <w:sz w:val="21"/>
          <w:szCs w:val="21"/>
          <w:lang w:val="en-US" w:eastAsia="zh-CN"/>
        </w:rPr>
        <w:t>应</w:t>
      </w:r>
      <w:r>
        <w:rPr>
          <w:rFonts w:hint="eastAsia" w:ascii="宋体" w:hAnsi="宋体" w:eastAsia="宋体" w:cs="宋体"/>
          <w:color w:val="auto"/>
          <w:sz w:val="21"/>
          <w:szCs w:val="21"/>
          <w:lang w:val="en-US" w:eastAsia="zh-CN"/>
        </w:rPr>
        <w:t>向甲方支付履约担保等额的违约金，违约金不</w:t>
      </w:r>
      <w:r>
        <w:rPr>
          <w:rFonts w:hint="eastAsia" w:hAnsi="宋体" w:eastAsia="宋体" w:cs="宋体"/>
          <w:color w:val="auto"/>
          <w:sz w:val="21"/>
          <w:szCs w:val="21"/>
          <w:lang w:val="en-US" w:eastAsia="zh-CN"/>
        </w:rPr>
        <w:t>足以</w:t>
      </w:r>
      <w:r>
        <w:rPr>
          <w:rFonts w:hint="eastAsia" w:ascii="宋体" w:hAnsi="宋体" w:eastAsia="宋体" w:cs="宋体"/>
          <w:color w:val="auto"/>
          <w:sz w:val="21"/>
          <w:szCs w:val="21"/>
          <w:lang w:val="en-US" w:eastAsia="zh-CN"/>
        </w:rPr>
        <w:t>赔偿</w:t>
      </w:r>
      <w:r>
        <w:rPr>
          <w:rFonts w:hint="eastAsia" w:hAnsi="宋体" w:eastAsia="宋体" w:cs="宋体"/>
          <w:color w:val="auto"/>
          <w:sz w:val="21"/>
          <w:szCs w:val="21"/>
          <w:lang w:val="en-US" w:eastAsia="zh-CN"/>
        </w:rPr>
        <w:t>甲方</w:t>
      </w:r>
      <w:r>
        <w:rPr>
          <w:rFonts w:hint="eastAsia" w:ascii="宋体" w:hAnsi="宋体" w:eastAsia="宋体" w:cs="宋体"/>
          <w:color w:val="auto"/>
          <w:sz w:val="21"/>
          <w:szCs w:val="21"/>
          <w:lang w:val="en-US" w:eastAsia="zh-CN"/>
        </w:rPr>
        <w:t>损失的，乙方需继续</w:t>
      </w:r>
      <w:r>
        <w:rPr>
          <w:rFonts w:hint="eastAsia" w:hAnsi="宋体" w:eastAsia="宋体" w:cs="宋体"/>
          <w:color w:val="auto"/>
          <w:sz w:val="21"/>
          <w:szCs w:val="21"/>
          <w:lang w:val="en-US" w:eastAsia="zh-CN"/>
        </w:rPr>
        <w:t>足额</w:t>
      </w:r>
      <w:r>
        <w:rPr>
          <w:rFonts w:hint="eastAsia" w:ascii="宋体" w:hAnsi="宋体" w:eastAsia="宋体" w:cs="宋体"/>
          <w:color w:val="auto"/>
          <w:sz w:val="21"/>
          <w:szCs w:val="21"/>
          <w:lang w:val="en-US" w:eastAsia="zh-CN"/>
        </w:rPr>
        <w:t>赔偿。</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lang w:val="en-US" w:eastAsia="zh-CN"/>
        </w:rPr>
      </w:pPr>
      <w:r>
        <w:rPr>
          <w:rFonts w:hint="eastAsia" w:hAnsi="宋体" w:eastAsia="宋体" w:cs="宋体"/>
          <w:color w:val="auto"/>
          <w:sz w:val="21"/>
          <w:szCs w:val="21"/>
          <w:lang w:val="en-US" w:eastAsia="zh-CN"/>
        </w:rPr>
        <w:t>9</w:t>
      </w:r>
      <w:r>
        <w:rPr>
          <w:rFonts w:hint="eastAsia" w:ascii="宋体" w:hAnsi="宋体" w:eastAsia="宋体" w:cs="宋体"/>
          <w:color w:val="auto"/>
          <w:sz w:val="21"/>
          <w:szCs w:val="21"/>
          <w:lang w:val="en-US" w:eastAsia="zh-CN"/>
        </w:rPr>
        <w:t>、合同期</w:t>
      </w:r>
      <w:r>
        <w:rPr>
          <w:rFonts w:hint="eastAsia" w:hAnsi="宋体" w:eastAsia="宋体" w:cs="宋体"/>
          <w:color w:val="auto"/>
          <w:sz w:val="21"/>
          <w:szCs w:val="21"/>
          <w:lang w:val="en-US" w:eastAsia="zh-CN"/>
        </w:rPr>
        <w:t>内</w:t>
      </w:r>
      <w:r>
        <w:rPr>
          <w:rFonts w:hint="eastAsia" w:ascii="宋体" w:hAnsi="宋体" w:eastAsia="宋体" w:cs="宋体"/>
          <w:color w:val="auto"/>
          <w:sz w:val="21"/>
          <w:szCs w:val="21"/>
          <w:lang w:val="en-US" w:eastAsia="zh-CN"/>
        </w:rPr>
        <w:t>，乙方串通甲方的仓管员、维修人员联合提高材料供应价格，或采取开具虚假送货单（只开单不送货）的，</w:t>
      </w:r>
      <w:r>
        <w:rPr>
          <w:rFonts w:hint="eastAsia" w:hAnsi="宋体" w:eastAsia="宋体" w:cs="宋体"/>
          <w:color w:val="auto"/>
          <w:sz w:val="21"/>
          <w:szCs w:val="21"/>
          <w:lang w:val="en-US" w:eastAsia="zh-CN"/>
        </w:rPr>
        <w:t>构成</w:t>
      </w:r>
      <w:r>
        <w:rPr>
          <w:rFonts w:hint="eastAsia" w:ascii="宋体" w:hAnsi="宋体" w:eastAsia="宋体" w:cs="宋体"/>
          <w:color w:val="auto"/>
          <w:sz w:val="21"/>
          <w:szCs w:val="21"/>
          <w:lang w:val="en-US" w:eastAsia="zh-CN"/>
        </w:rPr>
        <w:t>严重违约，</w:t>
      </w:r>
      <w:r>
        <w:rPr>
          <w:rFonts w:hint="eastAsia" w:hAnsi="宋体" w:eastAsia="宋体" w:cs="宋体"/>
          <w:color w:val="auto"/>
          <w:sz w:val="21"/>
          <w:szCs w:val="21"/>
          <w:lang w:val="en-US" w:eastAsia="zh-CN"/>
        </w:rPr>
        <w:t>甲方除有权要求乙方返还甲方已支付的全部金额外</w:t>
      </w:r>
      <w:r>
        <w:rPr>
          <w:rFonts w:hint="eastAsia" w:ascii="宋体" w:hAnsi="宋体" w:eastAsia="宋体" w:cs="宋体"/>
          <w:color w:val="auto"/>
          <w:sz w:val="21"/>
          <w:szCs w:val="21"/>
          <w:lang w:val="en-US" w:eastAsia="zh-CN"/>
        </w:rPr>
        <w:t>，甲方有权解除合同、取消乙方供货资格，并没收</w:t>
      </w:r>
      <w:r>
        <w:rPr>
          <w:rFonts w:hint="eastAsia" w:hAnsi="宋体" w:eastAsia="宋体" w:cs="宋体"/>
          <w:color w:val="auto"/>
          <w:sz w:val="21"/>
          <w:szCs w:val="21"/>
          <w:lang w:val="en-US" w:eastAsia="zh-CN"/>
        </w:rPr>
        <w:t>乙方</w:t>
      </w:r>
      <w:r>
        <w:rPr>
          <w:rFonts w:hint="eastAsia" w:ascii="宋体" w:hAnsi="宋体" w:eastAsia="宋体" w:cs="宋体"/>
          <w:color w:val="auto"/>
          <w:sz w:val="21"/>
          <w:szCs w:val="21"/>
          <w:lang w:val="en-US" w:eastAsia="zh-CN"/>
        </w:rPr>
        <w:t>履约保证金；</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hAnsi="宋体" w:eastAsia="宋体" w:cs="宋体"/>
          <w:color w:val="auto"/>
          <w:sz w:val="21"/>
          <w:szCs w:val="21"/>
          <w:lang w:val="en-US" w:eastAsia="zh-CN"/>
        </w:rPr>
        <w:t>0</w:t>
      </w:r>
      <w:r>
        <w:rPr>
          <w:rFonts w:hint="eastAsia" w:ascii="宋体" w:hAnsi="宋体" w:eastAsia="宋体" w:cs="宋体"/>
          <w:color w:val="auto"/>
          <w:sz w:val="21"/>
          <w:szCs w:val="21"/>
          <w:lang w:val="en-US" w:eastAsia="zh-CN"/>
        </w:rPr>
        <w:t>、乙方保证对其在讨论、签订、履行合同约定过程中所获悉的属于甲方的且无法从公开渠道获得的文件资料及项目信息予以严格保密并应采取相应的保密措施，保证其自身及工作人员不私自使用或向任何第三方泄露，否则，视为乙方违约，甲方有权要求乙方支付履约担保等额的违约金，且乙方须承担由此给甲方造成的一切损失。乙方及其工作人员的保密义务不因本合同的终止而终止，直至相关保密信息被合法公开时止。</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hAnsi="宋体" w:eastAsia="宋体" w:cs="宋体"/>
          <w:color w:val="auto"/>
          <w:sz w:val="21"/>
          <w:szCs w:val="21"/>
          <w:lang w:val="en-US" w:eastAsia="zh-CN"/>
        </w:rPr>
        <w:t>1</w:t>
      </w:r>
      <w:r>
        <w:rPr>
          <w:rFonts w:hint="eastAsia" w:ascii="宋体" w:hAnsi="宋体" w:eastAsia="宋体" w:cs="宋体"/>
          <w:color w:val="auto"/>
          <w:sz w:val="21"/>
          <w:szCs w:val="21"/>
          <w:lang w:val="en-US" w:eastAsia="zh-CN"/>
        </w:rPr>
        <w:t>、甲方损失无法计算的，乙方同意按暂定合同价的10%计算并支付给甲方。</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hAnsi="宋体" w:eastAsia="宋体" w:cs="宋体"/>
          <w:color w:val="auto"/>
          <w:sz w:val="21"/>
          <w:szCs w:val="21"/>
          <w:lang w:val="en-US" w:eastAsia="zh-CN"/>
        </w:rPr>
        <w:t>2</w:t>
      </w:r>
      <w:r>
        <w:rPr>
          <w:rFonts w:hint="eastAsia" w:ascii="宋体" w:hAnsi="宋体" w:eastAsia="宋体" w:cs="宋体"/>
          <w:color w:val="auto"/>
          <w:sz w:val="21"/>
          <w:szCs w:val="21"/>
          <w:lang w:val="en-US" w:eastAsia="zh-CN"/>
        </w:rPr>
        <w:t>、乙方逾期将应退款项退还给甲方的，乙方需每日按应退款项的5‰支付违约金。</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hAnsi="宋体" w:eastAsia="宋体" w:cs="宋体"/>
          <w:color w:val="auto"/>
          <w:sz w:val="21"/>
          <w:szCs w:val="21"/>
          <w:lang w:val="en-US" w:eastAsia="zh-CN"/>
        </w:rPr>
        <w:t>3</w:t>
      </w:r>
      <w:r>
        <w:rPr>
          <w:rFonts w:hint="eastAsia" w:ascii="宋体" w:hAnsi="宋体" w:eastAsia="宋体" w:cs="宋体"/>
          <w:color w:val="auto"/>
          <w:sz w:val="21"/>
          <w:szCs w:val="21"/>
          <w:lang w:val="en-US" w:eastAsia="zh-CN"/>
        </w:rPr>
        <w:t>、乙方违约产生的违约金、赔偿金、费用等应付款项，甲方有权从未付货款</w:t>
      </w:r>
      <w:r>
        <w:rPr>
          <w:rFonts w:hint="eastAsia" w:hAnsi="宋体" w:eastAsia="宋体" w:cs="宋体"/>
          <w:color w:val="auto"/>
          <w:sz w:val="21"/>
          <w:szCs w:val="21"/>
          <w:lang w:val="en-US" w:eastAsia="zh-CN"/>
        </w:rPr>
        <w:t>或履约担保</w:t>
      </w:r>
      <w:r>
        <w:rPr>
          <w:rFonts w:hint="eastAsia" w:ascii="宋体" w:hAnsi="宋体" w:eastAsia="宋体" w:cs="宋体"/>
          <w:color w:val="auto"/>
          <w:sz w:val="21"/>
          <w:szCs w:val="21"/>
          <w:lang w:val="en-US" w:eastAsia="zh-CN"/>
        </w:rPr>
        <w:t>中直接抵扣，货款</w:t>
      </w:r>
      <w:r>
        <w:rPr>
          <w:rFonts w:hint="eastAsia" w:hAnsi="宋体" w:eastAsia="宋体" w:cs="宋体"/>
          <w:color w:val="auto"/>
          <w:sz w:val="21"/>
          <w:szCs w:val="21"/>
          <w:lang w:val="en-US" w:eastAsia="zh-CN"/>
        </w:rPr>
        <w:t>或履约担保</w:t>
      </w:r>
      <w:r>
        <w:rPr>
          <w:rFonts w:hint="eastAsia" w:ascii="宋体" w:hAnsi="宋体" w:eastAsia="宋体" w:cs="宋体"/>
          <w:color w:val="auto"/>
          <w:sz w:val="21"/>
          <w:szCs w:val="21"/>
          <w:lang w:val="en-US" w:eastAsia="zh-CN"/>
        </w:rPr>
        <w:t>不足以抵扣的，乙方应另行支付。</w:t>
      </w:r>
    </w:p>
    <w:p>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auto"/>
          <w:sz w:val="21"/>
          <w:szCs w:val="21"/>
          <w:lang w:val="en-US" w:eastAsia="zh-CN"/>
        </w:rPr>
      </w:pPr>
      <w:bookmarkStart w:id="542" w:name="_Toc27212_WPSOffice_Level2"/>
      <w:r>
        <w:rPr>
          <w:rFonts w:hint="eastAsia" w:ascii="宋体" w:hAnsi="宋体" w:eastAsia="宋体" w:cs="宋体"/>
          <w:b/>
          <w:color w:val="auto"/>
          <w:sz w:val="21"/>
          <w:szCs w:val="21"/>
        </w:rPr>
        <w:t>第十</w:t>
      </w:r>
      <w:r>
        <w:rPr>
          <w:rFonts w:hint="eastAsia" w:ascii="宋体" w:hAnsi="宋体" w:eastAsia="宋体" w:cs="宋体"/>
          <w:b/>
          <w:color w:val="auto"/>
          <w:sz w:val="21"/>
          <w:szCs w:val="21"/>
          <w:lang w:val="en-US" w:eastAsia="zh-CN"/>
        </w:rPr>
        <w:t>一</w:t>
      </w:r>
      <w:r>
        <w:rPr>
          <w:rFonts w:hint="eastAsia" w:ascii="宋体" w:hAnsi="宋体" w:eastAsia="宋体" w:cs="宋体"/>
          <w:b/>
          <w:color w:val="auto"/>
          <w:sz w:val="21"/>
          <w:szCs w:val="21"/>
        </w:rPr>
        <w:t xml:space="preserve">条 </w:t>
      </w:r>
      <w:r>
        <w:rPr>
          <w:rFonts w:hint="eastAsia" w:ascii="宋体" w:hAnsi="宋体" w:eastAsia="宋体" w:cs="宋体"/>
          <w:b/>
          <w:color w:val="auto"/>
          <w:sz w:val="21"/>
          <w:szCs w:val="21"/>
          <w:lang w:val="en-US" w:eastAsia="zh-CN"/>
        </w:rPr>
        <w:t>考核制度</w:t>
      </w:r>
      <w:bookmarkEnd w:id="542"/>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1、合同期</w:t>
      </w:r>
      <w:r>
        <w:rPr>
          <w:rFonts w:hint="eastAsia" w:hAnsi="宋体" w:eastAsia="宋体" w:cs="宋体"/>
          <w:color w:val="auto"/>
          <w:sz w:val="21"/>
          <w:szCs w:val="21"/>
          <w:lang w:val="en-US" w:eastAsia="zh-CN"/>
        </w:rPr>
        <w:t>内</w:t>
      </w:r>
      <w:r>
        <w:rPr>
          <w:rFonts w:hint="eastAsia" w:ascii="宋体" w:hAnsi="宋体" w:eastAsia="宋体" w:cs="宋体"/>
          <w:color w:val="auto"/>
          <w:sz w:val="21"/>
          <w:szCs w:val="21"/>
          <w:lang w:val="en-US" w:eastAsia="zh-CN"/>
        </w:rPr>
        <w:t>，甲方每月在</w:t>
      </w:r>
      <w:r>
        <w:rPr>
          <w:rFonts w:hint="eastAsia" w:hAnsi="宋体" w:eastAsia="宋体" w:cs="宋体"/>
          <w:color w:val="auto"/>
          <w:sz w:val="21"/>
          <w:szCs w:val="21"/>
          <w:lang w:val="en-US" w:eastAsia="zh-CN"/>
        </w:rPr>
        <w:t>办理</w:t>
      </w:r>
      <w:r>
        <w:rPr>
          <w:rFonts w:hint="eastAsia" w:ascii="宋体" w:hAnsi="宋体" w:eastAsia="宋体" w:cs="宋体"/>
          <w:color w:val="auto"/>
          <w:sz w:val="21"/>
          <w:szCs w:val="21"/>
          <w:lang w:val="en-US" w:eastAsia="zh-CN"/>
        </w:rPr>
        <w:t>付款手续前对乙方的服务情况进行月度评价，考核评分标准详见附件</w:t>
      </w:r>
      <w:r>
        <w:rPr>
          <w:rFonts w:hint="eastAsia" w:hAnsi="宋体" w:eastAsia="宋体" w:cs="宋体"/>
          <w:color w:val="auto"/>
          <w:sz w:val="21"/>
          <w:szCs w:val="21"/>
          <w:lang w:val="en-US" w:eastAsia="zh-CN"/>
        </w:rPr>
        <w:t>五</w:t>
      </w:r>
      <w:r>
        <w:rPr>
          <w:rFonts w:hint="eastAsia" w:ascii="宋体" w:hAnsi="宋体" w:eastAsia="宋体" w:cs="宋体"/>
          <w:color w:val="auto"/>
          <w:sz w:val="21"/>
          <w:szCs w:val="21"/>
          <w:lang w:val="en-US" w:eastAsia="zh-CN"/>
        </w:rPr>
        <w:t>《</w:t>
      </w:r>
      <w:r>
        <w:rPr>
          <w:rFonts w:hint="eastAsia" w:hAnsi="宋体" w:eastAsia="宋体" w:cs="宋体"/>
          <w:color w:val="auto"/>
          <w:sz w:val="21"/>
          <w:szCs w:val="21"/>
          <w:lang w:val="en-US" w:eastAsia="zh-CN"/>
        </w:rPr>
        <w:t>供应商履约评价表</w:t>
      </w:r>
      <w:r>
        <w:rPr>
          <w:rFonts w:hint="eastAsia" w:ascii="宋体" w:hAnsi="宋体" w:eastAsia="宋体" w:cs="宋体"/>
          <w:color w:val="auto"/>
          <w:sz w:val="21"/>
          <w:szCs w:val="21"/>
          <w:lang w:val="en-US" w:eastAsia="zh-CN"/>
        </w:rPr>
        <w:t>》。考核评分满分为100分，90分（含）以上为优秀，80（含）-90分为良好，60（含）-80分为及格，低于60分为不及格；对于考核评分低于60分的，第1次约谈警告，第2次和第3次</w:t>
      </w:r>
      <w:r>
        <w:rPr>
          <w:rFonts w:hint="eastAsia" w:hAnsi="宋体" w:eastAsia="宋体" w:cs="宋体"/>
          <w:color w:val="auto"/>
          <w:sz w:val="21"/>
          <w:szCs w:val="21"/>
          <w:lang w:val="en-US" w:eastAsia="zh-CN"/>
        </w:rPr>
        <w:t>乙方应分别向甲方支付</w:t>
      </w:r>
      <w:r>
        <w:rPr>
          <w:rFonts w:hint="eastAsia" w:ascii="宋体" w:hAnsi="宋体" w:eastAsia="宋体" w:cs="宋体"/>
          <w:color w:val="auto"/>
          <w:sz w:val="21"/>
          <w:szCs w:val="21"/>
          <w:lang w:val="en-US" w:eastAsia="zh-CN"/>
        </w:rPr>
        <w:t>2万元作为违约金；累积低于60分超过3次的，甲方有权解除合同、终止乙方供货资格，并没收履约保证金。</w:t>
      </w:r>
    </w:p>
    <w:p>
      <w:pPr>
        <w:pStyle w:val="158"/>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2、甲方有权根据《</w:t>
      </w:r>
      <w:r>
        <w:rPr>
          <w:rFonts w:hint="eastAsia" w:hAnsi="宋体" w:eastAsia="宋体" w:cs="宋体"/>
          <w:color w:val="auto"/>
          <w:sz w:val="21"/>
          <w:szCs w:val="21"/>
          <w:lang w:val="en-US" w:eastAsia="zh-CN"/>
        </w:rPr>
        <w:t>供应商履约评价表</w:t>
      </w:r>
      <w:r>
        <w:rPr>
          <w:rFonts w:hint="eastAsia" w:ascii="宋体" w:hAnsi="宋体" w:eastAsia="宋体" w:cs="宋体"/>
          <w:color w:val="auto"/>
          <w:sz w:val="21"/>
          <w:szCs w:val="21"/>
          <w:lang w:val="en-US" w:eastAsia="zh-CN"/>
        </w:rPr>
        <w:t>》的考核标准</w:t>
      </w:r>
      <w:r>
        <w:rPr>
          <w:rFonts w:hint="eastAsia" w:hAnsi="宋体" w:eastAsia="宋体" w:cs="宋体"/>
          <w:color w:val="auto"/>
          <w:sz w:val="21"/>
          <w:szCs w:val="21"/>
          <w:lang w:val="en-US" w:eastAsia="zh-CN"/>
        </w:rPr>
        <w:t>，每月</w:t>
      </w:r>
      <w:r>
        <w:rPr>
          <w:rFonts w:hint="eastAsia" w:ascii="宋体" w:hAnsi="宋体" w:eastAsia="宋体" w:cs="宋体"/>
          <w:color w:val="auto"/>
          <w:sz w:val="21"/>
          <w:szCs w:val="21"/>
          <w:lang w:val="en-US" w:eastAsia="zh-CN"/>
        </w:rPr>
        <w:t>对乙方进行考核评价，如乙方对考核评分结果有异议的，应在收到甲方考核结果通知之日起五个工作日内书面提出，逾期未提出的，视为乙方确认甲方作出的考核评分结果。</w:t>
      </w:r>
    </w:p>
    <w:p>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第十</w:t>
      </w:r>
      <w:r>
        <w:rPr>
          <w:rFonts w:hint="eastAsia" w:ascii="宋体" w:hAnsi="宋体" w:eastAsia="宋体" w:cs="宋体"/>
          <w:b/>
          <w:color w:val="auto"/>
          <w:sz w:val="21"/>
          <w:szCs w:val="21"/>
          <w:lang w:val="en-US" w:eastAsia="zh-CN"/>
        </w:rPr>
        <w:t>二</w:t>
      </w:r>
      <w:r>
        <w:rPr>
          <w:rFonts w:hint="eastAsia" w:ascii="宋体" w:hAnsi="宋体" w:eastAsia="宋体" w:cs="宋体"/>
          <w:b/>
          <w:color w:val="auto"/>
          <w:sz w:val="21"/>
          <w:szCs w:val="21"/>
        </w:rPr>
        <w:t>条 不可抗力</w:t>
      </w:r>
    </w:p>
    <w:p>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宋体" w:hAnsi="宋体" w:eastAsia="宋体" w:cs="宋体"/>
          <w:color w:val="auto"/>
          <w:sz w:val="21"/>
          <w:szCs w:val="21"/>
          <w:u w:val="single"/>
        </w:rPr>
        <w:t xml:space="preserve"> 3 </w:t>
      </w:r>
      <w:r>
        <w:rPr>
          <w:rFonts w:hint="eastAsia" w:ascii="宋体" w:hAnsi="宋体" w:eastAsia="宋体" w:cs="宋体"/>
          <w:color w:val="auto"/>
          <w:sz w:val="21"/>
          <w:szCs w:val="21"/>
        </w:rPr>
        <w:t>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第十</w:t>
      </w:r>
      <w:r>
        <w:rPr>
          <w:rFonts w:hint="eastAsia" w:ascii="宋体" w:hAnsi="宋体" w:eastAsia="宋体" w:cs="宋体"/>
          <w:b/>
          <w:color w:val="auto"/>
          <w:sz w:val="21"/>
          <w:szCs w:val="21"/>
          <w:lang w:val="en-US" w:eastAsia="zh-CN"/>
        </w:rPr>
        <w:t>二</w:t>
      </w:r>
      <w:r>
        <w:rPr>
          <w:rFonts w:hint="eastAsia" w:ascii="宋体" w:hAnsi="宋体" w:eastAsia="宋体" w:cs="宋体"/>
          <w:b/>
          <w:color w:val="auto"/>
          <w:sz w:val="21"/>
          <w:szCs w:val="21"/>
        </w:rPr>
        <w:t>条 承诺与保证</w:t>
      </w:r>
    </w:p>
    <w:p>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乙方保证对其销售的货物拥有完全的所有权/处置权或取得相关授权，无任何著作权、商标权、专利权或其他知识产权方面的权利限制或瑕疵，否则所造成的一切损失和责任均由乙方承担（包括但不限于甲方聘请的律师费、调查取证费、诉讼费、交通费等全部费用）。</w:t>
      </w:r>
    </w:p>
    <w:p>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第十</w:t>
      </w:r>
      <w:r>
        <w:rPr>
          <w:rFonts w:hint="eastAsia" w:ascii="宋体" w:hAnsi="宋体" w:eastAsia="宋体" w:cs="宋体"/>
          <w:b/>
          <w:color w:val="auto"/>
          <w:sz w:val="21"/>
          <w:szCs w:val="21"/>
          <w:lang w:val="en-US" w:eastAsia="zh-CN"/>
        </w:rPr>
        <w:t>三</w:t>
      </w:r>
      <w:r>
        <w:rPr>
          <w:rFonts w:hint="eastAsia" w:ascii="宋体" w:hAnsi="宋体" w:eastAsia="宋体" w:cs="宋体"/>
          <w:b/>
          <w:color w:val="auto"/>
          <w:sz w:val="21"/>
          <w:szCs w:val="21"/>
        </w:rPr>
        <w:t>条 合同争议的解决办法</w:t>
      </w:r>
    </w:p>
    <w:p>
      <w:pPr>
        <w:keepNext w:val="0"/>
        <w:keepLines w:val="0"/>
        <w:pageBreakBefore w:val="0"/>
        <w:kinsoku/>
        <w:wordWrap/>
        <w:overflowPunct/>
        <w:topLinePunct w:val="0"/>
        <w:bidi w:val="0"/>
        <w:spacing w:line="360" w:lineRule="auto"/>
        <w:ind w:firstLine="403"/>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双方因本合同发生争议的，可协商解决。协商不成的，任何一方可向甲方住所地有管辖权的人民法院提起诉讼。因乙方违约</w:t>
      </w:r>
      <w:r>
        <w:rPr>
          <w:rFonts w:hint="eastAsia" w:ascii="宋体" w:hAnsi="宋体" w:eastAsia="宋体" w:cs="宋体"/>
          <w:color w:val="auto"/>
          <w:sz w:val="21"/>
          <w:szCs w:val="21"/>
          <w:lang w:val="en-US" w:eastAsia="zh-CN"/>
        </w:rPr>
        <w:t>导致双方产生争议的</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除应承担合同约定的违约、损失赔偿等责任外，还应承担甲方为解决纠纷而产生的所有费用，包括但不限于律师费、诉讼费、仲裁费及处理费、诉讼担保费、保全费、执行费、公证费、鉴定费、差旅费等。</w:t>
      </w:r>
    </w:p>
    <w:p>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第十</w:t>
      </w:r>
      <w:r>
        <w:rPr>
          <w:rFonts w:hint="eastAsia" w:ascii="宋体" w:hAnsi="宋体" w:eastAsia="宋体" w:cs="宋体"/>
          <w:b/>
          <w:color w:val="auto"/>
          <w:sz w:val="21"/>
          <w:szCs w:val="21"/>
          <w:lang w:val="en-US" w:eastAsia="zh-CN"/>
        </w:rPr>
        <w:t>四</w:t>
      </w:r>
      <w:r>
        <w:rPr>
          <w:rFonts w:hint="eastAsia" w:ascii="宋体" w:hAnsi="宋体" w:eastAsia="宋体" w:cs="宋体"/>
          <w:b/>
          <w:color w:val="auto"/>
          <w:sz w:val="21"/>
          <w:szCs w:val="21"/>
        </w:rPr>
        <w:t>条 其他</w:t>
      </w:r>
    </w:p>
    <w:p>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 1 日内书面告知甲方。</w:t>
      </w:r>
    </w:p>
    <w:p>
      <w:pPr>
        <w:keepNext w:val="0"/>
        <w:keepLines w:val="0"/>
        <w:pageBreakBefore w:val="0"/>
        <w:kinsoku/>
        <w:wordWrap/>
        <w:overflowPunct/>
        <w:topLinePunct w:val="0"/>
        <w:bidi w:val="0"/>
        <w:spacing w:line="360" w:lineRule="auto"/>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3、本合同一式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份，其中甲方执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份，乙方执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份，招标代理机构执 壹 份，每份均具有同等法律效力。</w:t>
      </w:r>
    </w:p>
    <w:p>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4、本合同经双方法定代表人或负责人签名并盖章</w:t>
      </w:r>
      <w:r>
        <w:rPr>
          <w:rFonts w:hint="eastAsia" w:ascii="宋体" w:hAnsi="宋体" w:eastAsia="宋体" w:cs="宋体"/>
          <w:color w:val="auto"/>
          <w:sz w:val="21"/>
          <w:szCs w:val="21"/>
          <w:lang w:val="en-US" w:eastAsia="zh-CN"/>
        </w:rPr>
        <w:t>之日起</w:t>
      </w:r>
      <w:r>
        <w:rPr>
          <w:rFonts w:hint="eastAsia" w:ascii="宋体" w:hAnsi="宋体" w:eastAsia="宋体" w:cs="宋体"/>
          <w:color w:val="auto"/>
          <w:sz w:val="21"/>
          <w:szCs w:val="21"/>
        </w:rPr>
        <w:t>生效。</w:t>
      </w:r>
    </w:p>
    <w:p>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5、合同条款与附件、招标文件、用户需求书、投标文件等其他文件不一致的，以有利于甲方的约定/解释为准。</w:t>
      </w:r>
    </w:p>
    <w:p>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b/>
          <w:color w:val="auto"/>
          <w:sz w:val="21"/>
          <w:szCs w:val="21"/>
        </w:rPr>
      </w:pPr>
      <w:r>
        <w:rPr>
          <w:rFonts w:hint="eastAsia" w:ascii="宋体" w:hAnsi="宋体" w:eastAsia="宋体" w:cs="宋体"/>
          <w:color w:val="auto"/>
          <w:sz w:val="21"/>
          <w:szCs w:val="21"/>
        </w:rPr>
        <w:t>附件:1.廉洁协议书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《送货地址汇总表》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3.物资验收单、4.《供货货物清单及综合单价表》、5.</w:t>
      </w:r>
      <w:r>
        <w:rPr>
          <w:rFonts w:hint="eastAsia" w:ascii="宋体" w:hAnsi="宋体" w:eastAsia="宋体" w:cs="宋体"/>
          <w:color w:val="auto"/>
          <w:sz w:val="21"/>
          <w:szCs w:val="21"/>
        </w:rPr>
        <w:t>投标品牌表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供应商履约评价表</w:t>
      </w:r>
      <w:r>
        <w:rPr>
          <w:rFonts w:hint="eastAsia" w:ascii="宋体" w:hAnsi="宋体" w:eastAsia="宋体" w:cs="宋体"/>
          <w:color w:val="auto"/>
          <w:sz w:val="21"/>
          <w:szCs w:val="21"/>
          <w:lang w:val="en-US" w:eastAsia="zh-CN"/>
        </w:rPr>
        <w:t>》</w:t>
      </w:r>
    </w:p>
    <w:p>
      <w:pPr>
        <w:keepNext w:val="0"/>
        <w:keepLines w:val="0"/>
        <w:pageBreakBefore w:val="0"/>
        <w:kinsoku/>
        <w:wordWrap/>
        <w:overflowPunct/>
        <w:topLinePunct w:val="0"/>
        <w:bidi w:val="0"/>
        <w:spacing w:line="360" w:lineRule="auto"/>
        <w:ind w:firstLine="422" w:firstLineChars="200"/>
        <w:textAlignment w:val="auto"/>
        <w:outlineLvl w:val="9"/>
        <w:rPr>
          <w:rFonts w:hint="eastAsia" w:ascii="宋体" w:hAnsi="宋体" w:eastAsia="宋体" w:cs="宋体"/>
          <w:color w:val="auto"/>
          <w:sz w:val="21"/>
          <w:szCs w:val="21"/>
        </w:rPr>
      </w:pPr>
      <w:r>
        <w:rPr>
          <w:rFonts w:hint="eastAsia" w:ascii="宋体" w:hAnsi="宋体" w:eastAsia="宋体" w:cs="宋体"/>
          <w:b/>
          <w:color w:val="auto"/>
          <w:sz w:val="21"/>
          <w:szCs w:val="21"/>
        </w:rPr>
        <w:t>（以下无正文）</w:t>
      </w:r>
    </w:p>
    <w:p>
      <w:pPr>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rPr>
      </w:pPr>
    </w:p>
    <w:p>
      <w:pPr>
        <w:keepNext w:val="0"/>
        <w:keepLines w:val="0"/>
        <w:pageBreakBefore w:val="0"/>
        <w:kinsoku/>
        <w:wordWrap/>
        <w:overflowPunct/>
        <w:topLinePunct w:val="0"/>
        <w:bidi w:val="0"/>
        <w:spacing w:line="360" w:lineRule="auto"/>
        <w:ind w:left="6090" w:hanging="6090" w:hangingChars="29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甲方（盖章）：                              乙方（盖章）： </w:t>
      </w:r>
    </w:p>
    <w:p>
      <w:pPr>
        <w:keepNext w:val="0"/>
        <w:keepLines w:val="0"/>
        <w:pageBreakBefore w:val="0"/>
        <w:kinsoku/>
        <w:wordWrap/>
        <w:overflowPunct/>
        <w:topLinePunct w:val="0"/>
        <w:bidi w:val="0"/>
        <w:spacing w:line="360" w:lineRule="auto"/>
        <w:ind w:left="0" w:leftChars="0"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法定代表（或负责）人：                      法定代表（或负责）人：</w:t>
      </w:r>
    </w:p>
    <w:p>
      <w:pPr>
        <w:keepNext w:val="0"/>
        <w:keepLines w:val="0"/>
        <w:pageBreakBefore w:val="0"/>
        <w:kinsoku/>
        <w:wordWrap/>
        <w:overflowPunct/>
        <w:topLinePunct w:val="0"/>
        <w:bidi w:val="0"/>
        <w:spacing w:line="360" w:lineRule="auto"/>
        <w:ind w:left="5250" w:hanging="5250" w:hangingChars="25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地址：                         　　　　　   地址： </w:t>
      </w:r>
    </w:p>
    <w:p>
      <w:pPr>
        <w:keepNext w:val="0"/>
        <w:keepLines w:val="0"/>
        <w:pageBreakBefore w:val="0"/>
        <w:kinsoku/>
        <w:wordWrap/>
        <w:overflowPunct/>
        <w:topLinePunct w:val="0"/>
        <w:bidi w:val="0"/>
        <w:spacing w:line="360" w:lineRule="auto"/>
        <w:ind w:left="0" w:leftChars="0"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电话：                                      电话：</w:t>
      </w:r>
    </w:p>
    <w:p>
      <w:pPr>
        <w:keepNext w:val="0"/>
        <w:keepLines w:val="0"/>
        <w:pageBreakBefore w:val="0"/>
        <w:kinsoku/>
        <w:wordWrap/>
        <w:overflowPunct/>
        <w:topLinePunct w:val="0"/>
        <w:bidi w:val="0"/>
        <w:spacing w:line="360" w:lineRule="auto"/>
        <w:ind w:left="0" w:leftChars="0"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名称：                                      名称： </w:t>
      </w:r>
    </w:p>
    <w:p>
      <w:pPr>
        <w:keepNext w:val="0"/>
        <w:keepLines w:val="0"/>
        <w:pageBreakBefore w:val="0"/>
        <w:kinsoku/>
        <w:wordWrap/>
        <w:overflowPunct/>
        <w:topLinePunct w:val="0"/>
        <w:bidi w:val="0"/>
        <w:spacing w:line="360" w:lineRule="auto"/>
        <w:ind w:left="0" w:leftChars="0"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开户银行：                                  开户银行： </w:t>
      </w:r>
    </w:p>
    <w:p>
      <w:pPr>
        <w:keepNext w:val="0"/>
        <w:keepLines w:val="0"/>
        <w:pageBreakBefore w:val="0"/>
        <w:kinsoku/>
        <w:wordWrap/>
        <w:overflowPunct/>
        <w:topLinePunct w:val="0"/>
        <w:bidi w:val="0"/>
        <w:spacing w:line="360" w:lineRule="auto"/>
        <w:ind w:left="0" w:leftChars="0"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银行账号：                                  银行账号：</w:t>
      </w:r>
    </w:p>
    <w:p>
      <w:pPr>
        <w:keepNext w:val="0"/>
        <w:keepLines w:val="0"/>
        <w:pageBreakBefore w:val="0"/>
        <w:kinsoku/>
        <w:wordWrap/>
        <w:overflowPunct/>
        <w:topLinePunct w:val="0"/>
        <w:bidi w:val="0"/>
        <w:spacing w:line="360" w:lineRule="auto"/>
        <w:ind w:left="0" w:leftChars="0" w:firstLine="0" w:firstLine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签订时间：</w:t>
      </w:r>
      <w:r>
        <w:rPr>
          <w:rFonts w:hint="eastAsia" w:ascii="宋体" w:hAnsi="宋体" w:eastAsia="宋体" w:cs="宋体"/>
          <w:color w:val="auto"/>
          <w:sz w:val="21"/>
          <w:szCs w:val="21"/>
        </w:rPr>
        <w:br w:type="page"/>
      </w:r>
    </w:p>
    <w:p>
      <w:pPr>
        <w:pStyle w:val="2"/>
        <w:keepNext w:val="0"/>
        <w:keepLines w:val="0"/>
        <w:pageBreakBefore w:val="0"/>
        <w:kinsoku/>
        <w:wordWrap/>
        <w:overflowPunct/>
        <w:topLinePunct w:val="0"/>
        <w:bidi w:val="0"/>
        <w:ind w:left="0" w:leftChars="0" w:firstLine="0" w:firstLineChars="0"/>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附件1：廉洁协议书</w:t>
      </w:r>
    </w:p>
    <w:p>
      <w:pPr>
        <w:keepNext w:val="0"/>
        <w:keepLines w:val="0"/>
        <w:pageBreakBefore w:val="0"/>
        <w:kinsoku/>
        <w:wordWrap/>
        <w:overflowPunct/>
        <w:topLinePunct w:val="0"/>
        <w:bidi w:val="0"/>
        <w:spacing w:line="360" w:lineRule="auto"/>
        <w:ind w:left="0" w:leftChars="0" w:firstLine="0" w:firstLineChars="0"/>
        <w:jc w:val="center"/>
        <w:textAlignment w:val="auto"/>
        <w:outlineLvl w:val="9"/>
        <w:rPr>
          <w:rFonts w:hint="eastAsia" w:ascii="宋体" w:hAnsi="宋体" w:eastAsia="宋体" w:cs="宋体"/>
          <w:b/>
          <w:bCs/>
          <w:color w:val="auto"/>
          <w:sz w:val="28"/>
          <w:szCs w:val="28"/>
          <w:highlight w:val="none"/>
        </w:rPr>
      </w:pPr>
      <w:bookmarkStart w:id="543" w:name="_Hlk121131750"/>
      <w:r>
        <w:rPr>
          <w:rFonts w:hint="eastAsia" w:ascii="宋体" w:hAnsi="宋体" w:eastAsia="宋体" w:cs="宋体"/>
          <w:b/>
          <w:bCs/>
          <w:color w:val="auto"/>
          <w:sz w:val="28"/>
          <w:szCs w:val="28"/>
          <w:highlight w:val="none"/>
        </w:rPr>
        <w:t>廉洁协议书</w:t>
      </w:r>
      <w:bookmarkEnd w:id="543"/>
    </w:p>
    <w:p>
      <w:pPr>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kern w:val="0"/>
          <w:sz w:val="21"/>
          <w:szCs w:val="21"/>
          <w:highlight w:val="none"/>
        </w:rPr>
        <w:t>东莞市众源环境投资有限公司五金配件及劳保物资采购项目</w:t>
      </w: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lang w:val="zh-CN"/>
        </w:rPr>
        <w:t>0832-SFCX24DG010A</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甲方（业主单位）：</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监督检查</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举报信访受理</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 东莞市水务集团有限公司纪检监察部。</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 ( 0769 ) 23076092</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（三）举报邮箱:jcsi@dgswit.cn.</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 广东省东莞市东城街道育华路 1 号</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其他</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本协议有效期为甲乙双方签字并加盖公章之日起至该工程/采购项目竣工验收完毕，质保期/服务期满后止。本协议一式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pPr>
        <w:outlineLvl w:val="9"/>
        <w:rPr>
          <w:rFonts w:hint="eastAsia"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br w:type="page"/>
      </w:r>
    </w:p>
    <w:p>
      <w:pPr>
        <w:pStyle w:val="2"/>
        <w:keepNext w:val="0"/>
        <w:keepLines w:val="0"/>
        <w:pageBreakBefore w:val="0"/>
        <w:kinsoku/>
        <w:wordWrap/>
        <w:overflowPunct/>
        <w:topLinePunct w:val="0"/>
        <w:bidi w:val="0"/>
        <w:ind w:left="0" w:leftChars="0" w:firstLine="0" w:firstLineChars="0"/>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附件2：送货地址汇总表</w:t>
      </w:r>
    </w:p>
    <w:p>
      <w:pPr>
        <w:keepNext w:val="0"/>
        <w:keepLines w:val="0"/>
        <w:pageBreakBefore w:val="0"/>
        <w:kinsoku/>
        <w:wordWrap/>
        <w:overflowPunct/>
        <w:topLinePunct w:val="0"/>
        <w:bidi w:val="0"/>
        <w:spacing w:line="360" w:lineRule="auto"/>
        <w:ind w:firstLine="0" w:firstLineChars="0"/>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color w:val="auto"/>
          <w:sz w:val="28"/>
          <w:szCs w:val="28"/>
        </w:rPr>
        <w:t>送货地址汇总表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4573"/>
        <w:gridCol w:w="4287"/>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pPr>
              <w:keepNext w:val="0"/>
              <w:keepLines w:val="0"/>
              <w:pageBreakBefore w:val="0"/>
              <w:kinsoku/>
              <w:wordWrap/>
              <w:overflowPunct/>
              <w:topLinePunct w:val="0"/>
              <w:bidi w:val="0"/>
              <w:spacing w:line="360" w:lineRule="auto"/>
              <w:ind w:firstLine="0" w:firstLineChars="0"/>
              <w:jc w:val="both"/>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一、自运营污泥减量项目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noWrap w:val="0"/>
            <w:vAlign w:val="center"/>
          </w:tcPr>
          <w:p>
            <w:pPr>
              <w:keepNext w:val="0"/>
              <w:keepLines w:val="0"/>
              <w:pageBreakBefore w:val="0"/>
              <w:kinsoku/>
              <w:wordWrap/>
              <w:overflowPunct/>
              <w:topLinePunct w:val="0"/>
              <w:bidi w:val="0"/>
              <w:spacing w:line="360" w:lineRule="auto"/>
              <w:ind w:firstLine="0" w:firstLineChars="0"/>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2205" w:type="pct"/>
            <w:noWrap w:val="0"/>
            <w:vAlign w:val="center"/>
          </w:tcPr>
          <w:p>
            <w:pPr>
              <w:keepNext w:val="0"/>
              <w:keepLines w:val="0"/>
              <w:pageBreakBefore w:val="0"/>
              <w:kinsoku/>
              <w:wordWrap/>
              <w:overflowPunct/>
              <w:topLinePunct w:val="0"/>
              <w:bidi w:val="0"/>
              <w:spacing w:line="360" w:lineRule="auto"/>
              <w:ind w:firstLine="0" w:firstLineChars="0"/>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项目名称</w:t>
            </w:r>
          </w:p>
        </w:tc>
        <w:tc>
          <w:tcPr>
            <w:tcW w:w="2067" w:type="pct"/>
            <w:noWrap w:val="0"/>
            <w:vAlign w:val="center"/>
          </w:tcPr>
          <w:p>
            <w:pPr>
              <w:keepNext w:val="0"/>
              <w:keepLines w:val="0"/>
              <w:pageBreakBefore w:val="0"/>
              <w:kinsoku/>
              <w:wordWrap/>
              <w:overflowPunct/>
              <w:topLinePunct w:val="0"/>
              <w:bidi w:val="0"/>
              <w:spacing w:line="360" w:lineRule="auto"/>
              <w:ind w:firstLine="0" w:firstLineChars="0"/>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送货地址</w:t>
            </w:r>
          </w:p>
        </w:tc>
        <w:tc>
          <w:tcPr>
            <w:tcW w:w="364" w:type="pct"/>
            <w:noWrap w:val="0"/>
            <w:vAlign w:val="center"/>
          </w:tcPr>
          <w:p>
            <w:pPr>
              <w:keepNext w:val="0"/>
              <w:keepLines w:val="0"/>
              <w:pageBreakBefore w:val="0"/>
              <w:kinsoku/>
              <w:wordWrap/>
              <w:overflowPunct/>
              <w:topLinePunct w:val="0"/>
              <w:bidi w:val="0"/>
              <w:spacing w:line="360" w:lineRule="auto"/>
              <w:ind w:firstLine="0" w:firstLineChars="0"/>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noWrap w:val="0"/>
            <w:vAlign w:val="center"/>
          </w:tcPr>
          <w:p>
            <w:pPr>
              <w:keepNext w:val="0"/>
              <w:keepLines w:val="0"/>
              <w:pageBreakBefore w:val="0"/>
              <w:kinsoku/>
              <w:wordWrap/>
              <w:overflowPunct/>
              <w:topLinePunct w:val="0"/>
              <w:bidi w:val="0"/>
              <w:spacing w:line="360" w:lineRule="auto"/>
              <w:ind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205" w:type="pct"/>
            <w:noWrap w:val="0"/>
            <w:vAlign w:val="center"/>
          </w:tcPr>
          <w:p>
            <w:pPr>
              <w:keepNext w:val="0"/>
              <w:keepLines w:val="0"/>
              <w:pageBreakBefore w:val="0"/>
              <w:kinsoku/>
              <w:wordWrap/>
              <w:overflowPunct/>
              <w:topLinePunct w:val="0"/>
              <w:bidi w:val="0"/>
              <w:spacing w:line="360" w:lineRule="auto"/>
              <w:ind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市区污水厂移动式项目</w:t>
            </w:r>
          </w:p>
        </w:tc>
        <w:tc>
          <w:tcPr>
            <w:tcW w:w="2067" w:type="pct"/>
            <w:noWrap w:val="0"/>
            <w:vAlign w:val="center"/>
          </w:tcPr>
          <w:p>
            <w:pPr>
              <w:keepNext w:val="0"/>
              <w:keepLines w:val="0"/>
              <w:pageBreakBefore w:val="0"/>
              <w:kinsoku/>
              <w:wordWrap/>
              <w:overflowPunct/>
              <w:topLinePunct w:val="0"/>
              <w:bidi w:val="0"/>
              <w:spacing w:line="360" w:lineRule="auto"/>
              <w:ind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东莞市南城街道石鼓村王洲</w:t>
            </w:r>
          </w:p>
        </w:tc>
        <w:tc>
          <w:tcPr>
            <w:tcW w:w="364" w:type="pct"/>
            <w:noWrap w:val="0"/>
            <w:vAlign w:val="center"/>
          </w:tcPr>
          <w:p>
            <w:pPr>
              <w:keepNext w:val="0"/>
              <w:keepLines w:val="0"/>
              <w:pageBreakBefore w:val="0"/>
              <w:kinsoku/>
              <w:wordWrap/>
              <w:overflowPunct/>
              <w:topLinePunct w:val="0"/>
              <w:bidi w:val="0"/>
              <w:spacing w:line="360" w:lineRule="auto"/>
              <w:ind w:firstLine="420"/>
              <w:jc w:val="center"/>
              <w:textAlignment w:val="auto"/>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noWrap w:val="0"/>
            <w:vAlign w:val="center"/>
          </w:tcPr>
          <w:p>
            <w:pPr>
              <w:keepNext w:val="0"/>
              <w:keepLines w:val="0"/>
              <w:pageBreakBefore w:val="0"/>
              <w:kinsoku/>
              <w:wordWrap/>
              <w:overflowPunct/>
              <w:topLinePunct w:val="0"/>
              <w:bidi w:val="0"/>
              <w:spacing w:line="360" w:lineRule="auto"/>
              <w:ind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205" w:type="pct"/>
            <w:noWrap w:val="0"/>
            <w:vAlign w:val="center"/>
          </w:tcPr>
          <w:p>
            <w:pPr>
              <w:keepNext w:val="0"/>
              <w:keepLines w:val="0"/>
              <w:pageBreakBefore w:val="0"/>
              <w:kinsoku/>
              <w:wordWrap/>
              <w:overflowPunct/>
              <w:topLinePunct w:val="0"/>
              <w:bidi w:val="0"/>
              <w:spacing w:line="360" w:lineRule="auto"/>
              <w:ind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长安新区污水厂移动式项目</w:t>
            </w:r>
          </w:p>
        </w:tc>
        <w:tc>
          <w:tcPr>
            <w:tcW w:w="2067" w:type="pct"/>
            <w:noWrap w:val="0"/>
            <w:vAlign w:val="center"/>
          </w:tcPr>
          <w:p>
            <w:pPr>
              <w:keepNext w:val="0"/>
              <w:keepLines w:val="0"/>
              <w:pageBreakBefore w:val="0"/>
              <w:kinsoku/>
              <w:wordWrap/>
              <w:overflowPunct/>
              <w:topLinePunct w:val="0"/>
              <w:bidi w:val="0"/>
              <w:ind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东莞市长安镇乌沙社区兴发南路</w:t>
            </w:r>
          </w:p>
        </w:tc>
        <w:tc>
          <w:tcPr>
            <w:tcW w:w="364" w:type="pct"/>
            <w:noWrap w:val="0"/>
            <w:vAlign w:val="center"/>
          </w:tcPr>
          <w:p>
            <w:pPr>
              <w:keepNext w:val="0"/>
              <w:keepLines w:val="0"/>
              <w:pageBreakBefore w:val="0"/>
              <w:kinsoku/>
              <w:wordWrap/>
              <w:overflowPunct/>
              <w:topLinePunct w:val="0"/>
              <w:bidi w:val="0"/>
              <w:spacing w:line="360" w:lineRule="auto"/>
              <w:ind w:firstLine="420"/>
              <w:jc w:val="center"/>
              <w:textAlignment w:val="auto"/>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noWrap w:val="0"/>
            <w:vAlign w:val="center"/>
          </w:tcPr>
          <w:p>
            <w:pPr>
              <w:keepNext w:val="0"/>
              <w:keepLines w:val="0"/>
              <w:pageBreakBefore w:val="0"/>
              <w:kinsoku/>
              <w:wordWrap/>
              <w:overflowPunct/>
              <w:topLinePunct w:val="0"/>
              <w:bidi w:val="0"/>
              <w:spacing w:line="360" w:lineRule="auto"/>
              <w:ind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2205" w:type="pct"/>
            <w:noWrap w:val="0"/>
            <w:vAlign w:val="center"/>
          </w:tcPr>
          <w:p>
            <w:pPr>
              <w:keepNext w:val="0"/>
              <w:keepLines w:val="0"/>
              <w:pageBreakBefore w:val="0"/>
              <w:kinsoku/>
              <w:wordWrap/>
              <w:overflowPunct/>
              <w:topLinePunct w:val="0"/>
              <w:bidi w:val="0"/>
              <w:spacing w:line="360" w:lineRule="auto"/>
              <w:ind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凤岗竹塘二期污泥减量项目</w:t>
            </w:r>
          </w:p>
        </w:tc>
        <w:tc>
          <w:tcPr>
            <w:tcW w:w="2067" w:type="pct"/>
            <w:noWrap w:val="0"/>
            <w:vAlign w:val="center"/>
          </w:tcPr>
          <w:p>
            <w:pPr>
              <w:keepNext w:val="0"/>
              <w:keepLines w:val="0"/>
              <w:pageBreakBefore w:val="0"/>
              <w:kinsoku/>
              <w:wordWrap/>
              <w:overflowPunct/>
              <w:topLinePunct w:val="0"/>
              <w:bidi w:val="0"/>
              <w:ind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东莞市凤岗镇竹塘村浸校塘组</w:t>
            </w:r>
          </w:p>
        </w:tc>
        <w:tc>
          <w:tcPr>
            <w:tcW w:w="364" w:type="pct"/>
            <w:noWrap w:val="0"/>
            <w:vAlign w:val="center"/>
          </w:tcPr>
          <w:p>
            <w:pPr>
              <w:keepNext w:val="0"/>
              <w:keepLines w:val="0"/>
              <w:pageBreakBefore w:val="0"/>
              <w:kinsoku/>
              <w:wordWrap/>
              <w:overflowPunct/>
              <w:topLinePunct w:val="0"/>
              <w:bidi w:val="0"/>
              <w:spacing w:line="360" w:lineRule="auto"/>
              <w:ind w:firstLine="420"/>
              <w:jc w:val="center"/>
              <w:textAlignment w:val="auto"/>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noWrap w:val="0"/>
            <w:vAlign w:val="center"/>
          </w:tcPr>
          <w:p>
            <w:pPr>
              <w:keepNext w:val="0"/>
              <w:keepLines w:val="0"/>
              <w:pageBreakBefore w:val="0"/>
              <w:kinsoku/>
              <w:wordWrap/>
              <w:overflowPunct/>
              <w:topLinePunct w:val="0"/>
              <w:bidi w:val="0"/>
              <w:spacing w:line="360" w:lineRule="auto"/>
              <w:ind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2205" w:type="pct"/>
            <w:noWrap w:val="0"/>
            <w:vAlign w:val="center"/>
          </w:tcPr>
          <w:p>
            <w:pPr>
              <w:keepNext w:val="0"/>
              <w:keepLines w:val="0"/>
              <w:pageBreakBefore w:val="0"/>
              <w:kinsoku/>
              <w:wordWrap/>
              <w:overflowPunct/>
              <w:topLinePunct w:val="0"/>
              <w:bidi w:val="0"/>
              <w:spacing w:line="360" w:lineRule="auto"/>
              <w:ind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寮步三期污泥减量项目</w:t>
            </w:r>
          </w:p>
        </w:tc>
        <w:tc>
          <w:tcPr>
            <w:tcW w:w="2067" w:type="pct"/>
            <w:noWrap w:val="0"/>
            <w:vAlign w:val="center"/>
          </w:tcPr>
          <w:p>
            <w:pPr>
              <w:keepNext w:val="0"/>
              <w:keepLines w:val="0"/>
              <w:pageBreakBefore w:val="0"/>
              <w:kinsoku/>
              <w:wordWrap/>
              <w:overflowPunct/>
              <w:topLinePunct w:val="0"/>
              <w:bidi w:val="0"/>
              <w:ind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东莞市寮步镇竹园村横岭工业区</w:t>
            </w:r>
          </w:p>
        </w:tc>
        <w:tc>
          <w:tcPr>
            <w:tcW w:w="364" w:type="pct"/>
            <w:noWrap w:val="0"/>
            <w:vAlign w:val="center"/>
          </w:tcPr>
          <w:p>
            <w:pPr>
              <w:keepNext w:val="0"/>
              <w:keepLines w:val="0"/>
              <w:pageBreakBefore w:val="0"/>
              <w:kinsoku/>
              <w:wordWrap/>
              <w:overflowPunct/>
              <w:topLinePunct w:val="0"/>
              <w:bidi w:val="0"/>
              <w:spacing w:line="360" w:lineRule="auto"/>
              <w:ind w:firstLine="420"/>
              <w:jc w:val="center"/>
              <w:textAlignment w:val="auto"/>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noWrap w:val="0"/>
            <w:vAlign w:val="center"/>
          </w:tcPr>
          <w:p>
            <w:pPr>
              <w:keepNext w:val="0"/>
              <w:keepLines w:val="0"/>
              <w:pageBreakBefore w:val="0"/>
              <w:kinsoku/>
              <w:wordWrap/>
              <w:overflowPunct/>
              <w:topLinePunct w:val="0"/>
              <w:bidi w:val="0"/>
              <w:spacing w:line="360" w:lineRule="auto"/>
              <w:ind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2205" w:type="pct"/>
            <w:noWrap w:val="0"/>
            <w:vAlign w:val="center"/>
          </w:tcPr>
          <w:p>
            <w:pPr>
              <w:keepNext w:val="0"/>
              <w:keepLines w:val="0"/>
              <w:pageBreakBefore w:val="0"/>
              <w:kinsoku/>
              <w:wordWrap/>
              <w:overflowPunct/>
              <w:topLinePunct w:val="0"/>
              <w:bidi w:val="0"/>
              <w:spacing w:line="360" w:lineRule="auto"/>
              <w:ind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温塘二期污泥减量项目</w:t>
            </w:r>
          </w:p>
        </w:tc>
        <w:tc>
          <w:tcPr>
            <w:tcW w:w="2067" w:type="pct"/>
            <w:noWrap w:val="0"/>
            <w:vAlign w:val="center"/>
          </w:tcPr>
          <w:p>
            <w:pPr>
              <w:keepNext w:val="0"/>
              <w:keepLines w:val="0"/>
              <w:pageBreakBefore w:val="0"/>
              <w:kinsoku/>
              <w:wordWrap/>
              <w:overflowPunct/>
              <w:topLinePunct w:val="0"/>
              <w:bidi w:val="0"/>
              <w:ind w:firstLine="0" w:firstLineChars="0"/>
              <w:textAlignment w:val="auto"/>
              <w:outlineLvl w:val="9"/>
              <w:rPr>
                <w:rFonts w:hint="eastAsia" w:ascii="宋体" w:hAnsi="宋体" w:eastAsia="宋体" w:cs="宋体"/>
                <w:color w:val="auto"/>
                <w:sz w:val="21"/>
                <w:szCs w:val="21"/>
              </w:rPr>
            </w:pPr>
            <w:r>
              <w:rPr>
                <w:rStyle w:val="43"/>
                <w:rFonts w:hint="eastAsia" w:ascii="宋体" w:hAnsi="宋体" w:eastAsia="宋体" w:cs="宋体"/>
                <w:i w:val="0"/>
                <w:iCs w:val="0"/>
                <w:color w:val="auto"/>
                <w:sz w:val="21"/>
                <w:szCs w:val="21"/>
                <w:shd w:val="clear" w:color="auto" w:fill="FFFFFF"/>
              </w:rPr>
              <w:t>东莞市东城温塘社区东南角</w:t>
            </w:r>
          </w:p>
        </w:tc>
        <w:tc>
          <w:tcPr>
            <w:tcW w:w="364" w:type="pct"/>
            <w:noWrap w:val="0"/>
            <w:vAlign w:val="center"/>
          </w:tcPr>
          <w:p>
            <w:pPr>
              <w:keepNext w:val="0"/>
              <w:keepLines w:val="0"/>
              <w:pageBreakBefore w:val="0"/>
              <w:kinsoku/>
              <w:wordWrap/>
              <w:overflowPunct/>
              <w:topLinePunct w:val="0"/>
              <w:bidi w:val="0"/>
              <w:spacing w:line="360" w:lineRule="auto"/>
              <w:ind w:firstLine="420"/>
              <w:jc w:val="center"/>
              <w:textAlignment w:val="auto"/>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noWrap w:val="0"/>
            <w:vAlign w:val="center"/>
          </w:tcPr>
          <w:p>
            <w:pPr>
              <w:keepNext w:val="0"/>
              <w:keepLines w:val="0"/>
              <w:pageBreakBefore w:val="0"/>
              <w:kinsoku/>
              <w:wordWrap/>
              <w:overflowPunct/>
              <w:topLinePunct w:val="0"/>
              <w:bidi w:val="0"/>
              <w:spacing w:line="360" w:lineRule="auto"/>
              <w:ind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2205" w:type="pct"/>
            <w:noWrap w:val="0"/>
            <w:vAlign w:val="center"/>
          </w:tcPr>
          <w:p>
            <w:pPr>
              <w:keepNext w:val="0"/>
              <w:keepLines w:val="0"/>
              <w:pageBreakBefore w:val="0"/>
              <w:kinsoku/>
              <w:wordWrap/>
              <w:overflowPunct/>
              <w:topLinePunct w:val="0"/>
              <w:bidi w:val="0"/>
              <w:spacing w:line="360" w:lineRule="auto"/>
              <w:ind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常平东二期污泥减量项目</w:t>
            </w:r>
          </w:p>
        </w:tc>
        <w:tc>
          <w:tcPr>
            <w:tcW w:w="2067" w:type="pct"/>
            <w:noWrap w:val="0"/>
            <w:vAlign w:val="center"/>
          </w:tcPr>
          <w:p>
            <w:pPr>
              <w:keepNext w:val="0"/>
              <w:keepLines w:val="0"/>
              <w:pageBreakBefore w:val="0"/>
              <w:kinsoku/>
              <w:wordWrap/>
              <w:overflowPunct/>
              <w:topLinePunct w:val="0"/>
              <w:bidi w:val="0"/>
              <w:ind w:firstLine="0" w:firstLineChars="0"/>
              <w:textAlignment w:val="auto"/>
              <w:outlineLvl w:val="9"/>
              <w:rPr>
                <w:rFonts w:hint="eastAsia" w:ascii="宋体" w:hAnsi="宋体" w:eastAsia="宋体" w:cs="宋体"/>
                <w:color w:val="auto"/>
                <w:sz w:val="21"/>
                <w:szCs w:val="21"/>
              </w:rPr>
            </w:pPr>
            <w:r>
              <w:rPr>
                <w:rStyle w:val="43"/>
                <w:rFonts w:hint="eastAsia" w:ascii="宋体" w:hAnsi="宋体" w:eastAsia="宋体" w:cs="宋体"/>
                <w:i w:val="0"/>
                <w:iCs w:val="0"/>
                <w:color w:val="auto"/>
                <w:sz w:val="21"/>
                <w:szCs w:val="21"/>
                <w:shd w:val="clear" w:color="auto" w:fill="FFFFFF"/>
              </w:rPr>
              <w:t>东莞市常平镇沙湖口村</w:t>
            </w:r>
          </w:p>
        </w:tc>
        <w:tc>
          <w:tcPr>
            <w:tcW w:w="364" w:type="pct"/>
            <w:noWrap w:val="0"/>
            <w:vAlign w:val="center"/>
          </w:tcPr>
          <w:p>
            <w:pPr>
              <w:keepNext w:val="0"/>
              <w:keepLines w:val="0"/>
              <w:pageBreakBefore w:val="0"/>
              <w:kinsoku/>
              <w:wordWrap/>
              <w:overflowPunct/>
              <w:topLinePunct w:val="0"/>
              <w:bidi w:val="0"/>
              <w:spacing w:line="360" w:lineRule="auto"/>
              <w:ind w:firstLine="420"/>
              <w:jc w:val="center"/>
              <w:textAlignment w:val="auto"/>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noWrap w:val="0"/>
            <w:vAlign w:val="center"/>
          </w:tcPr>
          <w:p>
            <w:pPr>
              <w:keepNext w:val="0"/>
              <w:keepLines w:val="0"/>
              <w:pageBreakBefore w:val="0"/>
              <w:kinsoku/>
              <w:wordWrap/>
              <w:overflowPunct/>
              <w:topLinePunct w:val="0"/>
              <w:bidi w:val="0"/>
              <w:spacing w:line="360" w:lineRule="auto"/>
              <w:ind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2205" w:type="pct"/>
            <w:noWrap w:val="0"/>
            <w:vAlign w:val="center"/>
          </w:tcPr>
          <w:p>
            <w:pPr>
              <w:keepNext w:val="0"/>
              <w:keepLines w:val="0"/>
              <w:pageBreakBefore w:val="0"/>
              <w:kinsoku/>
              <w:wordWrap/>
              <w:overflowPunct/>
              <w:topLinePunct w:val="0"/>
              <w:bidi w:val="0"/>
              <w:spacing w:line="360" w:lineRule="auto"/>
              <w:ind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塘厦白泥湖污泥减量项目</w:t>
            </w:r>
          </w:p>
        </w:tc>
        <w:tc>
          <w:tcPr>
            <w:tcW w:w="2067" w:type="pct"/>
            <w:noWrap w:val="0"/>
            <w:vAlign w:val="center"/>
          </w:tcPr>
          <w:p>
            <w:pPr>
              <w:keepNext w:val="0"/>
              <w:keepLines w:val="0"/>
              <w:pageBreakBefore w:val="0"/>
              <w:kinsoku/>
              <w:wordWrap/>
              <w:overflowPunct/>
              <w:topLinePunct w:val="0"/>
              <w:bidi w:val="0"/>
              <w:ind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东莞市塘厦镇莲湖南一横路</w:t>
            </w:r>
          </w:p>
        </w:tc>
        <w:tc>
          <w:tcPr>
            <w:tcW w:w="364" w:type="pct"/>
            <w:noWrap w:val="0"/>
            <w:vAlign w:val="center"/>
          </w:tcPr>
          <w:p>
            <w:pPr>
              <w:keepNext w:val="0"/>
              <w:keepLines w:val="0"/>
              <w:pageBreakBefore w:val="0"/>
              <w:kinsoku/>
              <w:wordWrap/>
              <w:overflowPunct/>
              <w:topLinePunct w:val="0"/>
              <w:bidi w:val="0"/>
              <w:spacing w:line="360" w:lineRule="auto"/>
              <w:ind w:firstLine="420"/>
              <w:jc w:val="center"/>
              <w:textAlignment w:val="auto"/>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pPr>
              <w:keepNext w:val="0"/>
              <w:keepLines w:val="0"/>
              <w:pageBreakBefore w:val="0"/>
              <w:kinsoku/>
              <w:wordWrap/>
              <w:overflowPunct/>
              <w:topLinePunct w:val="0"/>
              <w:bidi w:val="0"/>
              <w:spacing w:line="360" w:lineRule="auto"/>
              <w:ind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b/>
                <w:color w:val="auto"/>
                <w:sz w:val="21"/>
                <w:szCs w:val="21"/>
              </w:rPr>
              <w:t>二、有机资源再生利用项目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noWrap w:val="0"/>
            <w:vAlign w:val="center"/>
          </w:tcPr>
          <w:p>
            <w:pPr>
              <w:keepNext w:val="0"/>
              <w:keepLines w:val="0"/>
              <w:pageBreakBefore w:val="0"/>
              <w:kinsoku/>
              <w:wordWrap/>
              <w:overflowPunct/>
              <w:topLinePunct w:val="0"/>
              <w:bidi w:val="0"/>
              <w:spacing w:line="360" w:lineRule="auto"/>
              <w:ind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205" w:type="pct"/>
            <w:noWrap w:val="0"/>
            <w:vAlign w:val="center"/>
          </w:tcPr>
          <w:p>
            <w:pPr>
              <w:keepNext w:val="0"/>
              <w:keepLines w:val="0"/>
              <w:pageBreakBefore w:val="0"/>
              <w:kinsoku/>
              <w:wordWrap/>
              <w:overflowPunct/>
              <w:topLinePunct w:val="0"/>
              <w:bidi w:val="0"/>
              <w:spacing w:line="360" w:lineRule="auto"/>
              <w:ind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东莞市市区有机资源再生利用项目</w:t>
            </w:r>
          </w:p>
        </w:tc>
        <w:tc>
          <w:tcPr>
            <w:tcW w:w="2067" w:type="pct"/>
            <w:noWrap w:val="0"/>
            <w:vAlign w:val="center"/>
          </w:tcPr>
          <w:p>
            <w:pPr>
              <w:keepNext w:val="0"/>
              <w:keepLines w:val="0"/>
              <w:pageBreakBefore w:val="0"/>
              <w:kinsoku/>
              <w:wordWrap/>
              <w:overflowPunct/>
              <w:topLinePunct w:val="0"/>
              <w:bidi w:val="0"/>
              <w:spacing w:line="360" w:lineRule="auto"/>
              <w:ind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东莞市南城街滨河路</w:t>
            </w:r>
          </w:p>
        </w:tc>
        <w:tc>
          <w:tcPr>
            <w:tcW w:w="364" w:type="pct"/>
            <w:noWrap w:val="0"/>
            <w:vAlign w:val="center"/>
          </w:tcPr>
          <w:p>
            <w:pPr>
              <w:keepNext w:val="0"/>
              <w:keepLines w:val="0"/>
              <w:pageBreakBefore w:val="0"/>
              <w:kinsoku/>
              <w:wordWrap/>
              <w:overflowPunct/>
              <w:topLinePunct w:val="0"/>
              <w:bidi w:val="0"/>
              <w:spacing w:line="360" w:lineRule="auto"/>
              <w:ind w:firstLine="420"/>
              <w:jc w:val="center"/>
              <w:textAlignment w:val="auto"/>
              <w:outlineLvl w:val="9"/>
              <w:rPr>
                <w:rFonts w:hint="eastAsia" w:ascii="宋体" w:hAnsi="宋体" w:eastAsia="宋体" w:cs="宋体"/>
                <w:color w:val="auto"/>
                <w:sz w:val="21"/>
                <w:szCs w:val="21"/>
              </w:rPr>
            </w:pPr>
          </w:p>
        </w:tc>
      </w:tr>
    </w:tbl>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pPr>
        <w:pStyle w:val="2"/>
        <w:keepNext w:val="0"/>
        <w:keepLines w:val="0"/>
        <w:pageBreakBefore w:val="0"/>
        <w:kinsoku/>
        <w:wordWrap/>
        <w:overflowPunct/>
        <w:topLinePunct w:val="0"/>
        <w:bidi w:val="0"/>
        <w:ind w:left="0" w:leftChars="0" w:firstLine="0" w:firstLineChars="0"/>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附件3：</w:t>
      </w:r>
    </w:p>
    <w:p>
      <w:pPr>
        <w:keepNext w:val="0"/>
        <w:keepLines w:val="0"/>
        <w:pageBreakBefore w:val="0"/>
        <w:kinsoku/>
        <w:wordWrap/>
        <w:overflowPunct/>
        <w:topLinePunct w:val="0"/>
        <w:bidi w:val="0"/>
        <w:spacing w:line="360" w:lineRule="auto"/>
        <w:ind w:firstLine="0" w:firstLineChars="0"/>
        <w:jc w:val="center"/>
        <w:textAlignment w:val="auto"/>
        <w:outlineLvl w:val="9"/>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物资验收单</w:t>
      </w:r>
    </w:p>
    <w:tbl>
      <w:tblPr>
        <w:tblStyle w:val="39"/>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768"/>
        <w:gridCol w:w="1441"/>
        <w:gridCol w:w="148"/>
        <w:gridCol w:w="561"/>
        <w:gridCol w:w="136"/>
        <w:gridCol w:w="736"/>
        <w:gridCol w:w="778"/>
        <w:gridCol w:w="612"/>
        <w:gridCol w:w="321"/>
        <w:gridCol w:w="978"/>
        <w:gridCol w:w="1285"/>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19" w:type="dxa"/>
            <w:vAlign w:val="center"/>
          </w:tcPr>
          <w:p>
            <w:pPr>
              <w:jc w:val="center"/>
              <w:outlineLvl w:val="9"/>
              <w:rPr>
                <w:rFonts w:hint="eastAsia" w:ascii="宋体" w:hAnsi="宋体" w:eastAsia="宋体"/>
                <w:sz w:val="24"/>
                <w:szCs w:val="24"/>
              </w:rPr>
            </w:pPr>
            <w:r>
              <w:rPr>
                <w:rFonts w:hint="eastAsia" w:ascii="宋体" w:hAnsi="宋体" w:eastAsia="宋体"/>
                <w:sz w:val="24"/>
                <w:szCs w:val="24"/>
              </w:rPr>
              <w:t>合同名称</w:t>
            </w:r>
          </w:p>
        </w:tc>
        <w:tc>
          <w:tcPr>
            <w:tcW w:w="7772" w:type="dxa"/>
            <w:gridSpan w:val="12"/>
          </w:tcPr>
          <w:p>
            <w:pPr>
              <w:outlineLvl w:val="9"/>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19" w:type="dxa"/>
            <w:vAlign w:val="center"/>
          </w:tcPr>
          <w:p>
            <w:pPr>
              <w:jc w:val="center"/>
              <w:outlineLvl w:val="9"/>
              <w:rPr>
                <w:rFonts w:hint="eastAsia" w:ascii="宋体" w:hAnsi="宋体" w:eastAsia="宋体"/>
                <w:sz w:val="24"/>
                <w:szCs w:val="24"/>
              </w:rPr>
            </w:pPr>
            <w:r>
              <w:rPr>
                <w:rFonts w:hint="eastAsia" w:ascii="宋体" w:hAnsi="宋体" w:eastAsia="宋体"/>
                <w:sz w:val="24"/>
                <w:szCs w:val="24"/>
              </w:rPr>
              <w:t>合同编号</w:t>
            </w:r>
          </w:p>
        </w:tc>
        <w:tc>
          <w:tcPr>
            <w:tcW w:w="3054" w:type="dxa"/>
            <w:gridSpan w:val="5"/>
          </w:tcPr>
          <w:p>
            <w:pPr>
              <w:outlineLvl w:val="9"/>
              <w:rPr>
                <w:rFonts w:hint="eastAsia" w:ascii="宋体" w:hAnsi="宋体" w:eastAsia="宋体"/>
                <w:sz w:val="24"/>
                <w:szCs w:val="24"/>
              </w:rPr>
            </w:pPr>
          </w:p>
        </w:tc>
        <w:tc>
          <w:tcPr>
            <w:tcW w:w="2126" w:type="dxa"/>
            <w:gridSpan w:val="3"/>
            <w:vAlign w:val="center"/>
          </w:tcPr>
          <w:p>
            <w:pPr>
              <w:jc w:val="center"/>
              <w:outlineLvl w:val="9"/>
              <w:rPr>
                <w:rFonts w:hint="eastAsia" w:ascii="宋体" w:hAnsi="宋体" w:eastAsia="宋体"/>
                <w:sz w:val="24"/>
                <w:szCs w:val="24"/>
              </w:rPr>
            </w:pPr>
            <w:r>
              <w:rPr>
                <w:rFonts w:hint="eastAsia" w:ascii="宋体" w:hAnsi="宋体" w:eastAsia="宋体"/>
                <w:sz w:val="24"/>
                <w:szCs w:val="24"/>
              </w:rPr>
              <w:t>配送日期</w:t>
            </w:r>
          </w:p>
        </w:tc>
        <w:tc>
          <w:tcPr>
            <w:tcW w:w="2592" w:type="dxa"/>
            <w:gridSpan w:val="4"/>
          </w:tcPr>
          <w:p>
            <w:pPr>
              <w:outlineLvl w:val="9"/>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19" w:type="dxa"/>
            <w:vMerge w:val="restart"/>
            <w:vAlign w:val="center"/>
          </w:tcPr>
          <w:p>
            <w:pPr>
              <w:jc w:val="center"/>
              <w:outlineLvl w:val="9"/>
              <w:rPr>
                <w:rFonts w:hint="eastAsia" w:ascii="宋体" w:hAnsi="宋体" w:eastAsia="宋体"/>
                <w:sz w:val="24"/>
                <w:szCs w:val="24"/>
              </w:rPr>
            </w:pPr>
            <w:r>
              <w:rPr>
                <w:rFonts w:hint="eastAsia" w:ascii="宋体" w:hAnsi="宋体" w:eastAsia="宋体"/>
                <w:sz w:val="24"/>
                <w:szCs w:val="24"/>
              </w:rPr>
              <w:t>货物描述</w:t>
            </w:r>
          </w:p>
        </w:tc>
        <w:tc>
          <w:tcPr>
            <w:tcW w:w="768" w:type="dxa"/>
            <w:vAlign w:val="center"/>
          </w:tcPr>
          <w:p>
            <w:pPr>
              <w:jc w:val="center"/>
              <w:outlineLvl w:val="9"/>
              <w:rPr>
                <w:rFonts w:hint="eastAsia" w:ascii="宋体" w:hAnsi="宋体" w:eastAsia="宋体"/>
                <w:sz w:val="24"/>
                <w:szCs w:val="24"/>
              </w:rPr>
            </w:pPr>
            <w:r>
              <w:rPr>
                <w:rFonts w:hint="eastAsia" w:ascii="宋体" w:hAnsi="宋体" w:eastAsia="宋体"/>
                <w:sz w:val="24"/>
                <w:szCs w:val="24"/>
              </w:rPr>
              <w:t>序号</w:t>
            </w:r>
          </w:p>
        </w:tc>
        <w:tc>
          <w:tcPr>
            <w:tcW w:w="1589" w:type="dxa"/>
            <w:gridSpan w:val="2"/>
            <w:vAlign w:val="center"/>
          </w:tcPr>
          <w:p>
            <w:pPr>
              <w:jc w:val="center"/>
              <w:outlineLvl w:val="9"/>
              <w:rPr>
                <w:rFonts w:hint="eastAsia" w:ascii="宋体" w:hAnsi="宋体" w:eastAsia="宋体"/>
                <w:sz w:val="24"/>
                <w:szCs w:val="24"/>
              </w:rPr>
            </w:pPr>
            <w:r>
              <w:rPr>
                <w:rFonts w:hint="eastAsia" w:ascii="宋体" w:hAnsi="宋体" w:eastAsia="宋体"/>
                <w:sz w:val="24"/>
                <w:szCs w:val="24"/>
              </w:rPr>
              <w:t>物资名称</w:t>
            </w:r>
          </w:p>
        </w:tc>
        <w:tc>
          <w:tcPr>
            <w:tcW w:w="1433" w:type="dxa"/>
            <w:gridSpan w:val="3"/>
            <w:vAlign w:val="center"/>
          </w:tcPr>
          <w:p>
            <w:pPr>
              <w:jc w:val="center"/>
              <w:outlineLvl w:val="9"/>
              <w:rPr>
                <w:rFonts w:hint="eastAsia" w:ascii="宋体" w:hAnsi="宋体" w:eastAsia="宋体"/>
                <w:sz w:val="24"/>
                <w:szCs w:val="24"/>
              </w:rPr>
            </w:pPr>
            <w:r>
              <w:rPr>
                <w:rFonts w:hint="eastAsia" w:ascii="宋体" w:hAnsi="宋体" w:eastAsia="宋体"/>
                <w:sz w:val="24"/>
                <w:szCs w:val="24"/>
              </w:rPr>
              <w:t>规格型号</w:t>
            </w:r>
          </w:p>
        </w:tc>
        <w:tc>
          <w:tcPr>
            <w:tcW w:w="778" w:type="dxa"/>
            <w:vAlign w:val="center"/>
          </w:tcPr>
          <w:p>
            <w:pPr>
              <w:jc w:val="center"/>
              <w:outlineLvl w:val="9"/>
              <w:rPr>
                <w:rFonts w:hint="eastAsia" w:ascii="宋体" w:hAnsi="宋体" w:eastAsia="宋体"/>
                <w:sz w:val="24"/>
                <w:szCs w:val="24"/>
              </w:rPr>
            </w:pPr>
            <w:r>
              <w:rPr>
                <w:rFonts w:hint="eastAsia" w:ascii="宋体" w:hAnsi="宋体" w:eastAsia="宋体"/>
                <w:sz w:val="24"/>
                <w:szCs w:val="24"/>
              </w:rPr>
              <w:t>单位</w:t>
            </w:r>
          </w:p>
        </w:tc>
        <w:tc>
          <w:tcPr>
            <w:tcW w:w="933" w:type="dxa"/>
            <w:gridSpan w:val="2"/>
            <w:vAlign w:val="center"/>
          </w:tcPr>
          <w:p>
            <w:pPr>
              <w:jc w:val="center"/>
              <w:outlineLvl w:val="9"/>
              <w:rPr>
                <w:rFonts w:hint="eastAsia" w:ascii="宋体" w:hAnsi="宋体" w:eastAsia="宋体"/>
                <w:sz w:val="24"/>
                <w:szCs w:val="24"/>
              </w:rPr>
            </w:pPr>
            <w:r>
              <w:rPr>
                <w:rFonts w:hint="eastAsia" w:ascii="宋体" w:hAnsi="宋体" w:eastAsia="宋体"/>
                <w:sz w:val="24"/>
                <w:szCs w:val="24"/>
              </w:rPr>
              <w:t>数量</w:t>
            </w:r>
          </w:p>
        </w:tc>
        <w:tc>
          <w:tcPr>
            <w:tcW w:w="978" w:type="dxa"/>
            <w:vAlign w:val="center"/>
          </w:tcPr>
          <w:p>
            <w:pPr>
              <w:jc w:val="center"/>
              <w:outlineLvl w:val="9"/>
              <w:rPr>
                <w:rFonts w:hint="default" w:ascii="宋体" w:hAnsi="宋体" w:eastAsia="宋体"/>
                <w:sz w:val="24"/>
                <w:szCs w:val="24"/>
                <w:lang w:val="en-US" w:eastAsia="zh-CN"/>
              </w:rPr>
            </w:pPr>
            <w:r>
              <w:rPr>
                <w:rFonts w:hint="eastAsia" w:ascii="宋体" w:hAnsi="宋体" w:eastAsia="宋体"/>
                <w:sz w:val="24"/>
                <w:szCs w:val="24"/>
                <w:lang w:val="en-US" w:eastAsia="zh-CN"/>
              </w:rPr>
              <w:t>品牌</w:t>
            </w:r>
          </w:p>
        </w:tc>
        <w:tc>
          <w:tcPr>
            <w:tcW w:w="1293" w:type="dxa"/>
            <w:gridSpan w:val="2"/>
            <w:vAlign w:val="center"/>
          </w:tcPr>
          <w:p>
            <w:pPr>
              <w:jc w:val="center"/>
              <w:outlineLvl w:val="9"/>
              <w:rPr>
                <w:rFonts w:hint="eastAsia"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19" w:type="dxa"/>
            <w:vMerge w:val="continue"/>
            <w:vAlign w:val="center"/>
          </w:tcPr>
          <w:p>
            <w:pPr>
              <w:outlineLvl w:val="9"/>
              <w:rPr>
                <w:rFonts w:hint="eastAsia" w:ascii="宋体" w:hAnsi="宋体" w:eastAsia="宋体"/>
                <w:sz w:val="24"/>
                <w:szCs w:val="24"/>
              </w:rPr>
            </w:pPr>
          </w:p>
        </w:tc>
        <w:tc>
          <w:tcPr>
            <w:tcW w:w="768" w:type="dxa"/>
            <w:vAlign w:val="center"/>
          </w:tcPr>
          <w:p>
            <w:pPr>
              <w:outlineLvl w:val="9"/>
              <w:rPr>
                <w:rFonts w:hint="eastAsia" w:ascii="宋体" w:hAnsi="宋体" w:eastAsia="宋体"/>
                <w:sz w:val="24"/>
                <w:szCs w:val="24"/>
              </w:rPr>
            </w:pPr>
          </w:p>
        </w:tc>
        <w:tc>
          <w:tcPr>
            <w:tcW w:w="1589" w:type="dxa"/>
            <w:gridSpan w:val="2"/>
            <w:vAlign w:val="center"/>
          </w:tcPr>
          <w:p>
            <w:pPr>
              <w:outlineLvl w:val="9"/>
              <w:rPr>
                <w:rFonts w:hint="eastAsia" w:ascii="宋体" w:hAnsi="宋体" w:eastAsia="宋体"/>
                <w:sz w:val="24"/>
                <w:szCs w:val="24"/>
              </w:rPr>
            </w:pPr>
          </w:p>
        </w:tc>
        <w:tc>
          <w:tcPr>
            <w:tcW w:w="1433" w:type="dxa"/>
            <w:gridSpan w:val="3"/>
            <w:vAlign w:val="center"/>
          </w:tcPr>
          <w:p>
            <w:pPr>
              <w:outlineLvl w:val="9"/>
              <w:rPr>
                <w:rFonts w:hint="eastAsia" w:ascii="宋体" w:hAnsi="宋体" w:eastAsia="宋体"/>
                <w:sz w:val="24"/>
                <w:szCs w:val="24"/>
              </w:rPr>
            </w:pPr>
          </w:p>
        </w:tc>
        <w:tc>
          <w:tcPr>
            <w:tcW w:w="778" w:type="dxa"/>
            <w:vAlign w:val="center"/>
          </w:tcPr>
          <w:p>
            <w:pPr>
              <w:outlineLvl w:val="9"/>
              <w:rPr>
                <w:rFonts w:hint="eastAsia" w:ascii="宋体" w:hAnsi="宋体" w:eastAsia="宋体"/>
                <w:sz w:val="24"/>
                <w:szCs w:val="24"/>
              </w:rPr>
            </w:pPr>
          </w:p>
        </w:tc>
        <w:tc>
          <w:tcPr>
            <w:tcW w:w="933" w:type="dxa"/>
            <w:gridSpan w:val="2"/>
            <w:vAlign w:val="center"/>
          </w:tcPr>
          <w:p>
            <w:pPr>
              <w:outlineLvl w:val="9"/>
              <w:rPr>
                <w:rFonts w:hint="eastAsia" w:ascii="宋体" w:hAnsi="宋体" w:eastAsia="宋体"/>
                <w:sz w:val="24"/>
                <w:szCs w:val="24"/>
              </w:rPr>
            </w:pPr>
          </w:p>
        </w:tc>
        <w:tc>
          <w:tcPr>
            <w:tcW w:w="978" w:type="dxa"/>
            <w:vAlign w:val="center"/>
          </w:tcPr>
          <w:p>
            <w:pPr>
              <w:outlineLvl w:val="9"/>
              <w:rPr>
                <w:rFonts w:hint="eastAsia" w:ascii="宋体" w:hAnsi="宋体" w:eastAsia="宋体"/>
                <w:sz w:val="24"/>
                <w:szCs w:val="24"/>
              </w:rPr>
            </w:pPr>
          </w:p>
        </w:tc>
        <w:tc>
          <w:tcPr>
            <w:tcW w:w="1293" w:type="dxa"/>
            <w:gridSpan w:val="2"/>
            <w:vAlign w:val="center"/>
          </w:tcPr>
          <w:p>
            <w:pPr>
              <w:outlineLvl w:val="9"/>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19" w:type="dxa"/>
            <w:vMerge w:val="continue"/>
            <w:vAlign w:val="center"/>
          </w:tcPr>
          <w:p>
            <w:pPr>
              <w:outlineLvl w:val="9"/>
              <w:rPr>
                <w:rFonts w:hint="eastAsia" w:ascii="宋体" w:hAnsi="宋体" w:eastAsia="宋体"/>
                <w:sz w:val="24"/>
                <w:szCs w:val="24"/>
              </w:rPr>
            </w:pPr>
          </w:p>
        </w:tc>
        <w:tc>
          <w:tcPr>
            <w:tcW w:w="768" w:type="dxa"/>
            <w:vAlign w:val="center"/>
          </w:tcPr>
          <w:p>
            <w:pPr>
              <w:outlineLvl w:val="9"/>
              <w:rPr>
                <w:rFonts w:hint="eastAsia" w:ascii="宋体" w:hAnsi="宋体" w:eastAsia="宋体"/>
                <w:sz w:val="24"/>
                <w:szCs w:val="24"/>
              </w:rPr>
            </w:pPr>
          </w:p>
        </w:tc>
        <w:tc>
          <w:tcPr>
            <w:tcW w:w="1589" w:type="dxa"/>
            <w:gridSpan w:val="2"/>
            <w:vAlign w:val="center"/>
          </w:tcPr>
          <w:p>
            <w:pPr>
              <w:outlineLvl w:val="9"/>
              <w:rPr>
                <w:rFonts w:hint="eastAsia" w:ascii="宋体" w:hAnsi="宋体" w:eastAsia="宋体"/>
                <w:sz w:val="24"/>
                <w:szCs w:val="24"/>
              </w:rPr>
            </w:pPr>
          </w:p>
        </w:tc>
        <w:tc>
          <w:tcPr>
            <w:tcW w:w="1433" w:type="dxa"/>
            <w:gridSpan w:val="3"/>
            <w:vAlign w:val="center"/>
          </w:tcPr>
          <w:p>
            <w:pPr>
              <w:outlineLvl w:val="9"/>
              <w:rPr>
                <w:rFonts w:hint="eastAsia" w:ascii="宋体" w:hAnsi="宋体" w:eastAsia="宋体"/>
                <w:sz w:val="24"/>
                <w:szCs w:val="24"/>
              </w:rPr>
            </w:pPr>
          </w:p>
        </w:tc>
        <w:tc>
          <w:tcPr>
            <w:tcW w:w="778" w:type="dxa"/>
            <w:vAlign w:val="center"/>
          </w:tcPr>
          <w:p>
            <w:pPr>
              <w:outlineLvl w:val="9"/>
              <w:rPr>
                <w:rFonts w:hint="eastAsia" w:ascii="宋体" w:hAnsi="宋体" w:eastAsia="宋体"/>
                <w:sz w:val="24"/>
                <w:szCs w:val="24"/>
              </w:rPr>
            </w:pPr>
          </w:p>
        </w:tc>
        <w:tc>
          <w:tcPr>
            <w:tcW w:w="933" w:type="dxa"/>
            <w:gridSpan w:val="2"/>
            <w:vAlign w:val="center"/>
          </w:tcPr>
          <w:p>
            <w:pPr>
              <w:outlineLvl w:val="9"/>
              <w:rPr>
                <w:rFonts w:hint="eastAsia" w:ascii="宋体" w:hAnsi="宋体" w:eastAsia="宋体"/>
                <w:sz w:val="24"/>
                <w:szCs w:val="24"/>
              </w:rPr>
            </w:pPr>
          </w:p>
        </w:tc>
        <w:tc>
          <w:tcPr>
            <w:tcW w:w="978" w:type="dxa"/>
            <w:vAlign w:val="center"/>
          </w:tcPr>
          <w:p>
            <w:pPr>
              <w:outlineLvl w:val="9"/>
              <w:rPr>
                <w:rFonts w:hint="eastAsia" w:ascii="宋体" w:hAnsi="宋体" w:eastAsia="宋体"/>
                <w:sz w:val="24"/>
                <w:szCs w:val="24"/>
              </w:rPr>
            </w:pPr>
          </w:p>
        </w:tc>
        <w:tc>
          <w:tcPr>
            <w:tcW w:w="1293" w:type="dxa"/>
            <w:gridSpan w:val="2"/>
            <w:vAlign w:val="center"/>
          </w:tcPr>
          <w:p>
            <w:pPr>
              <w:outlineLvl w:val="9"/>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619" w:type="dxa"/>
            <w:vMerge w:val="continue"/>
            <w:vAlign w:val="center"/>
          </w:tcPr>
          <w:p>
            <w:pPr>
              <w:outlineLvl w:val="9"/>
              <w:rPr>
                <w:rFonts w:hint="eastAsia" w:ascii="宋体" w:hAnsi="宋体" w:eastAsia="宋体"/>
                <w:sz w:val="24"/>
                <w:szCs w:val="24"/>
              </w:rPr>
            </w:pPr>
          </w:p>
        </w:tc>
        <w:tc>
          <w:tcPr>
            <w:tcW w:w="768" w:type="dxa"/>
            <w:vAlign w:val="center"/>
          </w:tcPr>
          <w:p>
            <w:pPr>
              <w:outlineLvl w:val="9"/>
              <w:rPr>
                <w:rFonts w:hint="eastAsia" w:ascii="宋体" w:hAnsi="宋体" w:eastAsia="宋体"/>
                <w:sz w:val="24"/>
                <w:szCs w:val="24"/>
              </w:rPr>
            </w:pPr>
          </w:p>
        </w:tc>
        <w:tc>
          <w:tcPr>
            <w:tcW w:w="1589" w:type="dxa"/>
            <w:gridSpan w:val="2"/>
            <w:vAlign w:val="center"/>
          </w:tcPr>
          <w:p>
            <w:pPr>
              <w:outlineLvl w:val="9"/>
              <w:rPr>
                <w:rFonts w:hint="eastAsia" w:ascii="宋体" w:hAnsi="宋体" w:eastAsia="宋体"/>
                <w:sz w:val="24"/>
                <w:szCs w:val="24"/>
              </w:rPr>
            </w:pPr>
          </w:p>
        </w:tc>
        <w:tc>
          <w:tcPr>
            <w:tcW w:w="1433" w:type="dxa"/>
            <w:gridSpan w:val="3"/>
            <w:vAlign w:val="center"/>
          </w:tcPr>
          <w:p>
            <w:pPr>
              <w:outlineLvl w:val="9"/>
              <w:rPr>
                <w:rFonts w:hint="eastAsia" w:ascii="宋体" w:hAnsi="宋体" w:eastAsia="宋体"/>
                <w:sz w:val="24"/>
                <w:szCs w:val="24"/>
              </w:rPr>
            </w:pPr>
          </w:p>
        </w:tc>
        <w:tc>
          <w:tcPr>
            <w:tcW w:w="778" w:type="dxa"/>
            <w:vAlign w:val="center"/>
          </w:tcPr>
          <w:p>
            <w:pPr>
              <w:outlineLvl w:val="9"/>
              <w:rPr>
                <w:rFonts w:hint="eastAsia" w:ascii="宋体" w:hAnsi="宋体" w:eastAsia="宋体"/>
                <w:sz w:val="24"/>
                <w:szCs w:val="24"/>
              </w:rPr>
            </w:pPr>
          </w:p>
        </w:tc>
        <w:tc>
          <w:tcPr>
            <w:tcW w:w="933" w:type="dxa"/>
            <w:gridSpan w:val="2"/>
            <w:vAlign w:val="center"/>
          </w:tcPr>
          <w:p>
            <w:pPr>
              <w:outlineLvl w:val="9"/>
              <w:rPr>
                <w:rFonts w:hint="eastAsia" w:ascii="宋体" w:hAnsi="宋体" w:eastAsia="宋体"/>
                <w:sz w:val="24"/>
                <w:szCs w:val="24"/>
              </w:rPr>
            </w:pPr>
          </w:p>
        </w:tc>
        <w:tc>
          <w:tcPr>
            <w:tcW w:w="978" w:type="dxa"/>
            <w:vAlign w:val="center"/>
          </w:tcPr>
          <w:p>
            <w:pPr>
              <w:outlineLvl w:val="9"/>
              <w:rPr>
                <w:rFonts w:hint="eastAsia" w:ascii="宋体" w:hAnsi="宋体" w:eastAsia="宋体"/>
                <w:sz w:val="24"/>
                <w:szCs w:val="24"/>
              </w:rPr>
            </w:pPr>
          </w:p>
        </w:tc>
        <w:tc>
          <w:tcPr>
            <w:tcW w:w="1293" w:type="dxa"/>
            <w:gridSpan w:val="2"/>
            <w:vAlign w:val="center"/>
          </w:tcPr>
          <w:p>
            <w:pPr>
              <w:outlineLvl w:val="9"/>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19" w:type="dxa"/>
            <w:vMerge w:val="continue"/>
            <w:vAlign w:val="center"/>
          </w:tcPr>
          <w:p>
            <w:pPr>
              <w:outlineLvl w:val="9"/>
              <w:rPr>
                <w:rFonts w:hint="eastAsia" w:ascii="宋体" w:hAnsi="宋体" w:eastAsia="宋体"/>
                <w:sz w:val="24"/>
                <w:szCs w:val="24"/>
              </w:rPr>
            </w:pPr>
          </w:p>
        </w:tc>
        <w:tc>
          <w:tcPr>
            <w:tcW w:w="768" w:type="dxa"/>
            <w:vAlign w:val="center"/>
          </w:tcPr>
          <w:p>
            <w:pPr>
              <w:outlineLvl w:val="9"/>
              <w:rPr>
                <w:rFonts w:hint="eastAsia" w:ascii="宋体" w:hAnsi="宋体" w:eastAsia="宋体"/>
                <w:sz w:val="24"/>
                <w:szCs w:val="24"/>
              </w:rPr>
            </w:pPr>
          </w:p>
        </w:tc>
        <w:tc>
          <w:tcPr>
            <w:tcW w:w="1589" w:type="dxa"/>
            <w:gridSpan w:val="2"/>
            <w:vAlign w:val="center"/>
          </w:tcPr>
          <w:p>
            <w:pPr>
              <w:outlineLvl w:val="9"/>
              <w:rPr>
                <w:rFonts w:hint="eastAsia" w:ascii="宋体" w:hAnsi="宋体" w:eastAsia="宋体"/>
                <w:sz w:val="24"/>
                <w:szCs w:val="24"/>
              </w:rPr>
            </w:pPr>
          </w:p>
        </w:tc>
        <w:tc>
          <w:tcPr>
            <w:tcW w:w="1433" w:type="dxa"/>
            <w:gridSpan w:val="3"/>
            <w:vAlign w:val="center"/>
          </w:tcPr>
          <w:p>
            <w:pPr>
              <w:outlineLvl w:val="9"/>
              <w:rPr>
                <w:rFonts w:hint="eastAsia" w:ascii="宋体" w:hAnsi="宋体" w:eastAsia="宋体"/>
                <w:sz w:val="24"/>
                <w:szCs w:val="24"/>
              </w:rPr>
            </w:pPr>
          </w:p>
        </w:tc>
        <w:tc>
          <w:tcPr>
            <w:tcW w:w="778" w:type="dxa"/>
            <w:vAlign w:val="center"/>
          </w:tcPr>
          <w:p>
            <w:pPr>
              <w:outlineLvl w:val="9"/>
              <w:rPr>
                <w:rFonts w:hint="eastAsia" w:ascii="宋体" w:hAnsi="宋体" w:eastAsia="宋体"/>
                <w:sz w:val="24"/>
                <w:szCs w:val="24"/>
              </w:rPr>
            </w:pPr>
          </w:p>
        </w:tc>
        <w:tc>
          <w:tcPr>
            <w:tcW w:w="933" w:type="dxa"/>
            <w:gridSpan w:val="2"/>
            <w:vAlign w:val="center"/>
          </w:tcPr>
          <w:p>
            <w:pPr>
              <w:outlineLvl w:val="9"/>
              <w:rPr>
                <w:rFonts w:hint="eastAsia" w:ascii="宋体" w:hAnsi="宋体" w:eastAsia="宋体"/>
                <w:sz w:val="24"/>
                <w:szCs w:val="24"/>
              </w:rPr>
            </w:pPr>
          </w:p>
        </w:tc>
        <w:tc>
          <w:tcPr>
            <w:tcW w:w="978" w:type="dxa"/>
            <w:vAlign w:val="center"/>
          </w:tcPr>
          <w:p>
            <w:pPr>
              <w:outlineLvl w:val="9"/>
              <w:rPr>
                <w:rFonts w:hint="eastAsia" w:ascii="宋体" w:hAnsi="宋体" w:eastAsia="宋体"/>
                <w:sz w:val="24"/>
                <w:szCs w:val="24"/>
              </w:rPr>
            </w:pPr>
          </w:p>
        </w:tc>
        <w:tc>
          <w:tcPr>
            <w:tcW w:w="1293" w:type="dxa"/>
            <w:gridSpan w:val="2"/>
            <w:vAlign w:val="center"/>
          </w:tcPr>
          <w:p>
            <w:pPr>
              <w:outlineLvl w:val="9"/>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619" w:type="dxa"/>
            <w:vMerge w:val="continue"/>
            <w:vAlign w:val="center"/>
          </w:tcPr>
          <w:p>
            <w:pPr>
              <w:outlineLvl w:val="9"/>
              <w:rPr>
                <w:rFonts w:hint="eastAsia" w:ascii="宋体" w:hAnsi="宋体" w:eastAsia="宋体"/>
                <w:sz w:val="24"/>
                <w:szCs w:val="24"/>
              </w:rPr>
            </w:pPr>
          </w:p>
        </w:tc>
        <w:tc>
          <w:tcPr>
            <w:tcW w:w="7772" w:type="dxa"/>
            <w:gridSpan w:val="12"/>
            <w:vAlign w:val="center"/>
          </w:tcPr>
          <w:p>
            <w:pPr>
              <w:outlineLvl w:val="9"/>
              <w:rPr>
                <w:rFonts w:hint="eastAsia" w:ascii="宋体" w:hAnsi="宋体" w:eastAsia="宋体"/>
                <w:sz w:val="24"/>
                <w:szCs w:val="24"/>
              </w:rPr>
            </w:pPr>
            <w:r>
              <w:rPr>
                <w:rFonts w:hint="eastAsia" w:ascii="宋体" w:hAnsi="宋体" w:eastAsia="宋体"/>
                <w:sz w:val="24"/>
                <w:szCs w:val="24"/>
              </w:rPr>
              <w:t>备注：以上栏目由供货单位填写。如果不能将所发货物描述清楚，需附“发货清单”或“装箱单”，并加盖骑缝章。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57" w:hRule="atLeast"/>
          <w:jc w:val="center"/>
        </w:trPr>
        <w:tc>
          <w:tcPr>
            <w:tcW w:w="1619" w:type="dxa"/>
            <w:vMerge w:val="restart"/>
            <w:vAlign w:val="center"/>
          </w:tcPr>
          <w:p>
            <w:pPr>
              <w:jc w:val="center"/>
              <w:outlineLvl w:val="9"/>
              <w:rPr>
                <w:rFonts w:hint="eastAsia" w:ascii="宋体" w:hAnsi="宋体" w:eastAsia="宋体"/>
                <w:sz w:val="24"/>
                <w:szCs w:val="24"/>
              </w:rPr>
            </w:pPr>
            <w:r>
              <w:rPr>
                <w:rFonts w:hint="eastAsia" w:ascii="宋体" w:hAnsi="宋体" w:eastAsia="宋体"/>
                <w:sz w:val="24"/>
                <w:szCs w:val="24"/>
              </w:rPr>
              <w:t>货物验收</w:t>
            </w:r>
          </w:p>
        </w:tc>
        <w:tc>
          <w:tcPr>
            <w:tcW w:w="2209" w:type="dxa"/>
            <w:gridSpan w:val="2"/>
            <w:vAlign w:val="center"/>
          </w:tcPr>
          <w:p>
            <w:pPr>
              <w:outlineLvl w:val="9"/>
              <w:rPr>
                <w:rFonts w:hint="eastAsia" w:ascii="宋体" w:hAnsi="宋体" w:eastAsia="宋体"/>
                <w:sz w:val="24"/>
                <w:szCs w:val="24"/>
              </w:rPr>
            </w:pPr>
            <w:r>
              <w:rPr>
                <w:rFonts w:hint="eastAsia" w:ascii="宋体" w:hAnsi="宋体" w:eastAsia="宋体"/>
                <w:sz w:val="24"/>
                <w:szCs w:val="24"/>
              </w:rPr>
              <w:t>货物数量是否齐全</w:t>
            </w:r>
          </w:p>
        </w:tc>
        <w:tc>
          <w:tcPr>
            <w:tcW w:w="5555" w:type="dxa"/>
            <w:gridSpan w:val="9"/>
            <w:vAlign w:val="center"/>
          </w:tcPr>
          <w:p>
            <w:pPr>
              <w:ind w:firstLine="960" w:firstLineChars="400"/>
              <w:outlineLvl w:val="9"/>
              <w:rPr>
                <w:rFonts w:hint="eastAsia" w:ascii="宋体" w:hAnsi="宋体" w:eastAsia="宋体"/>
                <w:sz w:val="24"/>
                <w:szCs w:val="24"/>
              </w:rPr>
            </w:pPr>
            <w:r>
              <w:rPr>
                <w:rFonts w:hint="eastAsia" w:ascii="宋体" w:hAnsi="宋体" w:eastAsia="宋体"/>
                <w:sz w:val="24"/>
                <w:szCs w:val="24"/>
              </w:rPr>
              <w:t xml:space="preserve">是 </w:t>
            </w:r>
            <w:r>
              <w:rPr>
                <w:rFonts w:hint="eastAsia" w:ascii="宋体" w:hAnsi="宋体" w:eastAsia="宋体"/>
                <w:sz w:val="24"/>
                <w:szCs w:val="24"/>
              </w:rPr>
              <w:sym w:font="Wingdings 2" w:char="F0A3"/>
            </w:r>
            <w:r>
              <w:rPr>
                <w:rFonts w:hint="eastAsia" w:ascii="宋体" w:hAnsi="宋体" w:eastAsia="宋体"/>
                <w:sz w:val="24"/>
                <w:szCs w:val="24"/>
              </w:rPr>
              <w:t xml:space="preserve">               否</w:t>
            </w:r>
            <w:r>
              <w:rPr>
                <w:rFonts w:hint="eastAsia" w:ascii="宋体" w:hAnsi="宋体" w:eastAsia="宋体"/>
                <w:sz w:val="24"/>
                <w:szCs w:val="24"/>
              </w:rPr>
              <w:sym w:font="Wingdings 2" w:char="F0A3"/>
            </w:r>
            <w:r>
              <w:rPr>
                <w:rFonts w:hint="eastAsia" w:ascii="宋体" w:hAnsi="宋体" w:eastAsia="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51" w:hRule="atLeast"/>
          <w:jc w:val="center"/>
        </w:trPr>
        <w:tc>
          <w:tcPr>
            <w:tcW w:w="1619" w:type="dxa"/>
            <w:vMerge w:val="continue"/>
          </w:tcPr>
          <w:p>
            <w:pPr>
              <w:outlineLvl w:val="9"/>
              <w:rPr>
                <w:rFonts w:hint="eastAsia" w:ascii="宋体" w:hAnsi="宋体" w:eastAsia="宋体"/>
                <w:sz w:val="24"/>
                <w:szCs w:val="24"/>
              </w:rPr>
            </w:pPr>
          </w:p>
        </w:tc>
        <w:tc>
          <w:tcPr>
            <w:tcW w:w="2209" w:type="dxa"/>
            <w:gridSpan w:val="2"/>
            <w:vAlign w:val="center"/>
          </w:tcPr>
          <w:p>
            <w:pPr>
              <w:outlineLvl w:val="9"/>
              <w:rPr>
                <w:rFonts w:hint="eastAsia" w:ascii="宋体" w:hAnsi="宋体" w:eastAsia="宋体"/>
                <w:sz w:val="24"/>
                <w:szCs w:val="24"/>
              </w:rPr>
            </w:pPr>
            <w:r>
              <w:rPr>
                <w:rFonts w:hint="eastAsia" w:ascii="宋体" w:hAnsi="宋体" w:eastAsia="宋体"/>
                <w:sz w:val="24"/>
                <w:szCs w:val="24"/>
              </w:rPr>
              <w:t>所有货物是否完好</w:t>
            </w:r>
          </w:p>
        </w:tc>
        <w:tc>
          <w:tcPr>
            <w:tcW w:w="5555" w:type="dxa"/>
            <w:gridSpan w:val="9"/>
            <w:vAlign w:val="center"/>
          </w:tcPr>
          <w:p>
            <w:pPr>
              <w:ind w:firstLine="960" w:firstLineChars="400"/>
              <w:outlineLvl w:val="9"/>
              <w:rPr>
                <w:rFonts w:hint="eastAsia" w:ascii="宋体" w:hAnsi="宋体" w:eastAsia="宋体"/>
                <w:sz w:val="24"/>
                <w:szCs w:val="24"/>
              </w:rPr>
            </w:pPr>
            <w:r>
              <w:rPr>
                <w:rFonts w:hint="eastAsia" w:ascii="宋体" w:hAnsi="宋体" w:eastAsia="宋体"/>
                <w:sz w:val="24"/>
                <w:szCs w:val="24"/>
              </w:rPr>
              <w:t xml:space="preserve">是 </w:t>
            </w:r>
            <w:r>
              <w:rPr>
                <w:rFonts w:hint="eastAsia" w:ascii="宋体" w:hAnsi="宋体" w:eastAsia="宋体"/>
                <w:sz w:val="24"/>
                <w:szCs w:val="24"/>
              </w:rPr>
              <w:sym w:font="Wingdings 2" w:char="F0A3"/>
            </w:r>
            <w:r>
              <w:rPr>
                <w:rFonts w:hint="eastAsia" w:ascii="宋体" w:hAnsi="宋体" w:eastAsia="宋体"/>
                <w:sz w:val="24"/>
                <w:szCs w:val="24"/>
              </w:rPr>
              <w:t xml:space="preserve">               否</w:t>
            </w:r>
            <w:r>
              <w:rPr>
                <w:rFonts w:hint="eastAsia" w:ascii="宋体" w:hAnsi="宋体" w:eastAsia="宋体"/>
                <w:sz w:val="24"/>
                <w:szCs w:val="24"/>
              </w:rPr>
              <w:sym w:font="Wingdings 2" w:char="F0A3"/>
            </w:r>
            <w:r>
              <w:rPr>
                <w:rFonts w:hint="eastAsia" w:ascii="宋体" w:hAnsi="宋体" w:eastAsia="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975" w:hRule="atLeast"/>
          <w:jc w:val="center"/>
        </w:trPr>
        <w:tc>
          <w:tcPr>
            <w:tcW w:w="1619" w:type="dxa"/>
            <w:vMerge w:val="continue"/>
          </w:tcPr>
          <w:p>
            <w:pPr>
              <w:outlineLvl w:val="9"/>
              <w:rPr>
                <w:rFonts w:hint="eastAsia" w:ascii="宋体" w:hAnsi="宋体" w:eastAsia="宋体"/>
                <w:sz w:val="24"/>
                <w:szCs w:val="24"/>
              </w:rPr>
            </w:pPr>
          </w:p>
        </w:tc>
        <w:tc>
          <w:tcPr>
            <w:tcW w:w="2209" w:type="dxa"/>
            <w:gridSpan w:val="2"/>
            <w:vAlign w:val="center"/>
          </w:tcPr>
          <w:p>
            <w:pPr>
              <w:outlineLvl w:val="9"/>
              <w:rPr>
                <w:rFonts w:hint="eastAsia" w:ascii="宋体" w:hAnsi="宋体" w:eastAsia="宋体"/>
                <w:sz w:val="24"/>
                <w:szCs w:val="24"/>
              </w:rPr>
            </w:pPr>
            <w:r>
              <w:rPr>
                <w:rFonts w:hint="eastAsia" w:ascii="宋体" w:hAnsi="宋体" w:eastAsia="宋体"/>
                <w:sz w:val="24"/>
                <w:szCs w:val="24"/>
              </w:rPr>
              <w:t>货损描述</w:t>
            </w:r>
          </w:p>
        </w:tc>
        <w:tc>
          <w:tcPr>
            <w:tcW w:w="5555" w:type="dxa"/>
            <w:gridSpan w:val="9"/>
            <w:vAlign w:val="center"/>
          </w:tcPr>
          <w:p>
            <w:pPr>
              <w:outlineLvl w:val="9"/>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089" w:hRule="atLeast"/>
          <w:jc w:val="center"/>
        </w:trPr>
        <w:tc>
          <w:tcPr>
            <w:tcW w:w="1619" w:type="dxa"/>
            <w:vMerge w:val="continue"/>
          </w:tcPr>
          <w:p>
            <w:pPr>
              <w:outlineLvl w:val="9"/>
              <w:rPr>
                <w:rFonts w:hint="eastAsia" w:ascii="宋体" w:hAnsi="宋体" w:eastAsia="宋体"/>
                <w:sz w:val="24"/>
                <w:szCs w:val="24"/>
              </w:rPr>
            </w:pPr>
          </w:p>
        </w:tc>
        <w:tc>
          <w:tcPr>
            <w:tcW w:w="2209" w:type="dxa"/>
            <w:gridSpan w:val="2"/>
            <w:vAlign w:val="center"/>
          </w:tcPr>
          <w:p>
            <w:pPr>
              <w:outlineLvl w:val="9"/>
              <w:rPr>
                <w:rFonts w:hint="eastAsia" w:ascii="宋体" w:hAnsi="宋体" w:eastAsia="宋体"/>
                <w:sz w:val="24"/>
                <w:szCs w:val="24"/>
              </w:rPr>
            </w:pPr>
            <w:r>
              <w:rPr>
                <w:rFonts w:hint="eastAsia" w:ascii="宋体" w:hAnsi="宋体" w:eastAsia="宋体"/>
                <w:sz w:val="24"/>
                <w:szCs w:val="24"/>
              </w:rPr>
              <w:t>缺货、错货描述</w:t>
            </w:r>
          </w:p>
        </w:tc>
        <w:tc>
          <w:tcPr>
            <w:tcW w:w="5555" w:type="dxa"/>
            <w:gridSpan w:val="9"/>
            <w:vAlign w:val="center"/>
          </w:tcPr>
          <w:p>
            <w:pPr>
              <w:outlineLvl w:val="9"/>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133" w:hRule="atLeast"/>
          <w:jc w:val="center"/>
        </w:trPr>
        <w:tc>
          <w:tcPr>
            <w:tcW w:w="1619" w:type="dxa"/>
            <w:vMerge w:val="continue"/>
          </w:tcPr>
          <w:p>
            <w:pPr>
              <w:outlineLvl w:val="9"/>
              <w:rPr>
                <w:rFonts w:hint="eastAsia" w:ascii="宋体" w:hAnsi="宋体" w:eastAsia="宋体"/>
                <w:sz w:val="24"/>
                <w:szCs w:val="24"/>
              </w:rPr>
            </w:pPr>
          </w:p>
        </w:tc>
        <w:tc>
          <w:tcPr>
            <w:tcW w:w="2209" w:type="dxa"/>
            <w:gridSpan w:val="2"/>
            <w:vAlign w:val="center"/>
          </w:tcPr>
          <w:p>
            <w:pPr>
              <w:outlineLvl w:val="9"/>
              <w:rPr>
                <w:rFonts w:hint="eastAsia" w:ascii="宋体" w:hAnsi="宋体" w:eastAsia="宋体"/>
                <w:sz w:val="24"/>
                <w:szCs w:val="24"/>
              </w:rPr>
            </w:pPr>
            <w:r>
              <w:rPr>
                <w:rFonts w:hint="eastAsia" w:ascii="宋体" w:hAnsi="宋体" w:eastAsia="宋体"/>
                <w:sz w:val="24"/>
                <w:szCs w:val="24"/>
              </w:rPr>
              <w:t>随货资料内容</w:t>
            </w:r>
          </w:p>
        </w:tc>
        <w:tc>
          <w:tcPr>
            <w:tcW w:w="5555" w:type="dxa"/>
            <w:gridSpan w:val="9"/>
            <w:vAlign w:val="center"/>
          </w:tcPr>
          <w:p>
            <w:pPr>
              <w:outlineLvl w:val="9"/>
              <w:rPr>
                <w:rFonts w:hint="default" w:ascii="宋体" w:hAnsi="宋体" w:eastAsia="宋体"/>
                <w:sz w:val="24"/>
                <w:szCs w:val="24"/>
                <w:u w:val="single"/>
                <w:lang w:val="en-US" w:eastAsia="zh-CN"/>
              </w:rPr>
            </w:pPr>
            <w:r>
              <w:rPr>
                <w:rFonts w:hint="eastAsia" w:ascii="宋体" w:hAnsi="宋体" w:eastAsia="宋体"/>
                <w:sz w:val="24"/>
                <w:szCs w:val="24"/>
              </w:rPr>
              <w:t>产品合格证</w:t>
            </w:r>
            <w:r>
              <w:rPr>
                <w:rFonts w:hint="eastAsia" w:ascii="宋体" w:hAnsi="宋体" w:eastAsia="宋体"/>
                <w:sz w:val="24"/>
                <w:szCs w:val="24"/>
              </w:rPr>
              <w:sym w:font="Wingdings 2" w:char="F0A3"/>
            </w:r>
            <w:r>
              <w:rPr>
                <w:rFonts w:hint="eastAsia" w:ascii="宋体" w:hAnsi="宋体" w:eastAsia="宋体"/>
                <w:sz w:val="24"/>
                <w:szCs w:val="24"/>
              </w:rPr>
              <w:t>、检验报告</w:t>
            </w:r>
            <w:r>
              <w:rPr>
                <w:rFonts w:hint="eastAsia" w:ascii="宋体" w:hAnsi="宋体" w:eastAsia="宋体"/>
                <w:sz w:val="24"/>
                <w:szCs w:val="24"/>
              </w:rPr>
              <w:sym w:font="Wingdings 2" w:char="F0A3"/>
            </w:r>
            <w:r>
              <w:rPr>
                <w:rFonts w:hint="eastAsia" w:ascii="宋体" w:hAnsi="宋体" w:eastAsia="宋体"/>
                <w:sz w:val="24"/>
                <w:szCs w:val="24"/>
              </w:rPr>
              <w:t>、产品说明书</w:t>
            </w:r>
            <w:r>
              <w:rPr>
                <w:rFonts w:hint="eastAsia" w:ascii="宋体" w:hAnsi="宋体" w:eastAsia="宋体"/>
                <w:sz w:val="24"/>
                <w:szCs w:val="24"/>
              </w:rPr>
              <w:sym w:font="Wingdings 2" w:char="F0A3"/>
            </w:r>
            <w:r>
              <w:rPr>
                <w:rFonts w:hint="eastAsia" w:ascii="宋体" w:hAnsi="宋体" w:eastAsia="宋体"/>
                <w:sz w:val="24"/>
                <w:szCs w:val="24"/>
              </w:rPr>
              <w:t>、       其他</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121" w:hRule="atLeast"/>
          <w:jc w:val="center"/>
        </w:trPr>
        <w:tc>
          <w:tcPr>
            <w:tcW w:w="1619" w:type="dxa"/>
            <w:vMerge w:val="continue"/>
          </w:tcPr>
          <w:p>
            <w:pPr>
              <w:outlineLvl w:val="9"/>
              <w:rPr>
                <w:rFonts w:hint="eastAsia" w:ascii="宋体" w:hAnsi="宋体" w:eastAsia="宋体"/>
                <w:sz w:val="24"/>
                <w:szCs w:val="24"/>
              </w:rPr>
            </w:pPr>
          </w:p>
        </w:tc>
        <w:tc>
          <w:tcPr>
            <w:tcW w:w="2209" w:type="dxa"/>
            <w:gridSpan w:val="2"/>
            <w:vAlign w:val="center"/>
          </w:tcPr>
          <w:p>
            <w:pPr>
              <w:outlineLvl w:val="9"/>
              <w:rPr>
                <w:rFonts w:hint="eastAsia" w:ascii="宋体" w:hAnsi="宋体" w:eastAsia="宋体"/>
                <w:sz w:val="24"/>
                <w:szCs w:val="24"/>
              </w:rPr>
            </w:pPr>
            <w:r>
              <w:rPr>
                <w:rFonts w:hint="eastAsia" w:ascii="宋体" w:hAnsi="宋体" w:eastAsia="宋体"/>
                <w:sz w:val="24"/>
                <w:szCs w:val="24"/>
              </w:rPr>
              <w:t>现场初检结果</w:t>
            </w:r>
          </w:p>
        </w:tc>
        <w:tc>
          <w:tcPr>
            <w:tcW w:w="5555" w:type="dxa"/>
            <w:gridSpan w:val="9"/>
            <w:vAlign w:val="center"/>
          </w:tcPr>
          <w:p>
            <w:pPr>
              <w:outlineLvl w:val="9"/>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4537" w:type="dxa"/>
            <w:gridSpan w:val="5"/>
          </w:tcPr>
          <w:p>
            <w:pPr>
              <w:outlineLvl w:val="9"/>
              <w:rPr>
                <w:rFonts w:ascii="宋体" w:hAnsi="宋体" w:eastAsia="宋体"/>
                <w:sz w:val="24"/>
                <w:szCs w:val="24"/>
              </w:rPr>
            </w:pPr>
          </w:p>
          <w:p>
            <w:pPr>
              <w:outlineLvl w:val="9"/>
              <w:rPr>
                <w:rFonts w:hint="eastAsia" w:ascii="宋体" w:hAnsi="宋体" w:eastAsia="宋体"/>
                <w:sz w:val="24"/>
                <w:szCs w:val="24"/>
              </w:rPr>
            </w:pPr>
            <w:r>
              <w:rPr>
                <w:rFonts w:hint="eastAsia" w:ascii="宋体" w:hAnsi="宋体" w:eastAsia="宋体"/>
                <w:sz w:val="24"/>
                <w:szCs w:val="24"/>
              </w:rPr>
              <w:t>供货单位名称（签章）：</w:t>
            </w:r>
          </w:p>
          <w:p>
            <w:pPr>
              <w:outlineLvl w:val="9"/>
              <w:rPr>
                <w:rFonts w:ascii="宋体" w:hAnsi="宋体" w:eastAsia="宋体"/>
                <w:sz w:val="24"/>
                <w:szCs w:val="24"/>
              </w:rPr>
            </w:pPr>
          </w:p>
          <w:p>
            <w:pPr>
              <w:outlineLvl w:val="9"/>
              <w:rPr>
                <w:rFonts w:ascii="宋体" w:hAnsi="宋体" w:eastAsia="宋体"/>
                <w:sz w:val="24"/>
                <w:szCs w:val="24"/>
              </w:rPr>
            </w:pPr>
          </w:p>
          <w:p>
            <w:pPr>
              <w:outlineLvl w:val="9"/>
              <w:rPr>
                <w:rFonts w:ascii="宋体" w:hAnsi="宋体" w:eastAsia="宋体"/>
                <w:sz w:val="24"/>
                <w:szCs w:val="24"/>
              </w:rPr>
            </w:pPr>
          </w:p>
          <w:p>
            <w:pPr>
              <w:outlineLvl w:val="9"/>
              <w:rPr>
                <w:rFonts w:ascii="宋体" w:hAnsi="宋体" w:eastAsia="宋体"/>
                <w:sz w:val="24"/>
                <w:szCs w:val="24"/>
              </w:rPr>
            </w:pPr>
          </w:p>
          <w:p>
            <w:pPr>
              <w:outlineLvl w:val="9"/>
              <w:rPr>
                <w:rFonts w:hint="eastAsia" w:ascii="宋体" w:hAnsi="宋体" w:eastAsia="宋体"/>
                <w:sz w:val="24"/>
                <w:szCs w:val="24"/>
              </w:rPr>
            </w:pPr>
            <w:r>
              <w:rPr>
                <w:rFonts w:hint="eastAsia" w:ascii="宋体" w:hAnsi="宋体" w:eastAsia="宋体"/>
                <w:sz w:val="24"/>
                <w:szCs w:val="24"/>
              </w:rPr>
              <w:t>现场代表签字/日期：</w:t>
            </w:r>
          </w:p>
        </w:tc>
        <w:tc>
          <w:tcPr>
            <w:tcW w:w="4854" w:type="dxa"/>
            <w:gridSpan w:val="8"/>
          </w:tcPr>
          <w:p>
            <w:pPr>
              <w:outlineLvl w:val="9"/>
              <w:rPr>
                <w:rFonts w:ascii="宋体" w:hAnsi="宋体" w:eastAsia="宋体"/>
                <w:sz w:val="24"/>
                <w:szCs w:val="24"/>
              </w:rPr>
            </w:pPr>
          </w:p>
          <w:p>
            <w:pPr>
              <w:outlineLvl w:val="9"/>
              <w:rPr>
                <w:rFonts w:ascii="宋体" w:hAnsi="宋体" w:eastAsia="宋体"/>
                <w:sz w:val="24"/>
                <w:szCs w:val="24"/>
              </w:rPr>
            </w:pPr>
            <w:r>
              <w:rPr>
                <w:rFonts w:hint="eastAsia" w:ascii="宋体" w:hAnsi="宋体" w:eastAsia="宋体"/>
                <w:sz w:val="24"/>
                <w:szCs w:val="24"/>
              </w:rPr>
              <w:t>采购单位同意接收：是</w:t>
            </w:r>
            <w:r>
              <w:rPr>
                <w:rFonts w:hint="eastAsia" w:ascii="宋体" w:hAnsi="宋体" w:eastAsia="宋体"/>
                <w:sz w:val="24"/>
                <w:szCs w:val="24"/>
              </w:rPr>
              <w:sym w:font="Wingdings 2" w:char="F0A3"/>
            </w:r>
            <w:r>
              <w:rPr>
                <w:rFonts w:hint="eastAsia" w:ascii="宋体" w:hAnsi="宋体" w:eastAsia="宋体"/>
                <w:sz w:val="24"/>
                <w:szCs w:val="24"/>
              </w:rPr>
              <w:t xml:space="preserve">      否</w:t>
            </w:r>
            <w:r>
              <w:rPr>
                <w:rFonts w:hint="eastAsia" w:ascii="宋体" w:hAnsi="宋体" w:eastAsia="宋体"/>
                <w:sz w:val="24"/>
                <w:szCs w:val="24"/>
              </w:rPr>
              <w:sym w:font="Wingdings 2" w:char="F0A3"/>
            </w:r>
            <w:r>
              <w:rPr>
                <w:rFonts w:hint="eastAsia" w:ascii="宋体" w:hAnsi="宋体" w:eastAsia="宋体"/>
                <w:sz w:val="24"/>
                <w:szCs w:val="24"/>
              </w:rPr>
              <w:t xml:space="preserve">  </w:t>
            </w:r>
          </w:p>
          <w:p>
            <w:pPr>
              <w:outlineLvl w:val="9"/>
              <w:rPr>
                <w:rFonts w:ascii="宋体" w:hAnsi="宋体" w:eastAsia="宋体"/>
                <w:sz w:val="24"/>
                <w:szCs w:val="24"/>
              </w:rPr>
            </w:pPr>
          </w:p>
          <w:p>
            <w:pPr>
              <w:outlineLvl w:val="9"/>
              <w:rPr>
                <w:rFonts w:ascii="宋体" w:hAnsi="宋体" w:eastAsia="宋体"/>
                <w:sz w:val="24"/>
                <w:szCs w:val="24"/>
              </w:rPr>
            </w:pPr>
          </w:p>
          <w:p>
            <w:pPr>
              <w:outlineLvl w:val="9"/>
              <w:rPr>
                <w:rFonts w:ascii="宋体" w:hAnsi="宋体" w:eastAsia="宋体"/>
                <w:sz w:val="24"/>
                <w:szCs w:val="24"/>
              </w:rPr>
            </w:pPr>
          </w:p>
          <w:p>
            <w:pPr>
              <w:outlineLvl w:val="9"/>
              <w:rPr>
                <w:rFonts w:hint="eastAsia" w:ascii="宋体" w:hAnsi="宋体" w:eastAsia="宋体"/>
                <w:sz w:val="24"/>
                <w:szCs w:val="24"/>
              </w:rPr>
            </w:pPr>
          </w:p>
          <w:p>
            <w:pPr>
              <w:outlineLvl w:val="9"/>
              <w:rPr>
                <w:rFonts w:hint="eastAsia" w:ascii="宋体" w:hAnsi="宋体" w:eastAsia="宋体"/>
                <w:sz w:val="24"/>
                <w:szCs w:val="24"/>
              </w:rPr>
            </w:pPr>
            <w:r>
              <w:rPr>
                <w:rFonts w:hint="eastAsia" w:ascii="宋体" w:hAnsi="宋体" w:eastAsia="宋体"/>
                <w:sz w:val="24"/>
                <w:szCs w:val="24"/>
              </w:rPr>
              <w:t>采购单位代表签字/日期：</w:t>
            </w:r>
          </w:p>
        </w:tc>
      </w:tr>
    </w:tbl>
    <w:p>
      <w:pPr>
        <w:pStyle w:val="2"/>
        <w:keepNext w:val="0"/>
        <w:keepLines w:val="0"/>
        <w:pageBreakBefore w:val="0"/>
        <w:kinsoku/>
        <w:wordWrap/>
        <w:overflowPunct/>
        <w:topLinePunct w:val="0"/>
        <w:bidi w:val="0"/>
        <w:ind w:left="0" w:leftChars="0" w:firstLine="0" w:firstLineChars="0"/>
        <w:textAlignment w:val="auto"/>
        <w:outlineLvl w:val="9"/>
        <w:rPr>
          <w:rFonts w:hint="eastAsia" w:ascii="宋体" w:hAnsi="宋体" w:eastAsia="宋体" w:cs="宋体"/>
          <w:b/>
          <w:bCs/>
          <w:color w:val="auto"/>
          <w:sz w:val="21"/>
          <w:szCs w:val="21"/>
          <w:lang w:val="en-US" w:eastAsia="zh-CN"/>
        </w:rPr>
      </w:pPr>
    </w:p>
    <w:p>
      <w:pPr>
        <w:pStyle w:val="2"/>
        <w:keepNext w:val="0"/>
        <w:keepLines w:val="0"/>
        <w:pageBreakBefore w:val="0"/>
        <w:kinsoku/>
        <w:wordWrap/>
        <w:overflowPunct/>
        <w:topLinePunct w:val="0"/>
        <w:bidi w:val="0"/>
        <w:ind w:left="0" w:leftChars="0" w:firstLine="0" w:firstLineChars="0"/>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1"/>
          <w:szCs w:val="21"/>
          <w:lang w:val="en-US" w:eastAsia="zh-CN"/>
        </w:rPr>
        <w:t>附件6：供应商履约评价表</w:t>
      </w:r>
    </w:p>
    <w:p>
      <w:pPr>
        <w:keepNext w:val="0"/>
        <w:keepLines w:val="0"/>
        <w:pageBreakBefore w:val="0"/>
        <w:kinsoku/>
        <w:wordWrap/>
        <w:overflowPunct/>
        <w:topLinePunct w:val="0"/>
        <w:bidi w:val="0"/>
        <w:spacing w:line="360" w:lineRule="auto"/>
        <w:ind w:firstLine="0" w:firstLineChars="0"/>
        <w:jc w:val="center"/>
        <w:textAlignment w:val="auto"/>
        <w:outlineLvl w:val="9"/>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供应商履约评价表</w:t>
      </w:r>
    </w:p>
    <w:tbl>
      <w:tblPr>
        <w:tblStyle w:val="38"/>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490"/>
        <w:gridCol w:w="1826"/>
        <w:gridCol w:w="2237"/>
        <w:gridCol w:w="490"/>
        <w:gridCol w:w="1482"/>
        <w:gridCol w:w="643"/>
        <w:gridCol w:w="885"/>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pPr>
              <w:widowControl/>
              <w:autoSpaceDE/>
              <w:autoSpaceDN/>
              <w:adjustRightInd/>
              <w:snapToGrid w:val="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合同</w:t>
            </w:r>
            <w:r>
              <w:rPr>
                <w:rFonts w:hint="eastAsia" w:ascii="宋体" w:hAnsi="宋体" w:eastAsia="宋体" w:cs="宋体"/>
                <w:bCs/>
                <w:color w:val="auto"/>
                <w:sz w:val="21"/>
                <w:szCs w:val="21"/>
              </w:rPr>
              <w:t>名称</w:t>
            </w:r>
          </w:p>
        </w:tc>
        <w:tc>
          <w:tcPr>
            <w:tcW w:w="3975" w:type="pct"/>
            <w:gridSpan w:val="7"/>
            <w:noWrap w:val="0"/>
            <w:vAlign w:val="center"/>
          </w:tcPr>
          <w:p>
            <w:pPr>
              <w:widowControl/>
              <w:autoSpaceDE/>
              <w:autoSpaceDN/>
              <w:adjustRightInd/>
              <w:snapToGrid w:val="0"/>
              <w:ind w:firstLine="420"/>
              <w:jc w:val="center"/>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pPr>
              <w:widowControl/>
              <w:autoSpaceDE/>
              <w:autoSpaceDN/>
              <w:adjustRightInd/>
              <w:snapToGrid w:val="0"/>
              <w:jc w:val="center"/>
              <w:outlineLvl w:val="9"/>
              <w:rPr>
                <w:rFonts w:hint="default" w:ascii="宋体" w:hAnsi="宋体" w:eastAsia="宋体" w:cs="宋体"/>
                <w:color w:val="auto"/>
                <w:sz w:val="21"/>
                <w:szCs w:val="21"/>
                <w:lang w:val="en-US" w:eastAsia="zh-CN"/>
              </w:rPr>
            </w:pPr>
            <w:r>
              <w:rPr>
                <w:rFonts w:hint="eastAsia" w:ascii="宋体" w:hAnsi="宋体" w:eastAsia="宋体" w:cs="宋体"/>
                <w:bCs/>
                <w:color w:val="auto"/>
                <w:sz w:val="21"/>
                <w:szCs w:val="21"/>
                <w:lang w:val="en-US" w:eastAsia="zh-CN"/>
              </w:rPr>
              <w:t>合同编号</w:t>
            </w:r>
          </w:p>
        </w:tc>
        <w:tc>
          <w:tcPr>
            <w:tcW w:w="3975" w:type="pct"/>
            <w:gridSpan w:val="7"/>
            <w:noWrap w:val="0"/>
            <w:vAlign w:val="center"/>
          </w:tcPr>
          <w:p>
            <w:pPr>
              <w:widowControl/>
              <w:autoSpaceDE/>
              <w:autoSpaceDN/>
              <w:adjustRightInd/>
              <w:snapToGrid w:val="0"/>
              <w:ind w:firstLine="420"/>
              <w:jc w:val="center"/>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pPr>
              <w:widowControl/>
              <w:autoSpaceDE/>
              <w:autoSpaceDN/>
              <w:adjustRightInd/>
              <w:snapToGrid w:val="0"/>
              <w:jc w:val="center"/>
              <w:outlineLvl w:val="9"/>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甲方（买方）名称</w:t>
            </w:r>
          </w:p>
        </w:tc>
        <w:tc>
          <w:tcPr>
            <w:tcW w:w="3975" w:type="pct"/>
            <w:gridSpan w:val="7"/>
            <w:noWrap w:val="0"/>
            <w:vAlign w:val="center"/>
          </w:tcPr>
          <w:p>
            <w:pPr>
              <w:widowControl/>
              <w:autoSpaceDE/>
              <w:autoSpaceDN/>
              <w:adjustRightInd/>
              <w:snapToGrid w:val="0"/>
              <w:ind w:firstLine="420"/>
              <w:jc w:val="center"/>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pPr>
              <w:widowControl/>
              <w:autoSpaceDE/>
              <w:autoSpaceDN/>
              <w:adjustRightInd/>
              <w:snapToGrid w:val="0"/>
              <w:jc w:val="center"/>
              <w:outlineLvl w:val="9"/>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供应商名称</w:t>
            </w:r>
          </w:p>
        </w:tc>
        <w:tc>
          <w:tcPr>
            <w:tcW w:w="3975" w:type="pct"/>
            <w:gridSpan w:val="7"/>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712"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履约评价项目</w:t>
            </w:r>
          </w:p>
        </w:tc>
        <w:tc>
          <w:tcPr>
            <w:tcW w:w="1944" w:type="pct"/>
            <w:gridSpan w:val="2"/>
            <w:noWrap w:val="0"/>
            <w:vAlign w:val="center"/>
          </w:tcPr>
          <w:p>
            <w:pPr>
              <w:widowControl/>
              <w:autoSpaceDE/>
              <w:autoSpaceDN/>
              <w:adjustRightInd/>
              <w:snapToGrid w:val="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评价标准</w:t>
            </w:r>
          </w:p>
        </w:tc>
        <w:tc>
          <w:tcPr>
            <w:tcW w:w="943" w:type="pct"/>
            <w:gridSpan w:val="2"/>
            <w:noWrap w:val="0"/>
            <w:vAlign w:val="center"/>
          </w:tcPr>
          <w:p>
            <w:pPr>
              <w:widowControl/>
              <w:autoSpaceDE/>
              <w:autoSpaceDN/>
              <w:adjustRightInd/>
              <w:snapToGrid w:val="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评分说明</w:t>
            </w:r>
          </w:p>
        </w:tc>
        <w:tc>
          <w:tcPr>
            <w:tcW w:w="307"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分值</w:t>
            </w:r>
          </w:p>
        </w:tc>
        <w:tc>
          <w:tcPr>
            <w:tcW w:w="423"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实得分</w:t>
            </w:r>
          </w:p>
        </w:tc>
        <w:tc>
          <w:tcPr>
            <w:tcW w:w="356" w:type="pct"/>
            <w:noWrap w:val="0"/>
            <w:vAlign w:val="center"/>
          </w:tcPr>
          <w:p>
            <w:pPr>
              <w:widowControl/>
              <w:autoSpaceDE/>
              <w:autoSpaceDN/>
              <w:adjustRightInd/>
              <w:snapToGrid w:val="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712"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highlight w:val="green"/>
              </w:rPr>
            </w:pPr>
            <w:r>
              <w:rPr>
                <w:rFonts w:hint="eastAsia" w:ascii="宋体" w:hAnsi="宋体" w:eastAsia="宋体" w:cs="宋体"/>
                <w:bCs/>
                <w:color w:val="auto"/>
                <w:sz w:val="21"/>
                <w:szCs w:val="21"/>
              </w:rPr>
              <w:t>质量</w:t>
            </w:r>
          </w:p>
        </w:tc>
        <w:tc>
          <w:tcPr>
            <w:tcW w:w="1944" w:type="pct"/>
            <w:gridSpan w:val="2"/>
            <w:noWrap w:val="0"/>
            <w:vAlign w:val="center"/>
          </w:tcPr>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(1)货物未出现全部拒收或换货等质量问题；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供货</w:t>
            </w:r>
            <w:r>
              <w:rPr>
                <w:rFonts w:hint="eastAsia" w:ascii="宋体" w:hAnsi="宋体" w:eastAsia="宋体" w:cs="宋体"/>
                <w:color w:val="auto"/>
                <w:sz w:val="21"/>
                <w:szCs w:val="21"/>
              </w:rPr>
              <w:t xml:space="preserve">货物符合合同规定，其他指标符合合同规定； </w:t>
            </w:r>
          </w:p>
          <w:p>
            <w:pPr>
              <w:widowControl/>
              <w:autoSpaceDE/>
              <w:autoSpaceDN/>
              <w:adjustRightInd/>
              <w:snapToGrid w:val="0"/>
              <w:ind w:firstLine="0" w:firstLineChars="0"/>
              <w:jc w:val="both"/>
              <w:outlineLvl w:val="9"/>
              <w:rPr>
                <w:rFonts w:hint="default" w:ascii="宋体" w:hAnsi="宋体" w:eastAsia="宋体" w:cs="宋体"/>
                <w:bCs/>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每月或临时的供货</w:t>
            </w:r>
            <w:r>
              <w:rPr>
                <w:rFonts w:hint="eastAsia" w:ascii="宋体" w:hAnsi="宋体" w:eastAsia="宋体" w:cs="宋体"/>
                <w:color w:val="auto"/>
                <w:sz w:val="21"/>
                <w:szCs w:val="21"/>
              </w:rPr>
              <w:t>货物质量稳定，</w:t>
            </w:r>
            <w:r>
              <w:rPr>
                <w:rFonts w:hint="eastAsia" w:ascii="宋体" w:hAnsi="宋体" w:eastAsia="宋体" w:cs="宋体"/>
                <w:color w:val="auto"/>
                <w:sz w:val="21"/>
                <w:szCs w:val="21"/>
                <w:lang w:val="en-US" w:eastAsia="zh-CN"/>
              </w:rPr>
              <w:t>未出现由于每批次货物质量参差不齐或在同一类货物产生不同效果，而对甲方使用需求造成实质性影响或损失等情况。</w:t>
            </w:r>
          </w:p>
        </w:tc>
        <w:tc>
          <w:tcPr>
            <w:tcW w:w="943" w:type="pct"/>
            <w:gridSpan w:val="2"/>
            <w:noWrap w:val="0"/>
            <w:vAlign w:val="center"/>
          </w:tcPr>
          <w:p>
            <w:pPr>
              <w:widowControl/>
              <w:autoSpaceDE/>
              <w:autoSpaceDN/>
              <w:adjustRightInd/>
              <w:snapToGrid w:val="0"/>
              <w:ind w:firstLine="0" w:firstLineChars="0"/>
              <w:outlineLvl w:val="9"/>
              <w:rPr>
                <w:rFonts w:hint="eastAsia" w:ascii="宋体" w:hAnsi="宋体" w:eastAsia="宋体" w:cs="宋体"/>
                <w:color w:val="auto"/>
                <w:sz w:val="21"/>
                <w:szCs w:val="21"/>
              </w:rPr>
            </w:pPr>
            <w:r>
              <w:rPr>
                <w:rFonts w:hint="eastAsia" w:ascii="宋体" w:hAnsi="宋体" w:eastAsia="宋体" w:cs="宋体"/>
                <w:color w:val="auto"/>
                <w:sz w:val="21"/>
                <w:szCs w:val="21"/>
              </w:rPr>
              <w:t>达到标准的得满 分，每月每次有 一项未达到标准的扣4分。</w:t>
            </w:r>
          </w:p>
        </w:tc>
        <w:tc>
          <w:tcPr>
            <w:tcW w:w="307" w:type="pct"/>
            <w:noWrap w:val="0"/>
            <w:vAlign w:val="center"/>
          </w:tcPr>
          <w:p>
            <w:pPr>
              <w:widowControl/>
              <w:autoSpaceDE/>
              <w:autoSpaceDN/>
              <w:adjustRightInd/>
              <w:snapToGrid w:val="0"/>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423"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c>
          <w:tcPr>
            <w:tcW w:w="356"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712"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包装</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运输</w:t>
            </w:r>
          </w:p>
        </w:tc>
        <w:tc>
          <w:tcPr>
            <w:tcW w:w="1944" w:type="pct"/>
            <w:gridSpan w:val="2"/>
            <w:noWrap w:val="0"/>
            <w:vAlign w:val="center"/>
          </w:tcPr>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货物的包装、运输符合</w:t>
            </w:r>
            <w:r>
              <w:rPr>
                <w:rFonts w:hint="eastAsia" w:ascii="宋体" w:hAnsi="宋体" w:eastAsia="宋体" w:cs="宋体"/>
                <w:color w:val="auto"/>
                <w:sz w:val="21"/>
                <w:szCs w:val="21"/>
                <w:lang w:val="en-US" w:eastAsia="zh-CN"/>
              </w:rPr>
              <w:t>合同规定及</w:t>
            </w:r>
            <w:r>
              <w:rPr>
                <w:rFonts w:hint="eastAsia" w:ascii="宋体" w:hAnsi="宋体" w:eastAsia="宋体" w:cs="宋体"/>
                <w:color w:val="auto"/>
                <w:sz w:val="21"/>
                <w:szCs w:val="21"/>
              </w:rPr>
              <w:t xml:space="preserve">行业标准；未出现由于包装、运输方式不当造成以下不良后果：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(1)影响货物</w:t>
            </w:r>
            <w:r>
              <w:rPr>
                <w:rFonts w:hint="eastAsia" w:ascii="宋体" w:hAnsi="宋体" w:eastAsia="宋体" w:cs="宋体"/>
                <w:color w:val="auto"/>
                <w:sz w:val="21"/>
                <w:szCs w:val="21"/>
                <w:lang w:val="en-US" w:eastAsia="zh-CN"/>
              </w:rPr>
              <w:t>输送</w:t>
            </w:r>
            <w:r>
              <w:rPr>
                <w:rFonts w:hint="eastAsia" w:ascii="宋体" w:hAnsi="宋体" w:eastAsia="宋体" w:cs="宋体"/>
                <w:color w:val="auto"/>
                <w:sz w:val="21"/>
                <w:szCs w:val="21"/>
              </w:rPr>
              <w:t xml:space="preserve">质量；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(2)货物质量下降；             </w:t>
            </w:r>
          </w:p>
          <w:p>
            <w:pPr>
              <w:widowControl/>
              <w:autoSpaceDE/>
              <w:autoSpaceDN/>
              <w:adjustRightInd/>
              <w:snapToGrid w:val="0"/>
              <w:ind w:firstLine="0" w:firstLineChars="0"/>
              <w:jc w:val="both"/>
              <w:outlineLvl w:val="9"/>
              <w:rPr>
                <w:rFonts w:hint="eastAsia" w:ascii="宋体" w:hAnsi="宋体" w:eastAsia="宋体" w:cs="宋体"/>
                <w:bCs/>
                <w:color w:val="auto"/>
                <w:sz w:val="21"/>
                <w:szCs w:val="21"/>
                <w:lang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货物损坏</w:t>
            </w:r>
            <w:r>
              <w:rPr>
                <w:rFonts w:hint="eastAsia" w:ascii="宋体" w:hAnsi="宋体" w:eastAsia="宋体" w:cs="宋体"/>
                <w:color w:val="auto"/>
                <w:sz w:val="21"/>
                <w:szCs w:val="21"/>
              </w:rPr>
              <w:t>导致供货量不足</w:t>
            </w:r>
            <w:r>
              <w:rPr>
                <w:rFonts w:hint="eastAsia" w:ascii="宋体" w:hAnsi="宋体" w:eastAsia="宋体" w:cs="宋体"/>
                <w:color w:val="auto"/>
                <w:sz w:val="21"/>
                <w:szCs w:val="21"/>
                <w:lang w:eastAsia="zh-CN"/>
              </w:rPr>
              <w:t>。</w:t>
            </w:r>
          </w:p>
        </w:tc>
        <w:tc>
          <w:tcPr>
            <w:tcW w:w="943" w:type="pct"/>
            <w:gridSpan w:val="2"/>
            <w:noWrap w:val="0"/>
            <w:vAlign w:val="center"/>
          </w:tcPr>
          <w:p>
            <w:pPr>
              <w:widowControl/>
              <w:autoSpaceDE/>
              <w:autoSpaceDN/>
              <w:adjustRightInd/>
              <w:snapToGrid w:val="0"/>
              <w:ind w:firstLine="0" w:firstLineChars="0"/>
              <w:jc w:val="both"/>
              <w:outlineLvl w:val="9"/>
              <w:rPr>
                <w:rFonts w:hint="eastAsia" w:ascii="宋体" w:hAnsi="宋体" w:eastAsia="宋体" w:cs="宋体"/>
                <w:bCs/>
                <w:color w:val="auto"/>
                <w:sz w:val="21"/>
                <w:szCs w:val="21"/>
              </w:rPr>
            </w:pPr>
            <w:r>
              <w:rPr>
                <w:rFonts w:hint="eastAsia" w:ascii="宋体" w:hAnsi="宋体" w:eastAsia="宋体" w:cs="宋体"/>
                <w:color w:val="auto"/>
                <w:sz w:val="21"/>
                <w:szCs w:val="21"/>
              </w:rPr>
              <w:t>达到标准的得满分，每月每次有一项未达到标准的扣3分。</w:t>
            </w:r>
          </w:p>
        </w:tc>
        <w:tc>
          <w:tcPr>
            <w:tcW w:w="307" w:type="pct"/>
            <w:noWrap w:val="0"/>
            <w:vAlign w:val="center"/>
          </w:tcPr>
          <w:p>
            <w:pPr>
              <w:widowControl/>
              <w:autoSpaceDE/>
              <w:autoSpaceDN/>
              <w:adjustRightInd/>
              <w:snapToGrid w:val="0"/>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423"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c>
          <w:tcPr>
            <w:tcW w:w="356"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712"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货物交货</w:t>
            </w:r>
          </w:p>
        </w:tc>
        <w:tc>
          <w:tcPr>
            <w:tcW w:w="1944" w:type="pct"/>
            <w:gridSpan w:val="2"/>
            <w:noWrap w:val="0"/>
            <w:vAlign w:val="center"/>
          </w:tcPr>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(1)按合同约定时间供货；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(2)每批次供货配合提供货物清单、配合清点货物；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(3)交付人员专业性强，工作效率高，熟悉交付操作流程；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(4)运输车辆按厂区指示行驶及停放、卸货方式恰当； </w:t>
            </w:r>
          </w:p>
          <w:p>
            <w:pPr>
              <w:widowControl/>
              <w:autoSpaceDE/>
              <w:autoSpaceDN/>
              <w:adjustRightInd/>
              <w:snapToGrid w:val="0"/>
              <w:ind w:firstLine="0" w:firstLineChars="0"/>
              <w:jc w:val="both"/>
              <w:outlineLvl w:val="9"/>
              <w:rPr>
                <w:rFonts w:hint="eastAsia" w:ascii="宋体" w:hAnsi="宋体" w:eastAsia="宋体" w:cs="宋体"/>
                <w:bCs/>
                <w:color w:val="auto"/>
                <w:sz w:val="21"/>
                <w:szCs w:val="21"/>
              </w:rPr>
            </w:pPr>
            <w:r>
              <w:rPr>
                <w:rFonts w:hint="eastAsia" w:ascii="宋体" w:hAnsi="宋体" w:eastAsia="宋体" w:cs="宋体"/>
                <w:color w:val="auto"/>
                <w:sz w:val="21"/>
                <w:szCs w:val="21"/>
              </w:rPr>
              <w:t>(5)每批次实际供货数量与</w:t>
            </w:r>
            <w:r>
              <w:rPr>
                <w:rFonts w:hint="eastAsia" w:ascii="宋体" w:hAnsi="宋体" w:eastAsia="宋体" w:cs="宋体"/>
                <w:color w:val="auto"/>
                <w:sz w:val="21"/>
                <w:szCs w:val="21"/>
                <w:lang w:val="en-US" w:eastAsia="zh-CN"/>
              </w:rPr>
              <w:t>甲方（买方）所</w:t>
            </w:r>
            <w:r>
              <w:rPr>
                <w:rFonts w:hint="eastAsia" w:ascii="宋体" w:hAnsi="宋体" w:eastAsia="宋体" w:cs="宋体"/>
                <w:color w:val="auto"/>
                <w:sz w:val="21"/>
                <w:szCs w:val="21"/>
              </w:rPr>
              <w:t>发出的供货通知清单要求的供货数量一致。</w:t>
            </w:r>
          </w:p>
        </w:tc>
        <w:tc>
          <w:tcPr>
            <w:tcW w:w="943" w:type="pct"/>
            <w:gridSpan w:val="2"/>
            <w:noWrap w:val="0"/>
            <w:vAlign w:val="center"/>
          </w:tcPr>
          <w:p>
            <w:pPr>
              <w:widowControl/>
              <w:autoSpaceDE/>
              <w:autoSpaceDN/>
              <w:adjustRightInd/>
              <w:snapToGrid w:val="0"/>
              <w:ind w:firstLine="0" w:firstLineChars="0"/>
              <w:jc w:val="both"/>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达到标准的得满分，每月每次有一项未达到标准的扣3分。</w:t>
            </w:r>
          </w:p>
        </w:tc>
        <w:tc>
          <w:tcPr>
            <w:tcW w:w="307" w:type="pct"/>
            <w:noWrap w:val="0"/>
            <w:vAlign w:val="center"/>
          </w:tcPr>
          <w:p>
            <w:pPr>
              <w:widowControl/>
              <w:autoSpaceDE/>
              <w:autoSpaceDN/>
              <w:adjustRightInd/>
              <w:snapToGrid w:val="0"/>
              <w:ind w:firstLine="0" w:firstLineChars="0"/>
              <w:jc w:val="center"/>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423"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c>
          <w:tcPr>
            <w:tcW w:w="356"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712"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验收</w:t>
            </w:r>
          </w:p>
        </w:tc>
        <w:tc>
          <w:tcPr>
            <w:tcW w:w="1944" w:type="pct"/>
            <w:gridSpan w:val="2"/>
            <w:noWrap w:val="0"/>
            <w:vAlign w:val="center"/>
          </w:tcPr>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(1)及时提供货物的各项资料；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(2)高效处理退换货工作、态度良好；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(3)未出现因对检验结果存在异议而影响供货的情况；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(4)所送货物的品种、规格型号、数量、 推荐品牌均供货清单一致；  </w:t>
            </w:r>
          </w:p>
          <w:p>
            <w:pPr>
              <w:widowControl/>
              <w:autoSpaceDE/>
              <w:autoSpaceDN/>
              <w:adjustRightInd/>
              <w:snapToGrid w:val="0"/>
              <w:ind w:firstLine="0" w:firstLineChars="0"/>
              <w:jc w:val="both"/>
              <w:outlineLvl w:val="9"/>
              <w:rPr>
                <w:rFonts w:hint="eastAsia" w:ascii="宋体" w:hAnsi="宋体" w:eastAsia="宋体" w:cs="宋体"/>
                <w:bCs/>
                <w:color w:val="auto"/>
                <w:sz w:val="21"/>
                <w:szCs w:val="21"/>
              </w:rPr>
            </w:pPr>
            <w:r>
              <w:rPr>
                <w:rFonts w:hint="eastAsia" w:ascii="宋体" w:hAnsi="宋体" w:eastAsia="宋体" w:cs="宋体"/>
                <w:color w:val="auto"/>
                <w:sz w:val="21"/>
                <w:szCs w:val="21"/>
              </w:rPr>
              <w:t>(5)未出现因货物检验不合格，或因货物不合格影响厂区生产效果的情况。</w:t>
            </w:r>
          </w:p>
        </w:tc>
        <w:tc>
          <w:tcPr>
            <w:tcW w:w="943" w:type="pct"/>
            <w:gridSpan w:val="2"/>
            <w:noWrap w:val="0"/>
            <w:vAlign w:val="center"/>
          </w:tcPr>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bCs/>
                <w:color w:val="auto"/>
                <w:sz w:val="21"/>
                <w:szCs w:val="21"/>
              </w:rPr>
              <w:t>达到标准的得满分，每月每次有一项未达到标准的扣4分。</w:t>
            </w:r>
          </w:p>
        </w:tc>
        <w:tc>
          <w:tcPr>
            <w:tcW w:w="307" w:type="pct"/>
            <w:noWrap w:val="0"/>
            <w:vAlign w:val="center"/>
          </w:tcPr>
          <w:p>
            <w:pPr>
              <w:widowControl/>
              <w:autoSpaceDE/>
              <w:autoSpaceDN/>
              <w:adjustRightInd/>
              <w:snapToGrid w:val="0"/>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423"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c>
          <w:tcPr>
            <w:tcW w:w="356"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5</w:t>
            </w:r>
          </w:p>
        </w:tc>
        <w:tc>
          <w:tcPr>
            <w:tcW w:w="712"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安全</w:t>
            </w:r>
          </w:p>
        </w:tc>
        <w:tc>
          <w:tcPr>
            <w:tcW w:w="1944" w:type="pct"/>
            <w:gridSpan w:val="2"/>
            <w:noWrap w:val="0"/>
            <w:vAlign w:val="center"/>
          </w:tcPr>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(1)未出现超载或非法运输等情况；</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(2)未出现因超载或非法运输造成第三方或厂区事故、损失的情况。</w:t>
            </w:r>
          </w:p>
          <w:p>
            <w:pPr>
              <w:widowControl/>
              <w:autoSpaceDE/>
              <w:autoSpaceDN/>
              <w:adjustRightInd/>
              <w:snapToGrid w:val="0"/>
              <w:ind w:firstLine="0" w:firstLineChars="0"/>
              <w:jc w:val="both"/>
              <w:outlineLvl w:val="9"/>
              <w:rPr>
                <w:rFonts w:hint="default" w:ascii="宋体" w:hAnsi="宋体" w:eastAsia="宋体" w:cs="宋体"/>
                <w:bCs/>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所提供货物符合国家安全生产标准；</w:t>
            </w: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所提供货物无因产品质量问题发生相关安全事故</w:t>
            </w:r>
            <w:r>
              <w:rPr>
                <w:rFonts w:hint="eastAsia" w:ascii="宋体" w:hAnsi="宋体" w:eastAsia="宋体" w:cs="宋体"/>
                <w:color w:val="auto"/>
                <w:sz w:val="21"/>
                <w:szCs w:val="21"/>
              </w:rPr>
              <w:t>；</w:t>
            </w:r>
          </w:p>
        </w:tc>
        <w:tc>
          <w:tcPr>
            <w:tcW w:w="943" w:type="pct"/>
            <w:gridSpan w:val="2"/>
            <w:noWrap w:val="0"/>
            <w:vAlign w:val="center"/>
          </w:tcPr>
          <w:p>
            <w:pPr>
              <w:widowControl/>
              <w:autoSpaceDE/>
              <w:autoSpaceDN/>
              <w:adjustRightInd/>
              <w:snapToGrid w:val="0"/>
              <w:ind w:firstLine="0" w:firstLineChars="0"/>
              <w:jc w:val="both"/>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达到标准的得满分，每月每次有一项未达到标准的扣3分。</w:t>
            </w:r>
          </w:p>
        </w:tc>
        <w:tc>
          <w:tcPr>
            <w:tcW w:w="307"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15</w:t>
            </w:r>
          </w:p>
        </w:tc>
        <w:tc>
          <w:tcPr>
            <w:tcW w:w="423"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c>
          <w:tcPr>
            <w:tcW w:w="356"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6</w:t>
            </w:r>
          </w:p>
        </w:tc>
        <w:tc>
          <w:tcPr>
            <w:tcW w:w="712"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售后服务</w:t>
            </w:r>
          </w:p>
        </w:tc>
        <w:tc>
          <w:tcPr>
            <w:tcW w:w="1944" w:type="pct"/>
            <w:gridSpan w:val="2"/>
            <w:noWrap w:val="0"/>
            <w:vAlign w:val="center"/>
          </w:tcPr>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(1)人员：</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①对接人员均符合投标文件的承诺，服务队伍稳定，人员充足、专业性强，充分配合</w:t>
            </w:r>
            <w:r>
              <w:rPr>
                <w:rFonts w:hint="eastAsia" w:ascii="宋体" w:hAnsi="宋体" w:eastAsia="宋体" w:cs="宋体"/>
                <w:color w:val="auto"/>
                <w:sz w:val="21"/>
                <w:szCs w:val="21"/>
                <w:lang w:val="en-US" w:eastAsia="zh-CN"/>
              </w:rPr>
              <w:t>甲方（买方）</w:t>
            </w:r>
            <w:r>
              <w:rPr>
                <w:rFonts w:hint="eastAsia" w:ascii="宋体" w:hAnsi="宋体" w:eastAsia="宋体" w:cs="宋体"/>
                <w:color w:val="auto"/>
                <w:sz w:val="21"/>
                <w:szCs w:val="21"/>
              </w:rPr>
              <w:t xml:space="preserve">供货需求；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②对接人员与</w:t>
            </w:r>
            <w:r>
              <w:rPr>
                <w:rFonts w:hint="eastAsia" w:ascii="宋体" w:hAnsi="宋体" w:eastAsia="宋体" w:cs="宋体"/>
                <w:color w:val="auto"/>
                <w:sz w:val="21"/>
                <w:szCs w:val="21"/>
                <w:lang w:val="en-US" w:eastAsia="zh-CN"/>
              </w:rPr>
              <w:t>甲方（买方）</w:t>
            </w:r>
            <w:r>
              <w:rPr>
                <w:rFonts w:hint="eastAsia" w:ascii="宋体" w:hAnsi="宋体" w:eastAsia="宋体" w:cs="宋体"/>
                <w:color w:val="auto"/>
                <w:sz w:val="21"/>
                <w:szCs w:val="21"/>
              </w:rPr>
              <w:t xml:space="preserve">沟通良好、理解到位、执行力强，能及时发现、解决问题；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③未出现推诿，借故不肯签署合同规定的文件或者敷衍了事、置之不理等情况。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(2)配合：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①售后服务流程完善，跟踪到位，响应速度快；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②就货物储存保质方式、方法提出合理化建议并能提供专业技术指导；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③积极配合招标人进行试验、积极协助招标人接受相关部门的检查工作及提供各类资质证明材料； </w:t>
            </w:r>
          </w:p>
          <w:p>
            <w:pPr>
              <w:widowControl/>
              <w:autoSpaceDE/>
              <w:autoSpaceDN/>
              <w:adjustRightInd/>
              <w:snapToGrid w:val="0"/>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④能根据</w:t>
            </w:r>
            <w:r>
              <w:rPr>
                <w:rFonts w:hint="eastAsia" w:ascii="宋体" w:hAnsi="宋体" w:eastAsia="宋体" w:cs="宋体"/>
                <w:color w:val="auto"/>
                <w:sz w:val="21"/>
                <w:szCs w:val="21"/>
                <w:lang w:val="en-US" w:eastAsia="zh-CN"/>
              </w:rPr>
              <w:t>甲方（买方）</w:t>
            </w:r>
            <w:r>
              <w:rPr>
                <w:rFonts w:hint="eastAsia" w:ascii="宋体" w:hAnsi="宋体" w:eastAsia="宋体" w:cs="宋体"/>
                <w:color w:val="auto"/>
                <w:sz w:val="21"/>
                <w:szCs w:val="21"/>
              </w:rPr>
              <w:t xml:space="preserve">要求提供专业培训； </w:t>
            </w:r>
          </w:p>
          <w:p>
            <w:pPr>
              <w:widowControl/>
              <w:autoSpaceDE/>
              <w:autoSpaceDN/>
              <w:adjustRightInd/>
              <w:snapToGrid w:val="0"/>
              <w:ind w:firstLine="0" w:firstLineChars="0"/>
              <w:jc w:val="both"/>
              <w:outlineLvl w:val="9"/>
              <w:rPr>
                <w:rFonts w:hint="eastAsia" w:ascii="宋体" w:hAnsi="宋体" w:eastAsia="宋体" w:cs="宋体"/>
                <w:bCs/>
                <w:color w:val="auto"/>
                <w:sz w:val="21"/>
                <w:szCs w:val="21"/>
              </w:rPr>
            </w:pPr>
            <w:r>
              <w:rPr>
                <w:rFonts w:hint="eastAsia" w:ascii="宋体" w:hAnsi="宋体" w:eastAsia="宋体" w:cs="宋体"/>
                <w:color w:val="auto"/>
                <w:sz w:val="21"/>
                <w:szCs w:val="21"/>
              </w:rPr>
              <w:t>⑤及时提供货物价款等额合法的增值税专用发票、请款报告等请款资料。</w:t>
            </w:r>
          </w:p>
        </w:tc>
        <w:tc>
          <w:tcPr>
            <w:tcW w:w="943" w:type="pct"/>
            <w:gridSpan w:val="2"/>
            <w:noWrap w:val="0"/>
            <w:vAlign w:val="center"/>
          </w:tcPr>
          <w:p>
            <w:pPr>
              <w:widowControl/>
              <w:autoSpaceDE/>
              <w:autoSpaceDN/>
              <w:adjustRightInd/>
              <w:snapToGrid w:val="0"/>
              <w:ind w:firstLine="0" w:firstLineChars="0"/>
              <w:jc w:val="both"/>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达到标准的得满分，每月每次有一项未达到标准的扣2分。</w:t>
            </w:r>
          </w:p>
        </w:tc>
        <w:tc>
          <w:tcPr>
            <w:tcW w:w="307"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10</w:t>
            </w:r>
          </w:p>
        </w:tc>
        <w:tc>
          <w:tcPr>
            <w:tcW w:w="423"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c>
          <w:tcPr>
            <w:tcW w:w="356"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911" w:type="pct"/>
            <w:gridSpan w:val="6"/>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合计</w:t>
            </w:r>
          </w:p>
        </w:tc>
        <w:tc>
          <w:tcPr>
            <w:tcW w:w="307" w:type="pct"/>
            <w:noWrap w:val="0"/>
            <w:vAlign w:val="center"/>
          </w:tcPr>
          <w:p>
            <w:pPr>
              <w:widowControl/>
              <w:autoSpaceDE/>
              <w:autoSpaceDN/>
              <w:adjustRightInd/>
              <w:snapToGrid w:val="0"/>
              <w:ind w:firstLine="0" w:firstLineChars="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100</w:t>
            </w:r>
          </w:p>
        </w:tc>
        <w:tc>
          <w:tcPr>
            <w:tcW w:w="423"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c>
          <w:tcPr>
            <w:tcW w:w="356" w:type="pct"/>
            <w:noWrap w:val="0"/>
            <w:vAlign w:val="center"/>
          </w:tcPr>
          <w:p>
            <w:pPr>
              <w:widowControl/>
              <w:autoSpaceDE/>
              <w:autoSpaceDN/>
              <w:adjustRightInd/>
              <w:snapToGrid w:val="0"/>
              <w:ind w:firstLine="420"/>
              <w:jc w:val="center"/>
              <w:outlineLvl w:val="9"/>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7" w:type="pct"/>
            <w:gridSpan w:val="3"/>
            <w:noWrap w:val="0"/>
            <w:vAlign w:val="center"/>
          </w:tcPr>
          <w:p>
            <w:pPr>
              <w:widowControl/>
              <w:autoSpaceDE/>
              <w:autoSpaceDN/>
              <w:adjustRightInd/>
              <w:snapToGrid w:val="0"/>
              <w:jc w:val="center"/>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评审结论</w:t>
            </w:r>
          </w:p>
        </w:tc>
        <w:tc>
          <w:tcPr>
            <w:tcW w:w="3102" w:type="pct"/>
            <w:gridSpan w:val="6"/>
            <w:noWrap w:val="0"/>
            <w:vAlign w:val="top"/>
          </w:tcPr>
          <w:p>
            <w:pPr>
              <w:widowControl/>
              <w:autoSpaceDE/>
              <w:autoSpaceDN/>
              <w:adjustRightInd/>
              <w:snapToGrid w:val="0"/>
              <w:spacing w:before="120" w:beforeLines="50"/>
              <w:outlineLvl w:val="9"/>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□综合得分不低于</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0分的，评审结论合格</w:t>
            </w:r>
          </w:p>
          <w:p>
            <w:pPr>
              <w:pStyle w:val="2"/>
              <w:outlineLvl w:val="9"/>
              <w:rPr>
                <w:rFonts w:hint="eastAsia"/>
                <w:lang w:eastAsia="zh-CN"/>
              </w:rPr>
            </w:pPr>
          </w:p>
          <w:p>
            <w:pPr>
              <w:widowControl/>
              <w:autoSpaceDE/>
              <w:autoSpaceDN/>
              <w:adjustRightInd/>
              <w:snapToGrid w:val="0"/>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□评审结论不合格，说明：</w:t>
            </w:r>
            <w:r>
              <w:rPr>
                <w:rFonts w:hint="eastAsia" w:ascii="宋体" w:hAnsi="宋体" w:eastAsia="宋体" w:cs="宋体"/>
                <w:bCs/>
                <w:color w:val="auto"/>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97" w:type="pct"/>
            <w:gridSpan w:val="3"/>
            <w:vMerge w:val="restart"/>
            <w:noWrap w:val="0"/>
            <w:vAlign w:val="center"/>
          </w:tcPr>
          <w:p>
            <w:pPr>
              <w:widowControl/>
              <w:autoSpaceDE/>
              <w:autoSpaceDN/>
              <w:adjustRightInd/>
              <w:snapToGrid w:val="0"/>
              <w:jc w:val="center"/>
              <w:outlineLvl w:val="9"/>
              <w:rPr>
                <w:rFonts w:hint="eastAsia" w:ascii="宋体" w:hAnsi="宋体" w:eastAsia="宋体" w:cs="宋体"/>
                <w:color w:val="auto"/>
                <w:sz w:val="21"/>
                <w:szCs w:val="21"/>
              </w:rPr>
            </w:pPr>
            <w:r>
              <w:rPr>
                <w:rFonts w:hint="eastAsia" w:ascii="宋体" w:hAnsi="宋体" w:eastAsia="宋体" w:cs="宋体"/>
                <w:bCs/>
                <w:color w:val="auto"/>
                <w:sz w:val="21"/>
                <w:szCs w:val="21"/>
              </w:rPr>
              <w:t>履约评审</w:t>
            </w:r>
            <w:r>
              <w:rPr>
                <w:rFonts w:hint="eastAsia" w:ascii="宋体" w:hAnsi="宋体" w:eastAsia="宋体" w:cs="宋体"/>
                <w:bCs/>
                <w:color w:val="auto"/>
                <w:sz w:val="21"/>
                <w:szCs w:val="21"/>
                <w:lang w:val="en-US" w:eastAsia="zh-CN"/>
              </w:rPr>
              <w:t>部门（使用部门）</w:t>
            </w:r>
            <w:r>
              <w:rPr>
                <w:rFonts w:hint="eastAsia" w:ascii="宋体" w:hAnsi="宋体" w:eastAsia="宋体" w:cs="宋体"/>
                <w:color w:val="auto"/>
                <w:sz w:val="21"/>
                <w:szCs w:val="21"/>
              </w:rPr>
              <w:t>其他</w:t>
            </w:r>
            <w:r>
              <w:rPr>
                <w:rFonts w:hint="eastAsia" w:ascii="宋体" w:hAnsi="宋体" w:eastAsia="宋体" w:cs="宋体"/>
                <w:bCs/>
                <w:color w:val="auto"/>
                <w:sz w:val="21"/>
                <w:szCs w:val="21"/>
              </w:rPr>
              <w:t>意见及签署</w:t>
            </w:r>
          </w:p>
        </w:tc>
        <w:tc>
          <w:tcPr>
            <w:tcW w:w="1304" w:type="pct"/>
            <w:gridSpan w:val="2"/>
            <w:noWrap w:val="0"/>
            <w:vAlign w:val="center"/>
          </w:tcPr>
          <w:p>
            <w:pPr>
              <w:widowControl/>
              <w:autoSpaceDE/>
              <w:autoSpaceDN/>
              <w:adjustRightInd/>
              <w:snapToGrid w:val="0"/>
              <w:jc w:val="both"/>
              <w:outlineLvl w:val="9"/>
              <w:rPr>
                <w:rFonts w:hint="eastAsia" w:ascii="宋体" w:hAnsi="宋体" w:eastAsia="宋体" w:cs="宋体"/>
                <w:color w:val="auto"/>
                <w:sz w:val="21"/>
                <w:szCs w:val="21"/>
              </w:rPr>
            </w:pPr>
            <w:r>
              <w:rPr>
                <w:rFonts w:hint="eastAsia" w:ascii="宋体" w:hAnsi="宋体" w:eastAsia="宋体" w:cs="宋体"/>
                <w:bCs/>
                <w:color w:val="auto"/>
                <w:sz w:val="21"/>
                <w:szCs w:val="21"/>
              </w:rPr>
              <w:t>经办人</w:t>
            </w:r>
          </w:p>
        </w:tc>
        <w:tc>
          <w:tcPr>
            <w:tcW w:w="1797" w:type="pct"/>
            <w:gridSpan w:val="4"/>
            <w:noWrap w:val="0"/>
            <w:vAlign w:val="center"/>
          </w:tcPr>
          <w:p>
            <w:pPr>
              <w:widowControl/>
              <w:autoSpaceDE/>
              <w:autoSpaceDN/>
              <w:adjustRightInd/>
              <w:snapToGrid w:val="0"/>
              <w:ind w:firstLine="420"/>
              <w:outlineLvl w:val="9"/>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97" w:type="pct"/>
            <w:gridSpan w:val="3"/>
            <w:vMerge w:val="continue"/>
            <w:noWrap w:val="0"/>
            <w:vAlign w:val="top"/>
          </w:tcPr>
          <w:p>
            <w:pPr>
              <w:widowControl/>
              <w:autoSpaceDE/>
              <w:autoSpaceDN/>
              <w:adjustRightInd/>
              <w:snapToGrid w:val="0"/>
              <w:ind w:firstLine="420"/>
              <w:outlineLvl w:val="9"/>
              <w:rPr>
                <w:rFonts w:hint="eastAsia" w:ascii="宋体" w:hAnsi="宋体" w:eastAsia="宋体" w:cs="宋体"/>
                <w:bCs/>
                <w:color w:val="auto"/>
                <w:sz w:val="21"/>
                <w:szCs w:val="21"/>
              </w:rPr>
            </w:pPr>
          </w:p>
        </w:tc>
        <w:tc>
          <w:tcPr>
            <w:tcW w:w="1304" w:type="pct"/>
            <w:gridSpan w:val="2"/>
            <w:noWrap w:val="0"/>
            <w:vAlign w:val="center"/>
          </w:tcPr>
          <w:p>
            <w:pPr>
              <w:widowControl/>
              <w:autoSpaceDE/>
              <w:autoSpaceDN/>
              <w:adjustRightInd/>
              <w:snapToGrid w:val="0"/>
              <w:jc w:val="both"/>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部门</w:t>
            </w:r>
            <w:r>
              <w:rPr>
                <w:rFonts w:hint="eastAsia" w:ascii="宋体" w:hAnsi="宋体" w:eastAsia="宋体" w:cs="宋体"/>
                <w:bCs/>
                <w:color w:val="auto"/>
                <w:sz w:val="21"/>
                <w:szCs w:val="21"/>
              </w:rPr>
              <w:t>负责人</w:t>
            </w:r>
          </w:p>
        </w:tc>
        <w:tc>
          <w:tcPr>
            <w:tcW w:w="1797" w:type="pct"/>
            <w:gridSpan w:val="4"/>
            <w:noWrap w:val="0"/>
            <w:vAlign w:val="center"/>
          </w:tcPr>
          <w:p>
            <w:pPr>
              <w:widowControl/>
              <w:autoSpaceDE/>
              <w:autoSpaceDN/>
              <w:adjustRightInd/>
              <w:snapToGrid w:val="0"/>
              <w:ind w:firstLine="420"/>
              <w:outlineLvl w:val="9"/>
              <w:rPr>
                <w:rFonts w:hint="eastAsia" w:ascii="宋体" w:hAnsi="宋体" w:eastAsia="宋体" w:cs="宋体"/>
                <w:bCs/>
                <w:color w:val="auto"/>
                <w:sz w:val="21"/>
                <w:szCs w:val="21"/>
              </w:rPr>
            </w:pPr>
          </w:p>
        </w:tc>
      </w:tr>
    </w:tbl>
    <w:p>
      <w:pPr>
        <w:pStyle w:val="2"/>
        <w:keepNext w:val="0"/>
        <w:keepLines w:val="0"/>
        <w:pageBreakBefore w:val="0"/>
        <w:kinsoku/>
        <w:wordWrap/>
        <w:overflowPunct/>
        <w:topLinePunct w:val="0"/>
        <w:bidi w:val="0"/>
        <w:ind w:left="0" w:leftChars="0" w:firstLine="0" w:firstLineChars="0"/>
        <w:textAlignment w:val="auto"/>
        <w:rPr>
          <w:rFonts w:hint="eastAsia" w:ascii="宋体" w:hAnsi="宋体" w:eastAsia="宋体" w:cs="宋体"/>
          <w:color w:val="auto"/>
          <w:sz w:val="21"/>
          <w:szCs w:val="21"/>
          <w:lang w:val="en-US" w:eastAsia="zh-CN"/>
        </w:rPr>
      </w:pPr>
    </w:p>
    <w:p>
      <w:pPr>
        <w:keepNext w:val="0"/>
        <w:keepLines w:val="0"/>
        <w:pageBreakBefore w:val="0"/>
        <w:kinsoku/>
        <w:wordWrap/>
        <w:overflowPunct/>
        <w:topLinePunct w:val="0"/>
        <w:bidi w:val="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544" w:name="_Toc30696"/>
      <w:bookmarkStart w:id="545" w:name="_Toc15767"/>
      <w:bookmarkStart w:id="546" w:name="_Toc18434"/>
      <w:bookmarkStart w:id="547" w:name="_Toc11686"/>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532"/>
      <w:bookmarkEnd w:id="533"/>
      <w:bookmarkEnd w:id="534"/>
      <w:bookmarkEnd w:id="535"/>
      <w:bookmarkEnd w:id="536"/>
      <w:bookmarkEnd w:id="537"/>
      <w:bookmarkEnd w:id="538"/>
      <w:bookmarkEnd w:id="539"/>
      <w:bookmarkEnd w:id="544"/>
      <w:bookmarkEnd w:id="545"/>
      <w:bookmarkEnd w:id="546"/>
      <w:bookmarkEnd w:id="547"/>
      <w:bookmarkStart w:id="548" w:name="_Toc447044604"/>
      <w:bookmarkStart w:id="549" w:name="_Toc447044480"/>
      <w:bookmarkStart w:id="550" w:name="_Toc447045091"/>
    </w:p>
    <w:p>
      <w:pPr>
        <w:autoSpaceDE w:val="0"/>
        <w:autoSpaceDN w:val="0"/>
        <w:adjustRightInd w:val="0"/>
        <w:spacing w:after="120" w:afterLines="50" w:line="360" w:lineRule="auto"/>
        <w:jc w:val="left"/>
        <w:outlineLvl w:val="9"/>
        <w:rPr>
          <w:rFonts w:ascii="宋体" w:hAnsi="宋体" w:eastAsia="宋体" w:cs="Times New Roman"/>
          <w:b/>
          <w:color w:val="auto"/>
          <w:kern w:val="0"/>
          <w:sz w:val="28"/>
          <w:szCs w:val="28"/>
          <w:highlight w:val="none"/>
        </w:rPr>
      </w:pPr>
      <w:bookmarkStart w:id="551" w:name="_Toc26521_WPSOffice_Level2"/>
      <w:r>
        <w:rPr>
          <w:rFonts w:hint="eastAsia" w:ascii="宋体" w:hAnsi="宋体" w:eastAsia="宋体" w:cs="Times New Roman"/>
          <w:b/>
          <w:color w:val="auto"/>
          <w:kern w:val="0"/>
          <w:sz w:val="28"/>
          <w:szCs w:val="28"/>
          <w:highlight w:val="none"/>
        </w:rPr>
        <w:t>一、不可撤销银行履约保函格式</w:t>
      </w:r>
      <w:bookmarkEnd w:id="548"/>
      <w:bookmarkEnd w:id="549"/>
      <w:bookmarkEnd w:id="550"/>
      <w:bookmarkEnd w:id="551"/>
    </w:p>
    <w:p>
      <w:pPr>
        <w:autoSpaceDE w:val="0"/>
        <w:autoSpaceDN w:val="0"/>
        <w:adjustRightInd w:val="0"/>
        <w:jc w:val="center"/>
        <w:outlineLvl w:val="9"/>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pPr>
        <w:widowControl/>
        <w:autoSpaceDE w:val="0"/>
        <w:autoSpaceDN w:val="0"/>
        <w:adjustRightInd w:val="0"/>
        <w:spacing w:line="360" w:lineRule="auto"/>
        <w:jc w:val="left"/>
        <w:outlineLvl w:val="9"/>
        <w:rPr>
          <w:rFonts w:ascii="宋体" w:hAnsi="宋体" w:eastAsia="宋体" w:cs="宋体"/>
          <w:color w:val="auto"/>
          <w:kern w:val="0"/>
          <w:szCs w:val="21"/>
          <w:highlight w:val="none"/>
        </w:rPr>
      </w:pPr>
    </w:p>
    <w:p>
      <w:pPr>
        <w:autoSpaceDE w:val="0"/>
        <w:autoSpaceDN w:val="0"/>
        <w:adjustRightInd w:val="0"/>
        <w:spacing w:line="360" w:lineRule="auto"/>
        <w:ind w:firstLine="6300"/>
        <w:jc w:val="left"/>
        <w:outlineLvl w:val="9"/>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pPr>
        <w:widowControl/>
        <w:autoSpaceDE w:val="0"/>
        <w:autoSpaceDN w:val="0"/>
        <w:adjustRightInd w:val="0"/>
        <w:spacing w:line="360" w:lineRule="auto"/>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567" w:firstLineChars="27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lang w:eastAsia="zh-CN"/>
        </w:rPr>
        <w:t>东莞市众源环境投资有限公司五金配件及劳保物资采购项目</w:t>
      </w:r>
      <w:r>
        <w:rPr>
          <w:rFonts w:ascii="宋体" w:hAnsi="宋体" w:eastAsia="宋体" w:cs="宋体"/>
          <w:color w:val="auto"/>
          <w:kern w:val="0"/>
          <w:szCs w:val="21"/>
          <w:highlight w:val="none"/>
          <w:u w:val="single"/>
        </w:rPr>
        <w:t>（招标编号：</w:t>
      </w:r>
      <w:r>
        <w:rPr>
          <w:rFonts w:hint="eastAsia" w:ascii="宋体" w:hAnsi="宋体" w:eastAsia="宋体" w:cs="宋体"/>
          <w:color w:val="auto"/>
          <w:kern w:val="0"/>
          <w:szCs w:val="21"/>
          <w:highlight w:val="none"/>
          <w:u w:val="single"/>
        </w:rPr>
        <w:t>0832-SFCX24DG010A</w:t>
      </w:r>
      <w:r>
        <w:rPr>
          <w:rFonts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567" w:firstLineChars="27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pPr>
        <w:widowControl/>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应自合同签订之日起至全部货物经</w:t>
      </w:r>
      <w:r>
        <w:rPr>
          <w:rFonts w:hint="eastAsia" w:ascii="宋体" w:hAnsi="宋体" w:eastAsia="宋体" w:cs="Times New Roman"/>
          <w:color w:val="auto"/>
          <w:kern w:val="0"/>
          <w:szCs w:val="21"/>
          <w:highlight w:val="none"/>
          <w:lang w:val="en-US" w:eastAsia="zh-CN"/>
        </w:rPr>
        <w:t>受益</w:t>
      </w:r>
      <w:r>
        <w:rPr>
          <w:rFonts w:hint="eastAsia" w:ascii="宋体" w:hAnsi="宋体" w:eastAsia="宋体" w:cs="Times New Roman"/>
          <w:color w:val="auto"/>
          <w:kern w:val="0"/>
          <w:szCs w:val="21"/>
          <w:highlight w:val="none"/>
        </w:rPr>
        <w:t>人验收合格后二十八（28）日内保持有效。</w:t>
      </w:r>
    </w:p>
    <w:p>
      <w:pPr>
        <w:widowControl/>
        <w:autoSpaceDE w:val="0"/>
        <w:autoSpaceDN w:val="0"/>
        <w:adjustRightInd w:val="0"/>
        <w:spacing w:line="360" w:lineRule="auto"/>
        <w:ind w:firstLine="2520" w:firstLineChars="1200"/>
        <w:jc w:val="left"/>
        <w:outlineLvl w:val="9"/>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outlineLvl w:val="9"/>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outlineLvl w:val="9"/>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outlineLvl w:val="9"/>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outlineLvl w:val="9"/>
        <w:rPr>
          <w:rFonts w:ascii="宋体" w:hAnsi="宋体" w:eastAsia="宋体" w:cs="宋体"/>
          <w:color w:val="auto"/>
          <w:kern w:val="0"/>
          <w:szCs w:val="21"/>
          <w:highlight w:val="none"/>
        </w:rPr>
      </w:pPr>
    </w:p>
    <w:p>
      <w:pPr>
        <w:widowControl/>
        <w:autoSpaceDE w:val="0"/>
        <w:autoSpaceDN w:val="0"/>
        <w:adjustRightInd w:val="0"/>
        <w:spacing w:line="360" w:lineRule="auto"/>
        <w:jc w:val="left"/>
        <w:outlineLvl w:val="9"/>
        <w:rPr>
          <w:rFonts w:ascii="宋体" w:hAnsi="宋体" w:eastAsia="宋体" w:cs="宋体"/>
          <w:color w:val="auto"/>
          <w:kern w:val="0"/>
          <w:szCs w:val="21"/>
          <w:highlight w:val="none"/>
        </w:rPr>
      </w:pPr>
    </w:p>
    <w:p>
      <w:pPr>
        <w:autoSpaceDE w:val="0"/>
        <w:autoSpaceDN w:val="0"/>
        <w:adjustRightInd w:val="0"/>
        <w:spacing w:line="360" w:lineRule="auto"/>
        <w:ind w:right="368" w:rightChars="175"/>
        <w:jc w:val="left"/>
        <w:outlineLvl w:val="9"/>
        <w:rPr>
          <w:rFonts w:ascii="宋体" w:hAnsi="宋体" w:eastAsia="宋体" w:cs="Times New Roman"/>
          <w:color w:val="auto"/>
          <w:kern w:val="0"/>
          <w:szCs w:val="21"/>
          <w:highlight w:val="none"/>
        </w:rPr>
        <w:sectPr>
          <w:pgSz w:w="12240" w:h="15840"/>
          <w:pgMar w:top="1191" w:right="1043" w:bottom="1191" w:left="1043" w:header="720" w:footer="720" w:gutter="0"/>
          <w:cols w:space="0" w:num="1"/>
          <w:titlePg/>
          <w:rtlGutter w:val="0"/>
          <w:docGrid w:linePitch="326" w:charSpace="0"/>
        </w:sectPr>
      </w:pPr>
    </w:p>
    <w:p>
      <w:pPr>
        <w:numPr>
          <w:ilvl w:val="0"/>
          <w:numId w:val="0"/>
        </w:numPr>
        <w:outlineLvl w:val="9"/>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pPr>
        <w:autoSpaceDE w:val="0"/>
        <w:autoSpaceDN w:val="0"/>
        <w:adjustRightInd w:val="0"/>
        <w:jc w:val="center"/>
        <w:outlineLvl w:val="9"/>
        <w:rPr>
          <w:rFonts w:hint="eastAsia" w:ascii="宋体" w:hAnsi="宋体" w:eastAsia="宋体" w:cs="Times New Roman"/>
          <w:b/>
          <w:color w:val="auto"/>
          <w:kern w:val="0"/>
          <w:sz w:val="30"/>
          <w:szCs w:val="30"/>
          <w:highlight w:val="none"/>
          <w:lang w:val="en-US" w:eastAsia="zh-CN"/>
        </w:rPr>
      </w:pPr>
    </w:p>
    <w:p>
      <w:pPr>
        <w:autoSpaceDE w:val="0"/>
        <w:autoSpaceDN w:val="0"/>
        <w:adjustRightInd w:val="0"/>
        <w:jc w:val="center"/>
        <w:outlineLvl w:val="9"/>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p>
    <w:p>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Times New Roman"/>
          <w:color w:val="auto"/>
          <w:kern w:val="0"/>
          <w:szCs w:val="21"/>
          <w:highlight w:val="none"/>
          <w:u w:val="single"/>
          <w:lang w:eastAsia="zh-CN"/>
        </w:rPr>
        <w:t>东莞市众源环境投资有限公司五金配件及劳保物资采购项目</w:t>
      </w:r>
      <w:r>
        <w:rPr>
          <w:rFonts w:ascii="宋体" w:hAnsi="宋体" w:eastAsia="宋体" w:cs="Times New Roman"/>
          <w:color w:val="auto"/>
          <w:kern w:val="0"/>
          <w:szCs w:val="21"/>
          <w:highlight w:val="none"/>
          <w:u w:val="single"/>
        </w:rPr>
        <w:t>（招标编号：</w:t>
      </w:r>
      <w:r>
        <w:rPr>
          <w:rFonts w:hint="eastAsia" w:ascii="宋体" w:hAnsi="宋体" w:eastAsia="宋体" w:cs="宋体"/>
          <w:color w:val="auto"/>
          <w:kern w:val="0"/>
          <w:szCs w:val="21"/>
          <w:highlight w:val="none"/>
          <w:u w:val="single"/>
        </w:rPr>
        <w:t>0832-SFCX24DG010A</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Times New Roman"/>
          <w:color w:val="auto"/>
          <w:kern w:val="0"/>
          <w:szCs w:val="21"/>
          <w:highlight w:val="none"/>
          <w:u w:val="single"/>
          <w:lang w:eastAsia="zh-CN"/>
        </w:rPr>
        <w:t>东莞市众源环境投资有限公司五金配件及劳保物资采购项目</w:t>
      </w:r>
      <w:r>
        <w:rPr>
          <w:rFonts w:ascii="宋体" w:hAnsi="宋体" w:eastAsia="宋体" w:cs="Times New Roman"/>
          <w:color w:val="auto"/>
          <w:kern w:val="0"/>
          <w:szCs w:val="21"/>
          <w:highlight w:val="none"/>
          <w:u w:val="single"/>
        </w:rPr>
        <w:t>（招标编号：</w:t>
      </w:r>
      <w:r>
        <w:rPr>
          <w:rFonts w:hint="eastAsia" w:ascii="宋体" w:hAnsi="宋体" w:eastAsia="宋体" w:cs="宋体"/>
          <w:color w:val="auto"/>
          <w:kern w:val="0"/>
          <w:szCs w:val="21"/>
          <w:highlight w:val="none"/>
          <w:u w:val="single"/>
        </w:rPr>
        <w:t>0832-SFCX24DG010A</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pPr>
        <w:numPr>
          <w:ilvl w:val="0"/>
          <w:numId w:val="0"/>
        </w:numPr>
        <w:autoSpaceDE w:val="0"/>
        <w:autoSpaceDN w:val="0"/>
        <w:adjustRightInd w:val="0"/>
        <w:spacing w:line="360" w:lineRule="auto"/>
        <w:ind w:firstLine="437" w:firstLineChars="0"/>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pPr>
        <w:autoSpaceDE w:val="0"/>
        <w:autoSpaceDN w:val="0"/>
        <w:adjustRightInd w:val="0"/>
        <w:spacing w:line="360" w:lineRule="auto"/>
        <w:ind w:firstLine="437"/>
        <w:jc w:val="left"/>
        <w:outlineLvl w:val="9"/>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应自合同签订之日起至</w:t>
      </w:r>
      <w:r>
        <w:rPr>
          <w:rFonts w:hint="eastAsia" w:ascii="宋体" w:hAnsi="宋体" w:eastAsia="宋体" w:cs="Times New Roman"/>
          <w:color w:val="auto"/>
          <w:kern w:val="0"/>
          <w:szCs w:val="21"/>
          <w:highlight w:val="none"/>
          <w:lang w:val="en-US" w:eastAsia="zh-CN"/>
        </w:rPr>
        <w:t>合同期限届满并全部货物</w:t>
      </w:r>
      <w:r>
        <w:rPr>
          <w:rFonts w:hint="eastAsia" w:ascii="宋体" w:hAnsi="宋体" w:eastAsia="宋体" w:cs="Times New Roman"/>
          <w:color w:val="auto"/>
          <w:kern w:val="0"/>
          <w:szCs w:val="21"/>
          <w:highlight w:val="none"/>
        </w:rPr>
        <w:t>经</w:t>
      </w:r>
      <w:r>
        <w:rPr>
          <w:rFonts w:hint="eastAsia" w:ascii="宋体" w:hAnsi="宋体" w:eastAsia="宋体" w:cs="Times New Roman"/>
          <w:color w:val="auto"/>
          <w:kern w:val="0"/>
          <w:szCs w:val="21"/>
          <w:highlight w:val="none"/>
          <w:lang w:val="en-US" w:eastAsia="zh-CN"/>
        </w:rPr>
        <w:t>受益</w:t>
      </w:r>
      <w:r>
        <w:rPr>
          <w:rFonts w:hint="eastAsia" w:ascii="宋体" w:hAnsi="宋体" w:eastAsia="宋体" w:cs="Times New Roman"/>
          <w:color w:val="auto"/>
          <w:kern w:val="0"/>
          <w:szCs w:val="21"/>
          <w:highlight w:val="none"/>
        </w:rPr>
        <w:t>人验收合格后二十八（28）日内保持有效。</w:t>
      </w:r>
    </w:p>
    <w:p>
      <w:pPr>
        <w:numPr>
          <w:ilvl w:val="0"/>
          <w:numId w:val="0"/>
        </w:numPr>
        <w:outlineLvl w:val="9"/>
        <w:rPr>
          <w:rFonts w:hint="default"/>
          <w:color w:val="auto"/>
          <w:highlight w:val="none"/>
          <w:lang w:val="en-US" w:eastAsia="zh-CN"/>
        </w:rPr>
      </w:pPr>
    </w:p>
    <w:p>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pPr>
        <w:autoSpaceDE w:val="0"/>
        <w:autoSpaceDN w:val="0"/>
        <w:adjustRightInd w:val="0"/>
        <w:spacing w:line="360" w:lineRule="auto"/>
        <w:ind w:firstLine="437"/>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pPr>
        <w:jc w:val="right"/>
        <w:outlineLvl w:val="9"/>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pPr>
        <w:autoSpaceDE w:val="0"/>
        <w:autoSpaceDN w:val="0"/>
        <w:adjustRightInd w:val="0"/>
        <w:spacing w:after="120" w:afterLines="50" w:line="360" w:lineRule="auto"/>
        <w:jc w:val="left"/>
        <w:outlineLvl w:val="9"/>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pPr>
        <w:autoSpaceDE w:val="0"/>
        <w:autoSpaceDN w:val="0"/>
        <w:adjustRightInd w:val="0"/>
        <w:jc w:val="center"/>
        <w:outlineLvl w:val="9"/>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outlineLvl w:val="9"/>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hint="eastAsia" w:ascii="宋体" w:hAnsi="宋体" w:eastAsia="宋体" w:cs="Times New Roman"/>
          <w:color w:val="auto"/>
          <w:kern w:val="0"/>
          <w:szCs w:val="21"/>
          <w:highlight w:val="none"/>
          <w:u w:val="single"/>
          <w:lang w:eastAsia="zh-CN"/>
        </w:rPr>
        <w:t>东莞市众源环境投资有限公司五金配件及劳保物资采购项目</w:t>
      </w:r>
      <w:r>
        <w:rPr>
          <w:rFonts w:ascii="宋体" w:hAnsi="宋体" w:eastAsia="宋体" w:cs="Times New Roman"/>
          <w:color w:val="auto"/>
          <w:kern w:val="0"/>
          <w:szCs w:val="21"/>
          <w:highlight w:val="none"/>
          <w:u w:val="single"/>
        </w:rPr>
        <w:t>（招标编号</w:t>
      </w:r>
      <w:r>
        <w:rPr>
          <w:rFonts w:hint="eastAsia" w:ascii="宋体" w:hAnsi="宋体" w:eastAsia="宋体" w:cs="宋体"/>
          <w:color w:val="auto"/>
          <w:kern w:val="0"/>
          <w:szCs w:val="21"/>
          <w:highlight w:val="none"/>
          <w:u w:val="single"/>
        </w:rPr>
        <w:t>0832-SFCX24DG010A</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pPr>
        <w:widowControl/>
        <w:autoSpaceDE w:val="0"/>
        <w:autoSpaceDN w:val="0"/>
        <w:adjustRightInd w:val="0"/>
        <w:spacing w:line="360" w:lineRule="auto"/>
        <w:ind w:firstLine="567" w:firstLineChars="270"/>
        <w:jc w:val="left"/>
        <w:outlineLvl w:val="9"/>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pPr>
        <w:autoSpaceDE w:val="0"/>
        <w:autoSpaceDN w:val="0"/>
        <w:adjustRightInd w:val="0"/>
        <w:spacing w:line="360" w:lineRule="auto"/>
        <w:ind w:firstLine="437"/>
        <w:jc w:val="left"/>
        <w:outlineLvl w:val="9"/>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autoSpaceDE w:val="0"/>
        <w:autoSpaceDN w:val="0"/>
        <w:adjustRightInd w:val="0"/>
        <w:spacing w:line="360" w:lineRule="auto"/>
        <w:ind w:firstLine="437"/>
        <w:jc w:val="left"/>
        <w:outlineLvl w:val="9"/>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w:t>
      </w:r>
      <w:r>
        <w:rPr>
          <w:rFonts w:hint="eastAsia" w:ascii="宋体" w:hAnsi="宋体" w:eastAsia="宋体" w:cs="Times New Roman"/>
          <w:color w:val="auto"/>
          <w:kern w:val="0"/>
          <w:szCs w:val="21"/>
          <w:highlight w:val="none"/>
          <w:lang w:val="en-US" w:eastAsia="zh-CN"/>
        </w:rPr>
        <w:t>合同期限届满并</w:t>
      </w:r>
      <w:r>
        <w:rPr>
          <w:rFonts w:hint="eastAsia" w:ascii="宋体" w:hAnsi="宋体" w:eastAsia="宋体" w:cs="Times New Roman"/>
          <w:color w:val="auto"/>
          <w:kern w:val="0"/>
          <w:szCs w:val="21"/>
          <w:highlight w:val="none"/>
        </w:rPr>
        <w:t>全部货物经受益人验收合格后二十八（28）日内保持有效。</w:t>
      </w:r>
    </w:p>
    <w:p>
      <w:pPr>
        <w:autoSpaceDE w:val="0"/>
        <w:autoSpaceDN w:val="0"/>
        <w:adjustRightInd w:val="0"/>
        <w:spacing w:line="360" w:lineRule="auto"/>
        <w:jc w:val="left"/>
        <w:outlineLvl w:val="9"/>
        <w:rPr>
          <w:rFonts w:ascii="宋体" w:hAnsi="宋体" w:eastAsia="宋体" w:cs="Times New Roman"/>
          <w:color w:val="auto"/>
          <w:kern w:val="0"/>
          <w:szCs w:val="21"/>
          <w:highlight w:val="none"/>
        </w:rPr>
      </w:pPr>
    </w:p>
    <w:p>
      <w:pPr>
        <w:autoSpaceDE w:val="0"/>
        <w:autoSpaceDN w:val="0"/>
        <w:adjustRightInd w:val="0"/>
        <w:spacing w:line="360" w:lineRule="auto"/>
        <w:ind w:firstLine="3990" w:firstLineChars="190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pPr>
        <w:autoSpaceDE w:val="0"/>
        <w:autoSpaceDN w:val="0"/>
        <w:adjustRightInd w:val="0"/>
        <w:spacing w:line="360" w:lineRule="auto"/>
        <w:ind w:firstLine="3990" w:firstLineChars="190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pPr>
        <w:autoSpaceDE w:val="0"/>
        <w:autoSpaceDN w:val="0"/>
        <w:adjustRightInd w:val="0"/>
        <w:spacing w:line="360" w:lineRule="auto"/>
        <w:ind w:firstLine="3990" w:firstLineChars="190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pPr>
        <w:autoSpaceDE w:val="0"/>
        <w:autoSpaceDN w:val="0"/>
        <w:adjustRightInd w:val="0"/>
        <w:spacing w:line="360" w:lineRule="auto"/>
        <w:ind w:firstLine="3990" w:firstLineChars="190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pPr>
        <w:autoSpaceDE w:val="0"/>
        <w:autoSpaceDN w:val="0"/>
        <w:adjustRightInd w:val="0"/>
        <w:spacing w:line="360" w:lineRule="auto"/>
        <w:ind w:right="368" w:rightChars="175"/>
        <w:jc w:val="left"/>
        <w:outlineLvl w:val="9"/>
        <w:rPr>
          <w:rFonts w:ascii="宋体" w:hAnsi="宋体" w:eastAsia="宋体" w:cs="Times New Roman"/>
          <w:color w:val="auto"/>
          <w:kern w:val="0"/>
          <w:szCs w:val="21"/>
          <w:highlight w:val="none"/>
        </w:rPr>
      </w:pPr>
    </w:p>
    <w:p>
      <w:pPr>
        <w:autoSpaceDE w:val="0"/>
        <w:autoSpaceDN w:val="0"/>
        <w:adjustRightInd w:val="0"/>
        <w:spacing w:line="360" w:lineRule="auto"/>
        <w:ind w:right="368" w:rightChars="175"/>
        <w:jc w:val="left"/>
        <w:outlineLvl w:val="9"/>
        <w:rPr>
          <w:rFonts w:ascii="宋体" w:hAnsi="宋体" w:eastAsia="宋体" w:cs="Times New Roman"/>
          <w:color w:val="auto"/>
          <w:kern w:val="0"/>
          <w:szCs w:val="21"/>
          <w:highlight w:val="none"/>
        </w:rPr>
      </w:pPr>
    </w:p>
    <w:p>
      <w:pPr>
        <w:autoSpaceDE w:val="0"/>
        <w:autoSpaceDN w:val="0"/>
        <w:adjustRightInd w:val="0"/>
        <w:spacing w:line="360" w:lineRule="auto"/>
        <w:jc w:val="left"/>
        <w:outlineLvl w:val="9"/>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outlineLvl w:val="9"/>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outlineLvl w:val="9"/>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outlineLvl w:val="9"/>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outlineLvl w:val="9"/>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outlineLvl w:val="9"/>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outlineLvl w:val="9"/>
        <w:rPr>
          <w:rFonts w:ascii="宋体" w:hAnsi="宋体" w:eastAsia="宋体" w:cs="Times New Roman"/>
          <w:color w:val="auto"/>
          <w:kern w:val="0"/>
          <w:szCs w:val="21"/>
          <w:highlight w:val="none"/>
        </w:rPr>
      </w:pPr>
    </w:p>
    <w:p>
      <w:pPr>
        <w:autoSpaceDE w:val="0"/>
        <w:autoSpaceDN w:val="0"/>
        <w:adjustRightInd w:val="0"/>
        <w:spacing w:line="360" w:lineRule="auto"/>
        <w:jc w:val="left"/>
        <w:outlineLvl w:val="9"/>
        <w:rPr>
          <w:rFonts w:ascii="宋体" w:hAnsi="宋体" w:eastAsia="宋体" w:cs="Times New Roman"/>
          <w:color w:val="auto"/>
          <w:kern w:val="0"/>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552" w:name="_Toc32728"/>
      <w:bookmarkStart w:id="553" w:name="_Toc12794"/>
      <w:bookmarkStart w:id="554" w:name="_Toc17428"/>
      <w:bookmarkStart w:id="555" w:name="_Toc142508361"/>
      <w:bookmarkStart w:id="556" w:name="_Toc96"/>
      <w:bookmarkStart w:id="557" w:name="_Toc450662895"/>
      <w:bookmarkStart w:id="558" w:name="_Toc20970"/>
      <w:bookmarkStart w:id="559" w:name="_Toc32761_WPSOffice_Level1"/>
      <w:bookmarkStart w:id="560" w:name="_Toc486167708"/>
      <w:bookmarkStart w:id="561" w:name="_Toc8165"/>
      <w:r>
        <w:rPr>
          <w:rFonts w:hint="eastAsia" w:ascii="宋体" w:hAnsi="宋体" w:eastAsia="宋体" w:cs="宋体"/>
          <w:b/>
          <w:bCs/>
          <w:color w:val="auto"/>
          <w:kern w:val="44"/>
          <w:sz w:val="32"/>
          <w:szCs w:val="32"/>
          <w:highlight w:val="none"/>
          <w:lang w:val="zh-CN"/>
        </w:rPr>
        <w:t>第六篇 投标文件格式</w:t>
      </w:r>
      <w:bookmarkEnd w:id="552"/>
      <w:bookmarkEnd w:id="553"/>
      <w:bookmarkEnd w:id="554"/>
      <w:bookmarkEnd w:id="555"/>
      <w:bookmarkEnd w:id="556"/>
      <w:bookmarkEnd w:id="557"/>
      <w:bookmarkEnd w:id="558"/>
      <w:bookmarkEnd w:id="559"/>
      <w:bookmarkEnd w:id="560"/>
      <w:bookmarkEnd w:id="561"/>
    </w:p>
    <w:p>
      <w:pPr>
        <w:pStyle w:val="21"/>
        <w:spacing w:line="360" w:lineRule="auto"/>
        <w:jc w:val="center"/>
        <w:rPr>
          <w:rFonts w:hint="eastAsia" w:ascii="宋体" w:hAnsi="宋体" w:eastAsia="宋体" w:cs="宋体"/>
          <w:b/>
          <w:color w:val="auto"/>
          <w:kern w:val="0"/>
          <w:sz w:val="32"/>
          <w:szCs w:val="32"/>
          <w:highlight w:val="none"/>
        </w:rPr>
      </w:pPr>
      <w:bookmarkStart w:id="562" w:name="_Toc140596921"/>
      <w:bookmarkStart w:id="563" w:name="_Toc104991868"/>
      <w:bookmarkStart w:id="564" w:name="_Toc102860411"/>
      <w:bookmarkStart w:id="565" w:name="_Toc142508362"/>
      <w:bookmarkStart w:id="566" w:name="_Toc102860067"/>
      <w:bookmarkStart w:id="567" w:name="_Toc1977721"/>
      <w:bookmarkStart w:id="568" w:name="_Toc486167709"/>
      <w:bookmarkStart w:id="569" w:name="_Toc533708121"/>
      <w:bookmarkStart w:id="570" w:name="_Toc21133_WPSOffice_Level2"/>
      <w:bookmarkStart w:id="571" w:name="_Toc94107202"/>
      <w:r>
        <w:rPr>
          <w:rFonts w:hint="eastAsia" w:ascii="宋体" w:hAnsi="宋体" w:eastAsia="宋体" w:cs="宋体"/>
          <w:b/>
          <w:color w:val="auto"/>
          <w:kern w:val="0"/>
          <w:sz w:val="32"/>
          <w:szCs w:val="32"/>
          <w:highlight w:val="none"/>
        </w:rPr>
        <w:br w:type="page"/>
      </w:r>
    </w:p>
    <w:p>
      <w:pPr>
        <w:pStyle w:val="21"/>
        <w:spacing w:line="360" w:lineRule="auto"/>
        <w:jc w:val="center"/>
        <w:rPr>
          <w:rFonts w:hint="eastAsia" w:ascii="宋体" w:hAnsi="宋体" w:eastAsia="宋体" w:cs="宋体"/>
          <w:b/>
          <w:color w:val="auto"/>
          <w:kern w:val="0"/>
          <w:sz w:val="32"/>
          <w:szCs w:val="32"/>
          <w:highlight w:val="none"/>
        </w:rPr>
      </w:pPr>
    </w:p>
    <w:p>
      <w:pPr>
        <w:pStyle w:val="21"/>
        <w:spacing w:line="360" w:lineRule="auto"/>
        <w:jc w:val="center"/>
        <w:rPr>
          <w:rFonts w:hint="eastAsia" w:ascii="宋体" w:hAnsi="宋体" w:eastAsia="宋体" w:cs="宋体"/>
          <w:b/>
          <w:color w:val="auto"/>
          <w:kern w:val="0"/>
          <w:sz w:val="32"/>
          <w:szCs w:val="32"/>
          <w:highlight w:val="none"/>
        </w:rPr>
      </w:pPr>
    </w:p>
    <w:p>
      <w:pPr>
        <w:pStyle w:val="21"/>
        <w:spacing w:line="360" w:lineRule="auto"/>
        <w:jc w:val="center"/>
        <w:rPr>
          <w:rFonts w:hint="eastAsia" w:ascii="宋体" w:hAnsi="宋体" w:eastAsia="宋体" w:cs="宋体"/>
          <w:b/>
          <w:color w:val="auto"/>
          <w:kern w:val="0"/>
          <w:sz w:val="32"/>
          <w:szCs w:val="32"/>
          <w:highlight w:val="none"/>
        </w:rPr>
      </w:pPr>
    </w:p>
    <w:p>
      <w:pPr>
        <w:pStyle w:val="21"/>
        <w:spacing w:line="360" w:lineRule="auto"/>
        <w:jc w:val="center"/>
        <w:rPr>
          <w:rFonts w:hint="eastAsia" w:ascii="宋体" w:hAnsi="宋体" w:eastAsia="宋体" w:cs="宋体"/>
          <w:color w:val="auto"/>
          <w:sz w:val="84"/>
          <w:highlight w:val="none"/>
        </w:rPr>
      </w:pPr>
    </w:p>
    <w:p>
      <w:pPr>
        <w:pStyle w:val="21"/>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1"/>
        <w:spacing w:line="360" w:lineRule="auto"/>
        <w:outlineLvl w:val="9"/>
        <w:rPr>
          <w:rFonts w:hint="eastAsia" w:ascii="宋体" w:hAnsi="宋体" w:eastAsia="宋体" w:cs="宋体"/>
          <w:color w:val="auto"/>
          <w:highlight w:val="none"/>
        </w:rPr>
      </w:pPr>
    </w:p>
    <w:p>
      <w:pPr>
        <w:pStyle w:val="21"/>
        <w:spacing w:line="360" w:lineRule="auto"/>
        <w:outlineLvl w:val="9"/>
        <w:rPr>
          <w:rFonts w:hint="eastAsia" w:ascii="宋体" w:hAnsi="宋体" w:eastAsia="宋体" w:cs="宋体"/>
          <w:color w:val="auto"/>
          <w:highlight w:val="none"/>
        </w:rPr>
      </w:pPr>
    </w:p>
    <w:p>
      <w:pPr>
        <w:pStyle w:val="21"/>
        <w:spacing w:line="360" w:lineRule="auto"/>
        <w:outlineLvl w:val="9"/>
        <w:rPr>
          <w:rFonts w:hint="eastAsia" w:ascii="宋体" w:hAnsi="宋体" w:eastAsia="宋体" w:cs="宋体"/>
          <w:color w:val="auto"/>
          <w:highlight w:val="none"/>
        </w:rPr>
      </w:pPr>
    </w:p>
    <w:p>
      <w:pPr>
        <w:pStyle w:val="21"/>
        <w:spacing w:line="360" w:lineRule="auto"/>
        <w:outlineLvl w:val="9"/>
        <w:rPr>
          <w:rFonts w:hint="eastAsia" w:ascii="宋体" w:hAnsi="宋体" w:eastAsia="宋体" w:cs="宋体"/>
          <w:color w:val="auto"/>
          <w:highlight w:val="none"/>
        </w:rPr>
      </w:pPr>
    </w:p>
    <w:p>
      <w:pPr>
        <w:pStyle w:val="21"/>
        <w:spacing w:line="360" w:lineRule="auto"/>
        <w:outlineLvl w:val="9"/>
        <w:rPr>
          <w:rFonts w:hint="eastAsia" w:ascii="宋体" w:hAnsi="宋体" w:eastAsia="宋体" w:cs="宋体"/>
          <w:color w:val="auto"/>
          <w:highlight w:val="none"/>
        </w:rPr>
      </w:pPr>
    </w:p>
    <w:p>
      <w:pPr>
        <w:pStyle w:val="21"/>
        <w:spacing w:line="360" w:lineRule="auto"/>
        <w:outlineLvl w:val="9"/>
        <w:rPr>
          <w:rFonts w:hint="eastAsia" w:ascii="宋体" w:hAnsi="宋体" w:eastAsia="宋体" w:cs="宋体"/>
          <w:color w:val="auto"/>
          <w:highlight w:val="none"/>
        </w:rPr>
      </w:pPr>
    </w:p>
    <w:p>
      <w:pPr>
        <w:pStyle w:val="21"/>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0832-SFCX24DG010A</w:t>
      </w:r>
    </w:p>
    <w:p>
      <w:pPr>
        <w:pStyle w:val="21"/>
        <w:spacing w:line="360" w:lineRule="auto"/>
        <w:ind w:firstLine="1875" w:firstLineChars="625"/>
        <w:outlineLvl w:val="9"/>
        <w:rPr>
          <w:rFonts w:hint="eastAsia" w:ascii="宋体" w:hAnsi="宋体" w:cs="宋体"/>
          <w:color w:val="auto"/>
          <w:sz w:val="30"/>
          <w:highlight w:val="none"/>
          <w:u w:val="single"/>
          <w:lang w:val="en-US" w:eastAsia="zh-CN"/>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东莞市众源环境投资有限公司五金配件及劳保</w:t>
      </w:r>
      <w:r>
        <w:rPr>
          <w:rFonts w:hint="eastAsia" w:ascii="宋体" w:hAnsi="宋体" w:cs="宋体"/>
          <w:color w:val="auto"/>
          <w:sz w:val="30"/>
          <w:highlight w:val="none"/>
          <w:u w:val="single"/>
          <w:lang w:val="en-US" w:eastAsia="zh-CN"/>
        </w:rPr>
        <w:t>物</w:t>
      </w:r>
    </w:p>
    <w:p>
      <w:pPr>
        <w:pStyle w:val="21"/>
        <w:spacing w:line="360" w:lineRule="auto"/>
        <w:ind w:firstLine="3375" w:firstLineChars="11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u w:val="single"/>
        </w:rPr>
        <w:t>资采购项目</w:t>
      </w:r>
    </w:p>
    <w:p>
      <w:pPr>
        <w:pStyle w:val="21"/>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pPr>
        <w:pStyle w:val="21"/>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东莞市众源环境投资有限公司</w:t>
      </w:r>
    </w:p>
    <w:p>
      <w:pPr>
        <w:pStyle w:val="21"/>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1"/>
        <w:spacing w:line="360" w:lineRule="auto"/>
        <w:outlineLvl w:val="9"/>
        <w:rPr>
          <w:rFonts w:hint="eastAsia" w:ascii="宋体" w:hAnsi="宋体" w:eastAsia="宋体" w:cs="宋体"/>
          <w:color w:val="auto"/>
          <w:highlight w:val="none"/>
        </w:rPr>
      </w:pPr>
    </w:p>
    <w:p>
      <w:pPr>
        <w:pStyle w:val="21"/>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1"/>
        <w:spacing w:line="360" w:lineRule="auto"/>
        <w:outlineLvl w:val="9"/>
        <w:rPr>
          <w:rFonts w:hint="eastAsia" w:ascii="宋体" w:hAnsi="宋体" w:eastAsia="宋体" w:cs="宋体"/>
          <w:color w:val="auto"/>
          <w:highlight w:val="none"/>
        </w:rPr>
      </w:pPr>
    </w:p>
    <w:p>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p>
        </w:tc>
        <w:tc>
          <w:tcPr>
            <w:tcW w:w="861" w:type="pct"/>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outlineLvl w:val="9"/>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outlineLvl w:val="9"/>
              <w:rPr>
                <w:rFonts w:hint="eastAsia" w:ascii="宋体" w:hAnsi="宋体" w:eastAsia="宋体" w:cs="宋体"/>
                <w:bCs/>
                <w:color w:val="auto"/>
                <w:szCs w:val="21"/>
                <w:highlight w:val="none"/>
              </w:rPr>
            </w:pPr>
          </w:p>
        </w:tc>
        <w:tc>
          <w:tcPr>
            <w:tcW w:w="1337" w:type="pct"/>
            <w:vAlign w:val="center"/>
          </w:tcPr>
          <w:p>
            <w:pPr>
              <w:outlineLvl w:val="9"/>
              <w:rPr>
                <w:rFonts w:hint="eastAsia" w:ascii="宋体" w:hAnsi="宋体" w:eastAsia="宋体" w:cs="宋体"/>
                <w:bCs/>
                <w:color w:val="auto"/>
                <w:szCs w:val="21"/>
                <w:highlight w:val="none"/>
              </w:rPr>
            </w:pPr>
          </w:p>
        </w:tc>
        <w:tc>
          <w:tcPr>
            <w:tcW w:w="861" w:type="pct"/>
            <w:vAlign w:val="center"/>
          </w:tcPr>
          <w:p>
            <w:pP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outlineLvl w:val="9"/>
              <w:rPr>
                <w:rFonts w:hint="eastAsia" w:ascii="宋体" w:hAnsi="宋体" w:eastAsia="宋体" w:cs="宋体"/>
                <w:bCs/>
                <w:color w:val="auto"/>
                <w:szCs w:val="21"/>
                <w:highlight w:val="none"/>
              </w:rPr>
            </w:pPr>
          </w:p>
        </w:tc>
        <w:tc>
          <w:tcPr>
            <w:tcW w:w="861" w:type="pct"/>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pPr>
              <w:spacing w:line="360" w:lineRule="auto"/>
              <w:ind w:firstLine="8" w:firstLineChars="4"/>
              <w:outlineLvl w:val="9"/>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outlineLvl w:val="9"/>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outlineLvl w:val="9"/>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pPr>
              <w:spacing w:line="360" w:lineRule="auto"/>
              <w:jc w:val="center"/>
              <w:outlineLvl w:val="9"/>
              <w:rPr>
                <w:rFonts w:hint="eastAsia" w:ascii="宋体" w:hAnsi="宋体" w:eastAsia="宋体" w:cs="宋体"/>
                <w:bCs/>
                <w:color w:val="auto"/>
                <w:szCs w:val="21"/>
                <w:highlight w:val="none"/>
              </w:rPr>
            </w:pPr>
          </w:p>
        </w:tc>
      </w:tr>
    </w:tbl>
    <w:p>
      <w:pPr>
        <w:pStyle w:val="21"/>
        <w:spacing w:line="360" w:lineRule="auto"/>
        <w:outlineLvl w:val="9"/>
        <w:rPr>
          <w:rFonts w:hint="eastAsia" w:ascii="宋体" w:hAnsi="宋体" w:eastAsia="宋体" w:cs="宋体"/>
          <w:color w:val="auto"/>
          <w:highlight w:val="none"/>
        </w:rPr>
      </w:pPr>
    </w:p>
    <w:p>
      <w:pPr>
        <w:pStyle w:val="21"/>
        <w:spacing w:line="360" w:lineRule="auto"/>
        <w:outlineLvl w:val="9"/>
        <w:rPr>
          <w:rFonts w:hint="eastAsia" w:ascii="宋体" w:hAnsi="宋体" w:eastAsia="宋体" w:cs="宋体"/>
          <w:color w:val="auto"/>
          <w:highlight w:val="none"/>
        </w:rPr>
      </w:pPr>
    </w:p>
    <w:p>
      <w:pPr>
        <w:widowControl/>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bookmarkStart w:id="572" w:name="_Toc32620"/>
      <w:bookmarkStart w:id="573" w:name="_Toc13331"/>
      <w:bookmarkStart w:id="574" w:name="_Toc2679"/>
      <w:bookmarkStart w:id="575" w:name="_Toc18706"/>
      <w:bookmarkStart w:id="576" w:name="_Toc15475"/>
      <w:r>
        <w:rPr>
          <w:rFonts w:hint="eastAsia" w:ascii="宋体" w:hAnsi="宋体" w:eastAsia="宋体" w:cs="宋体"/>
          <w:b/>
          <w:color w:val="auto"/>
          <w:kern w:val="0"/>
          <w:sz w:val="32"/>
          <w:szCs w:val="32"/>
          <w:highlight w:val="none"/>
        </w:rPr>
        <w:t>一、投标函格式</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pPr>
        <w:autoSpaceDE w:val="0"/>
        <w:autoSpaceDN w:val="0"/>
        <w:adjustRightInd w:val="0"/>
        <w:spacing w:line="360" w:lineRule="auto"/>
        <w:jc w:val="center"/>
        <w:outlineLvl w:val="9"/>
        <w:rPr>
          <w:rFonts w:ascii="宋体" w:hAnsi="宋体" w:eastAsia="宋体" w:cs="宋体"/>
          <w:b/>
          <w:bCs/>
          <w:color w:val="auto"/>
          <w:sz w:val="30"/>
          <w:szCs w:val="30"/>
          <w:highlight w:val="none"/>
        </w:rPr>
      </w:pPr>
      <w:bookmarkStart w:id="577" w:name="_Toc16695_WPSOffice_Level3"/>
      <w:r>
        <w:rPr>
          <w:rFonts w:hint="eastAsia" w:ascii="宋体" w:hAnsi="宋体" w:eastAsia="宋体" w:cs="宋体"/>
          <w:b/>
          <w:bCs/>
          <w:color w:val="auto"/>
          <w:sz w:val="30"/>
          <w:szCs w:val="30"/>
          <w:highlight w:val="none"/>
          <w:lang w:val="zh-CN"/>
        </w:rPr>
        <w:t>投 标 函</w:t>
      </w:r>
      <w:bookmarkEnd w:id="577"/>
    </w:p>
    <w:p>
      <w:pPr>
        <w:autoSpaceDE w:val="0"/>
        <w:autoSpaceDN w:val="0"/>
        <w:adjustRightInd w:val="0"/>
        <w:spacing w:line="360" w:lineRule="auto"/>
        <w:outlineLvl w:val="9"/>
        <w:rPr>
          <w:rFonts w:ascii="宋体" w:hAnsi="宋体" w:eastAsia="宋体" w:cs="宋体"/>
          <w:color w:val="auto"/>
          <w:szCs w:val="21"/>
          <w:highlight w:val="none"/>
          <w:lang w:val="zh-CN"/>
        </w:rPr>
      </w:pPr>
    </w:p>
    <w:p>
      <w:pPr>
        <w:autoSpaceDE w:val="0"/>
        <w:autoSpaceDN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东莞市众源环境投资有限公司</w:t>
      </w:r>
    </w:p>
    <w:p>
      <w:pPr>
        <w:autoSpaceDE w:val="0"/>
        <w:autoSpaceDN w:val="0"/>
        <w:adjustRightInd w:val="0"/>
        <w:spacing w:line="360" w:lineRule="auto"/>
        <w:outlineLvl w:val="9"/>
        <w:rPr>
          <w:rFonts w:ascii="宋体" w:hAnsi="宋体" w:eastAsia="宋体" w:cs="宋体"/>
          <w:color w:val="auto"/>
          <w:szCs w:val="21"/>
          <w:highlight w:val="none"/>
        </w:rPr>
      </w:pPr>
    </w:p>
    <w:p>
      <w:pPr>
        <w:wordWrap w:val="0"/>
        <w:autoSpaceDE w:val="0"/>
        <w:autoSpaceDN w:val="0"/>
        <w:adjustRightInd w:val="0"/>
        <w:spacing w:line="360" w:lineRule="auto"/>
        <w:ind w:firstLine="42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rPr>
        <w:t>东莞市众源环境投资有限公司五金配件及劳保物资采购项目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0832-SFCX24DG010A</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pPr>
        <w:autoSpaceDE w:val="0"/>
        <w:autoSpaceDN w:val="0"/>
        <w:adjustRightInd w:val="0"/>
        <w:spacing w:line="360" w:lineRule="auto"/>
        <w:ind w:firstLine="315" w:firstLineChars="150"/>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pPr>
        <w:autoSpaceDE w:val="0"/>
        <w:autoSpaceDN w:val="0"/>
        <w:adjustRightInd w:val="0"/>
        <w:spacing w:line="360" w:lineRule="auto"/>
        <w:ind w:firstLine="315" w:firstLineChars="150"/>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pPr>
        <w:autoSpaceDE w:val="0"/>
        <w:autoSpaceDN w:val="0"/>
        <w:adjustRightInd w:val="0"/>
        <w:spacing w:line="360" w:lineRule="auto"/>
        <w:ind w:firstLine="42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0832-SFCX24DG010A</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pPr>
        <w:autoSpaceDE w:val="0"/>
        <w:autoSpaceDN w:val="0"/>
        <w:adjustRightInd w:val="0"/>
        <w:spacing w:line="360" w:lineRule="auto"/>
        <w:ind w:left="395" w:leftChars="-12" w:hanging="420" w:hangingChars="200"/>
        <w:outlineLvl w:val="9"/>
        <w:rPr>
          <w:rFonts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outlineLvl w:val="9"/>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outlineLvl w:val="9"/>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78" w:name="_Toc27557"/>
      <w:bookmarkStart w:id="579" w:name="_Toc19504"/>
      <w:bookmarkStart w:id="580" w:name="_Toc94107203"/>
      <w:bookmarkStart w:id="581" w:name="_Toc1977722"/>
      <w:bookmarkStart w:id="582" w:name="_Toc28888"/>
      <w:bookmarkStart w:id="583" w:name="_Toc28613_WPSOffice_Level2"/>
      <w:bookmarkStart w:id="584" w:name="_Toc533708122"/>
      <w:bookmarkStart w:id="585" w:name="_Toc8696"/>
      <w:bookmarkStart w:id="586" w:name="_Toc486167710"/>
      <w:bookmarkStart w:id="587" w:name="_Toc102860412"/>
      <w:bookmarkStart w:id="588" w:name="_Toc26795"/>
      <w:bookmarkStart w:id="589" w:name="_Toc142508363"/>
      <w:bookmarkStart w:id="590" w:name="_Toc140596922"/>
      <w:bookmarkStart w:id="591" w:name="_Toc104991869"/>
      <w:bookmarkStart w:id="592" w:name="_Toc102860068"/>
      <w:r>
        <w:rPr>
          <w:rFonts w:hint="eastAsia" w:ascii="宋体" w:hAnsi="宋体" w:eastAsia="宋体" w:cs="宋体"/>
          <w:b/>
          <w:color w:val="auto"/>
          <w:kern w:val="0"/>
          <w:sz w:val="32"/>
          <w:szCs w:val="32"/>
          <w:highlight w:val="none"/>
        </w:rPr>
        <w:t>二、投标承诺书格式</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pPr>
        <w:autoSpaceDE w:val="0"/>
        <w:autoSpaceDN w:val="0"/>
        <w:adjustRightInd w:val="0"/>
        <w:spacing w:line="360" w:lineRule="auto"/>
        <w:jc w:val="center"/>
        <w:outlineLvl w:val="9"/>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outlineLvl w:val="9"/>
        <w:rPr>
          <w:rFonts w:ascii="宋体" w:hAnsi="宋体" w:eastAsia="宋体" w:cs="Times New Roman"/>
          <w:color w:val="auto"/>
          <w:kern w:val="0"/>
          <w:szCs w:val="21"/>
          <w:highlight w:val="none"/>
        </w:rPr>
      </w:pPr>
    </w:p>
    <w:p>
      <w:pPr>
        <w:widowControl/>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rPr>
        <w:t>东莞市众源环境投资有限公司五金配件及劳保物资采购项目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0832-SFCX24DG010A</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pPr>
        <w:autoSpaceDE w:val="0"/>
        <w:autoSpaceDN w:val="0"/>
        <w:adjustRightInd w:val="0"/>
        <w:spacing w:line="360" w:lineRule="auto"/>
        <w:ind w:firstLine="420" w:firstLineChars="200"/>
        <w:jc w:val="left"/>
        <w:outlineLvl w:val="9"/>
        <w:rPr>
          <w:rFonts w:ascii="宋体" w:hAnsi="宋体" w:eastAsia="宋体" w:cs="Times New Roman"/>
          <w:color w:val="auto"/>
          <w:kern w:val="0"/>
          <w:szCs w:val="21"/>
          <w:highlight w:val="none"/>
        </w:rPr>
      </w:pPr>
    </w:p>
    <w:p>
      <w:pPr>
        <w:autoSpaceDE w:val="0"/>
        <w:autoSpaceDN w:val="0"/>
        <w:adjustRightInd w:val="0"/>
        <w:spacing w:line="360" w:lineRule="auto"/>
        <w:jc w:val="left"/>
        <w:outlineLvl w:val="9"/>
        <w:rPr>
          <w:rFonts w:ascii="宋体" w:hAnsi="宋体" w:eastAsia="宋体" w:cs="Times New Roman"/>
          <w:color w:val="auto"/>
          <w:kern w:val="0"/>
          <w:sz w:val="24"/>
          <w:szCs w:val="24"/>
          <w:highlight w:val="none"/>
        </w:rPr>
      </w:pPr>
    </w:p>
    <w:p>
      <w:pPr>
        <w:autoSpaceDE w:val="0"/>
        <w:autoSpaceDN w:val="0"/>
        <w:adjustRightInd w:val="0"/>
        <w:spacing w:line="360" w:lineRule="auto"/>
        <w:jc w:val="left"/>
        <w:outlineLvl w:val="9"/>
        <w:rPr>
          <w:rFonts w:ascii="宋体" w:hAnsi="宋体" w:eastAsia="宋体" w:cs="Times New Roman"/>
          <w:color w:val="auto"/>
          <w:kern w:val="0"/>
          <w:sz w:val="24"/>
          <w:szCs w:val="24"/>
          <w:highlight w:val="none"/>
        </w:rPr>
      </w:pPr>
    </w:p>
    <w:p>
      <w:pPr>
        <w:autoSpaceDE w:val="0"/>
        <w:autoSpaceDN w:val="0"/>
        <w:adjustRightInd w:val="0"/>
        <w:spacing w:line="360" w:lineRule="auto"/>
        <w:ind w:firstLine="5040"/>
        <w:outlineLvl w:val="9"/>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outlineLvl w:val="9"/>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pPr>
        <w:autoSpaceDE w:val="0"/>
        <w:autoSpaceDN w:val="0"/>
        <w:adjustRightInd w:val="0"/>
        <w:spacing w:line="360" w:lineRule="auto"/>
        <w:ind w:firstLine="5040"/>
        <w:outlineLvl w:val="9"/>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ind w:firstLine="480" w:firstLineChars="200"/>
        <w:jc w:val="left"/>
        <w:outlineLvl w:val="9"/>
        <w:rPr>
          <w:rFonts w:ascii="宋体" w:hAnsi="宋体" w:eastAsia="宋体" w:cs="宋体"/>
          <w:color w:val="auto"/>
          <w:kern w:val="0"/>
          <w:sz w:val="24"/>
          <w:szCs w:val="24"/>
          <w:highlight w:val="none"/>
        </w:rPr>
      </w:pPr>
    </w:p>
    <w:p>
      <w:pPr>
        <w:autoSpaceDE w:val="0"/>
        <w:autoSpaceDN w:val="0"/>
        <w:adjustRightInd w:val="0"/>
        <w:spacing w:line="360" w:lineRule="auto"/>
        <w:jc w:val="left"/>
        <w:outlineLvl w:val="9"/>
        <w:rPr>
          <w:rFonts w:ascii="宋体" w:hAnsi="宋体" w:eastAsia="宋体" w:cs="宋体"/>
          <w:color w:val="auto"/>
          <w:kern w:val="0"/>
          <w:sz w:val="24"/>
          <w:szCs w:val="24"/>
          <w:highlight w:val="none"/>
        </w:rPr>
      </w:pPr>
    </w:p>
    <w:p>
      <w:pPr>
        <w:autoSpaceDE w:val="0"/>
        <w:autoSpaceDN w:val="0"/>
        <w:adjustRightInd w:val="0"/>
        <w:spacing w:line="360" w:lineRule="auto"/>
        <w:jc w:val="left"/>
        <w:outlineLvl w:val="9"/>
        <w:rPr>
          <w:rFonts w:ascii="宋体" w:hAnsi="宋体" w:eastAsia="宋体" w:cs="宋体"/>
          <w:color w:val="auto"/>
          <w:kern w:val="0"/>
          <w:sz w:val="24"/>
          <w:szCs w:val="24"/>
          <w:highlight w:val="none"/>
        </w:rPr>
      </w:pPr>
      <w:bookmarkStart w:id="593" w:name="_Toc311032584"/>
      <w:bookmarkStart w:id="594" w:name="_Toc326768876"/>
      <w:bookmarkStart w:id="595" w:name="_Toc316896755"/>
    </w:p>
    <w:p>
      <w:pPr>
        <w:pageBreakBefore/>
        <w:autoSpaceDE w:val="0"/>
        <w:autoSpaceDN w:val="0"/>
        <w:adjustRightInd w:val="0"/>
        <w:spacing w:line="360" w:lineRule="auto"/>
        <w:jc w:val="left"/>
        <w:outlineLvl w:val="9"/>
        <w:rPr>
          <w:rFonts w:ascii="宋体" w:hAnsi="宋体" w:eastAsia="宋体" w:cs="宋体"/>
          <w:b/>
          <w:color w:val="auto"/>
          <w:kern w:val="44"/>
          <w:sz w:val="32"/>
          <w:szCs w:val="32"/>
          <w:highlight w:val="none"/>
        </w:rPr>
      </w:pPr>
      <w:bookmarkStart w:id="596" w:name="_Toc17028"/>
      <w:bookmarkStart w:id="597" w:name="_Toc29506"/>
      <w:bookmarkStart w:id="598" w:name="_Toc14938"/>
      <w:bookmarkStart w:id="599" w:name="_Toc102860413"/>
      <w:bookmarkStart w:id="600" w:name="_Toc82182546"/>
      <w:bookmarkStart w:id="601" w:name="_Toc9778"/>
      <w:bookmarkStart w:id="602" w:name="_Toc12590"/>
      <w:bookmarkStart w:id="603" w:name="_Toc102860069"/>
      <w:bookmarkStart w:id="604" w:name="_Toc142508364"/>
      <w:bookmarkStart w:id="605" w:name="_Toc104991870"/>
      <w:bookmarkStart w:id="606" w:name="_Toc94107204"/>
      <w:bookmarkStart w:id="607" w:name="_Toc86764083"/>
      <w:bookmarkStart w:id="608" w:name="_Toc140596923"/>
      <w:bookmarkStart w:id="609" w:name="_Toc533708123"/>
      <w:bookmarkStart w:id="610" w:name="_Toc1977723"/>
      <w:bookmarkStart w:id="611" w:name="_Toc7024_WPSOffice_Level2"/>
      <w:bookmarkStart w:id="612" w:name="_Toc486167711"/>
      <w:r>
        <w:rPr>
          <w:rFonts w:hint="eastAsia" w:ascii="宋体" w:hAnsi="宋体" w:eastAsia="宋体" w:cs="宋体"/>
          <w:b/>
          <w:color w:val="auto"/>
          <w:kern w:val="44"/>
          <w:sz w:val="32"/>
          <w:szCs w:val="32"/>
          <w:highlight w:val="none"/>
        </w:rPr>
        <w:t>三、供货及/或提供服务过程承诺函格式</w:t>
      </w:r>
      <w:bookmarkEnd w:id="596"/>
      <w:bookmarkEnd w:id="597"/>
      <w:bookmarkEnd w:id="598"/>
      <w:bookmarkEnd w:id="599"/>
      <w:bookmarkEnd w:id="600"/>
      <w:bookmarkEnd w:id="601"/>
      <w:bookmarkEnd w:id="602"/>
      <w:bookmarkEnd w:id="603"/>
      <w:bookmarkEnd w:id="604"/>
      <w:bookmarkEnd w:id="605"/>
      <w:bookmarkEnd w:id="606"/>
      <w:bookmarkEnd w:id="607"/>
      <w:bookmarkEnd w:id="608"/>
    </w:p>
    <w:p>
      <w:pPr>
        <w:autoSpaceDE w:val="0"/>
        <w:autoSpaceDN w:val="0"/>
        <w:adjustRightInd w:val="0"/>
        <w:spacing w:line="360" w:lineRule="auto"/>
        <w:jc w:val="center"/>
        <w:outlineLvl w:val="9"/>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东莞市众源环境投资有限公司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u w:val="single"/>
        </w:rPr>
        <w:t>东莞市众源环境投资有限公司五金配件及劳保物资采购项</w:t>
      </w:r>
      <w:r>
        <w:rPr>
          <w:rFonts w:hint="eastAsia" w:ascii="宋体" w:hAnsi="宋体" w:eastAsia="宋体" w:cs="Times New Roman"/>
          <w:color w:val="auto"/>
          <w:kern w:val="0"/>
          <w:szCs w:val="21"/>
          <w:highlight w:val="none"/>
        </w:rPr>
        <w:t>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0832-SFCX24DG010A</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5040"/>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right="420" w:firstLine="5040" w:firstLineChars="2400"/>
        <w:jc w:val="left"/>
        <w:outlineLvl w:val="9"/>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pPr>
        <w:outlineLvl w:val="9"/>
        <w:rPr>
          <w:rFonts w:hint="eastAsia" w:ascii="宋体" w:hAnsi="宋体" w:eastAsia="宋体" w:cs="宋体"/>
          <w:b/>
          <w:color w:val="auto"/>
          <w:kern w:val="44"/>
          <w:sz w:val="32"/>
          <w:szCs w:val="32"/>
          <w:highlight w:val="none"/>
        </w:rPr>
      </w:pPr>
      <w:bookmarkStart w:id="613" w:name="_Toc140596924"/>
      <w:bookmarkStart w:id="614" w:name="_Toc94107205"/>
      <w:bookmarkStart w:id="615" w:name="_Toc102860070"/>
      <w:bookmarkStart w:id="616" w:name="_Toc142508365"/>
      <w:bookmarkStart w:id="617" w:name="_Toc86764084"/>
      <w:bookmarkStart w:id="618" w:name="_Toc104991871"/>
      <w:bookmarkStart w:id="619" w:name="_Toc82182547"/>
      <w:bookmarkStart w:id="620" w:name="_Toc102860414"/>
      <w:bookmarkStart w:id="621" w:name="_Toc6287"/>
      <w:bookmarkStart w:id="622" w:name="_Toc3993"/>
      <w:r>
        <w:rPr>
          <w:rFonts w:hint="eastAsia" w:ascii="宋体" w:hAnsi="宋体" w:eastAsia="宋体" w:cs="宋体"/>
          <w:b/>
          <w:color w:val="auto"/>
          <w:kern w:val="44"/>
          <w:sz w:val="32"/>
          <w:szCs w:val="32"/>
          <w:highlight w:val="none"/>
        </w:rPr>
        <w:br w:type="page"/>
      </w:r>
    </w:p>
    <w:p>
      <w:pPr>
        <w:pageBreakBefore/>
        <w:autoSpaceDE w:val="0"/>
        <w:autoSpaceDN w:val="0"/>
        <w:adjustRightInd w:val="0"/>
        <w:spacing w:line="360" w:lineRule="auto"/>
        <w:jc w:val="left"/>
        <w:outlineLvl w:val="9"/>
        <w:rPr>
          <w:rFonts w:ascii="宋体" w:hAnsi="宋体" w:eastAsia="宋体" w:cs="宋体"/>
          <w:b/>
          <w:color w:val="auto"/>
          <w:kern w:val="44"/>
          <w:sz w:val="32"/>
          <w:szCs w:val="32"/>
        </w:rPr>
      </w:pPr>
      <w:bookmarkStart w:id="623" w:name="_Toc13710"/>
      <w:bookmarkStart w:id="624" w:name="_Toc14435"/>
      <w:bookmarkStart w:id="625" w:name="_Toc15204"/>
      <w:bookmarkStart w:id="626" w:name="_Toc7805"/>
      <w:bookmarkStart w:id="627" w:name="_Toc3942"/>
      <w:bookmarkStart w:id="628" w:name="_Toc12365"/>
      <w:r>
        <w:rPr>
          <w:rFonts w:hint="eastAsia" w:ascii="宋体" w:hAnsi="宋体" w:eastAsia="宋体" w:cs="宋体"/>
          <w:b/>
          <w:color w:val="auto"/>
          <w:kern w:val="44"/>
          <w:sz w:val="32"/>
          <w:szCs w:val="32"/>
        </w:rPr>
        <w:t>四、现场转换采购方式同意书格式</w:t>
      </w:r>
      <w:bookmarkEnd w:id="623"/>
      <w:bookmarkEnd w:id="624"/>
      <w:bookmarkEnd w:id="625"/>
      <w:bookmarkEnd w:id="626"/>
      <w:bookmarkEnd w:id="627"/>
      <w:bookmarkEnd w:id="628"/>
    </w:p>
    <w:p>
      <w:pPr>
        <w:autoSpaceDE w:val="0"/>
        <w:autoSpaceDN w:val="0"/>
        <w:adjustRightInd w:val="0"/>
        <w:spacing w:line="360" w:lineRule="auto"/>
        <w:jc w:val="center"/>
        <w:outlineLvl w:val="9"/>
        <w:rPr>
          <w:rFonts w:ascii="宋体" w:hAnsi="宋体" w:eastAsia="宋体" w:cs="宋体"/>
          <w:b/>
          <w:color w:val="auto"/>
          <w:kern w:val="44"/>
          <w:sz w:val="32"/>
          <w:szCs w:val="32"/>
        </w:rPr>
      </w:pPr>
      <w:r>
        <w:rPr>
          <w:rFonts w:hint="eastAsia" w:ascii="宋体" w:hAnsi="宋体" w:eastAsia="宋体" w:cs="宋体"/>
          <w:b/>
          <w:color w:val="auto"/>
          <w:kern w:val="44"/>
          <w:sz w:val="32"/>
          <w:szCs w:val="32"/>
        </w:rPr>
        <w:t>现场转换采购方式同意书</w:t>
      </w:r>
    </w:p>
    <w:p>
      <w:pPr>
        <w:autoSpaceDE w:val="0"/>
        <w:autoSpaceDN w:val="0"/>
        <w:adjustRightInd w:val="0"/>
        <w:spacing w:line="360" w:lineRule="auto"/>
        <w:jc w:val="left"/>
        <w:outlineLvl w:val="9"/>
        <w:rPr>
          <w:rFonts w:ascii="宋体" w:hAnsi="宋体" w:eastAsia="宋体" w:cs="宋体"/>
          <w:color w:val="auto"/>
          <w:kern w:val="0"/>
          <w:szCs w:val="21"/>
        </w:rPr>
      </w:pPr>
    </w:p>
    <w:p>
      <w:pPr>
        <w:autoSpaceDE w:val="0"/>
        <w:autoSpaceDN w:val="0"/>
        <w:adjustRightInd w:val="0"/>
        <w:spacing w:line="360" w:lineRule="auto"/>
        <w:jc w:val="left"/>
        <w:outlineLvl w:val="9"/>
        <w:rPr>
          <w:rFonts w:ascii="宋体" w:hAnsi="宋体" w:eastAsia="宋体" w:cs="宋体"/>
          <w:color w:val="auto"/>
          <w:kern w:val="0"/>
          <w:szCs w:val="21"/>
        </w:rPr>
      </w:pPr>
      <w:r>
        <w:rPr>
          <w:rFonts w:hint="eastAsia" w:ascii="宋体" w:hAnsi="宋体" w:eastAsia="宋体" w:cs="宋体"/>
          <w:color w:val="auto"/>
          <w:kern w:val="0"/>
          <w:szCs w:val="21"/>
        </w:rPr>
        <w:t>东莞市众源环境投资有限公司：</w:t>
      </w:r>
    </w:p>
    <w:p>
      <w:pPr>
        <w:autoSpaceDE w:val="0"/>
        <w:autoSpaceDN w:val="0"/>
        <w:adjustRightInd w:val="0"/>
        <w:spacing w:line="360" w:lineRule="auto"/>
        <w:ind w:firstLine="420" w:firstLineChars="200"/>
        <w:outlineLvl w:val="9"/>
        <w:rPr>
          <w:rFonts w:ascii="宋体" w:hAnsi="宋体" w:eastAsia="宋体" w:cs="宋体"/>
          <w:color w:val="auto"/>
          <w:szCs w:val="24"/>
          <w:lang w:val="zh-CN"/>
        </w:rPr>
      </w:pPr>
      <w:r>
        <w:rPr>
          <w:rFonts w:hint="eastAsia" w:ascii="宋体" w:hAnsi="宋体" w:eastAsia="宋体" w:cs="宋体"/>
          <w:color w:val="auto"/>
          <w:szCs w:val="24"/>
          <w:lang w:val="zh-CN"/>
        </w:rPr>
        <w:t>我方</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（投标人名称）为</w:t>
      </w:r>
      <w:r>
        <w:rPr>
          <w:rFonts w:hint="eastAsia" w:ascii="宋体" w:hAnsi="宋体" w:eastAsia="宋体" w:cs="宋体"/>
          <w:color w:val="auto"/>
          <w:kern w:val="0"/>
          <w:szCs w:val="21"/>
          <w:highlight w:val="none"/>
          <w:u w:val="single"/>
        </w:rPr>
        <w:t>东莞市众源环境投资有限公司五金配件及劳保物资采购项目</w:t>
      </w:r>
      <w:r>
        <w:rPr>
          <w:rFonts w:hint="eastAsia" w:ascii="宋体" w:hAnsi="宋体" w:eastAsia="宋体" w:cs="宋体"/>
          <w:color w:val="auto"/>
          <w:kern w:val="0"/>
          <w:szCs w:val="21"/>
        </w:rPr>
        <w:t>(招标编号：0832-SFCX24DG010A)</w:t>
      </w:r>
      <w:r>
        <w:rPr>
          <w:rFonts w:hint="eastAsia" w:ascii="宋体" w:hAnsi="宋体" w:eastAsia="宋体" w:cs="宋体"/>
          <w:color w:val="auto"/>
          <w:szCs w:val="24"/>
          <w:lang w:val="zh-CN"/>
        </w:rPr>
        <w:t>的投标单位，本次招标采购过程中我方同意按下列方式继续参与采购。</w:t>
      </w:r>
    </w:p>
    <w:p>
      <w:pPr>
        <w:autoSpaceDE w:val="0"/>
        <w:autoSpaceDN w:val="0"/>
        <w:adjustRightInd w:val="0"/>
        <w:spacing w:line="360" w:lineRule="auto"/>
        <w:ind w:firstLine="420" w:firstLineChars="200"/>
        <w:outlineLvl w:val="9"/>
        <w:rPr>
          <w:rFonts w:ascii="宋体" w:hAnsi="宋体" w:eastAsia="宋体" w:cs="宋体"/>
          <w:color w:val="auto"/>
          <w:kern w:val="0"/>
          <w:szCs w:val="21"/>
          <w:lang w:val="zh-CN"/>
        </w:rPr>
      </w:pPr>
      <w:r>
        <w:rPr>
          <w:rFonts w:hint="eastAsia" w:ascii="宋体" w:hAnsi="宋体" w:eastAsia="宋体" w:cs="宋体"/>
          <w:color w:val="auto"/>
          <w:szCs w:val="24"/>
          <w:lang w:val="zh-CN"/>
        </w:rPr>
        <w:t>（1）若有效投标人只有2个时，我方同意本项目现场转为竞争性谈判方式继续实施采购，接受原公开招标文件的要求即为竞争性谈判采购文件的要求，接受原公开招标投标文件即为竞争性谈判响应文件。</w:t>
      </w:r>
    </w:p>
    <w:p>
      <w:pPr>
        <w:autoSpaceDE w:val="0"/>
        <w:autoSpaceDN w:val="0"/>
        <w:adjustRightInd w:val="0"/>
        <w:spacing w:line="360" w:lineRule="auto"/>
        <w:ind w:firstLine="420" w:firstLineChars="200"/>
        <w:outlineLvl w:val="9"/>
        <w:rPr>
          <w:rFonts w:ascii="宋体" w:hAnsi="宋体" w:eastAsia="宋体" w:cs="宋体"/>
          <w:color w:val="auto"/>
          <w:szCs w:val="24"/>
          <w:lang w:val="zh-CN"/>
        </w:rPr>
      </w:pPr>
      <w:r>
        <w:rPr>
          <w:rFonts w:hint="eastAsia" w:ascii="宋体" w:hAnsi="宋体" w:eastAsia="宋体" w:cs="宋体"/>
          <w:color w:val="auto"/>
          <w:szCs w:val="24"/>
          <w:lang w:val="zh-CN"/>
        </w:rPr>
        <w:t>（2）若有效投标人只有1个时，我方同意本项目现场转</w:t>
      </w:r>
      <w:r>
        <w:rPr>
          <w:rFonts w:hint="eastAsia" w:ascii="宋体" w:hAnsi="宋体" w:eastAsia="宋体" w:cs="宋体"/>
          <w:color w:val="auto"/>
          <w:szCs w:val="24"/>
        </w:rPr>
        <w:t>为</w:t>
      </w:r>
      <w:r>
        <w:rPr>
          <w:rFonts w:hint="eastAsia" w:ascii="宋体" w:hAnsi="宋体" w:eastAsia="宋体" w:cs="宋体"/>
          <w:color w:val="auto"/>
          <w:szCs w:val="24"/>
          <w:lang w:val="zh-CN"/>
        </w:rPr>
        <w:t>单一来源的方式继续实施采购。接受原公开招标文件的要求即为单一来源采购文件的要求，接受原公开招标投标文件即为单一来源响应文件。</w:t>
      </w:r>
    </w:p>
    <w:p>
      <w:pPr>
        <w:autoSpaceDE w:val="0"/>
        <w:autoSpaceDN w:val="0"/>
        <w:adjustRightInd w:val="0"/>
        <w:spacing w:line="360" w:lineRule="auto"/>
        <w:ind w:firstLine="5040"/>
        <w:outlineLvl w:val="9"/>
        <w:rPr>
          <w:rFonts w:ascii="宋体" w:hAnsi="宋体" w:eastAsia="宋体" w:cs="宋体"/>
          <w:color w:val="auto"/>
          <w:szCs w:val="24"/>
          <w:lang w:val="zh-CN"/>
        </w:rPr>
      </w:pPr>
    </w:p>
    <w:p>
      <w:pPr>
        <w:autoSpaceDE w:val="0"/>
        <w:autoSpaceDN w:val="0"/>
        <w:adjustRightInd w:val="0"/>
        <w:spacing w:line="360" w:lineRule="auto"/>
        <w:ind w:firstLine="5040"/>
        <w:outlineLvl w:val="9"/>
        <w:rPr>
          <w:rFonts w:ascii="宋体" w:hAnsi="宋体" w:eastAsia="宋体" w:cs="宋体"/>
          <w:color w:val="auto"/>
          <w:szCs w:val="24"/>
          <w:lang w:val="zh-CN"/>
        </w:rPr>
      </w:pPr>
    </w:p>
    <w:p>
      <w:pPr>
        <w:autoSpaceDE w:val="0"/>
        <w:autoSpaceDN w:val="0"/>
        <w:adjustRightInd w:val="0"/>
        <w:spacing w:line="360" w:lineRule="auto"/>
        <w:ind w:firstLine="5040"/>
        <w:outlineLvl w:val="9"/>
        <w:rPr>
          <w:rFonts w:ascii="宋体" w:hAnsi="宋体" w:eastAsia="宋体" w:cs="宋体"/>
          <w:color w:val="auto"/>
          <w:szCs w:val="24"/>
        </w:rPr>
      </w:pPr>
      <w:r>
        <w:rPr>
          <w:rFonts w:hint="eastAsia" w:ascii="宋体" w:hAnsi="宋体" w:eastAsia="宋体" w:cs="宋体"/>
          <w:color w:val="auto"/>
          <w:szCs w:val="24"/>
          <w:lang w:val="zh-CN"/>
        </w:rPr>
        <w:t>投标人：（加盖投标人法人公章）</w:t>
      </w:r>
    </w:p>
    <w:p>
      <w:pPr>
        <w:autoSpaceDE w:val="0"/>
        <w:autoSpaceDN w:val="0"/>
        <w:adjustRightInd w:val="0"/>
        <w:spacing w:line="360" w:lineRule="auto"/>
        <w:ind w:firstLine="5040"/>
        <w:outlineLvl w:val="9"/>
        <w:rPr>
          <w:rFonts w:ascii="宋体" w:hAnsi="宋体" w:eastAsia="宋体" w:cs="宋体"/>
          <w:color w:val="auto"/>
          <w:szCs w:val="24"/>
          <w:lang w:val="zh-CN"/>
        </w:rPr>
      </w:pPr>
      <w:r>
        <w:rPr>
          <w:rFonts w:hint="eastAsia" w:ascii="宋体" w:hAnsi="宋体" w:eastAsia="宋体" w:cs="宋体"/>
          <w:color w:val="auto"/>
          <w:szCs w:val="24"/>
          <w:lang w:val="zh-CN"/>
        </w:rPr>
        <w:t>法定代表人或其授权代表签名（或盖私章）：</w:t>
      </w:r>
    </w:p>
    <w:p>
      <w:pPr>
        <w:autoSpaceDE w:val="0"/>
        <w:autoSpaceDN w:val="0"/>
        <w:adjustRightInd w:val="0"/>
        <w:spacing w:line="360" w:lineRule="auto"/>
        <w:ind w:right="420" w:firstLine="5040" w:firstLineChars="2400"/>
        <w:jc w:val="left"/>
        <w:outlineLvl w:val="9"/>
        <w:rPr>
          <w:rFonts w:ascii="宋体" w:hAnsi="宋体" w:eastAsia="宋体" w:cs="宋体"/>
          <w:color w:val="auto"/>
          <w:kern w:val="0"/>
          <w:sz w:val="24"/>
          <w:szCs w:val="24"/>
        </w:rPr>
      </w:pPr>
      <w:r>
        <w:rPr>
          <w:rFonts w:hint="eastAsia" w:ascii="宋体" w:hAnsi="宋体" w:eastAsia="宋体" w:cs="宋体"/>
          <w:color w:val="auto"/>
          <w:szCs w:val="24"/>
          <w:lang w:val="zh-CN"/>
        </w:rPr>
        <w:t>日期：   年   月   日</w:t>
      </w:r>
    </w:p>
    <w:p>
      <w:pPr>
        <w:outlineLvl w:val="9"/>
        <w:rPr>
          <w:rFonts w:hint="eastAsia" w:ascii="宋体" w:hAnsi="宋体" w:eastAsia="宋体" w:cs="宋体"/>
          <w:b/>
          <w:color w:val="auto"/>
          <w:kern w:val="44"/>
          <w:sz w:val="32"/>
          <w:szCs w:val="32"/>
          <w:highlight w:val="none"/>
        </w:rPr>
      </w:pPr>
      <w:r>
        <w:rPr>
          <w:rFonts w:hint="eastAsia" w:ascii="宋体" w:hAnsi="宋体" w:eastAsia="宋体" w:cs="宋体"/>
          <w:b/>
          <w:color w:val="auto"/>
          <w:kern w:val="44"/>
          <w:sz w:val="32"/>
          <w:szCs w:val="32"/>
          <w:highlight w:val="none"/>
        </w:rPr>
        <w:br w:type="page"/>
      </w:r>
    </w:p>
    <w:bookmarkEnd w:id="613"/>
    <w:bookmarkEnd w:id="614"/>
    <w:bookmarkEnd w:id="615"/>
    <w:bookmarkEnd w:id="616"/>
    <w:bookmarkEnd w:id="617"/>
    <w:bookmarkEnd w:id="618"/>
    <w:bookmarkEnd w:id="619"/>
    <w:bookmarkEnd w:id="620"/>
    <w:p>
      <w:pPr>
        <w:pageBreakBefore/>
        <w:autoSpaceDE w:val="0"/>
        <w:autoSpaceDN w:val="0"/>
        <w:adjustRightInd w:val="0"/>
        <w:spacing w:line="360" w:lineRule="auto"/>
        <w:jc w:val="left"/>
        <w:outlineLvl w:val="9"/>
        <w:rPr>
          <w:rFonts w:ascii="宋体" w:hAnsi="宋体" w:eastAsia="宋体" w:cs="宋体"/>
          <w:b/>
          <w:color w:val="auto"/>
          <w:kern w:val="0"/>
          <w:sz w:val="32"/>
          <w:szCs w:val="32"/>
          <w:highlight w:val="none"/>
        </w:rPr>
      </w:pPr>
      <w:bookmarkStart w:id="629" w:name="_Toc16400"/>
      <w:bookmarkStart w:id="630" w:name="_Toc140596925"/>
      <w:bookmarkStart w:id="631" w:name="_Toc104991872"/>
      <w:bookmarkStart w:id="632" w:name="_Toc94107206"/>
      <w:bookmarkStart w:id="633" w:name="_Toc102860071"/>
      <w:bookmarkStart w:id="634" w:name="_Toc142508366"/>
      <w:bookmarkStart w:id="635" w:name="_Toc5064"/>
      <w:bookmarkStart w:id="636" w:name="_Toc102860415"/>
      <w:bookmarkStart w:id="637" w:name="_Toc4486"/>
      <w:r>
        <w:rPr>
          <w:rFonts w:hint="eastAsia" w:ascii="宋体" w:hAnsi="宋体" w:eastAsia="宋体" w:cs="宋体"/>
          <w:b/>
          <w:color w:val="auto"/>
          <w:kern w:val="44"/>
          <w:sz w:val="32"/>
          <w:szCs w:val="32"/>
          <w:highlight w:val="none"/>
          <w:lang w:val="en-US" w:eastAsia="zh-CN"/>
        </w:rPr>
        <w:t>五</w:t>
      </w:r>
      <w:r>
        <w:rPr>
          <w:rFonts w:hint="eastAsia" w:ascii="宋体" w:hAnsi="宋体" w:eastAsia="宋体" w:cs="宋体"/>
          <w:b/>
          <w:color w:val="auto"/>
          <w:kern w:val="0"/>
          <w:sz w:val="32"/>
          <w:szCs w:val="32"/>
          <w:highlight w:val="none"/>
        </w:rPr>
        <w:t>、投标报价表格式</w:t>
      </w:r>
      <w:bookmarkEnd w:id="609"/>
      <w:bookmarkEnd w:id="610"/>
      <w:bookmarkEnd w:id="611"/>
      <w:bookmarkEnd w:id="612"/>
      <w:bookmarkEnd w:id="621"/>
      <w:bookmarkEnd w:id="622"/>
      <w:bookmarkEnd w:id="629"/>
      <w:bookmarkEnd w:id="630"/>
      <w:bookmarkEnd w:id="631"/>
      <w:bookmarkEnd w:id="632"/>
      <w:bookmarkEnd w:id="633"/>
      <w:bookmarkEnd w:id="634"/>
      <w:bookmarkEnd w:id="635"/>
      <w:bookmarkEnd w:id="636"/>
      <w:bookmarkEnd w:id="637"/>
    </w:p>
    <w:p>
      <w:pPr>
        <w:spacing w:line="360" w:lineRule="auto"/>
        <w:jc w:val="center"/>
        <w:outlineLvl w:val="9"/>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pPr>
        <w:spacing w:line="360" w:lineRule="auto"/>
        <w:outlineLvl w:val="9"/>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rPr>
        <w:t>东莞市众源环境投资有限公司五金配件及劳保物资采购项目</w:t>
      </w:r>
    </w:p>
    <w:p>
      <w:pPr>
        <w:spacing w:line="360" w:lineRule="auto"/>
        <w:outlineLvl w:val="9"/>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0832-SFCX24DG010A</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outlineLvl w:val="9"/>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outlineLvl w:val="9"/>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outlineLvl w:val="9"/>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rPr>
              <w:t>折扣系数报价</w:t>
            </w:r>
          </w:p>
        </w:tc>
        <w:tc>
          <w:tcPr>
            <w:tcW w:w="64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outlineLvl w:val="9"/>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4" w:hRule="atLeast"/>
        </w:trPr>
        <w:tc>
          <w:tcPr>
            <w:tcW w:w="500" w:type="pct"/>
            <w:tcBorders>
              <w:top w:val="single" w:color="auto" w:sz="4" w:space="0"/>
              <w:left w:val="single" w:color="auto" w:sz="4" w:space="0"/>
              <w:right w:val="single" w:color="auto" w:sz="4" w:space="0"/>
            </w:tcBorders>
            <w:vAlign w:val="center"/>
          </w:tcPr>
          <w:p>
            <w:pPr>
              <w:autoSpaceDE w:val="0"/>
              <w:autoSpaceDN w:val="0"/>
              <w:spacing w:line="360" w:lineRule="auto"/>
              <w:jc w:val="center"/>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pPr>
              <w:autoSpaceDE w:val="0"/>
              <w:autoSpaceDN w:val="0"/>
              <w:spacing w:line="360" w:lineRule="auto"/>
              <w:jc w:val="center"/>
              <w:outlineLvl w:val="9"/>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东莞市众源环境投资有限公司五金配件及劳保物资采购项目</w:t>
            </w:r>
          </w:p>
        </w:tc>
        <w:tc>
          <w:tcPr>
            <w:tcW w:w="1578" w:type="pct"/>
            <w:tcBorders>
              <w:top w:val="single" w:color="auto" w:sz="4" w:space="0"/>
              <w:left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left"/>
              <w:outlineLvl w:val="9"/>
              <w:rPr>
                <w:rFonts w:ascii="宋体" w:hAnsi="宋体" w:eastAsia="宋体" w:cs="宋体"/>
                <w:b/>
                <w:color w:val="auto"/>
                <w:szCs w:val="21"/>
                <w:u w:val="single"/>
              </w:rPr>
            </w:pPr>
            <w:r>
              <w:rPr>
                <w:rFonts w:hint="eastAsia" w:ascii="宋体" w:hAnsi="宋体" w:eastAsia="宋体" w:cs="宋体"/>
                <w:b/>
                <w:color w:val="auto"/>
                <w:szCs w:val="21"/>
              </w:rPr>
              <w:t xml:space="preserve">  </w:t>
            </w:r>
            <w:r>
              <w:rPr>
                <w:rFonts w:hint="eastAsia" w:ascii="宋体" w:hAnsi="宋体" w:eastAsia="宋体" w:cs="宋体"/>
                <w:b/>
                <w:color w:val="auto"/>
                <w:szCs w:val="21"/>
                <w:lang w:val="en-US" w:eastAsia="zh-CN"/>
              </w:rPr>
              <w:t xml:space="preserve">   </w:t>
            </w:r>
            <w:r>
              <w:rPr>
                <w:rFonts w:hint="eastAsia" w:ascii="宋体" w:hAnsi="宋体" w:eastAsia="宋体" w:cs="宋体"/>
                <w:b/>
                <w:color w:val="auto"/>
                <w:szCs w:val="21"/>
                <w:u w:val="single"/>
              </w:rPr>
              <w:t xml:space="preserve">                   </w:t>
            </w:r>
          </w:p>
          <w:p>
            <w:pPr>
              <w:tabs>
                <w:tab w:val="left" w:pos="8610"/>
              </w:tabs>
              <w:spacing w:line="360" w:lineRule="auto"/>
              <w:jc w:val="center"/>
              <w:outlineLvl w:val="9"/>
              <w:rPr>
                <w:rFonts w:hint="eastAsia" w:ascii="宋体" w:hAnsi="宋体" w:eastAsia="宋体" w:cs="Times New Roman"/>
                <w:color w:val="auto"/>
                <w:kern w:val="0"/>
                <w:szCs w:val="21"/>
                <w:highlight w:val="none"/>
                <w:lang w:val="en-US" w:eastAsia="zh-CN"/>
              </w:rPr>
            </w:pPr>
            <w:r>
              <w:rPr>
                <w:rFonts w:hint="eastAsia" w:ascii="宋体" w:hAnsi="宋体" w:eastAsia="宋体" w:cs="宋体"/>
                <w:b/>
                <w:color w:val="auto"/>
                <w:szCs w:val="21"/>
                <w:lang w:val="en-US" w:eastAsia="zh-CN"/>
              </w:rPr>
              <w:t>[折扣系数</w:t>
            </w:r>
            <w:r>
              <w:rPr>
                <w:rFonts w:hint="eastAsia" w:ascii="宋体" w:hAnsi="宋体" w:eastAsia="宋体" w:cs="宋体"/>
                <w:b/>
                <w:color w:val="auto"/>
                <w:szCs w:val="21"/>
                <w:lang w:val="zh-CN"/>
              </w:rPr>
              <w:t>报价</w:t>
            </w:r>
            <w:r>
              <w:rPr>
                <w:rFonts w:hint="eastAsia" w:ascii="宋体" w:hAnsi="宋体" w:eastAsia="宋体" w:cs="宋体"/>
                <w:b/>
                <w:color w:val="auto"/>
                <w:szCs w:val="21"/>
                <w:lang w:val="en-US" w:eastAsia="zh-CN"/>
              </w:rPr>
              <w:t>不得超过1.00（保留小数点后两位），且不能为0.00或负数]</w:t>
            </w:r>
          </w:p>
        </w:tc>
        <w:tc>
          <w:tcPr>
            <w:tcW w:w="642" w:type="pct"/>
            <w:tcBorders>
              <w:top w:val="single" w:color="auto" w:sz="4" w:space="0"/>
              <w:left w:val="single" w:color="auto" w:sz="4" w:space="0"/>
              <w:right w:val="single" w:color="auto" w:sz="4" w:space="0"/>
            </w:tcBorders>
            <w:vAlign w:val="center"/>
          </w:tcPr>
          <w:p>
            <w:pPr>
              <w:tabs>
                <w:tab w:val="left" w:pos="8610"/>
              </w:tabs>
              <w:spacing w:line="360" w:lineRule="auto"/>
              <w:jc w:val="center"/>
              <w:outlineLvl w:val="9"/>
              <w:rPr>
                <w:rFonts w:ascii="宋体" w:hAnsi="宋体" w:eastAsia="宋体" w:cs="Times New Roman"/>
                <w:color w:val="auto"/>
                <w:kern w:val="0"/>
                <w:szCs w:val="21"/>
                <w:highlight w:val="none"/>
              </w:rPr>
            </w:pPr>
          </w:p>
        </w:tc>
      </w:tr>
    </w:tbl>
    <w:p>
      <w:pPr>
        <w:outlineLvl w:val="9"/>
        <w:rPr>
          <w:rFonts w:ascii="宋体" w:hAnsi="宋体" w:eastAsia="宋体" w:cs="宋体"/>
          <w:color w:val="auto"/>
          <w:kern w:val="0"/>
          <w:sz w:val="20"/>
          <w:szCs w:val="21"/>
          <w:highlight w:val="none"/>
        </w:rPr>
      </w:pPr>
    </w:p>
    <w:p>
      <w:pPr>
        <w:autoSpaceDE w:val="0"/>
        <w:autoSpaceDN w:val="0"/>
        <w:adjustRightInd w:val="0"/>
        <w:spacing w:line="360" w:lineRule="auto"/>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snapToGrid w:val="0"/>
        <w:spacing w:line="360" w:lineRule="auto"/>
        <w:ind w:firstLine="420" w:firstLineChars="200"/>
        <w:outlineLvl w:val="9"/>
        <w:rPr>
          <w:rFonts w:hint="eastAsia" w:ascii="宋体" w:hAnsi="宋体" w:eastAsia="宋体" w:cs="宋体"/>
          <w:b/>
          <w:bCs/>
          <w:color w:val="auto"/>
          <w:szCs w:val="21"/>
          <w:u w:val="single"/>
        </w:rPr>
      </w:pPr>
      <w:r>
        <w:rPr>
          <w:rFonts w:hint="eastAsia" w:ascii="宋体" w:hAnsi="宋体" w:eastAsia="宋体" w:cs="宋体"/>
          <w:color w:val="auto"/>
          <w:szCs w:val="21"/>
        </w:rPr>
        <w:t>（1）</w:t>
      </w:r>
      <w:r>
        <w:rPr>
          <w:rFonts w:hint="eastAsia" w:ascii="宋体" w:hAnsi="宋体" w:eastAsia="宋体" w:cs="宋体"/>
          <w:b/>
          <w:bCs/>
          <w:color w:val="auto"/>
          <w:szCs w:val="21"/>
          <w:u w:val="single"/>
        </w:rPr>
        <w:t>本项目的投标报价采用统一折扣系数报价，合同履约过程中，采购清单中</w:t>
      </w:r>
      <w:r>
        <w:rPr>
          <w:rFonts w:hint="eastAsia" w:ascii="宋体" w:hAnsi="宋体" w:eastAsia="宋体" w:cs="宋体"/>
          <w:b/>
          <w:bCs/>
          <w:color w:val="auto"/>
          <w:szCs w:val="21"/>
          <w:u w:val="single"/>
          <w:lang w:eastAsia="zh-CN"/>
        </w:rPr>
        <w:t>五金配件及劳保物资</w:t>
      </w:r>
      <w:r>
        <w:rPr>
          <w:rFonts w:hint="eastAsia" w:ascii="宋体" w:hAnsi="宋体" w:eastAsia="宋体" w:cs="宋体"/>
          <w:b/>
          <w:bCs/>
          <w:color w:val="auto"/>
          <w:szCs w:val="21"/>
          <w:u w:val="single"/>
        </w:rPr>
        <w:t>不含税</w:t>
      </w:r>
    </w:p>
    <w:p>
      <w:pPr>
        <w:keepNext w:val="0"/>
        <w:keepLines w:val="0"/>
        <w:pageBreakBefore w:val="0"/>
        <w:widowControl w:val="0"/>
        <w:kinsoku/>
        <w:wordWrap/>
        <w:overflowPunct/>
        <w:topLinePunct w:val="0"/>
        <w:autoSpaceDE/>
        <w:autoSpaceDN/>
        <w:bidi w:val="0"/>
        <w:adjustRightInd/>
        <w:snapToGrid w:val="0"/>
        <w:spacing w:line="360" w:lineRule="auto"/>
        <w:ind w:left="945" w:leftChars="450"/>
        <w:textAlignment w:val="auto"/>
        <w:outlineLvl w:val="9"/>
        <w:rPr>
          <w:rFonts w:hint="eastAsia" w:ascii="宋体" w:hAnsi="宋体" w:eastAsia="宋体" w:cs="宋体"/>
          <w:color w:val="auto"/>
          <w:szCs w:val="21"/>
          <w:u w:val="single"/>
          <w:lang w:eastAsia="zh-CN"/>
        </w:rPr>
      </w:pPr>
      <w:r>
        <w:rPr>
          <w:rFonts w:hint="eastAsia" w:ascii="宋体" w:hAnsi="宋体" w:eastAsia="宋体" w:cs="宋体"/>
          <w:b/>
          <w:bCs/>
          <w:color w:val="auto"/>
          <w:szCs w:val="21"/>
          <w:u w:val="single"/>
        </w:rPr>
        <w:t>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宋体"/>
          <w:b/>
          <w:bCs/>
          <w:color w:val="auto"/>
          <w:szCs w:val="21"/>
          <w:u w:val="single"/>
          <w:lang w:val="zh-CN"/>
        </w:rPr>
        <w:t>本项目的销项税额由招标人承担</w:t>
      </w:r>
      <w:r>
        <w:rPr>
          <w:rFonts w:hint="eastAsia" w:ascii="宋体" w:hAnsi="宋体" w:eastAsia="宋体" w:cs="宋体"/>
          <w:b/>
          <w:bCs/>
          <w:color w:val="auto"/>
          <w:szCs w:val="21"/>
          <w:u w:val="single"/>
        </w:rPr>
        <w:t>，不计入投标不含税综合单价，销项税额根据合同约定按实结算</w:t>
      </w:r>
      <w:r>
        <w:rPr>
          <w:rFonts w:hint="eastAsia" w:ascii="宋体" w:hAnsi="宋体" w:eastAsia="宋体" w:cs="宋体"/>
          <w:b/>
          <w:bCs/>
          <w:color w:val="auto"/>
          <w:szCs w:val="21"/>
          <w:lang w:eastAsia="zh-CN"/>
        </w:rPr>
        <w:t>。</w:t>
      </w:r>
    </w:p>
    <w:p>
      <w:pPr>
        <w:snapToGrid w:val="0"/>
        <w:spacing w:line="360" w:lineRule="auto"/>
        <w:ind w:left="1050" w:leftChars="200" w:hanging="630" w:hangingChars="300"/>
        <w:outlineLvl w:val="9"/>
        <w:rPr>
          <w:rFonts w:hint="eastAsia" w:ascii="宋体" w:hAnsi="宋体" w:eastAsia="宋体" w:cs="宋体"/>
          <w:b/>
          <w:color w:val="auto"/>
          <w:szCs w:val="21"/>
          <w:u w:val="single"/>
          <w:lang w:val="zh-CN"/>
        </w:rPr>
      </w:pPr>
      <w:r>
        <w:rPr>
          <w:rFonts w:hint="eastAsia" w:ascii="宋体" w:hAnsi="宋体" w:eastAsia="宋体" w:cs="宋体"/>
          <w:color w:val="auto"/>
          <w:szCs w:val="21"/>
        </w:rPr>
        <w:t>（2）</w:t>
      </w:r>
      <w:r>
        <w:rPr>
          <w:rFonts w:hint="eastAsia" w:ascii="宋体" w:hAnsi="宋体" w:eastAsia="宋体" w:cs="宋体"/>
          <w:b/>
          <w:color w:val="auto"/>
          <w:szCs w:val="21"/>
          <w:u w:val="single"/>
          <w:lang w:val="zh-CN"/>
        </w:rPr>
        <w:t>投标人的</w:t>
      </w:r>
      <w:r>
        <w:rPr>
          <w:rFonts w:hint="eastAsia" w:ascii="宋体" w:hAnsi="宋体" w:eastAsia="宋体" w:cs="宋体"/>
          <w:b/>
          <w:color w:val="auto"/>
          <w:szCs w:val="21"/>
          <w:u w:val="single"/>
          <w:lang w:val="en-US" w:eastAsia="zh-CN"/>
        </w:rPr>
        <w:t>折扣系数</w:t>
      </w:r>
      <w:r>
        <w:rPr>
          <w:rFonts w:hint="eastAsia" w:ascii="宋体" w:hAnsi="宋体" w:eastAsia="宋体" w:cs="宋体"/>
          <w:b/>
          <w:color w:val="auto"/>
          <w:szCs w:val="21"/>
          <w:u w:val="single"/>
          <w:lang w:val="zh-CN"/>
        </w:rPr>
        <w:t>报价</w:t>
      </w:r>
      <w:r>
        <w:rPr>
          <w:rFonts w:hint="eastAsia" w:ascii="宋体" w:hAnsi="宋体" w:eastAsia="宋体" w:cs="宋体"/>
          <w:b/>
          <w:color w:val="auto"/>
          <w:szCs w:val="21"/>
          <w:u w:val="single"/>
          <w:lang w:val="en-US" w:eastAsia="zh-CN"/>
        </w:rPr>
        <w:t>不得超过1.00（保留小数点后两位），且不能为0.00或负数</w:t>
      </w:r>
      <w:r>
        <w:rPr>
          <w:rFonts w:hint="eastAsia" w:ascii="宋体" w:hAnsi="宋体" w:eastAsia="宋体" w:cs="宋体"/>
          <w:b/>
          <w:color w:val="auto"/>
          <w:szCs w:val="21"/>
          <w:u w:val="single"/>
          <w:lang w:val="zh-CN"/>
        </w:rPr>
        <w:t>，投标人未按照</w:t>
      </w:r>
    </w:p>
    <w:p>
      <w:pPr>
        <w:keepNext w:val="0"/>
        <w:keepLines w:val="0"/>
        <w:pageBreakBefore w:val="0"/>
        <w:widowControl w:val="0"/>
        <w:kinsoku/>
        <w:wordWrap/>
        <w:overflowPunct/>
        <w:topLinePunct w:val="0"/>
        <w:autoSpaceDE/>
        <w:autoSpaceDN/>
        <w:bidi w:val="0"/>
        <w:adjustRightInd/>
        <w:snapToGrid w:val="0"/>
        <w:spacing w:line="360" w:lineRule="auto"/>
        <w:ind w:left="945" w:leftChars="450"/>
        <w:textAlignment w:val="auto"/>
        <w:outlineLvl w:val="9"/>
        <w:rPr>
          <w:rFonts w:ascii="宋体" w:hAnsi="宋体" w:eastAsia="宋体" w:cs="宋体"/>
          <w:b/>
          <w:bCs/>
          <w:color w:val="auto"/>
          <w:szCs w:val="21"/>
          <w:u w:val="single"/>
        </w:rPr>
      </w:pPr>
      <w:r>
        <w:rPr>
          <w:rFonts w:hint="eastAsia" w:ascii="宋体" w:hAnsi="宋体" w:eastAsia="宋体" w:cs="宋体"/>
          <w:b/>
          <w:color w:val="auto"/>
          <w:szCs w:val="21"/>
          <w:u w:val="single"/>
          <w:lang w:val="zh-CN"/>
        </w:rPr>
        <w:t>招标文件要求进行折扣系数报价的，将被视为无效投标</w:t>
      </w:r>
      <w:r>
        <w:rPr>
          <w:rFonts w:hint="eastAsia" w:ascii="宋体" w:hAnsi="宋体" w:eastAsia="宋体" w:cs="宋体"/>
          <w:b/>
          <w:bCs/>
          <w:color w:val="auto"/>
          <w:szCs w:val="21"/>
          <w:u w:val="single"/>
        </w:rPr>
        <w:t>。</w:t>
      </w:r>
    </w:p>
    <w:p>
      <w:pPr>
        <w:snapToGrid w:val="0"/>
        <w:spacing w:line="360" w:lineRule="auto"/>
        <w:ind w:firstLine="420" w:firstLineChars="200"/>
        <w:outlineLvl w:val="9"/>
        <w:rPr>
          <w:rFonts w:ascii="宋体" w:hAnsi="宋体" w:eastAsia="宋体" w:cs="宋体"/>
          <w:b/>
          <w:bCs/>
          <w:color w:val="auto"/>
          <w:szCs w:val="21"/>
          <w:lang w:val="zh-CN"/>
        </w:rPr>
      </w:pPr>
      <w:r>
        <w:rPr>
          <w:rFonts w:hint="eastAsia" w:ascii="宋体" w:hAnsi="宋体" w:eastAsia="宋体" w:cs="宋体"/>
          <w:bCs/>
          <w:color w:val="auto"/>
          <w:szCs w:val="21"/>
          <w:lang w:val="zh-CN"/>
        </w:rPr>
        <w:t>（3）</w:t>
      </w:r>
      <w:r>
        <w:rPr>
          <w:rFonts w:hint="eastAsia" w:ascii="宋体" w:hAnsi="宋体" w:eastAsia="宋体" w:cs="宋体"/>
          <w:b/>
          <w:bCs/>
          <w:color w:val="auto"/>
          <w:szCs w:val="21"/>
          <w:u w:val="single"/>
          <w:lang w:val="zh-CN"/>
        </w:rPr>
        <w:t>本表一式二份，一份随唱标信封一起提交，一份编入投标文件商务文件</w:t>
      </w:r>
      <w:r>
        <w:rPr>
          <w:rFonts w:hint="eastAsia" w:ascii="宋体" w:hAnsi="宋体" w:eastAsia="宋体" w:cs="宋体"/>
          <w:b/>
          <w:bCs/>
          <w:color w:val="auto"/>
          <w:szCs w:val="21"/>
          <w:lang w:val="zh-CN"/>
        </w:rPr>
        <w:t>。</w:t>
      </w:r>
    </w:p>
    <w:p>
      <w:pPr>
        <w:snapToGrid w:val="0"/>
        <w:spacing w:line="360" w:lineRule="auto"/>
        <w:ind w:firstLine="420" w:firstLineChars="200"/>
        <w:outlineLvl w:val="9"/>
        <w:rPr>
          <w:rFonts w:ascii="宋体" w:hAnsi="宋体" w:eastAsia="宋体" w:cs="宋体"/>
          <w:b/>
          <w:bCs/>
          <w:color w:val="auto"/>
          <w:szCs w:val="21"/>
          <w:lang w:val="zh-CN"/>
        </w:rPr>
      </w:pPr>
      <w:r>
        <w:rPr>
          <w:rFonts w:hint="eastAsia" w:ascii="宋体" w:hAnsi="宋体" w:eastAsia="宋体" w:cs="宋体"/>
          <w:bCs/>
          <w:color w:val="auto"/>
          <w:szCs w:val="21"/>
          <w:lang w:val="zh-CN"/>
        </w:rPr>
        <w:t>（4）</w:t>
      </w:r>
      <w:r>
        <w:rPr>
          <w:rFonts w:hint="eastAsia" w:ascii="宋体" w:hAnsi="宋体" w:eastAsia="宋体" w:cs="宋体"/>
          <w:color w:val="auto"/>
          <w:szCs w:val="21"/>
        </w:rPr>
        <w:t>折扣系数</w:t>
      </w:r>
      <w:r>
        <w:rPr>
          <w:rFonts w:hint="eastAsia" w:ascii="宋体" w:hAnsi="宋体" w:eastAsia="宋体" w:cs="宋体"/>
          <w:color w:val="auto"/>
          <w:szCs w:val="21"/>
          <w:lang w:val="en-US" w:eastAsia="zh-CN"/>
        </w:rPr>
        <w:t>报价</w:t>
      </w:r>
      <w:r>
        <w:rPr>
          <w:rFonts w:hint="eastAsia" w:ascii="宋体" w:hAnsi="宋体" w:eastAsia="宋体" w:cs="Times New Roman"/>
          <w:color w:val="auto"/>
          <w:szCs w:val="21"/>
          <w:highlight w:val="none"/>
          <w:lang w:val="zh-CN"/>
        </w:rPr>
        <w:t>保留小数点后两位。</w:t>
      </w:r>
    </w:p>
    <w:p>
      <w:pPr>
        <w:autoSpaceDE w:val="0"/>
        <w:autoSpaceDN w:val="0"/>
        <w:adjustRightInd w:val="0"/>
        <w:spacing w:line="360" w:lineRule="auto"/>
        <w:ind w:firstLine="4960" w:firstLineChars="2362"/>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val="0"/>
        <w:autoSpaceDN w:val="0"/>
        <w:adjustRightInd w:val="0"/>
        <w:spacing w:line="360" w:lineRule="auto"/>
        <w:ind w:right="275" w:rightChars="131"/>
        <w:jc w:val="right"/>
        <w:outlineLvl w:val="9"/>
        <w:rPr>
          <w:rFonts w:ascii="宋体" w:hAnsi="宋体" w:eastAsia="宋体" w:cs="Times New Roman"/>
          <w:color w:val="auto"/>
          <w:sz w:val="24"/>
          <w:szCs w:val="24"/>
          <w:highlight w:val="none"/>
          <w:lang w:val="zh-CN"/>
        </w:rPr>
      </w:pPr>
      <w:r>
        <w:rPr>
          <w:rFonts w:ascii="宋体" w:hAnsi="宋体" w:eastAsia="宋体" w:cs="Times New Roman"/>
          <w:color w:val="auto"/>
          <w:szCs w:val="24"/>
          <w:highlight w:val="none"/>
          <w:lang w:val="zh-CN"/>
        </w:rPr>
        <w:br w:type="page"/>
      </w:r>
    </w:p>
    <w:p>
      <w:pPr>
        <w:tabs>
          <w:tab w:val="left" w:pos="567"/>
        </w:tabs>
        <w:autoSpaceDE w:val="0"/>
        <w:autoSpaceDN w:val="0"/>
        <w:adjustRightInd w:val="0"/>
        <w:spacing w:line="360" w:lineRule="auto"/>
        <w:jc w:val="left"/>
        <w:outlineLvl w:val="9"/>
        <w:rPr>
          <w:rFonts w:ascii="宋体" w:hAnsi="宋体" w:eastAsia="宋体" w:cs="宋体"/>
          <w:b/>
          <w:color w:val="auto"/>
          <w:kern w:val="0"/>
          <w:sz w:val="32"/>
          <w:szCs w:val="32"/>
          <w:highlight w:val="none"/>
        </w:rPr>
      </w:pPr>
      <w:bookmarkStart w:id="638" w:name="_Toc140596928"/>
      <w:bookmarkStart w:id="639" w:name="_Toc26314"/>
      <w:bookmarkStart w:id="640" w:name="_Toc104991875"/>
      <w:bookmarkStart w:id="641" w:name="_Toc102860418"/>
      <w:bookmarkStart w:id="642" w:name="_Toc24015"/>
      <w:bookmarkStart w:id="643" w:name="_Toc26988"/>
      <w:bookmarkStart w:id="644" w:name="_Toc102860074"/>
      <w:bookmarkStart w:id="645" w:name="_Toc142508369"/>
      <w:bookmarkStart w:id="646" w:name="_Toc94107209"/>
      <w:bookmarkStart w:id="647" w:name="_Toc18828"/>
      <w:bookmarkStart w:id="648" w:name="_Toc1977725"/>
      <w:bookmarkStart w:id="649" w:name="_Toc12121"/>
      <w:bookmarkStart w:id="650" w:name="_Toc486167712"/>
      <w:bookmarkStart w:id="651" w:name="_Toc20759_WPSOffice_Level2"/>
      <w:bookmarkStart w:id="652" w:name="_Toc533708124"/>
      <w:r>
        <w:rPr>
          <w:rFonts w:hint="eastAsia" w:ascii="宋体" w:hAnsi="宋体" w:eastAsia="宋体" w:cs="宋体"/>
          <w:b/>
          <w:bCs/>
          <w:color w:val="auto"/>
          <w:sz w:val="30"/>
          <w:szCs w:val="30"/>
          <w:highlight w:val="none"/>
          <w:lang w:val="en-US" w:eastAsia="zh-CN"/>
        </w:rPr>
        <w:t>六</w:t>
      </w:r>
      <w:r>
        <w:rPr>
          <w:rFonts w:hint="eastAsia" w:ascii="宋体" w:hAnsi="宋体" w:eastAsia="宋体" w:cs="宋体"/>
          <w:b/>
          <w:color w:val="auto"/>
          <w:kern w:val="0"/>
          <w:sz w:val="32"/>
          <w:szCs w:val="32"/>
          <w:highlight w:val="none"/>
        </w:rPr>
        <w:t>、投标人资格证明文件</w:t>
      </w:r>
      <w:bookmarkEnd w:id="638"/>
      <w:bookmarkEnd w:id="639"/>
      <w:bookmarkEnd w:id="640"/>
      <w:bookmarkEnd w:id="641"/>
      <w:bookmarkEnd w:id="642"/>
      <w:bookmarkEnd w:id="643"/>
      <w:bookmarkEnd w:id="644"/>
      <w:bookmarkEnd w:id="645"/>
      <w:bookmarkEnd w:id="646"/>
      <w:bookmarkEnd w:id="647"/>
      <w:bookmarkEnd w:id="648"/>
      <w:bookmarkEnd w:id="649"/>
    </w:p>
    <w:p>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653" w:name="_Toc18430"/>
      <w:bookmarkStart w:id="654" w:name="_Toc31420"/>
      <w:bookmarkStart w:id="655" w:name="_Toc102860075"/>
      <w:bookmarkStart w:id="656" w:name="_Toc28382"/>
      <w:bookmarkStart w:id="657" w:name="_Toc19748"/>
      <w:bookmarkStart w:id="658" w:name="_Toc142508370"/>
      <w:bookmarkStart w:id="659" w:name="_Toc102860419"/>
      <w:bookmarkStart w:id="660" w:name="_Toc140596929"/>
      <w:bookmarkStart w:id="661" w:name="_Toc104991876"/>
      <w:bookmarkStart w:id="662" w:name="_Toc94107210"/>
      <w:bookmarkStart w:id="663" w:name="_Toc24868"/>
      <w:bookmarkStart w:id="664" w:name="_Toc1977726"/>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.1 多证合一营业执照（或事业单位法人证书）复印件</w:t>
      </w:r>
      <w:bookmarkEnd w:id="653"/>
      <w:bookmarkEnd w:id="654"/>
      <w:bookmarkEnd w:id="655"/>
      <w:bookmarkEnd w:id="656"/>
      <w:bookmarkEnd w:id="657"/>
      <w:bookmarkEnd w:id="658"/>
      <w:bookmarkEnd w:id="659"/>
      <w:bookmarkEnd w:id="660"/>
      <w:bookmarkEnd w:id="661"/>
      <w:bookmarkEnd w:id="662"/>
      <w:bookmarkEnd w:id="663"/>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tabs>
          <w:tab w:val="left" w:pos="567"/>
        </w:tabs>
        <w:autoSpaceDE w:val="0"/>
        <w:autoSpaceDN w:val="0"/>
        <w:adjustRightInd w:val="0"/>
        <w:spacing w:line="360" w:lineRule="auto"/>
        <w:ind w:firstLine="316" w:firstLineChars="150"/>
        <w:jc w:val="left"/>
        <w:outlineLvl w:val="9"/>
        <w:rPr>
          <w:rFonts w:ascii="宋体" w:hAnsi="宋体" w:eastAsia="宋体" w:cs="宋体"/>
          <w:b/>
          <w:color w:val="auto"/>
          <w:kern w:val="0"/>
          <w:szCs w:val="21"/>
          <w:highlight w:val="none"/>
        </w:rPr>
        <w:sectPr>
          <w:pgSz w:w="12240" w:h="15840"/>
          <w:pgMar w:top="1191" w:right="1043" w:bottom="1191" w:left="1043" w:header="720" w:footer="720" w:gutter="0"/>
          <w:cols w:space="0" w:num="1"/>
          <w:titlePg/>
          <w:rtlGutter w:val="0"/>
          <w:docGrid w:linePitch="326" w:charSpace="0"/>
        </w:sectPr>
      </w:pPr>
    </w:p>
    <w:p>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665" w:name="_Toc9489"/>
      <w:bookmarkStart w:id="666" w:name="_Toc102860076"/>
      <w:bookmarkStart w:id="667" w:name="_Toc1133"/>
      <w:bookmarkStart w:id="668" w:name="_Toc7740"/>
      <w:bookmarkStart w:id="669" w:name="_Toc102860420"/>
      <w:bookmarkStart w:id="670" w:name="_Toc142508371"/>
      <w:bookmarkStart w:id="671" w:name="_Toc17057"/>
      <w:bookmarkStart w:id="672" w:name="_Toc94107211"/>
      <w:bookmarkStart w:id="673" w:name="_Toc140596930"/>
      <w:bookmarkStart w:id="674" w:name="_Toc26345"/>
      <w:bookmarkStart w:id="675" w:name="_Toc104991877"/>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665"/>
      <w:bookmarkEnd w:id="666"/>
      <w:bookmarkEnd w:id="667"/>
      <w:bookmarkEnd w:id="668"/>
      <w:bookmarkEnd w:id="669"/>
      <w:bookmarkEnd w:id="670"/>
      <w:bookmarkEnd w:id="671"/>
      <w:bookmarkEnd w:id="672"/>
      <w:bookmarkEnd w:id="673"/>
      <w:bookmarkEnd w:id="674"/>
      <w:bookmarkEnd w:id="675"/>
    </w:p>
    <w:p>
      <w:pPr>
        <w:tabs>
          <w:tab w:val="left" w:pos="567"/>
        </w:tabs>
        <w:autoSpaceDE w:val="0"/>
        <w:autoSpaceDN w:val="0"/>
        <w:adjustRightInd w:val="0"/>
        <w:spacing w:line="360" w:lineRule="auto"/>
        <w:jc w:val="left"/>
        <w:outlineLvl w:val="9"/>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676" w:name="_Toc142508372"/>
      <w:bookmarkStart w:id="677" w:name="_Toc94107212"/>
      <w:bookmarkStart w:id="678" w:name="_Toc102860077"/>
      <w:bookmarkStart w:id="679" w:name="_Toc8497"/>
      <w:bookmarkStart w:id="680" w:name="_Toc104991878"/>
      <w:bookmarkStart w:id="681" w:name="_Toc21657"/>
      <w:bookmarkStart w:id="682" w:name="_Toc140596931"/>
      <w:bookmarkStart w:id="683" w:name="_Toc644"/>
      <w:bookmarkStart w:id="684" w:name="_Toc32749"/>
      <w:bookmarkStart w:id="685" w:name="_Toc102860421"/>
      <w:bookmarkStart w:id="686" w:name="_Toc21628"/>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676"/>
      <w:bookmarkEnd w:id="677"/>
      <w:bookmarkEnd w:id="678"/>
      <w:bookmarkEnd w:id="679"/>
      <w:bookmarkEnd w:id="680"/>
      <w:bookmarkEnd w:id="681"/>
      <w:bookmarkEnd w:id="682"/>
      <w:bookmarkEnd w:id="683"/>
      <w:bookmarkEnd w:id="684"/>
      <w:bookmarkEnd w:id="685"/>
      <w:bookmarkEnd w:id="686"/>
    </w:p>
    <w:p>
      <w:pPr>
        <w:spacing w:before="120" w:after="120" w:line="360" w:lineRule="auto"/>
        <w:ind w:firstLine="426" w:firstLineChars="202"/>
        <w:outlineLvl w:val="9"/>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50"/>
      <w:bookmarkEnd w:id="651"/>
      <w:bookmarkEnd w:id="652"/>
      <w:bookmarkEnd w:id="664"/>
    </w:p>
    <w:p>
      <w:pPr>
        <w:spacing w:before="120" w:after="120" w:line="360" w:lineRule="auto"/>
        <w:ind w:firstLine="608" w:firstLineChars="202"/>
        <w:jc w:val="center"/>
        <w:outlineLvl w:val="9"/>
        <w:rPr>
          <w:rFonts w:ascii="宋体" w:hAnsi="宋体" w:eastAsia="宋体" w:cs="宋体"/>
          <w:b/>
          <w:color w:val="auto"/>
          <w:sz w:val="30"/>
          <w:szCs w:val="30"/>
          <w:highlight w:val="none"/>
        </w:rPr>
      </w:pPr>
    </w:p>
    <w:p>
      <w:pPr>
        <w:spacing w:before="120" w:after="120" w:line="360" w:lineRule="auto"/>
        <w:ind w:firstLine="608" w:firstLineChars="202"/>
        <w:jc w:val="center"/>
        <w:outlineLvl w:val="9"/>
        <w:rPr>
          <w:rFonts w:ascii="宋体" w:hAnsi="宋体" w:eastAsia="宋体" w:cs="宋体"/>
          <w:b/>
          <w:bCs/>
          <w:color w:val="auto"/>
          <w:sz w:val="30"/>
          <w:szCs w:val="30"/>
          <w:highlight w:val="none"/>
        </w:rPr>
      </w:pPr>
      <w:bookmarkStart w:id="687" w:name="_Toc11033_WPSOffice_Level3"/>
      <w:r>
        <w:rPr>
          <w:rFonts w:hint="eastAsia" w:ascii="宋体" w:hAnsi="宋体" w:eastAsia="宋体" w:cs="宋体"/>
          <w:b/>
          <w:color w:val="auto"/>
          <w:sz w:val="30"/>
          <w:szCs w:val="30"/>
          <w:highlight w:val="none"/>
        </w:rPr>
        <w:t>法定代</w:t>
      </w:r>
      <w:bookmarkStart w:id="688" w:name="_Toc36971359"/>
      <w:bookmarkStart w:id="689" w:name="_Toc45995270"/>
      <w:r>
        <w:rPr>
          <w:rFonts w:hint="eastAsia" w:ascii="宋体" w:hAnsi="宋体" w:eastAsia="宋体" w:cs="宋体"/>
          <w:b/>
          <w:color w:val="auto"/>
          <w:sz w:val="30"/>
          <w:szCs w:val="30"/>
          <w:highlight w:val="none"/>
        </w:rPr>
        <w:t>表人身份证明书</w:t>
      </w:r>
      <w:bookmarkEnd w:id="687"/>
    </w:p>
    <w:bookmarkEnd w:id="688"/>
    <w:bookmarkEnd w:id="689"/>
    <w:p>
      <w:pPr>
        <w:spacing w:before="120" w:after="120" w:line="360" w:lineRule="auto"/>
        <w:ind w:firstLine="420" w:firstLineChars="200"/>
        <w:outlineLvl w:val="9"/>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outlineLvl w:val="9"/>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outlineLvl w:val="9"/>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outlineLvl w:val="9"/>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pPr>
        <w:spacing w:before="120" w:after="120" w:line="360" w:lineRule="auto"/>
        <w:ind w:left="340" w:leftChars="162" w:firstLine="4740"/>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right="1010" w:rightChars="481" w:firstLine="6090" w:firstLineChars="29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outlineLvl w:val="9"/>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b/>
          <w:color w:val="auto"/>
          <w:kern w:val="0"/>
          <w:szCs w:val="21"/>
          <w:highlight w:val="none"/>
        </w:rPr>
      </w:pPr>
    </w:p>
    <w:p>
      <w:pPr>
        <w:autoSpaceDE w:val="0"/>
        <w:autoSpaceDN w:val="0"/>
        <w:adjustRightInd w:val="0"/>
        <w:jc w:val="left"/>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outlineLvl w:val="9"/>
        <w:rPr>
          <w:rFonts w:ascii="宋体" w:hAnsi="宋体" w:eastAsia="宋体" w:cs="宋体"/>
          <w:color w:val="auto"/>
          <w:kern w:val="0"/>
          <w:szCs w:val="21"/>
          <w:highlight w:val="none"/>
        </w:rPr>
      </w:pPr>
    </w:p>
    <w:p>
      <w:pPr>
        <w:spacing w:before="120" w:after="120" w:line="360" w:lineRule="auto"/>
        <w:ind w:firstLine="424" w:firstLineChars="202"/>
        <w:outlineLvl w:val="9"/>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93"/>
      <w:bookmarkEnd w:id="594"/>
      <w:bookmarkEnd w:id="595"/>
      <w:bookmarkStart w:id="690" w:name="_Toc533708125"/>
      <w:bookmarkStart w:id="691" w:name="_Toc486167713"/>
      <w:bookmarkStart w:id="692" w:name="_Toc1977727"/>
      <w:bookmarkStart w:id="693" w:name="_Toc6240_WPSOffice_Level2"/>
      <w:r>
        <w:rPr>
          <w:rFonts w:hint="eastAsia" w:ascii="宋体" w:hAnsi="宋体" w:eastAsia="宋体" w:cs="宋体"/>
          <w:b/>
          <w:color w:val="auto"/>
          <w:szCs w:val="24"/>
          <w:highlight w:val="none"/>
        </w:rPr>
        <w:t>（2）法定代表人授权书格式</w:t>
      </w:r>
      <w:bookmarkEnd w:id="690"/>
      <w:bookmarkEnd w:id="691"/>
      <w:bookmarkEnd w:id="692"/>
      <w:bookmarkEnd w:id="693"/>
    </w:p>
    <w:p>
      <w:pPr>
        <w:autoSpaceDE w:val="0"/>
        <w:autoSpaceDN w:val="0"/>
        <w:adjustRightInd w:val="0"/>
        <w:spacing w:line="360" w:lineRule="auto"/>
        <w:jc w:val="center"/>
        <w:outlineLvl w:val="9"/>
        <w:rPr>
          <w:rFonts w:ascii="宋体" w:hAnsi="宋体" w:eastAsia="宋体" w:cs="宋体"/>
          <w:b/>
          <w:bCs/>
          <w:color w:val="auto"/>
          <w:sz w:val="30"/>
          <w:szCs w:val="30"/>
          <w:highlight w:val="none"/>
          <w:lang w:val="zh-CN"/>
        </w:rPr>
      </w:pPr>
    </w:p>
    <w:p>
      <w:pPr>
        <w:autoSpaceDE w:val="0"/>
        <w:autoSpaceDN w:val="0"/>
        <w:adjustRightInd w:val="0"/>
        <w:spacing w:line="360" w:lineRule="auto"/>
        <w:jc w:val="center"/>
        <w:outlineLvl w:val="9"/>
        <w:rPr>
          <w:rFonts w:ascii="宋体" w:hAnsi="宋体" w:eastAsia="宋体" w:cs="宋体"/>
          <w:b/>
          <w:bCs/>
          <w:color w:val="auto"/>
          <w:sz w:val="30"/>
          <w:szCs w:val="30"/>
          <w:highlight w:val="none"/>
          <w:lang w:val="zh-CN"/>
        </w:rPr>
      </w:pPr>
      <w:bookmarkStart w:id="694" w:name="_Toc29146_WPSOffice_Level3"/>
      <w:r>
        <w:rPr>
          <w:rFonts w:hint="eastAsia" w:ascii="宋体" w:hAnsi="宋体" w:eastAsia="宋体" w:cs="宋体"/>
          <w:b/>
          <w:bCs/>
          <w:color w:val="auto"/>
          <w:sz w:val="30"/>
          <w:szCs w:val="30"/>
          <w:highlight w:val="none"/>
          <w:lang w:val="zh-CN"/>
        </w:rPr>
        <w:t>法定代表人授权书</w:t>
      </w:r>
      <w:bookmarkEnd w:id="694"/>
    </w:p>
    <w:p>
      <w:pPr>
        <w:autoSpaceDE w:val="0"/>
        <w:autoSpaceDN w:val="0"/>
        <w:adjustRightInd w:val="0"/>
        <w:spacing w:line="360" w:lineRule="auto"/>
        <w:jc w:val="center"/>
        <w:outlineLvl w:val="9"/>
        <w:rPr>
          <w:rFonts w:ascii="宋体" w:hAnsi="宋体" w:eastAsia="宋体" w:cs="宋体"/>
          <w:color w:val="auto"/>
          <w:szCs w:val="28"/>
          <w:highlight w:val="none"/>
          <w:lang w:val="zh-CN"/>
        </w:rPr>
      </w:pPr>
    </w:p>
    <w:p>
      <w:pPr>
        <w:spacing w:before="120" w:after="120" w:line="360" w:lineRule="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致：东莞市众源环境投资有限公司</w:t>
      </w:r>
    </w:p>
    <w:p>
      <w:pPr>
        <w:spacing w:before="120" w:after="120" w:line="360" w:lineRule="auto"/>
        <w:ind w:firstLine="630" w:firstLineChars="300"/>
        <w:outlineLvl w:val="9"/>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rPr>
        <w:t>东莞市众源环境投资有限公司五金配件及劳保物资采购项目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0832-SFCX24DG010A</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outlineLvl w:val="9"/>
        <w:rPr>
          <w:rFonts w:ascii="宋体" w:hAnsi="宋体" w:eastAsia="宋体" w:cs="宋体"/>
          <w:color w:val="auto"/>
          <w:szCs w:val="24"/>
          <w:highlight w:val="none"/>
        </w:rPr>
      </w:pPr>
    </w:p>
    <w:p>
      <w:pPr>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pPr>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pPr>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outlineLvl w:val="9"/>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0" w:num="1"/>
          <w:titlePg/>
          <w:rtlGutter w:val="0"/>
          <w:docGrid w:linePitch="326" w:charSpace="0"/>
        </w:sectPr>
      </w:pPr>
      <w:r>
        <w:rPr>
          <w:rFonts w:hint="eastAsia" w:ascii="宋体" w:hAnsi="宋体" w:eastAsia="宋体" w:cs="宋体"/>
          <w:b/>
          <w:color w:val="auto"/>
          <w:szCs w:val="24"/>
          <w:highlight w:val="none"/>
        </w:rPr>
        <w:t>注：上述所附身份证应在有效期限内。</w:t>
      </w:r>
    </w:p>
    <w:p>
      <w:pPr>
        <w:pageBreakBefore/>
        <w:spacing w:line="360" w:lineRule="auto"/>
        <w:outlineLvl w:val="9"/>
        <w:rPr>
          <w:rFonts w:hint="eastAsia" w:ascii="宋体" w:hAnsi="宋体" w:eastAsia="宋体" w:cs="宋体"/>
          <w:b/>
          <w:color w:val="auto"/>
          <w:sz w:val="30"/>
          <w:szCs w:val="30"/>
          <w:highlight w:val="none"/>
          <w:lang w:val="zh-CN"/>
        </w:rPr>
      </w:pPr>
      <w:bookmarkStart w:id="695" w:name="_Toc8338"/>
      <w:bookmarkStart w:id="696" w:name="_Toc30070"/>
      <w:bookmarkStart w:id="697" w:name="_Toc7884"/>
      <w:bookmarkStart w:id="698" w:name="_Toc17448"/>
      <w:bookmarkStart w:id="699" w:name="_Toc1340"/>
      <w:bookmarkStart w:id="700" w:name="_Toc94107214"/>
      <w:bookmarkStart w:id="701" w:name="_Toc1977730"/>
      <w:bookmarkStart w:id="702" w:name="_Toc140596933"/>
      <w:bookmarkStart w:id="703" w:name="_Toc142508373"/>
      <w:bookmarkStart w:id="704" w:name="_Toc104991880"/>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.4 </w:t>
      </w:r>
      <w:r>
        <w:rPr>
          <w:rFonts w:hint="eastAsia" w:ascii="宋体" w:hAnsi="宋体" w:eastAsia="宋体" w:cs="宋体"/>
          <w:b/>
          <w:bCs/>
          <w:color w:val="auto"/>
          <w:kern w:val="2"/>
          <w:sz w:val="32"/>
          <w:szCs w:val="32"/>
          <w:highlight w:val="none"/>
        </w:rPr>
        <w:t>资格业绩</w:t>
      </w:r>
      <w:bookmarkEnd w:id="695"/>
      <w:bookmarkEnd w:id="696"/>
      <w:r>
        <w:rPr>
          <w:rFonts w:hint="eastAsia" w:ascii="宋体" w:hAnsi="宋体" w:eastAsia="宋体" w:cs="宋体"/>
          <w:b/>
          <w:bCs/>
          <w:color w:val="auto"/>
          <w:kern w:val="2"/>
          <w:sz w:val="32"/>
          <w:szCs w:val="32"/>
          <w:highlight w:val="none"/>
        </w:rPr>
        <w:t>【投标人提供一份2021年1月1日以来五金配件销售业绩（合同签订日期为2021年1月1日</w:t>
      </w:r>
      <w:r>
        <w:rPr>
          <w:rFonts w:hint="eastAsia" w:ascii="宋体" w:hAnsi="宋体" w:eastAsia="宋体" w:cs="宋体"/>
          <w:b/>
          <w:bCs/>
          <w:color w:val="auto"/>
          <w:kern w:val="2"/>
          <w:sz w:val="32"/>
          <w:szCs w:val="32"/>
          <w:highlight w:val="none"/>
          <w:lang w:val="en-US" w:eastAsia="zh-CN"/>
        </w:rPr>
        <w:t>或以后</w:t>
      </w:r>
      <w:r>
        <w:rPr>
          <w:rFonts w:hint="eastAsia" w:ascii="宋体" w:hAnsi="宋体" w:eastAsia="宋体" w:cs="宋体"/>
          <w:b/>
          <w:bCs/>
          <w:color w:val="auto"/>
          <w:kern w:val="2"/>
          <w:sz w:val="32"/>
          <w:szCs w:val="32"/>
          <w:highlight w:val="none"/>
        </w:rPr>
        <w:t>）】</w:t>
      </w:r>
      <w:bookmarkEnd w:id="697"/>
      <w:bookmarkEnd w:id="698"/>
      <w:bookmarkEnd w:id="699"/>
    </w:p>
    <w:p>
      <w:pPr>
        <w:spacing w:line="360" w:lineRule="auto"/>
        <w:outlineLvl w:val="9"/>
        <w:rPr>
          <w:rFonts w:hAnsi="宋体"/>
          <w:color w:val="auto"/>
          <w:szCs w:val="21"/>
          <w:highlight w:val="none"/>
          <w:lang w:val="zh-CN"/>
        </w:rPr>
      </w:pPr>
    </w:p>
    <w:tbl>
      <w:tblPr>
        <w:tblStyle w:val="38"/>
        <w:tblW w:w="454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36"/>
        <w:gridCol w:w="1443"/>
        <w:gridCol w:w="1413"/>
        <w:gridCol w:w="1271"/>
        <w:gridCol w:w="670"/>
        <w:gridCol w:w="721"/>
        <w:gridCol w:w="850"/>
        <w:gridCol w:w="1571"/>
        <w:gridCol w:w="8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7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9"/>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pPr>
              <w:autoSpaceDE w:val="0"/>
              <w:autoSpaceDN w:val="0"/>
              <w:adjustRightInd w:val="0"/>
              <w:jc w:val="center"/>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74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67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9"/>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35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9"/>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38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9"/>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pPr>
              <w:autoSpaceDE w:val="0"/>
              <w:autoSpaceDN w:val="0"/>
              <w:adjustRightInd w:val="0"/>
              <w:jc w:val="center"/>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9"/>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pPr>
              <w:autoSpaceDE w:val="0"/>
              <w:autoSpaceDN w:val="0"/>
              <w:adjustRightInd w:val="0"/>
              <w:jc w:val="center"/>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83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5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7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74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67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5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4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83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7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74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67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5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4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83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7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74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67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5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4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83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7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74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67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5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4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83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r>
    </w:tbl>
    <w:p>
      <w:pPr>
        <w:spacing w:line="360" w:lineRule="auto"/>
        <w:ind w:left="424" w:hanging="424" w:hangingChars="201"/>
        <w:outlineLvl w:val="9"/>
        <w:rPr>
          <w:rFonts w:hint="eastAsia" w:ascii="宋体" w:hAnsi="宋体" w:eastAsia="宋体" w:cs="宋体"/>
          <w:b/>
          <w:color w:val="auto"/>
          <w:szCs w:val="21"/>
          <w:highlight w:val="none"/>
          <w:lang w:val="zh-CN"/>
        </w:rPr>
      </w:pPr>
    </w:p>
    <w:p>
      <w:pPr>
        <w:tabs>
          <w:tab w:val="left" w:pos="567"/>
        </w:tabs>
        <w:autoSpaceDE w:val="0"/>
        <w:autoSpaceDN w:val="0"/>
        <w:adjustRightInd w:val="0"/>
        <w:spacing w:line="360" w:lineRule="auto"/>
        <w:jc w:val="left"/>
        <w:outlineLvl w:val="9"/>
        <w:rPr>
          <w:rFonts w:hint="eastAsia" w:ascii="宋体" w:hAnsi="宋体" w:eastAsia="宋体" w:cs="宋体"/>
          <w:b/>
          <w:color w:val="auto"/>
          <w:szCs w:val="21"/>
          <w:highlight w:val="none"/>
          <w:lang w:val="zh-CN"/>
        </w:rPr>
      </w:pPr>
      <w:bookmarkStart w:id="705" w:name="_Toc32648"/>
      <w:bookmarkStart w:id="706" w:name="_Toc25292"/>
      <w:bookmarkStart w:id="707" w:name="_Toc20702"/>
      <w:r>
        <w:rPr>
          <w:rFonts w:hint="eastAsia" w:ascii="宋体" w:hAnsi="宋体" w:eastAsia="宋体" w:cs="宋体"/>
          <w:b/>
          <w:color w:val="auto"/>
          <w:szCs w:val="21"/>
          <w:highlight w:val="none"/>
          <w:lang w:val="zh-CN"/>
        </w:rPr>
        <w:t>资格业绩证明材料提交要求：</w:t>
      </w:r>
      <w:bookmarkEnd w:id="705"/>
      <w:bookmarkEnd w:id="706"/>
      <w:bookmarkEnd w:id="707"/>
    </w:p>
    <w:p>
      <w:pPr>
        <w:autoSpaceDE w:val="0"/>
        <w:autoSpaceDN w:val="0"/>
        <w:adjustRightInd w:val="0"/>
        <w:spacing w:line="360" w:lineRule="auto"/>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（1）</w:t>
      </w:r>
      <w:r>
        <w:rPr>
          <w:rFonts w:hint="eastAsia" w:ascii="宋体" w:hAnsi="宋体" w:eastAsia="宋体" w:cs="宋体"/>
          <w:b/>
          <w:bCs/>
          <w:color w:val="auto"/>
          <w:kern w:val="0"/>
          <w:szCs w:val="21"/>
          <w:highlight w:val="none"/>
          <w:u w:val="none"/>
          <w:lang w:val="zh-CN"/>
        </w:rPr>
        <w:t>业绩须附五金配件销售合同复印件（合同卖方为投标人）</w:t>
      </w:r>
      <w:r>
        <w:rPr>
          <w:rFonts w:hint="eastAsia" w:ascii="宋体" w:hAnsi="宋体" w:eastAsia="宋体" w:cs="宋体"/>
          <w:b/>
          <w:bCs/>
          <w:color w:val="auto"/>
          <w:kern w:val="0"/>
          <w:szCs w:val="21"/>
          <w:highlight w:val="none"/>
          <w:lang w:val="zh-CN"/>
        </w:rPr>
        <w:t>。</w:t>
      </w:r>
    </w:p>
    <w:p>
      <w:pPr>
        <w:autoSpaceDE w:val="0"/>
        <w:autoSpaceDN w:val="0"/>
        <w:adjustRightInd w:val="0"/>
        <w:spacing w:line="360" w:lineRule="auto"/>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u w:val="none"/>
          <w:lang w:val="zh-CN"/>
        </w:rPr>
        <w:t>若合同无法反映资格业绩条件（合同签订日期为202</w:t>
      </w:r>
      <w:r>
        <w:rPr>
          <w:rFonts w:hint="eastAsia" w:ascii="宋体" w:hAnsi="宋体" w:eastAsia="宋体" w:cs="宋体"/>
          <w:b/>
          <w:bCs/>
          <w:color w:val="auto"/>
          <w:kern w:val="0"/>
          <w:szCs w:val="21"/>
          <w:highlight w:val="none"/>
          <w:u w:val="none"/>
          <w:lang w:val="en-US" w:eastAsia="zh-CN"/>
        </w:rPr>
        <w:t>1</w:t>
      </w:r>
      <w:r>
        <w:rPr>
          <w:rFonts w:hint="eastAsia" w:ascii="宋体" w:hAnsi="宋体" w:eastAsia="宋体" w:cs="宋体"/>
          <w:b/>
          <w:bCs/>
          <w:color w:val="auto"/>
          <w:kern w:val="0"/>
          <w:szCs w:val="21"/>
          <w:highlight w:val="none"/>
          <w:u w:val="none"/>
          <w:lang w:val="zh-CN"/>
        </w:rPr>
        <w:t>年1月1日或以后，合同标的必须包含五金配件）的，还需提供产品购买方出具的书面补充说明文件复印件作为辅助证明（补充说明文件复印件能显示购买方公章）</w:t>
      </w:r>
      <w:r>
        <w:rPr>
          <w:rFonts w:hint="eastAsia" w:ascii="宋体" w:hAnsi="宋体" w:eastAsia="宋体" w:cs="宋体"/>
          <w:b/>
          <w:bCs/>
          <w:color w:val="auto"/>
          <w:kern w:val="0"/>
          <w:szCs w:val="21"/>
          <w:highlight w:val="none"/>
          <w:lang w:val="zh-CN"/>
        </w:rPr>
        <w:t>。</w:t>
      </w:r>
    </w:p>
    <w:p>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708" w:name="_Toc14967"/>
      <w:bookmarkStart w:id="709" w:name="_Toc6253"/>
      <w:bookmarkStart w:id="710" w:name="_Toc23821"/>
      <w:bookmarkStart w:id="711" w:name="_Toc30009"/>
      <w:bookmarkStart w:id="712" w:name="_Toc12193"/>
      <w:r>
        <w:rPr>
          <w:rFonts w:hint="eastAsia" w:ascii="宋体" w:hAnsi="宋体" w:eastAsia="宋体" w:cs="宋体"/>
          <w:b/>
          <w:color w:val="auto"/>
          <w:szCs w:val="21"/>
          <w:highlight w:val="none"/>
          <w:lang w:val="zh-CN"/>
        </w:rPr>
        <w:t>（3）</w:t>
      </w:r>
      <w:bookmarkEnd w:id="708"/>
      <w:bookmarkEnd w:id="709"/>
      <w:r>
        <w:rPr>
          <w:rFonts w:hint="eastAsia" w:ascii="宋体" w:hAnsi="宋体" w:eastAsia="宋体" w:cs="宋体"/>
          <w:b/>
          <w:color w:val="auto"/>
          <w:szCs w:val="21"/>
          <w:highlight w:val="none"/>
          <w:u w:val="none"/>
          <w:lang w:val="zh-CN"/>
        </w:rPr>
        <w:t>未按上述要求在此格式下提供证明材料的业绩，或在此格式下所附材料无法证明符合资格要求的业绩，按无效投标文件处理</w:t>
      </w:r>
      <w:r>
        <w:rPr>
          <w:rFonts w:hint="eastAsia" w:ascii="宋体" w:hAnsi="宋体" w:eastAsia="宋体" w:cs="宋体"/>
          <w:b/>
          <w:color w:val="auto"/>
          <w:szCs w:val="21"/>
          <w:highlight w:val="none"/>
          <w:lang w:val="zh-CN"/>
        </w:rPr>
        <w:t>。</w:t>
      </w:r>
      <w:bookmarkEnd w:id="710"/>
      <w:bookmarkEnd w:id="711"/>
      <w:bookmarkEnd w:id="712"/>
    </w:p>
    <w:p>
      <w:pPr>
        <w:outlineLvl w:val="9"/>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9"/>
        <w:rPr>
          <w:rFonts w:ascii="宋体" w:hAnsi="宋体" w:eastAsia="宋体" w:cs="Times New Roman"/>
          <w:b/>
          <w:bCs/>
          <w:color w:val="auto"/>
          <w:sz w:val="32"/>
          <w:szCs w:val="32"/>
          <w:highlight w:val="none"/>
          <w:lang w:val="zh-CN"/>
        </w:rPr>
      </w:pPr>
      <w:bookmarkStart w:id="713" w:name="_Toc8979"/>
      <w:bookmarkStart w:id="714" w:name="_Toc31879"/>
      <w:bookmarkStart w:id="715" w:name="_Toc20386"/>
      <w:bookmarkStart w:id="716" w:name="_Toc20119"/>
      <w:bookmarkStart w:id="717" w:name="_Toc24620"/>
      <w:r>
        <w:rPr>
          <w:rFonts w:hint="eastAsia" w:ascii="宋体" w:hAnsi="宋体" w:eastAsia="宋体" w:cs="宋体"/>
          <w:b/>
          <w:color w:val="auto"/>
          <w:kern w:val="0"/>
          <w:sz w:val="30"/>
          <w:szCs w:val="30"/>
          <w:highlight w:val="none"/>
          <w:lang w:val="en-US" w:eastAsia="zh-CN"/>
        </w:rPr>
        <w:t xml:space="preserve">6.5 </w:t>
      </w:r>
      <w:r>
        <w:rPr>
          <w:rFonts w:hint="eastAsia" w:ascii="宋体" w:hAnsi="宋体" w:eastAsia="宋体" w:cs="宋体"/>
          <w:b/>
          <w:color w:val="auto"/>
          <w:kern w:val="0"/>
          <w:sz w:val="30"/>
          <w:szCs w:val="30"/>
          <w:highlight w:val="none"/>
        </w:rPr>
        <w:t>最近3年投标人牵涉的其他（失信和违法）处罚说明格式</w:t>
      </w:r>
      <w:bookmarkEnd w:id="700"/>
      <w:bookmarkEnd w:id="701"/>
      <w:bookmarkEnd w:id="702"/>
      <w:bookmarkEnd w:id="703"/>
      <w:bookmarkEnd w:id="704"/>
      <w:bookmarkEnd w:id="713"/>
      <w:bookmarkEnd w:id="714"/>
      <w:bookmarkEnd w:id="715"/>
      <w:bookmarkEnd w:id="716"/>
      <w:bookmarkEnd w:id="717"/>
    </w:p>
    <w:p>
      <w:pPr>
        <w:autoSpaceDE w:val="0"/>
        <w:autoSpaceDN w:val="0"/>
        <w:adjustRightInd w:val="0"/>
        <w:spacing w:line="360" w:lineRule="auto"/>
        <w:jc w:val="center"/>
        <w:outlineLvl w:val="9"/>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4253" w:type="dxa"/>
            <w:vAlign w:val="center"/>
          </w:tcPr>
          <w:p>
            <w:pPr>
              <w:autoSpaceDE w:val="0"/>
              <w:autoSpaceDN w:val="0"/>
              <w:adjustRightInd w:val="0"/>
              <w:spacing w:line="360" w:lineRule="auto"/>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r>
    </w:tbl>
    <w:p>
      <w:pPr>
        <w:autoSpaceDE w:val="0"/>
        <w:autoSpaceDN w:val="0"/>
        <w:adjustRightInd w:val="0"/>
        <w:spacing w:line="360" w:lineRule="auto"/>
        <w:jc w:val="left"/>
        <w:outlineLvl w:val="9"/>
        <w:rPr>
          <w:rFonts w:ascii="宋体" w:hAnsi="宋体" w:eastAsia="宋体" w:cs="宋体"/>
          <w:color w:val="auto"/>
          <w:kern w:val="0"/>
          <w:szCs w:val="21"/>
          <w:highlight w:val="none"/>
        </w:rPr>
      </w:pPr>
    </w:p>
    <w:p>
      <w:pPr>
        <w:autoSpaceDE w:val="0"/>
        <w:autoSpaceDN w:val="0"/>
        <w:adjustRightInd w:val="0"/>
        <w:spacing w:line="360" w:lineRule="auto"/>
        <w:jc w:val="left"/>
        <w:outlineLvl w:val="9"/>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outlineLvl w:val="9"/>
        <w:rPr>
          <w:rFonts w:ascii="宋体" w:hAnsi="宋体" w:eastAsia="宋体" w:cs="Times New Roman"/>
          <w:b/>
          <w:bCs/>
          <w:color w:val="auto"/>
          <w:kern w:val="0"/>
          <w:szCs w:val="21"/>
          <w:highlight w:val="none"/>
          <w:lang w:val="zh-CN"/>
        </w:rPr>
      </w:pPr>
    </w:p>
    <w:p>
      <w:pPr>
        <w:autoSpaceDE w:val="0"/>
        <w:autoSpaceDN w:val="0"/>
        <w:adjustRightInd w:val="0"/>
        <w:spacing w:line="360" w:lineRule="auto"/>
        <w:jc w:val="center"/>
        <w:outlineLvl w:val="9"/>
        <w:rPr>
          <w:rFonts w:ascii="宋体" w:hAnsi="宋体" w:eastAsia="宋体" w:cs="宋体"/>
          <w:color w:val="auto"/>
          <w:kern w:val="0"/>
          <w:sz w:val="24"/>
          <w:szCs w:val="24"/>
          <w:highlight w:val="none"/>
        </w:rPr>
      </w:pPr>
    </w:p>
    <w:p>
      <w:pPr>
        <w:spacing w:line="360" w:lineRule="auto"/>
        <w:ind w:firstLine="494" w:firstLineChars="206"/>
        <w:outlineLvl w:val="9"/>
        <w:rPr>
          <w:rFonts w:ascii="宋体" w:hAnsi="宋体" w:eastAsia="宋体" w:cs="宋体"/>
          <w:color w:val="auto"/>
          <w:kern w:val="0"/>
          <w:sz w:val="24"/>
          <w:szCs w:val="24"/>
          <w:highlight w:val="none"/>
        </w:rPr>
      </w:pPr>
    </w:p>
    <w:p>
      <w:pPr>
        <w:spacing w:line="360" w:lineRule="auto"/>
        <w:ind w:firstLine="494" w:firstLineChars="206"/>
        <w:outlineLvl w:val="9"/>
        <w:rPr>
          <w:rFonts w:ascii="宋体" w:hAnsi="宋体" w:eastAsia="宋体" w:cs="宋体"/>
          <w:color w:val="auto"/>
          <w:kern w:val="0"/>
          <w:sz w:val="24"/>
          <w:szCs w:val="24"/>
          <w:highlight w:val="none"/>
        </w:rPr>
      </w:pPr>
    </w:p>
    <w:p>
      <w:pPr>
        <w:spacing w:line="360" w:lineRule="auto"/>
        <w:ind w:firstLine="494" w:firstLineChars="206"/>
        <w:outlineLvl w:val="9"/>
        <w:rPr>
          <w:rFonts w:ascii="宋体" w:hAnsi="宋体" w:eastAsia="宋体" w:cs="宋体"/>
          <w:color w:val="auto"/>
          <w:kern w:val="0"/>
          <w:sz w:val="24"/>
          <w:szCs w:val="24"/>
          <w:highlight w:val="none"/>
        </w:rPr>
      </w:pPr>
    </w:p>
    <w:p>
      <w:pPr>
        <w:spacing w:line="360" w:lineRule="auto"/>
        <w:ind w:right="368" w:rightChars="175" w:firstLine="5460" w:firstLineChars="2600"/>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781" w:rightChars="372" w:firstLine="2811" w:firstLineChars="1339"/>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pPr>
        <w:outlineLvl w:val="9"/>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718" w:name="_Toc140596934"/>
      <w:bookmarkStart w:id="719" w:name="_Toc1977731"/>
      <w:bookmarkStart w:id="720" w:name="_Toc94107215"/>
      <w:bookmarkStart w:id="721" w:name="_Toc486167714"/>
      <w:bookmarkStart w:id="722" w:name="_Toc102860079"/>
      <w:bookmarkStart w:id="723" w:name="_Toc13237"/>
      <w:bookmarkStart w:id="724" w:name="_Toc102860423"/>
      <w:bookmarkStart w:id="725" w:name="_Toc104991881"/>
      <w:bookmarkStart w:id="726" w:name="_Toc533708126"/>
      <w:bookmarkStart w:id="727" w:name="_Toc142508374"/>
      <w:bookmarkStart w:id="728" w:name="_Toc2031_WPSOffice_Level2"/>
    </w:p>
    <w:p>
      <w:pPr>
        <w:tabs>
          <w:tab w:val="left" w:pos="567"/>
        </w:tabs>
        <w:autoSpaceDE w:val="0"/>
        <w:autoSpaceDN w:val="0"/>
        <w:adjustRightInd w:val="0"/>
        <w:spacing w:line="360" w:lineRule="auto"/>
        <w:jc w:val="left"/>
        <w:outlineLvl w:val="9"/>
        <w:rPr>
          <w:rFonts w:ascii="宋体" w:hAnsi="宋体" w:eastAsia="宋体" w:cs="Times New Roman"/>
          <w:color w:val="auto"/>
          <w:kern w:val="0"/>
          <w:szCs w:val="21"/>
          <w:highlight w:val="none"/>
          <w:u w:val="single"/>
        </w:rPr>
      </w:pPr>
      <w:bookmarkStart w:id="729" w:name="_Toc12674"/>
      <w:bookmarkStart w:id="730" w:name="_Toc16632"/>
      <w:bookmarkStart w:id="731" w:name="_Toc11148"/>
      <w:bookmarkStart w:id="732" w:name="_Toc13611"/>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kern w:val="0"/>
          <w:sz w:val="32"/>
          <w:szCs w:val="32"/>
          <w:highlight w:val="none"/>
        </w:rPr>
        <w:t>、投标人基本情况一览表</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pPr>
        <w:autoSpaceDE w:val="0"/>
        <w:autoSpaceDN w:val="0"/>
        <w:adjustRightInd w:val="0"/>
        <w:spacing w:line="360" w:lineRule="auto"/>
        <w:jc w:val="center"/>
        <w:outlineLvl w:val="9"/>
        <w:rPr>
          <w:rFonts w:ascii="宋体" w:hAnsi="宋体" w:eastAsia="宋体" w:cs="宋体"/>
          <w:b/>
          <w:bCs/>
          <w:color w:val="auto"/>
          <w:sz w:val="30"/>
          <w:szCs w:val="30"/>
          <w:highlight w:val="none"/>
        </w:rPr>
      </w:pPr>
      <w:bookmarkStart w:id="733" w:name="_Toc2773_WPSOffice_Level3"/>
      <w:r>
        <w:rPr>
          <w:rFonts w:hint="eastAsia" w:ascii="宋体" w:hAnsi="宋体" w:eastAsia="宋体" w:cs="宋体"/>
          <w:b/>
          <w:bCs/>
          <w:color w:val="auto"/>
          <w:sz w:val="30"/>
          <w:szCs w:val="30"/>
          <w:highlight w:val="none"/>
          <w:lang w:val="zh-CN"/>
        </w:rPr>
        <w:t>投标人基本情况一览表</w:t>
      </w:r>
      <w:bookmarkEnd w:id="733"/>
    </w:p>
    <w:p>
      <w:pPr>
        <w:autoSpaceDE w:val="0"/>
        <w:autoSpaceDN w:val="0"/>
        <w:adjustRightInd w:val="0"/>
        <w:spacing w:line="360" w:lineRule="auto"/>
        <w:ind w:firstLine="420"/>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autoSpaceDE w:val="0"/>
        <w:autoSpaceDN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pPr>
        <w:autoSpaceDE w:val="0"/>
        <w:autoSpaceDN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autoSpaceDE w:val="0"/>
        <w:autoSpaceDN w:val="0"/>
        <w:adjustRightInd w:val="0"/>
        <w:spacing w:line="360" w:lineRule="auto"/>
        <w:ind w:firstLine="630" w:firstLineChars="3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pPr>
        <w:autoSpaceDE w:val="0"/>
        <w:autoSpaceDN w:val="0"/>
        <w:adjustRightInd w:val="0"/>
        <w:spacing w:line="360" w:lineRule="auto"/>
        <w:ind w:left="836" w:leftChars="137" w:hanging="548" w:hangingChars="261"/>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outlineLvl w:val="9"/>
        <w:rPr>
          <w:rFonts w:ascii="宋体" w:hAnsi="宋体" w:eastAsia="宋体" w:cs="宋体"/>
          <w:color w:val="auto"/>
          <w:szCs w:val="24"/>
          <w:highlight w:val="none"/>
        </w:rPr>
      </w:pPr>
    </w:p>
    <w:p>
      <w:pPr>
        <w:autoSpaceDE w:val="0"/>
        <w:autoSpaceDN w:val="0"/>
        <w:adjustRightInd w:val="0"/>
        <w:spacing w:line="360" w:lineRule="auto"/>
        <w:ind w:right="368" w:rightChars="175"/>
        <w:jc w:val="right"/>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368" w:rightChars="175" w:firstLine="6237"/>
        <w:jc w:val="left"/>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734" w:name="_Toc142508375"/>
      <w:bookmarkStart w:id="735" w:name="_Toc1202"/>
      <w:bookmarkStart w:id="736" w:name="_Toc102860080"/>
      <w:bookmarkStart w:id="737" w:name="_Toc102860424"/>
      <w:bookmarkStart w:id="738" w:name="_Toc140596935"/>
      <w:bookmarkStart w:id="739" w:name="_Toc94107216"/>
      <w:bookmarkStart w:id="740" w:name="_Toc6345"/>
      <w:bookmarkStart w:id="741" w:name="_Toc4495"/>
      <w:bookmarkStart w:id="742" w:name="_Toc26765"/>
      <w:bookmarkStart w:id="743" w:name="_Toc3711"/>
      <w:bookmarkStart w:id="744" w:name="_Toc104991882"/>
      <w:bookmarkStart w:id="745" w:name="_Toc1977733"/>
      <w:bookmarkStart w:id="746" w:name="_Toc533708128"/>
      <w:bookmarkStart w:id="747" w:name="_Toc9051_WPSOffice_Level2"/>
      <w:bookmarkStart w:id="748" w:name="_Toc486167715"/>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val="zh-CN"/>
        </w:rPr>
        <w:t>、投标人财务状况表格式</w:t>
      </w:r>
      <w:bookmarkEnd w:id="734"/>
      <w:bookmarkEnd w:id="735"/>
      <w:bookmarkEnd w:id="736"/>
      <w:bookmarkEnd w:id="737"/>
      <w:bookmarkEnd w:id="738"/>
      <w:bookmarkEnd w:id="739"/>
      <w:bookmarkEnd w:id="740"/>
      <w:bookmarkEnd w:id="741"/>
      <w:bookmarkEnd w:id="742"/>
      <w:bookmarkEnd w:id="743"/>
      <w:bookmarkEnd w:id="744"/>
    </w:p>
    <w:p>
      <w:pPr>
        <w:autoSpaceDE w:val="0"/>
        <w:autoSpaceDN w:val="0"/>
        <w:adjustRightInd w:val="0"/>
        <w:spacing w:line="360" w:lineRule="auto"/>
        <w:jc w:val="center"/>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2020</w:t>
            </w:r>
          </w:p>
        </w:tc>
        <w:tc>
          <w:tcPr>
            <w:tcW w:w="1944"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2713"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r>
    </w:tbl>
    <w:p>
      <w:pPr>
        <w:spacing w:line="360" w:lineRule="auto"/>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outlineLvl w:val="9"/>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outlineLvl w:val="9"/>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outlineLvl w:val="9"/>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pPr>
        <w:autoSpaceDE w:val="0"/>
        <w:autoSpaceDN w:val="0"/>
        <w:adjustRightInd w:val="0"/>
        <w:spacing w:line="360" w:lineRule="auto"/>
        <w:ind w:firstLine="6249" w:firstLineChars="2976"/>
        <w:outlineLvl w:val="9"/>
        <w:rPr>
          <w:rFonts w:ascii="宋体" w:hAnsi="宋体" w:eastAsia="宋体" w:cs="宋体"/>
          <w:b/>
          <w:bCs/>
          <w:color w:val="auto"/>
          <w:kern w:val="0"/>
          <w:szCs w:val="21"/>
          <w:highlight w:val="none"/>
        </w:rPr>
        <w:sectPr>
          <w:footerReference r:id="rId7" w:type="default"/>
          <w:pgSz w:w="12240" w:h="15840"/>
          <w:pgMar w:top="1191" w:right="1043" w:bottom="1191" w:left="1043" w:header="720" w:footer="720" w:gutter="0"/>
          <w:cols w:space="0" w:num="1"/>
          <w:titlePg/>
          <w:rtlGutter w:val="0"/>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745"/>
    <w:bookmarkEnd w:id="746"/>
    <w:bookmarkEnd w:id="747"/>
    <w:bookmarkEnd w:id="748"/>
    <w:p>
      <w:pPr>
        <w:tabs>
          <w:tab w:val="left" w:pos="567"/>
        </w:tabs>
        <w:autoSpaceDE w:val="0"/>
        <w:autoSpaceDN w:val="0"/>
        <w:adjustRightInd w:val="0"/>
        <w:spacing w:line="360" w:lineRule="auto"/>
        <w:jc w:val="left"/>
        <w:outlineLvl w:val="9"/>
        <w:rPr>
          <w:rFonts w:ascii="宋体" w:hAnsi="宋体" w:eastAsia="宋体" w:cs="宋体"/>
          <w:b/>
          <w:color w:val="auto"/>
          <w:kern w:val="0"/>
          <w:sz w:val="32"/>
          <w:szCs w:val="32"/>
          <w:highlight w:val="none"/>
          <w:lang w:val="zh-CN"/>
        </w:rPr>
      </w:pPr>
      <w:bookmarkStart w:id="749" w:name="_Toc102860081"/>
      <w:bookmarkStart w:id="750" w:name="_Toc15551"/>
      <w:bookmarkStart w:id="751" w:name="_Toc14994"/>
      <w:bookmarkStart w:id="752" w:name="_Toc142508376"/>
      <w:bookmarkStart w:id="753" w:name="_Toc533708130"/>
      <w:bookmarkStart w:id="754" w:name="_Toc1162"/>
      <w:bookmarkStart w:id="755" w:name="_Toc104991883"/>
      <w:bookmarkStart w:id="756" w:name="_Toc140596936"/>
      <w:bookmarkStart w:id="757" w:name="_Toc14953"/>
      <w:bookmarkStart w:id="758" w:name="_Toc102860425"/>
      <w:bookmarkStart w:id="759" w:name="_Toc1977736"/>
      <w:bookmarkStart w:id="760" w:name="_Toc94107217"/>
      <w:bookmarkStart w:id="761" w:name="_Toc20034"/>
      <w:bookmarkStart w:id="762" w:name="_Toc739_WPSOffice_Level2"/>
      <w:bookmarkStart w:id="763" w:name="_Toc486167716"/>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pPr>
        <w:autoSpaceDE w:val="0"/>
        <w:autoSpaceDN w:val="0"/>
        <w:adjustRightInd w:val="0"/>
        <w:spacing w:line="360" w:lineRule="auto"/>
        <w:jc w:val="center"/>
        <w:outlineLvl w:val="9"/>
        <w:rPr>
          <w:rFonts w:ascii="宋体" w:hAnsi="宋体" w:eastAsia="宋体" w:cs="宋体"/>
          <w:b/>
          <w:bCs/>
          <w:color w:val="auto"/>
          <w:kern w:val="0"/>
          <w:sz w:val="28"/>
          <w:szCs w:val="30"/>
          <w:highlight w:val="none"/>
          <w:lang w:val="zh-CN"/>
        </w:rPr>
      </w:pPr>
      <w:bookmarkStart w:id="764" w:name="_Toc26412_WPSOffice_Level3"/>
      <w:r>
        <w:rPr>
          <w:rFonts w:hint="eastAsia" w:ascii="宋体" w:hAnsi="宋体" w:eastAsia="宋体" w:cs="宋体"/>
          <w:b/>
          <w:bCs/>
          <w:color w:val="auto"/>
          <w:kern w:val="0"/>
          <w:sz w:val="28"/>
          <w:szCs w:val="30"/>
          <w:highlight w:val="none"/>
          <w:lang w:val="zh-CN"/>
        </w:rPr>
        <w:t>东莞市众源环境投资有限公司五金配件及劳保物资采购项目合同条款偏离表</w:t>
      </w:r>
      <w:bookmarkEnd w:id="764"/>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1020" w:type="dxa"/>
            <w:vMerge w:val="restart"/>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1020" w:type="dxa"/>
            <w:vMerge w:val="continue"/>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c>
          <w:tcPr>
            <w:tcW w:w="1425"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1020"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pPr>
              <w:spacing w:line="240" w:lineRule="auto"/>
              <w:ind w:firstLine="0" w:firstLineChars="0"/>
              <w:jc w:val="center"/>
              <w:outlineLvl w:val="9"/>
              <w:rPr>
                <w:rFonts w:hint="eastAsia" w:ascii="宋体" w:hAnsi="宋体" w:eastAsia="宋体" w:cs="宋体"/>
                <w:color w:val="auto"/>
                <w:kern w:val="0"/>
                <w:szCs w:val="21"/>
                <w:highlight w:val="none"/>
              </w:rPr>
            </w:pPr>
            <w:r>
              <w:rPr>
                <w:rStyle w:val="45"/>
                <w:rFonts w:hint="eastAsia" w:ascii="宋体" w:hAnsi="宋体" w:eastAsia="宋体" w:cs="宋体"/>
                <w:color w:val="auto"/>
              </w:rPr>
              <w:t>第一条</w:t>
            </w:r>
          </w:p>
        </w:tc>
        <w:tc>
          <w:tcPr>
            <w:tcW w:w="3055" w:type="dxa"/>
            <w:vAlign w:val="center"/>
          </w:tcPr>
          <w:p>
            <w:pPr>
              <w:spacing w:line="240" w:lineRule="auto"/>
              <w:ind w:firstLine="0" w:firstLineChars="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lang w:val="en-US"/>
              </w:rPr>
              <w:t>供货范围</w:t>
            </w:r>
          </w:p>
        </w:tc>
        <w:tc>
          <w:tcPr>
            <w:tcW w:w="1346"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020"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pPr>
              <w:spacing w:line="240" w:lineRule="auto"/>
              <w:ind w:firstLine="0" w:firstLineChars="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rPr>
              <w:t>第二条</w:t>
            </w:r>
          </w:p>
        </w:tc>
        <w:tc>
          <w:tcPr>
            <w:tcW w:w="3055" w:type="dxa"/>
            <w:vAlign w:val="center"/>
          </w:tcPr>
          <w:p>
            <w:pPr>
              <w:spacing w:line="240" w:lineRule="auto"/>
              <w:ind w:firstLine="0" w:firstLineChars="0"/>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szCs w:val="21"/>
                <w:lang w:val="en-US" w:eastAsia="zh-CN"/>
              </w:rPr>
              <w:t>合同供货期</w:t>
            </w:r>
          </w:p>
        </w:tc>
        <w:tc>
          <w:tcPr>
            <w:tcW w:w="1346"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020"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pPr>
              <w:spacing w:line="240" w:lineRule="auto"/>
              <w:ind w:firstLine="0" w:firstLineChars="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rPr>
              <w:t>第三条</w:t>
            </w:r>
          </w:p>
        </w:tc>
        <w:tc>
          <w:tcPr>
            <w:tcW w:w="3055" w:type="dxa"/>
            <w:vAlign w:val="center"/>
          </w:tcPr>
          <w:p>
            <w:pPr>
              <w:spacing w:line="240" w:lineRule="auto"/>
              <w:ind w:firstLine="0" w:firstLineChars="0"/>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szCs w:val="21"/>
                <w:lang w:val="en-US" w:eastAsia="zh-CN"/>
              </w:rPr>
              <w:t>中标折扣系数及暂定合同价</w:t>
            </w:r>
          </w:p>
        </w:tc>
        <w:tc>
          <w:tcPr>
            <w:tcW w:w="1346"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020"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pPr>
              <w:spacing w:line="240" w:lineRule="auto"/>
              <w:ind w:firstLine="0" w:firstLineChars="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rPr>
              <w:t>第四条</w:t>
            </w:r>
          </w:p>
        </w:tc>
        <w:tc>
          <w:tcPr>
            <w:tcW w:w="3055" w:type="dxa"/>
            <w:vAlign w:val="center"/>
          </w:tcPr>
          <w:p>
            <w:pPr>
              <w:spacing w:line="240" w:lineRule="auto"/>
              <w:ind w:firstLine="0" w:firstLineChars="0"/>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szCs w:val="21"/>
                <w:lang w:val="en-US" w:eastAsia="zh-CN"/>
              </w:rPr>
              <w:t>付款方式</w:t>
            </w:r>
          </w:p>
        </w:tc>
        <w:tc>
          <w:tcPr>
            <w:tcW w:w="1346"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1020"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pPr>
              <w:spacing w:line="240" w:lineRule="auto"/>
              <w:ind w:firstLine="0" w:firstLineChars="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rPr>
              <w:t>第五条</w:t>
            </w:r>
          </w:p>
        </w:tc>
        <w:tc>
          <w:tcPr>
            <w:tcW w:w="3055" w:type="dxa"/>
            <w:vAlign w:val="center"/>
          </w:tcPr>
          <w:p>
            <w:pPr>
              <w:spacing w:line="240" w:lineRule="auto"/>
              <w:ind w:firstLine="0" w:firstLineChars="0"/>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szCs w:val="21"/>
                <w:lang w:val="en-US" w:eastAsia="zh-CN"/>
              </w:rPr>
              <w:t>交货要求</w:t>
            </w:r>
          </w:p>
        </w:tc>
        <w:tc>
          <w:tcPr>
            <w:tcW w:w="1346"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pPr>
              <w:spacing w:line="240" w:lineRule="auto"/>
              <w:ind w:firstLine="0" w:firstLineChars="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rPr>
              <w:t>第六条</w:t>
            </w:r>
          </w:p>
        </w:tc>
        <w:tc>
          <w:tcPr>
            <w:tcW w:w="3055" w:type="dxa"/>
            <w:vAlign w:val="center"/>
          </w:tcPr>
          <w:p>
            <w:pPr>
              <w:spacing w:line="240" w:lineRule="auto"/>
              <w:ind w:firstLine="0" w:firstLineChars="0"/>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szCs w:val="21"/>
                <w:lang w:val="en-US" w:eastAsia="zh-CN"/>
              </w:rPr>
              <w:t>货物质量要求</w:t>
            </w:r>
          </w:p>
        </w:tc>
        <w:tc>
          <w:tcPr>
            <w:tcW w:w="1346"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pPr>
              <w:spacing w:line="240" w:lineRule="auto"/>
              <w:ind w:firstLine="0" w:firstLineChars="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rPr>
              <w:t>第七条</w:t>
            </w:r>
          </w:p>
        </w:tc>
        <w:tc>
          <w:tcPr>
            <w:tcW w:w="3055" w:type="dxa"/>
            <w:vAlign w:val="center"/>
          </w:tcPr>
          <w:p>
            <w:pPr>
              <w:spacing w:line="240" w:lineRule="auto"/>
              <w:ind w:firstLine="0" w:firstLineChars="0"/>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Cs w:val="21"/>
                <w:lang w:val="en-US" w:eastAsia="zh-CN"/>
              </w:rPr>
              <w:t>验收要求</w:t>
            </w:r>
          </w:p>
        </w:tc>
        <w:tc>
          <w:tcPr>
            <w:tcW w:w="1346"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pPr>
              <w:spacing w:line="240" w:lineRule="auto"/>
              <w:ind w:firstLine="0" w:firstLineChars="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八</w:t>
            </w:r>
            <w:r>
              <w:rPr>
                <w:rFonts w:hint="eastAsia" w:ascii="宋体" w:hAnsi="宋体" w:eastAsia="宋体" w:cs="宋体"/>
                <w:color w:val="auto"/>
                <w:szCs w:val="21"/>
              </w:rPr>
              <w:t>条</w:t>
            </w:r>
          </w:p>
        </w:tc>
        <w:tc>
          <w:tcPr>
            <w:tcW w:w="3055" w:type="dxa"/>
            <w:vAlign w:val="center"/>
          </w:tcPr>
          <w:p>
            <w:pPr>
              <w:spacing w:line="240" w:lineRule="auto"/>
              <w:ind w:firstLine="0" w:firstLineChars="0"/>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szCs w:val="21"/>
                <w:lang w:val="en-US" w:eastAsia="zh-CN"/>
              </w:rPr>
              <w:t>质保及售后要求</w:t>
            </w:r>
          </w:p>
        </w:tc>
        <w:tc>
          <w:tcPr>
            <w:tcW w:w="1346"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020"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pPr>
              <w:spacing w:line="240" w:lineRule="auto"/>
              <w:ind w:firstLine="0" w:firstLineChars="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九</w:t>
            </w:r>
            <w:r>
              <w:rPr>
                <w:rFonts w:hint="eastAsia" w:ascii="宋体" w:hAnsi="宋体" w:eastAsia="宋体" w:cs="宋体"/>
                <w:color w:val="auto"/>
                <w:szCs w:val="21"/>
              </w:rPr>
              <w:t>条</w:t>
            </w:r>
          </w:p>
        </w:tc>
        <w:tc>
          <w:tcPr>
            <w:tcW w:w="3055" w:type="dxa"/>
            <w:vAlign w:val="center"/>
          </w:tcPr>
          <w:p>
            <w:pPr>
              <w:spacing w:line="240" w:lineRule="auto"/>
              <w:ind w:firstLine="0" w:firstLineChars="0"/>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szCs w:val="21"/>
                <w:lang w:val="en-US" w:eastAsia="zh-CN"/>
              </w:rPr>
              <w:t>履约担保</w:t>
            </w:r>
          </w:p>
        </w:tc>
        <w:tc>
          <w:tcPr>
            <w:tcW w:w="1346"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pPr>
              <w:spacing w:line="240" w:lineRule="auto"/>
              <w:ind w:firstLine="0" w:firstLineChars="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十</w:t>
            </w:r>
            <w:r>
              <w:rPr>
                <w:rFonts w:hint="eastAsia" w:ascii="宋体" w:hAnsi="宋体" w:eastAsia="宋体" w:cs="宋体"/>
                <w:color w:val="auto"/>
                <w:szCs w:val="21"/>
              </w:rPr>
              <w:t>条</w:t>
            </w:r>
          </w:p>
        </w:tc>
        <w:tc>
          <w:tcPr>
            <w:tcW w:w="3055" w:type="dxa"/>
            <w:vAlign w:val="center"/>
          </w:tcPr>
          <w:p>
            <w:pPr>
              <w:spacing w:line="240" w:lineRule="auto"/>
              <w:ind w:firstLine="0" w:firstLineChars="0"/>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szCs w:val="21"/>
                <w:lang w:val="en-US" w:eastAsia="zh-CN"/>
              </w:rPr>
              <w:t>违约责任</w:t>
            </w:r>
          </w:p>
        </w:tc>
        <w:tc>
          <w:tcPr>
            <w:tcW w:w="1346"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pPr>
              <w:spacing w:line="240" w:lineRule="auto"/>
              <w:ind w:firstLine="0" w:firstLineChars="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十一</w:t>
            </w:r>
            <w:r>
              <w:rPr>
                <w:rFonts w:hint="eastAsia" w:ascii="宋体" w:hAnsi="宋体" w:eastAsia="宋体" w:cs="宋体"/>
                <w:color w:val="auto"/>
                <w:szCs w:val="21"/>
              </w:rPr>
              <w:t>条</w:t>
            </w:r>
          </w:p>
        </w:tc>
        <w:tc>
          <w:tcPr>
            <w:tcW w:w="3055" w:type="dxa"/>
            <w:vAlign w:val="center"/>
          </w:tcPr>
          <w:p>
            <w:pPr>
              <w:spacing w:line="240" w:lineRule="auto"/>
              <w:ind w:firstLine="0" w:firstLineChars="0"/>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szCs w:val="21"/>
                <w:lang w:val="en-US" w:eastAsia="zh-CN"/>
              </w:rPr>
              <w:t>考核制度</w:t>
            </w:r>
          </w:p>
        </w:tc>
        <w:tc>
          <w:tcPr>
            <w:tcW w:w="1346"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lang w:val="en-US" w:eastAsia="zh-CN"/>
              </w:rPr>
              <w:t>第十二条</w:t>
            </w:r>
          </w:p>
        </w:tc>
        <w:tc>
          <w:tcPr>
            <w:tcW w:w="3055" w:type="dxa"/>
            <w:vAlign w:val="center"/>
          </w:tcPr>
          <w:p>
            <w:pPr>
              <w:spacing w:line="240" w:lineRule="auto"/>
              <w:ind w:firstLine="0" w:firstLineChars="0"/>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szCs w:val="21"/>
                <w:lang w:val="en-US" w:eastAsia="zh-CN"/>
              </w:rPr>
              <w:t>不可抗力</w:t>
            </w:r>
          </w:p>
        </w:tc>
        <w:tc>
          <w:tcPr>
            <w:tcW w:w="1346"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lang w:val="en-US" w:eastAsia="zh-CN"/>
              </w:rPr>
              <w:t>第十三条</w:t>
            </w:r>
          </w:p>
        </w:tc>
        <w:tc>
          <w:tcPr>
            <w:tcW w:w="3055" w:type="dxa"/>
            <w:vAlign w:val="center"/>
          </w:tcPr>
          <w:p>
            <w:pPr>
              <w:spacing w:line="240" w:lineRule="auto"/>
              <w:ind w:firstLine="0" w:firstLineChars="0"/>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szCs w:val="21"/>
                <w:lang w:val="en-US" w:eastAsia="zh-CN"/>
              </w:rPr>
              <w:t>承诺与保证</w:t>
            </w:r>
          </w:p>
        </w:tc>
        <w:tc>
          <w:tcPr>
            <w:tcW w:w="1346"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pPr>
              <w:autoSpaceDE w:val="0"/>
              <w:autoSpaceDN w:val="0"/>
              <w:adjustRightInd w:val="0"/>
              <w:spacing w:line="240" w:lineRule="auto"/>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第十四条</w:t>
            </w:r>
          </w:p>
        </w:tc>
        <w:tc>
          <w:tcPr>
            <w:tcW w:w="3055" w:type="dxa"/>
            <w:vAlign w:val="center"/>
          </w:tcPr>
          <w:p>
            <w:pPr>
              <w:spacing w:line="240" w:lineRule="auto"/>
              <w:ind w:firstLine="0" w:firstLineChars="0"/>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合同争议的解决办法</w:t>
            </w:r>
          </w:p>
        </w:tc>
        <w:tc>
          <w:tcPr>
            <w:tcW w:w="1346"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pPr>
              <w:autoSpaceDE w:val="0"/>
              <w:autoSpaceDN w:val="0"/>
              <w:adjustRightInd w:val="0"/>
              <w:spacing w:line="240" w:lineRule="auto"/>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第十五条</w:t>
            </w:r>
          </w:p>
        </w:tc>
        <w:tc>
          <w:tcPr>
            <w:tcW w:w="3055" w:type="dxa"/>
            <w:vAlign w:val="center"/>
          </w:tcPr>
          <w:p>
            <w:pPr>
              <w:spacing w:line="240" w:lineRule="auto"/>
              <w:ind w:firstLine="0" w:firstLineChars="0"/>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其他</w:t>
            </w:r>
          </w:p>
        </w:tc>
        <w:tc>
          <w:tcPr>
            <w:tcW w:w="1346"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pPr>
              <w:spacing w:line="240" w:lineRule="auto"/>
              <w:ind w:firstLine="0" w:firstLineChars="0"/>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附件1</w:t>
            </w:r>
          </w:p>
        </w:tc>
        <w:tc>
          <w:tcPr>
            <w:tcW w:w="3055" w:type="dxa"/>
            <w:vAlign w:val="center"/>
          </w:tcPr>
          <w:p>
            <w:pPr>
              <w:spacing w:line="240" w:lineRule="auto"/>
              <w:ind w:firstLine="0" w:firstLineChars="0"/>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pPr>
              <w:autoSpaceDE w:val="0"/>
              <w:autoSpaceDN w:val="0"/>
              <w:adjustRightInd w:val="0"/>
              <w:spacing w:line="240" w:lineRule="auto"/>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附件2</w:t>
            </w:r>
          </w:p>
        </w:tc>
        <w:tc>
          <w:tcPr>
            <w:tcW w:w="3055"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送货地址汇总表</w:t>
            </w:r>
          </w:p>
        </w:tc>
        <w:tc>
          <w:tcPr>
            <w:tcW w:w="1346"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pPr>
              <w:autoSpaceDE w:val="0"/>
              <w:autoSpaceDN w:val="0"/>
              <w:adjustRightInd w:val="0"/>
              <w:spacing w:line="240" w:lineRule="auto"/>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附件6</w:t>
            </w:r>
          </w:p>
        </w:tc>
        <w:tc>
          <w:tcPr>
            <w:tcW w:w="3055"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r>
              <w:rPr>
                <w:rFonts w:hint="eastAsia" w:ascii="宋体" w:hAnsi="宋体" w:eastAsia="宋体" w:cs="Times New Roman"/>
                <w:color w:val="auto"/>
                <w:sz w:val="21"/>
                <w:szCs w:val="21"/>
                <w:lang w:eastAsia="zh-CN"/>
              </w:rPr>
              <w:t>供应商履约评价表</w:t>
            </w:r>
          </w:p>
        </w:tc>
        <w:tc>
          <w:tcPr>
            <w:tcW w:w="1346"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pPr>
              <w:autoSpaceDE w:val="0"/>
              <w:autoSpaceDN w:val="0"/>
              <w:adjustRightInd w:val="0"/>
              <w:spacing w:line="240" w:lineRule="auto"/>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pPr>
              <w:pStyle w:val="62"/>
              <w:snapToGrid w:val="0"/>
              <w:spacing w:line="240" w:lineRule="auto"/>
              <w:ind w:firstLine="0" w:firstLineChars="0"/>
              <w:jc w:val="center"/>
              <w:outlineLvl w:val="9"/>
              <w:rPr>
                <w:rFonts w:ascii="宋体" w:hAnsi="宋体" w:eastAsia="宋体" w:cs="宋体"/>
                <w:color w:val="auto"/>
                <w:kern w:val="0"/>
                <w:szCs w:val="21"/>
                <w:highlight w:val="none"/>
              </w:rPr>
            </w:pPr>
            <w:r>
              <w:rPr>
                <w:rFonts w:hint="eastAsia" w:ascii="宋体" w:eastAsia="宋体"/>
                <w:color w:val="auto"/>
                <w:sz w:val="21"/>
                <w:szCs w:val="21"/>
              </w:rPr>
              <w:t>一</w:t>
            </w:r>
          </w:p>
        </w:tc>
        <w:tc>
          <w:tcPr>
            <w:tcW w:w="3055" w:type="dxa"/>
            <w:vAlign w:val="center"/>
          </w:tcPr>
          <w:p>
            <w:pPr>
              <w:pStyle w:val="62"/>
              <w:snapToGrid w:val="0"/>
              <w:spacing w:line="240" w:lineRule="auto"/>
              <w:ind w:firstLine="0" w:firstLineChars="0"/>
              <w:jc w:val="center"/>
              <w:outlineLvl w:val="9"/>
              <w:rPr>
                <w:rFonts w:ascii="宋体" w:hAnsi="宋体" w:eastAsia="宋体" w:cs="宋体"/>
                <w:color w:val="auto"/>
                <w:kern w:val="0"/>
                <w:szCs w:val="21"/>
                <w:highlight w:val="none"/>
              </w:rPr>
            </w:pPr>
            <w:r>
              <w:rPr>
                <w:rFonts w:hint="eastAsia" w:ascii="宋体" w:eastAsia="宋体"/>
                <w:color w:val="auto"/>
                <w:sz w:val="21"/>
                <w:szCs w:val="21"/>
              </w:rPr>
              <w:t>不可撤销银行履约保函</w:t>
            </w:r>
          </w:p>
        </w:tc>
        <w:tc>
          <w:tcPr>
            <w:tcW w:w="1346"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pPr>
              <w:autoSpaceDE w:val="0"/>
              <w:autoSpaceDN w:val="0"/>
              <w:adjustRightInd w:val="0"/>
              <w:spacing w:line="240" w:lineRule="auto"/>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pPr>
              <w:pStyle w:val="62"/>
              <w:snapToGrid w:val="0"/>
              <w:spacing w:line="240" w:lineRule="auto"/>
              <w:ind w:firstLine="0" w:firstLineChars="0"/>
              <w:jc w:val="center"/>
              <w:outlineLvl w:val="9"/>
              <w:rPr>
                <w:rFonts w:ascii="宋体" w:hAnsi="宋体" w:eastAsia="宋体" w:cs="宋体"/>
                <w:color w:val="auto"/>
                <w:kern w:val="0"/>
                <w:szCs w:val="21"/>
                <w:highlight w:val="none"/>
              </w:rPr>
            </w:pPr>
            <w:r>
              <w:rPr>
                <w:rFonts w:hint="eastAsia" w:ascii="宋体" w:eastAsia="宋体"/>
                <w:color w:val="auto"/>
                <w:sz w:val="21"/>
                <w:szCs w:val="21"/>
              </w:rPr>
              <w:t>二</w:t>
            </w:r>
          </w:p>
        </w:tc>
        <w:tc>
          <w:tcPr>
            <w:tcW w:w="3055" w:type="dxa"/>
            <w:vAlign w:val="center"/>
          </w:tcPr>
          <w:p>
            <w:pPr>
              <w:pStyle w:val="62"/>
              <w:snapToGrid w:val="0"/>
              <w:spacing w:line="240" w:lineRule="auto"/>
              <w:ind w:firstLine="0" w:firstLineChars="0"/>
              <w:jc w:val="center"/>
              <w:outlineLvl w:val="9"/>
              <w:rPr>
                <w:rFonts w:ascii="宋体" w:hAnsi="宋体" w:eastAsia="宋体" w:cs="宋体"/>
                <w:color w:val="auto"/>
                <w:kern w:val="0"/>
                <w:szCs w:val="21"/>
                <w:highlight w:val="none"/>
              </w:rPr>
            </w:pPr>
            <w:r>
              <w:rPr>
                <w:rFonts w:hint="eastAsia" w:ascii="宋体" w:eastAsia="宋体"/>
                <w:color w:val="auto"/>
                <w:sz w:val="21"/>
                <w:szCs w:val="21"/>
              </w:rPr>
              <w:t>履约保证保险凭证</w:t>
            </w:r>
          </w:p>
        </w:tc>
        <w:tc>
          <w:tcPr>
            <w:tcW w:w="1346"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pPr>
              <w:autoSpaceDE w:val="0"/>
              <w:autoSpaceDN w:val="0"/>
              <w:adjustRightInd w:val="0"/>
              <w:spacing w:line="240" w:lineRule="auto"/>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pPr>
              <w:pStyle w:val="62"/>
              <w:snapToGrid w:val="0"/>
              <w:spacing w:line="240" w:lineRule="auto"/>
              <w:ind w:firstLine="0" w:firstLineChars="0"/>
              <w:jc w:val="center"/>
              <w:outlineLvl w:val="9"/>
              <w:rPr>
                <w:rFonts w:ascii="宋体" w:hAnsi="宋体" w:eastAsia="宋体" w:cs="宋体"/>
                <w:color w:val="auto"/>
                <w:kern w:val="0"/>
                <w:szCs w:val="21"/>
                <w:highlight w:val="none"/>
              </w:rPr>
            </w:pPr>
            <w:r>
              <w:rPr>
                <w:rFonts w:hint="eastAsia" w:ascii="宋体" w:eastAsia="宋体"/>
                <w:color w:val="auto"/>
                <w:sz w:val="21"/>
                <w:szCs w:val="21"/>
              </w:rPr>
              <w:t>三</w:t>
            </w:r>
          </w:p>
        </w:tc>
        <w:tc>
          <w:tcPr>
            <w:tcW w:w="3055" w:type="dxa"/>
            <w:vAlign w:val="center"/>
          </w:tcPr>
          <w:p>
            <w:pPr>
              <w:pStyle w:val="62"/>
              <w:snapToGrid w:val="0"/>
              <w:spacing w:line="240" w:lineRule="auto"/>
              <w:ind w:firstLine="0" w:firstLineChars="0"/>
              <w:jc w:val="center"/>
              <w:outlineLvl w:val="9"/>
              <w:rPr>
                <w:rFonts w:ascii="宋体" w:hAnsi="宋体" w:eastAsia="宋体" w:cs="宋体"/>
                <w:color w:val="auto"/>
                <w:kern w:val="0"/>
                <w:szCs w:val="21"/>
                <w:highlight w:val="none"/>
              </w:rPr>
            </w:pPr>
            <w:r>
              <w:rPr>
                <w:rFonts w:hint="eastAsia" w:ascii="宋体" w:eastAsia="宋体"/>
                <w:color w:val="auto"/>
                <w:sz w:val="21"/>
                <w:szCs w:val="21"/>
              </w:rPr>
              <w:t>担保公司履约担保书</w:t>
            </w:r>
          </w:p>
        </w:tc>
        <w:tc>
          <w:tcPr>
            <w:tcW w:w="1346"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240" w:lineRule="auto"/>
              <w:jc w:val="center"/>
              <w:outlineLvl w:val="9"/>
              <w:rPr>
                <w:rFonts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outlineLvl w:val="9"/>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166" w:leftChars="-101" w:hanging="378" w:hangingChars="180"/>
        <w:jc w:val="left"/>
        <w:outlineLvl w:val="9"/>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spacing w:line="360" w:lineRule="auto"/>
        <w:ind w:left="605" w:leftChars="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pPr>
        <w:spacing w:line="360" w:lineRule="auto"/>
        <w:ind w:left="605" w:leftChars="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bCs/>
          <w:color w:val="auto"/>
          <w:szCs w:val="21"/>
          <w:highlight w:val="none"/>
          <w:u w:val="single"/>
        </w:rPr>
        <w:t>偏离情况（投标文件对招标文件合同条款的响应程度）分为：正偏离、负偏离、无偏离。正偏离是指投标人提供的货物</w:t>
      </w:r>
      <w:r>
        <w:rPr>
          <w:rFonts w:hint="eastAsia" w:ascii="宋体" w:hAnsi="宋体" w:eastAsia="宋体" w:cs="宋体"/>
          <w:b/>
          <w:bCs/>
          <w:color w:val="auto"/>
          <w:szCs w:val="21"/>
          <w:highlight w:val="none"/>
          <w:u w:val="single"/>
          <w:lang w:val="en-US" w:eastAsia="zh-CN"/>
        </w:rPr>
        <w:t>及有关服务</w:t>
      </w:r>
      <w:r>
        <w:rPr>
          <w:rFonts w:hint="eastAsia" w:ascii="宋体" w:hAnsi="宋体" w:eastAsia="宋体" w:cs="宋体"/>
          <w:b/>
          <w:bCs/>
          <w:color w:val="auto"/>
          <w:szCs w:val="21"/>
          <w:highlight w:val="none"/>
          <w:u w:val="single"/>
        </w:rPr>
        <w:t>商务条件优于招标文件的要求；负偏离是指投标人提供的货物</w:t>
      </w:r>
      <w:r>
        <w:rPr>
          <w:rFonts w:hint="eastAsia" w:ascii="宋体" w:hAnsi="宋体" w:eastAsia="宋体" w:cs="宋体"/>
          <w:b/>
          <w:bCs/>
          <w:color w:val="auto"/>
          <w:szCs w:val="21"/>
          <w:highlight w:val="none"/>
          <w:u w:val="single"/>
          <w:lang w:val="en-US" w:eastAsia="zh-CN"/>
        </w:rPr>
        <w:t>及有关服务</w:t>
      </w:r>
      <w:r>
        <w:rPr>
          <w:rFonts w:hint="eastAsia" w:ascii="宋体" w:hAnsi="宋体" w:eastAsia="宋体" w:cs="宋体"/>
          <w:b/>
          <w:bCs/>
          <w:color w:val="auto"/>
          <w:szCs w:val="21"/>
          <w:highlight w:val="none"/>
          <w:u w:val="single"/>
        </w:rPr>
        <w:t>商务条件不满足或不完全满足招标文件的要求；无偏离是指投标人提供的货物</w:t>
      </w:r>
      <w:r>
        <w:rPr>
          <w:rFonts w:hint="eastAsia" w:ascii="宋体" w:hAnsi="宋体" w:eastAsia="宋体" w:cs="宋体"/>
          <w:b/>
          <w:bCs/>
          <w:color w:val="auto"/>
          <w:szCs w:val="21"/>
          <w:highlight w:val="none"/>
          <w:u w:val="single"/>
          <w:lang w:val="en-US" w:eastAsia="zh-CN"/>
        </w:rPr>
        <w:t>及有关服务</w:t>
      </w:r>
      <w:r>
        <w:rPr>
          <w:rFonts w:hint="eastAsia" w:ascii="宋体" w:hAnsi="宋体" w:eastAsia="宋体" w:cs="宋体"/>
          <w:b/>
          <w:bCs/>
          <w:color w:val="auto"/>
          <w:szCs w:val="21"/>
          <w:highlight w:val="none"/>
          <w:u w:val="single"/>
        </w:rPr>
        <w:t>商务条件完全满足招标文件的要求</w:t>
      </w:r>
      <w:r>
        <w:rPr>
          <w:rFonts w:hint="eastAsia" w:ascii="宋体" w:hAnsi="宋体" w:eastAsia="宋体" w:cs="宋体"/>
          <w:color w:val="auto"/>
          <w:szCs w:val="21"/>
          <w:highlight w:val="none"/>
        </w:rPr>
        <w:t>。</w:t>
      </w:r>
    </w:p>
    <w:p>
      <w:pPr>
        <w:spacing w:line="360" w:lineRule="auto"/>
        <w:ind w:left="605" w:leftChars="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ascii="宋体" w:hAnsi="宋体" w:eastAsia="宋体" w:cs="宋体"/>
          <w:b/>
          <w:bCs/>
          <w:color w:val="auto"/>
          <w:szCs w:val="21"/>
          <w:highlight w:val="none"/>
          <w:u w:val="single"/>
        </w:rPr>
        <w:t>招标文件“第五篇 相关保函格式”作为重要的商务条款，投标人的响应情况列入本合同条款偏离表</w:t>
      </w:r>
      <w:r>
        <w:rPr>
          <w:rFonts w:ascii="宋体" w:hAnsi="宋体" w:eastAsia="宋体" w:cs="宋体"/>
          <w:color w:val="auto"/>
          <w:szCs w:val="21"/>
          <w:highlight w:val="none"/>
        </w:rPr>
        <w:t>。</w:t>
      </w:r>
    </w:p>
    <w:p>
      <w:pPr>
        <w:spacing w:line="360" w:lineRule="auto"/>
        <w:ind w:left="605" w:leftChars="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u w:val="single"/>
        </w:rPr>
        <w:t>如投标人差异内容较多可另附页说明，并在本偏离表“具体偏离内容”项注明其在投标文件中的具体页码</w:t>
      </w:r>
      <w:r>
        <w:rPr>
          <w:rFonts w:hint="eastAsia" w:ascii="宋体" w:hAnsi="宋体" w:eastAsia="宋体" w:cs="宋体"/>
          <w:color w:val="auto"/>
          <w:szCs w:val="21"/>
          <w:highlight w:val="none"/>
        </w:rPr>
        <w:t>。</w:t>
      </w:r>
    </w:p>
    <w:p>
      <w:pPr>
        <w:spacing w:line="360" w:lineRule="auto"/>
        <w:ind w:left="357" w:leftChars="-100" w:hanging="567" w:hangingChars="270"/>
        <w:outlineLvl w:val="9"/>
        <w:rPr>
          <w:rFonts w:ascii="宋体" w:hAnsi="宋体" w:eastAsia="宋体" w:cs="宋体"/>
          <w:color w:val="auto"/>
          <w:szCs w:val="21"/>
          <w:highlight w:val="none"/>
        </w:rPr>
      </w:pPr>
    </w:p>
    <w:p>
      <w:pPr>
        <w:spacing w:line="360" w:lineRule="auto"/>
        <w:ind w:left="357" w:leftChars="-100" w:hanging="567" w:hangingChars="270"/>
        <w:outlineLvl w:val="9"/>
        <w:rPr>
          <w:rFonts w:ascii="宋体" w:hAnsi="宋体" w:eastAsia="宋体" w:cs="宋体"/>
          <w:color w:val="auto"/>
          <w:szCs w:val="21"/>
          <w:highlight w:val="none"/>
        </w:rPr>
      </w:pPr>
    </w:p>
    <w:p>
      <w:pPr>
        <w:spacing w:line="360" w:lineRule="auto"/>
        <w:ind w:left="357" w:leftChars="-100" w:hanging="567" w:hangingChars="270"/>
        <w:outlineLvl w:val="9"/>
        <w:rPr>
          <w:rFonts w:ascii="宋体" w:hAnsi="宋体" w:eastAsia="宋体" w:cs="宋体"/>
          <w:color w:val="auto"/>
          <w:szCs w:val="21"/>
          <w:highlight w:val="none"/>
        </w:rPr>
      </w:pPr>
    </w:p>
    <w:p>
      <w:pPr>
        <w:spacing w:line="360" w:lineRule="auto"/>
        <w:ind w:right="368" w:rightChars="175" w:firstLine="5355" w:firstLineChars="2550"/>
        <w:jc w:val="left"/>
        <w:outlineLvl w:val="9"/>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firstLine="5355" w:firstLineChars="255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jc w:val="left"/>
        <w:outlineLvl w:val="9"/>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765" w:name="_Toc142508377"/>
      <w:bookmarkStart w:id="766" w:name="_Toc32336"/>
      <w:bookmarkStart w:id="767" w:name="_Toc13868"/>
      <w:bookmarkStart w:id="768" w:name="_Toc104991884"/>
      <w:bookmarkStart w:id="769" w:name="_Toc2075"/>
      <w:bookmarkStart w:id="770" w:name="_Toc140596937"/>
      <w:bookmarkStart w:id="771" w:name="_Toc10102"/>
      <w:bookmarkStart w:id="772" w:name="_Toc102860426"/>
      <w:bookmarkStart w:id="773" w:name="_Toc13348"/>
      <w:bookmarkStart w:id="774" w:name="_Toc102860082"/>
      <w:bookmarkStart w:id="775" w:name="_Toc94107218"/>
      <w:bookmarkStart w:id="776" w:name="_Toc27980_WPSOffice_Level2"/>
      <w:bookmarkStart w:id="777" w:name="_Toc486167717"/>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765"/>
      <w:bookmarkEnd w:id="766"/>
      <w:bookmarkEnd w:id="767"/>
      <w:bookmarkEnd w:id="768"/>
      <w:bookmarkEnd w:id="769"/>
      <w:bookmarkEnd w:id="770"/>
      <w:bookmarkEnd w:id="771"/>
      <w:bookmarkEnd w:id="772"/>
      <w:bookmarkEnd w:id="773"/>
      <w:bookmarkEnd w:id="774"/>
      <w:bookmarkEnd w:id="775"/>
    </w:p>
    <w:p>
      <w:pPr>
        <w:tabs>
          <w:tab w:val="left" w:pos="567"/>
        </w:tabs>
        <w:autoSpaceDE w:val="0"/>
        <w:autoSpaceDN w:val="0"/>
        <w:adjustRightInd w:val="0"/>
        <w:spacing w:line="360" w:lineRule="auto"/>
        <w:jc w:val="center"/>
        <w:outlineLvl w:val="9"/>
        <w:rPr>
          <w:rFonts w:hint="eastAsia" w:ascii="宋体" w:hAnsi="宋体" w:eastAsia="宋体" w:cs="宋体"/>
          <w:b/>
          <w:color w:val="auto"/>
          <w:kern w:val="0"/>
          <w:sz w:val="32"/>
          <w:szCs w:val="32"/>
          <w:highlight w:val="none"/>
          <w:lang w:val="zh-CN"/>
        </w:rPr>
      </w:pPr>
      <w:bookmarkStart w:id="778" w:name="_Toc19878"/>
      <w:bookmarkStart w:id="779" w:name="_Toc27480"/>
      <w:bookmarkStart w:id="780" w:name="_Toc19088"/>
      <w:r>
        <w:rPr>
          <w:rFonts w:hint="eastAsia" w:ascii="宋体" w:hAnsi="宋体" w:eastAsia="宋体" w:cs="宋体"/>
          <w:b/>
          <w:color w:val="auto"/>
          <w:kern w:val="0"/>
          <w:sz w:val="32"/>
          <w:szCs w:val="32"/>
          <w:highlight w:val="none"/>
          <w:lang w:val="zh-CN"/>
        </w:rPr>
        <w:t>投标人</w:t>
      </w:r>
      <w:r>
        <w:rPr>
          <w:rFonts w:hint="eastAsia" w:ascii="宋体" w:hAnsi="宋体" w:eastAsia="宋体" w:cs="宋体"/>
          <w:b/>
          <w:color w:val="auto"/>
          <w:kern w:val="0"/>
          <w:sz w:val="32"/>
          <w:szCs w:val="32"/>
          <w:highlight w:val="none"/>
          <w:lang w:val="en-US" w:eastAsia="zh-CN"/>
        </w:rPr>
        <w:t>2021</w:t>
      </w:r>
      <w:r>
        <w:rPr>
          <w:rFonts w:hint="eastAsia" w:ascii="宋体" w:hAnsi="宋体" w:eastAsia="宋体" w:cs="宋体"/>
          <w:b/>
          <w:color w:val="auto"/>
          <w:kern w:val="0"/>
          <w:sz w:val="32"/>
          <w:szCs w:val="32"/>
          <w:highlight w:val="none"/>
          <w:lang w:val="zh-CN"/>
        </w:rPr>
        <w:t>年</w:t>
      </w:r>
      <w:r>
        <w:rPr>
          <w:rFonts w:hint="eastAsia" w:ascii="宋体" w:hAnsi="宋体" w:eastAsia="宋体" w:cs="宋体"/>
          <w:b/>
          <w:color w:val="auto"/>
          <w:kern w:val="0"/>
          <w:sz w:val="32"/>
          <w:szCs w:val="32"/>
          <w:highlight w:val="none"/>
          <w:lang w:val="en-US" w:eastAsia="zh-CN"/>
        </w:rPr>
        <w:t>1</w:t>
      </w:r>
      <w:r>
        <w:rPr>
          <w:rFonts w:hint="eastAsia" w:ascii="宋体" w:hAnsi="宋体" w:eastAsia="宋体" w:cs="宋体"/>
          <w:b/>
          <w:color w:val="auto"/>
          <w:kern w:val="0"/>
          <w:sz w:val="32"/>
          <w:szCs w:val="32"/>
          <w:highlight w:val="none"/>
          <w:lang w:val="zh-CN"/>
        </w:rPr>
        <w:t>月</w:t>
      </w:r>
      <w:r>
        <w:rPr>
          <w:rFonts w:hint="eastAsia" w:ascii="宋体" w:hAnsi="宋体" w:eastAsia="宋体" w:cs="宋体"/>
          <w:b/>
          <w:color w:val="auto"/>
          <w:kern w:val="0"/>
          <w:sz w:val="32"/>
          <w:szCs w:val="32"/>
          <w:highlight w:val="none"/>
          <w:lang w:val="en-US" w:eastAsia="zh-CN"/>
        </w:rPr>
        <w:t>1</w:t>
      </w:r>
      <w:r>
        <w:rPr>
          <w:rFonts w:hint="eastAsia" w:ascii="宋体" w:hAnsi="宋体" w:eastAsia="宋体" w:cs="宋体"/>
          <w:b/>
          <w:color w:val="auto"/>
          <w:kern w:val="0"/>
          <w:sz w:val="32"/>
          <w:szCs w:val="32"/>
          <w:highlight w:val="none"/>
          <w:lang w:val="zh-CN"/>
        </w:rPr>
        <w:t>日以来承接的五金配件在国内的销售</w:t>
      </w:r>
      <w:bookmarkEnd w:id="778"/>
      <w:bookmarkEnd w:id="779"/>
      <w:bookmarkEnd w:id="780"/>
      <w:bookmarkStart w:id="781" w:name="_Toc28663"/>
      <w:bookmarkStart w:id="782" w:name="_Toc9016"/>
      <w:bookmarkStart w:id="783" w:name="_Toc15408"/>
      <w:r>
        <w:rPr>
          <w:rFonts w:hint="eastAsia" w:ascii="宋体" w:hAnsi="宋体" w:eastAsia="宋体" w:cs="宋体"/>
          <w:b/>
          <w:color w:val="auto"/>
          <w:kern w:val="0"/>
          <w:sz w:val="32"/>
          <w:szCs w:val="32"/>
          <w:highlight w:val="none"/>
          <w:lang w:val="zh-CN"/>
        </w:rPr>
        <w:t>业绩表</w:t>
      </w:r>
      <w:bookmarkEnd w:id="781"/>
      <w:bookmarkEnd w:id="782"/>
      <w:bookmarkEnd w:id="783"/>
    </w:p>
    <w:tbl>
      <w:tblPr>
        <w:tblStyle w:val="3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6"/>
        <w:gridCol w:w="816"/>
        <w:gridCol w:w="1060"/>
        <w:gridCol w:w="1036"/>
        <w:gridCol w:w="1347"/>
        <w:gridCol w:w="1347"/>
        <w:gridCol w:w="813"/>
        <w:gridCol w:w="747"/>
        <w:gridCol w:w="791"/>
        <w:gridCol w:w="1040"/>
        <w:gridCol w:w="6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39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9"/>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pPr>
              <w:autoSpaceDE w:val="0"/>
              <w:autoSpaceDN w:val="0"/>
              <w:adjustRightInd w:val="0"/>
              <w:jc w:val="center"/>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51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49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9"/>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64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9"/>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64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9"/>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pPr>
              <w:autoSpaceDE w:val="0"/>
              <w:autoSpaceDN w:val="0"/>
              <w:adjustRightInd w:val="0"/>
              <w:jc w:val="center"/>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9"/>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36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9"/>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pPr>
              <w:autoSpaceDE w:val="0"/>
              <w:autoSpaceDN w:val="0"/>
              <w:adjustRightInd w:val="0"/>
              <w:jc w:val="center"/>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3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9"/>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pPr>
              <w:autoSpaceDE w:val="0"/>
              <w:autoSpaceDN w:val="0"/>
              <w:adjustRightInd w:val="0"/>
              <w:jc w:val="center"/>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50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39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39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39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39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9"/>
              <w:rPr>
                <w:rFonts w:ascii="宋体" w:hAnsi="宋体" w:eastAsia="宋体" w:cs="Times New Roman"/>
                <w:color w:val="auto"/>
                <w:kern w:val="0"/>
                <w:szCs w:val="21"/>
                <w:highlight w:val="none"/>
              </w:rPr>
            </w:pPr>
          </w:p>
        </w:tc>
      </w:tr>
    </w:tbl>
    <w:p>
      <w:pPr>
        <w:autoSpaceDE w:val="0"/>
        <w:autoSpaceDN w:val="0"/>
        <w:adjustRightInd w:val="0"/>
        <w:snapToGrid w:val="0"/>
        <w:spacing w:line="360" w:lineRule="auto"/>
        <w:ind w:left="186" w:leftChars="-158" w:hanging="518" w:hangingChars="247"/>
        <w:jc w:val="left"/>
        <w:outlineLvl w:val="9"/>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481" w:leftChars="-41" w:hanging="567" w:hangingChars="270"/>
        <w:jc w:val="left"/>
        <w:outlineLvl w:val="9"/>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autoSpaceDE w:val="0"/>
        <w:autoSpaceDN w:val="0"/>
        <w:adjustRightInd w:val="0"/>
        <w:snapToGrid w:val="0"/>
        <w:spacing w:line="360" w:lineRule="auto"/>
        <w:ind w:left="481" w:leftChars="-41" w:hanging="567" w:hangingChars="270"/>
        <w:jc w:val="left"/>
        <w:outlineLvl w:val="9"/>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b/>
          <w:bCs/>
          <w:color w:val="auto"/>
          <w:szCs w:val="24"/>
          <w:highlight w:val="none"/>
          <w:u w:val="single"/>
          <w:lang w:val="zh-CN"/>
        </w:rPr>
        <w:t>业绩按单项合同采购金额从高到低的方式排列</w:t>
      </w:r>
      <w:r>
        <w:rPr>
          <w:rFonts w:hint="eastAsia" w:ascii="宋体" w:hAnsi="宋体" w:eastAsia="宋体" w:cs="Times New Roman"/>
          <w:b/>
          <w:bCs/>
          <w:color w:val="auto"/>
          <w:szCs w:val="24"/>
          <w:highlight w:val="none"/>
          <w:u w:val="single"/>
          <w:lang w:val="zh-CN"/>
        </w:rPr>
        <w:t>；同一个单项合同的业绩可以同时在资格业绩和评分业绩重复放置，</w:t>
      </w:r>
      <w:r>
        <w:rPr>
          <w:rFonts w:hint="eastAsia" w:ascii="宋体" w:hAnsi="宋体" w:eastAsia="宋体" w:cs="Times New Roman"/>
          <w:b/>
          <w:bCs/>
          <w:color w:val="auto"/>
          <w:szCs w:val="24"/>
          <w:highlight w:val="none"/>
          <w:u w:val="single"/>
          <w:lang w:val="en-US" w:eastAsia="zh-CN"/>
        </w:rPr>
        <w:t>作为投标人资格条件证明的业绩放置在“6.4资格业绩处”</w:t>
      </w:r>
      <w:r>
        <w:rPr>
          <w:rFonts w:hint="eastAsia" w:ascii="宋体" w:hAnsi="宋体" w:eastAsia="宋体" w:cs="Times New Roman"/>
          <w:color w:val="auto"/>
          <w:szCs w:val="24"/>
          <w:highlight w:val="none"/>
          <w:lang w:val="zh-CN"/>
        </w:rPr>
        <w:t>。</w:t>
      </w:r>
    </w:p>
    <w:p>
      <w:pPr>
        <w:autoSpaceDE w:val="0"/>
        <w:autoSpaceDN w:val="0"/>
        <w:adjustRightInd w:val="0"/>
        <w:snapToGrid w:val="0"/>
        <w:spacing w:line="360" w:lineRule="auto"/>
        <w:ind w:left="481" w:leftChars="-41" w:hanging="567" w:hangingChars="270"/>
        <w:jc w:val="left"/>
        <w:outlineLvl w:val="9"/>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u w:val="single"/>
          <w:lang w:val="zh-CN"/>
        </w:rPr>
        <w:t>业绩须附</w:t>
      </w:r>
      <w:r>
        <w:rPr>
          <w:rFonts w:hint="eastAsia" w:ascii="宋体" w:hAnsi="宋体" w:eastAsia="宋体" w:cs="Times New Roman"/>
          <w:b/>
          <w:bCs/>
          <w:color w:val="auto"/>
          <w:szCs w:val="24"/>
          <w:highlight w:val="none"/>
          <w:u w:val="single"/>
          <w:lang w:val="en-US" w:eastAsia="zh-CN"/>
        </w:rPr>
        <w:t>五金配件</w:t>
      </w:r>
      <w:r>
        <w:rPr>
          <w:rFonts w:hint="eastAsia" w:ascii="宋体" w:hAnsi="宋体" w:eastAsia="宋体" w:cs="Times New Roman"/>
          <w:b/>
          <w:bCs/>
          <w:color w:val="auto"/>
          <w:szCs w:val="24"/>
          <w:highlight w:val="none"/>
          <w:u w:val="single"/>
          <w:lang w:val="zh-CN"/>
        </w:rPr>
        <w:t>销售合同复印件（合同卖方为投标人），</w:t>
      </w:r>
      <w:r>
        <w:rPr>
          <w:rFonts w:hint="eastAsia" w:ascii="宋体" w:hAnsi="宋体" w:eastAsia="宋体" w:cs="Times New Roman"/>
          <w:b/>
          <w:bCs/>
          <w:color w:val="auto"/>
          <w:szCs w:val="24"/>
          <w:highlight w:val="none"/>
          <w:u w:val="single"/>
          <w:lang w:val="en-US" w:eastAsia="zh-CN"/>
        </w:rPr>
        <w:t>否则不得分</w:t>
      </w:r>
      <w:r>
        <w:rPr>
          <w:rFonts w:hint="eastAsia" w:ascii="宋体" w:hAnsi="宋体" w:eastAsia="宋体" w:cs="Times New Roman"/>
          <w:color w:val="auto"/>
          <w:szCs w:val="24"/>
          <w:highlight w:val="none"/>
          <w:lang w:val="zh-CN"/>
        </w:rPr>
        <w:t>。</w:t>
      </w:r>
    </w:p>
    <w:p>
      <w:pPr>
        <w:autoSpaceDE w:val="0"/>
        <w:autoSpaceDN w:val="0"/>
        <w:adjustRightInd w:val="0"/>
        <w:snapToGrid w:val="0"/>
        <w:spacing w:line="360" w:lineRule="auto"/>
        <w:ind w:left="481" w:leftChars="-41" w:hanging="567" w:hangingChars="270"/>
        <w:jc w:val="left"/>
        <w:outlineLvl w:val="9"/>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u w:val="single"/>
          <w:lang w:val="zh-CN"/>
        </w:rPr>
        <w:t>若合同无法反映评分条件（合同签订日期为202</w:t>
      </w:r>
      <w:r>
        <w:rPr>
          <w:rFonts w:hint="eastAsia" w:ascii="宋体" w:hAnsi="宋体" w:eastAsia="宋体" w:cs="Times New Roman"/>
          <w:b/>
          <w:bCs/>
          <w:color w:val="auto"/>
          <w:szCs w:val="24"/>
          <w:highlight w:val="none"/>
          <w:u w:val="single"/>
          <w:lang w:val="en-US" w:eastAsia="zh-CN"/>
        </w:rPr>
        <w:t>1</w:t>
      </w:r>
      <w:r>
        <w:rPr>
          <w:rFonts w:hint="eastAsia" w:ascii="宋体" w:hAnsi="宋体" w:eastAsia="宋体" w:cs="Times New Roman"/>
          <w:b/>
          <w:bCs/>
          <w:color w:val="auto"/>
          <w:szCs w:val="24"/>
          <w:highlight w:val="none"/>
          <w:u w:val="single"/>
          <w:lang w:val="zh-CN"/>
        </w:rPr>
        <w:t>年1月1日或以后、合同标的必须包含五金配件、合同金额），还需提供购买方出具的书面补充说明文件复印件作为辅助证明（补充说明文件复印件能显示购买方公章），否则不得分</w:t>
      </w:r>
      <w:r>
        <w:rPr>
          <w:rFonts w:hint="eastAsia" w:ascii="宋体" w:hAnsi="宋体" w:eastAsia="宋体" w:cs="Times New Roman"/>
          <w:color w:val="auto"/>
          <w:szCs w:val="24"/>
          <w:highlight w:val="none"/>
          <w:lang w:val="zh-CN"/>
        </w:rPr>
        <w:t>。</w:t>
      </w:r>
    </w:p>
    <w:p>
      <w:pPr>
        <w:autoSpaceDE w:val="0"/>
        <w:autoSpaceDN w:val="0"/>
        <w:adjustRightInd w:val="0"/>
        <w:snapToGrid w:val="0"/>
        <w:spacing w:line="360" w:lineRule="auto"/>
        <w:ind w:left="481" w:leftChars="-41" w:hanging="567" w:hangingChars="270"/>
        <w:jc w:val="left"/>
        <w:outlineLvl w:val="9"/>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u w:val="single"/>
          <w:lang w:val="zh-CN"/>
        </w:rPr>
        <w:t>若业绩为框架式协议或资格入围无明确金额的合同，必须同时提供合同期限内已供货产品发票金额统计表和发票复印件，否则不得分</w:t>
      </w:r>
      <w:r>
        <w:rPr>
          <w:rFonts w:hint="eastAsia" w:ascii="宋体" w:hAnsi="宋体" w:eastAsia="宋体" w:cs="Times New Roman"/>
          <w:color w:val="auto"/>
          <w:szCs w:val="24"/>
          <w:highlight w:val="none"/>
          <w:lang w:val="zh-CN"/>
        </w:rPr>
        <w:t>。</w:t>
      </w:r>
    </w:p>
    <w:p>
      <w:pPr>
        <w:autoSpaceDE w:val="0"/>
        <w:autoSpaceDN w:val="0"/>
        <w:adjustRightInd w:val="0"/>
        <w:snapToGrid w:val="0"/>
        <w:spacing w:line="360" w:lineRule="auto"/>
        <w:ind w:left="481" w:leftChars="-41" w:hanging="567" w:hangingChars="270"/>
        <w:jc w:val="left"/>
        <w:outlineLvl w:val="9"/>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u w:val="single"/>
          <w:lang w:val="zh-CN"/>
        </w:rPr>
        <w:t>未按上述要求</w:t>
      </w:r>
      <w:r>
        <w:rPr>
          <w:rFonts w:hint="eastAsia" w:ascii="宋体" w:hAnsi="宋体" w:eastAsia="宋体" w:cs="Times New Roman"/>
          <w:b/>
          <w:bCs/>
          <w:color w:val="auto"/>
          <w:szCs w:val="24"/>
          <w:highlight w:val="none"/>
          <w:u w:val="single"/>
          <w:lang w:val="en-US" w:eastAsia="zh-CN"/>
        </w:rPr>
        <w:t>在此格式下</w:t>
      </w:r>
      <w:r>
        <w:rPr>
          <w:rFonts w:hint="eastAsia" w:ascii="宋体" w:hAnsi="宋体" w:eastAsia="宋体" w:cs="Times New Roman"/>
          <w:b/>
          <w:bCs/>
          <w:color w:val="auto"/>
          <w:szCs w:val="24"/>
          <w:highlight w:val="none"/>
          <w:u w:val="single"/>
          <w:lang w:val="zh-CN"/>
        </w:rPr>
        <w:t>提供证明材料的业绩，或</w:t>
      </w:r>
      <w:r>
        <w:rPr>
          <w:rFonts w:hint="eastAsia" w:ascii="宋体" w:hAnsi="宋体" w:eastAsia="宋体" w:cs="Times New Roman"/>
          <w:b/>
          <w:bCs/>
          <w:color w:val="auto"/>
          <w:szCs w:val="24"/>
          <w:highlight w:val="none"/>
          <w:u w:val="single"/>
          <w:lang w:val="en-US" w:eastAsia="zh-CN"/>
        </w:rPr>
        <w:t>此格式下</w:t>
      </w:r>
      <w:r>
        <w:rPr>
          <w:rFonts w:hint="eastAsia" w:ascii="宋体" w:hAnsi="宋体" w:eastAsia="宋体" w:cs="Times New Roman"/>
          <w:b/>
          <w:bCs/>
          <w:color w:val="auto"/>
          <w:szCs w:val="24"/>
          <w:highlight w:val="none"/>
          <w:u w:val="single"/>
          <w:lang w:val="zh-CN"/>
        </w:rPr>
        <w:t>所附材料无法证明填报项目属投标人完成的或符合本项评分要求的业绩，在评标时将不予考虑</w:t>
      </w:r>
      <w:r>
        <w:rPr>
          <w:rFonts w:hint="eastAsia" w:ascii="宋体" w:hAnsi="宋体" w:eastAsia="宋体" w:cs="Times New Roman"/>
          <w:color w:val="auto"/>
          <w:szCs w:val="24"/>
          <w:highlight w:val="none"/>
          <w:lang w:val="zh-CN"/>
        </w:rPr>
        <w:t>。</w:t>
      </w:r>
    </w:p>
    <w:p>
      <w:pPr>
        <w:autoSpaceDE w:val="0"/>
        <w:autoSpaceDN w:val="0"/>
        <w:adjustRightInd w:val="0"/>
        <w:spacing w:line="360" w:lineRule="auto"/>
        <w:ind w:firstLine="5040" w:firstLineChars="2400"/>
        <w:jc w:val="left"/>
        <w:outlineLvl w:val="9"/>
        <w:rPr>
          <w:rFonts w:ascii="宋体" w:hAnsi="宋体" w:eastAsia="宋体" w:cs="Times New Roman"/>
          <w:color w:val="auto"/>
          <w:szCs w:val="24"/>
          <w:highlight w:val="none"/>
          <w:lang w:val="zh-CN"/>
        </w:rPr>
      </w:pPr>
    </w:p>
    <w:p>
      <w:pPr>
        <w:autoSpaceDE w:val="0"/>
        <w:autoSpaceDN w:val="0"/>
        <w:adjustRightInd w:val="0"/>
        <w:spacing w:line="360" w:lineRule="auto"/>
        <w:ind w:firstLine="5040" w:firstLineChars="240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firstLineChars="2400"/>
        <w:jc w:val="left"/>
        <w:outlineLvl w:val="9"/>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outlineLvl w:val="9"/>
        <w:rPr>
          <w:rFonts w:ascii="宋体" w:hAnsi="宋体" w:eastAsia="宋体" w:cs="Times New Roman"/>
          <w:b/>
          <w:bCs/>
          <w:color w:val="auto"/>
          <w:sz w:val="30"/>
          <w:szCs w:val="30"/>
          <w:highlight w:val="none"/>
          <w:lang w:val="zh-CN"/>
        </w:rPr>
      </w:pPr>
    </w:p>
    <w:bookmarkEnd w:id="776"/>
    <w:bookmarkEnd w:id="777"/>
    <w:p>
      <w:pPr>
        <w:pageBreakBefore/>
        <w:snapToGrid w:val="0"/>
        <w:spacing w:line="360" w:lineRule="auto"/>
        <w:ind w:left="671" w:leftChars="-58" w:hanging="793" w:hangingChars="247"/>
        <w:outlineLvl w:val="9"/>
        <w:rPr>
          <w:rFonts w:hint="eastAsia" w:ascii="宋体" w:hAnsi="宋体" w:eastAsia="宋体" w:cs="宋体"/>
          <w:b/>
          <w:color w:val="auto"/>
          <w:kern w:val="2"/>
          <w:sz w:val="32"/>
          <w:szCs w:val="32"/>
          <w:highlight w:val="none"/>
          <w:lang w:val="zh-CN"/>
        </w:rPr>
      </w:pPr>
      <w:bookmarkStart w:id="784" w:name="_Toc102860427"/>
      <w:bookmarkStart w:id="785" w:name="_Toc142508378"/>
      <w:bookmarkStart w:id="786" w:name="_Toc1977737"/>
      <w:bookmarkStart w:id="787" w:name="_Toc94107220"/>
      <w:bookmarkStart w:id="788" w:name="_Toc486167719"/>
      <w:bookmarkStart w:id="789" w:name="_Toc533708132"/>
      <w:bookmarkStart w:id="790" w:name="_Toc11745"/>
      <w:bookmarkStart w:id="791" w:name="_Toc140596938"/>
      <w:bookmarkStart w:id="792" w:name="_Toc104991885"/>
      <w:bookmarkStart w:id="793" w:name="_Toc13822"/>
      <w:bookmarkStart w:id="794" w:name="_Toc18175_WPSOffice_Level2"/>
      <w:bookmarkStart w:id="795" w:name="_Toc102860083"/>
      <w:r>
        <w:rPr>
          <w:rFonts w:hint="eastAsia" w:ascii="宋体" w:hAnsi="宋体" w:eastAsia="宋体" w:cs="宋体"/>
          <w:b/>
          <w:color w:val="auto"/>
          <w:kern w:val="2"/>
          <w:sz w:val="32"/>
          <w:szCs w:val="32"/>
          <w:highlight w:val="none"/>
          <w:lang w:val="zh-CN"/>
        </w:rPr>
        <w:t>附表：已供货产品发票金额统计表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503" w:type="dxa"/>
            <w:gridSpan w:val="5"/>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5503" w:type="dxa"/>
            <w:gridSpan w:val="5"/>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w:t>
            </w:r>
            <w:r>
              <w:rPr>
                <w:rFonts w:hint="eastAsia" w:ascii="宋体" w:hAnsi="宋体" w:eastAsia="宋体" w:cs="宋体"/>
                <w:color w:val="auto"/>
                <w:sz w:val="21"/>
                <w:highlight w:val="none"/>
              </w:rPr>
              <w:t>合同购买方）</w:t>
            </w:r>
          </w:p>
        </w:tc>
        <w:tc>
          <w:tcPr>
            <w:tcW w:w="5503" w:type="dxa"/>
            <w:gridSpan w:val="5"/>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02"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416"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发票金额（单位：万元）</w:t>
            </w:r>
          </w:p>
        </w:tc>
        <w:tc>
          <w:tcPr>
            <w:tcW w:w="1274"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58"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41"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2"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416"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74"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558"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41"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02"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416"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74"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558"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41"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02"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416"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74"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558"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41"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2"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416"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74"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558"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41" w:type="dxa"/>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5489" w:type="dxa"/>
            <w:gridSpan w:val="4"/>
            <w:noWrap w:val="0"/>
            <w:vAlign w:val="center"/>
          </w:tcPr>
          <w:p>
            <w:pPr>
              <w:pStyle w:val="21"/>
              <w:snapToGrid w:val="0"/>
              <w:spacing w:line="360" w:lineRule="auto"/>
              <w:ind w:left="0" w:leftChars="0"/>
              <w:jc w:val="center"/>
              <w:outlineLvl w:val="9"/>
              <w:rPr>
                <w:rFonts w:hint="eastAsia" w:ascii="宋体" w:hAnsi="宋体" w:eastAsia="宋体" w:cs="宋体"/>
                <w:color w:val="auto"/>
                <w:sz w:val="21"/>
                <w:szCs w:val="21"/>
                <w:highlight w:val="none"/>
              </w:rPr>
            </w:pPr>
          </w:p>
        </w:tc>
      </w:tr>
    </w:tbl>
    <w:p>
      <w:pPr>
        <w:snapToGrid w:val="0"/>
        <w:spacing w:line="360" w:lineRule="auto"/>
        <w:ind w:left="491" w:leftChars="-57" w:hanging="611" w:hangingChars="291"/>
        <w:outlineLvl w:val="9"/>
        <w:rPr>
          <w:rFonts w:hint="eastAsia" w:ascii="宋体" w:hAnsi="宋体" w:eastAsia="宋体" w:cs="宋体"/>
          <w:color w:val="auto"/>
          <w:kern w:val="2"/>
          <w:sz w:val="21"/>
          <w:highlight w:val="none"/>
        </w:rPr>
      </w:pPr>
    </w:p>
    <w:p>
      <w:pPr>
        <w:snapToGrid w:val="0"/>
        <w:spacing w:line="360" w:lineRule="auto"/>
        <w:ind w:left="611" w:hanging="611" w:hangingChars="291"/>
        <w:outlineLvl w:val="9"/>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pPr>
        <w:snapToGrid w:val="0"/>
        <w:spacing w:line="360" w:lineRule="auto"/>
        <w:ind w:firstLine="420" w:firstLineChars="200"/>
        <w:outlineLvl w:val="9"/>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（1）投标人提供框架式协议或资格入围无明确金额的合同时，须同时提供本统计表及供货发票复印件，本统计表及供货发票复印件应后附于合同复印件。</w:t>
      </w:r>
    </w:p>
    <w:p>
      <w:pPr>
        <w:snapToGrid w:val="0"/>
        <w:spacing w:line="360" w:lineRule="auto"/>
        <w:ind w:firstLine="420" w:firstLineChars="200"/>
        <w:outlineLvl w:val="9"/>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（2）发票抬头应为合同购买方，销售方为投标人，且发票名目、所属时期应与合同约定内容一致，否则不计分。</w:t>
      </w:r>
    </w:p>
    <w:p>
      <w:pPr>
        <w:snapToGrid w:val="0"/>
        <w:spacing w:line="360" w:lineRule="auto"/>
        <w:ind w:firstLine="420" w:firstLineChars="200"/>
        <w:outlineLvl w:val="9"/>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（3）发票合计金额视为投标人所提供该项供货业绩的供货金额，并按此金额进行评审。</w:t>
      </w:r>
    </w:p>
    <w:p>
      <w:pPr>
        <w:outlineLvl w:val="9"/>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pPr>
        <w:pageBreakBefore/>
        <w:spacing w:before="120" w:after="120" w:line="360" w:lineRule="auto"/>
        <w:jc w:val="left"/>
        <w:outlineLvl w:val="9"/>
        <w:rPr>
          <w:rFonts w:hint="eastAsia" w:ascii="宋体" w:hAnsi="宋体" w:eastAsia="宋体" w:cs="宋体"/>
          <w:b/>
          <w:bCs/>
          <w:color w:val="auto"/>
          <w:kern w:val="0"/>
          <w:sz w:val="32"/>
          <w:szCs w:val="32"/>
          <w:highlight w:val="none"/>
          <w:lang w:val="zh-CN"/>
        </w:rPr>
      </w:pPr>
      <w:bookmarkStart w:id="796" w:name="_Toc6242"/>
      <w:bookmarkStart w:id="797" w:name="_Toc3267"/>
      <w:bookmarkStart w:id="798" w:name="_Toc17866"/>
      <w:bookmarkStart w:id="799" w:name="_Toc17117"/>
      <w:bookmarkStart w:id="800" w:name="_Toc6058"/>
      <w:bookmarkStart w:id="801" w:name="_Toc20991"/>
      <w:bookmarkStart w:id="802" w:name="_Toc3908"/>
      <w:bookmarkStart w:id="803" w:name="_Toc21084"/>
      <w:bookmarkStart w:id="804" w:name="_Toc30305"/>
      <w:bookmarkStart w:id="805" w:name="_Toc13985"/>
      <w:bookmarkStart w:id="806" w:name="_Toc8093"/>
      <w:bookmarkStart w:id="807" w:name="_Toc28855"/>
      <w:bookmarkStart w:id="808" w:name="_Toc19483"/>
      <w:bookmarkStart w:id="809" w:name="_Toc22166"/>
      <w:bookmarkStart w:id="810" w:name="_Toc15037"/>
      <w:bookmarkStart w:id="811" w:name="_Toc725_WPSOffice_Level2"/>
      <w:bookmarkStart w:id="812" w:name="_Toc16461"/>
      <w:bookmarkStart w:id="813" w:name="_Toc19678"/>
      <w:bookmarkStart w:id="814" w:name="_Toc29624"/>
      <w:bookmarkStart w:id="815" w:name="_Toc5495"/>
      <w:r>
        <w:rPr>
          <w:rFonts w:hint="eastAsia" w:ascii="宋体" w:hAnsi="宋体" w:eastAsia="宋体" w:cs="宋体"/>
          <w:b/>
          <w:bCs/>
          <w:color w:val="auto"/>
          <w:kern w:val="0"/>
          <w:sz w:val="32"/>
          <w:szCs w:val="32"/>
          <w:highlight w:val="none"/>
          <w:lang w:val="en-US" w:eastAsia="zh-CN"/>
        </w:rPr>
        <w:t>十一</w:t>
      </w:r>
      <w:r>
        <w:rPr>
          <w:rFonts w:hint="eastAsia" w:ascii="宋体" w:hAnsi="宋体" w:eastAsia="宋体" w:cs="宋体"/>
          <w:b/>
          <w:bCs/>
          <w:color w:val="auto"/>
          <w:kern w:val="0"/>
          <w:sz w:val="32"/>
          <w:szCs w:val="32"/>
          <w:highlight w:val="none"/>
          <w:lang w:val="zh-CN"/>
        </w:rPr>
        <w:t>、中标服务费承诺书格式</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pPr>
        <w:spacing w:line="360" w:lineRule="auto"/>
        <w:ind w:right="893" w:firstLine="3608" w:firstLineChars="1202"/>
        <w:jc w:val="both"/>
        <w:outlineLvl w:val="9"/>
        <w:rPr>
          <w:rFonts w:hAnsi="宋体" w:cs="宋体"/>
          <w:b/>
          <w:bCs/>
          <w:color w:val="auto"/>
          <w:sz w:val="30"/>
          <w:szCs w:val="30"/>
          <w:lang w:val="zh-CN"/>
        </w:rPr>
      </w:pPr>
    </w:p>
    <w:p>
      <w:pPr>
        <w:autoSpaceDE w:val="0"/>
        <w:autoSpaceDN w:val="0"/>
        <w:adjustRightInd w:val="0"/>
        <w:spacing w:line="360" w:lineRule="auto"/>
        <w:jc w:val="center"/>
        <w:outlineLvl w:val="9"/>
        <w:rPr>
          <w:rFonts w:hint="eastAsia" w:ascii="宋体" w:hAnsi="宋体" w:eastAsia="宋体" w:cs="宋体"/>
          <w:b/>
          <w:bCs/>
          <w:color w:val="auto"/>
          <w:kern w:val="0"/>
          <w:sz w:val="24"/>
          <w:szCs w:val="24"/>
          <w:highlight w:val="none"/>
          <w:lang w:val="zh-CN"/>
        </w:rPr>
      </w:pPr>
      <w:bookmarkStart w:id="816" w:name="_Toc11056_WPSOffice_Level3"/>
      <w:bookmarkStart w:id="817" w:name="_Toc25220_WPSOffice_Level3"/>
      <w:r>
        <w:rPr>
          <w:rFonts w:hint="eastAsia" w:ascii="宋体" w:hAnsi="宋体" w:eastAsia="宋体" w:cs="宋体"/>
          <w:b/>
          <w:bCs/>
          <w:color w:val="auto"/>
          <w:kern w:val="0"/>
          <w:sz w:val="24"/>
          <w:szCs w:val="24"/>
          <w:highlight w:val="none"/>
          <w:lang w:val="zh-CN"/>
        </w:rPr>
        <w:t>中标服务费承诺书</w:t>
      </w:r>
      <w:bookmarkEnd w:id="816"/>
      <w:bookmarkEnd w:id="817"/>
    </w:p>
    <w:p>
      <w:pPr>
        <w:spacing w:line="360" w:lineRule="auto"/>
        <w:ind w:firstLine="424" w:firstLineChars="202"/>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致：三方诚信招标有限公司</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u w:val="single"/>
        </w:rPr>
        <w:t>（投标人名称）</w:t>
      </w:r>
      <w:r>
        <w:rPr>
          <w:rFonts w:hint="eastAsia" w:ascii="宋体" w:hAnsi="宋体" w:eastAsia="宋体" w:cs="宋体"/>
          <w:color w:val="auto"/>
          <w:szCs w:val="21"/>
          <w:highlight w:val="none"/>
        </w:rPr>
        <w:t>在参加在贵司进行的</w:t>
      </w:r>
      <w:r>
        <w:rPr>
          <w:rFonts w:hint="eastAsia" w:ascii="宋体" w:hAnsi="宋体" w:eastAsia="宋体" w:cs="宋体"/>
          <w:color w:val="auto"/>
          <w:szCs w:val="21"/>
          <w:highlight w:val="none"/>
          <w:u w:val="single"/>
          <w:lang w:val="en-US" w:eastAsia="zh-CN"/>
        </w:rPr>
        <w:t>东莞市众源环境投资有限公司五金配件及劳保物资采购项目</w:t>
      </w:r>
      <w:r>
        <w:rPr>
          <w:rFonts w:hint="eastAsia" w:ascii="宋体" w:hAnsi="宋体" w:eastAsia="宋体" w:cs="宋体"/>
          <w:color w:val="auto"/>
          <w:szCs w:val="21"/>
          <w:highlight w:val="none"/>
          <w:u w:val="single"/>
        </w:rPr>
        <w:t>(招标编号：</w:t>
      </w:r>
      <w:r>
        <w:rPr>
          <w:rFonts w:hint="eastAsia" w:ascii="宋体" w:hAnsi="宋体" w:eastAsia="宋体" w:cs="宋体"/>
          <w:color w:val="auto"/>
          <w:szCs w:val="21"/>
          <w:highlight w:val="none"/>
          <w:u w:val="single"/>
          <w:lang w:val="en-US" w:eastAsia="zh-CN"/>
        </w:rPr>
        <w:t>0832-SFCX24DG010A</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招标中如获中标，我司保证在领取“中标通知书”前，按本项目投标人须知相关规定向贵司缴纳“中标服务费”。</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如我方违约，愿凭贵方开出的违约通知，按上述承付金额的100%由招标人在支付我司的合同款中代为扣付。</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另关于我司缴纳中标服务费后开具中标服务费发票的事宜，我司声明如下：</w:t>
      </w:r>
    </w:p>
    <w:p>
      <w:pPr>
        <w:spacing w:line="360" w:lineRule="auto"/>
        <w:ind w:firstLine="424" w:firstLineChars="202"/>
        <w:outlineLvl w:val="9"/>
        <w:rPr>
          <w:rFonts w:hint="eastAsia" w:ascii="宋体" w:hAnsi="宋体" w:eastAsia="宋体" w:cs="宋体"/>
          <w:color w:val="auto"/>
          <w:szCs w:val="21"/>
          <w:highlight w:val="none"/>
        </w:rPr>
      </w:pPr>
      <w:bookmarkStart w:id="818" w:name="_Toc17574_WPSOffice_Level3"/>
      <w:r>
        <w:rPr>
          <w:rFonts w:hint="eastAsia" w:ascii="宋体" w:hAnsi="宋体" w:eastAsia="宋体" w:cs="宋体"/>
          <w:color w:val="auto"/>
          <w:szCs w:val="21"/>
          <w:highlight w:val="none"/>
        </w:rPr>
        <w:t>A：如需开具</w:t>
      </w:r>
      <w:r>
        <w:rPr>
          <w:rFonts w:hint="eastAsia" w:ascii="宋体" w:hAnsi="宋体" w:eastAsia="宋体" w:cs="宋体"/>
          <w:b/>
          <w:bCs/>
          <w:color w:val="auto"/>
          <w:szCs w:val="21"/>
          <w:highlight w:val="none"/>
          <w:u w:val="single"/>
        </w:rPr>
        <w:t>增值税普通发票</w:t>
      </w:r>
      <w:r>
        <w:rPr>
          <w:rFonts w:hint="eastAsia" w:ascii="宋体" w:hAnsi="宋体" w:eastAsia="宋体" w:cs="宋体"/>
          <w:color w:val="auto"/>
          <w:szCs w:val="21"/>
          <w:highlight w:val="none"/>
        </w:rPr>
        <w:t>，请于下方（）打“√”，并提供资料</w:t>
      </w:r>
      <w:bookmarkEnd w:id="818"/>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（）请向我司开具中标费的“</w:t>
      </w:r>
      <w:r>
        <w:rPr>
          <w:rFonts w:hint="eastAsia" w:ascii="宋体" w:hAnsi="宋体" w:eastAsia="宋体" w:cs="宋体"/>
          <w:b/>
          <w:bCs/>
          <w:color w:val="auto"/>
          <w:szCs w:val="21"/>
          <w:highlight w:val="none"/>
          <w:u w:val="single"/>
        </w:rPr>
        <w:t>增值税普通发票</w:t>
      </w:r>
      <w:r>
        <w:rPr>
          <w:rFonts w:hint="eastAsia" w:ascii="宋体" w:hAnsi="宋体" w:eastAsia="宋体" w:cs="宋体"/>
          <w:color w:val="auto"/>
          <w:szCs w:val="21"/>
          <w:highlight w:val="none"/>
        </w:rPr>
        <w:t>”，开票信息如下：</w:t>
      </w:r>
    </w:p>
    <w:p>
      <w:pPr>
        <w:spacing w:line="360" w:lineRule="auto"/>
        <w:ind w:firstLine="424" w:firstLineChars="202"/>
        <w:outlineLvl w:val="9"/>
        <w:rPr>
          <w:rFonts w:hint="eastAsia" w:ascii="宋体" w:hAnsi="宋体" w:eastAsia="宋体" w:cs="宋体"/>
          <w:color w:val="auto"/>
          <w:szCs w:val="21"/>
          <w:highlight w:val="none"/>
        </w:rPr>
      </w:pPr>
      <w:bookmarkStart w:id="819" w:name="_Toc8673_WPSOffice_Level3"/>
      <w:r>
        <w:rPr>
          <w:rFonts w:hint="eastAsia" w:ascii="宋体" w:hAnsi="宋体" w:eastAsia="宋体" w:cs="宋体"/>
          <w:color w:val="auto"/>
          <w:szCs w:val="21"/>
          <w:highlight w:val="none"/>
        </w:rPr>
        <w:t>1、我司工商注册名称为：；</w:t>
      </w:r>
      <w:bookmarkEnd w:id="819"/>
    </w:p>
    <w:p>
      <w:pPr>
        <w:spacing w:line="360" w:lineRule="auto"/>
        <w:ind w:firstLine="424" w:firstLineChars="202"/>
        <w:outlineLvl w:val="9"/>
        <w:rPr>
          <w:rFonts w:hint="eastAsia" w:ascii="宋体" w:hAnsi="宋体" w:eastAsia="宋体" w:cs="宋体"/>
          <w:color w:val="auto"/>
          <w:szCs w:val="21"/>
          <w:highlight w:val="none"/>
          <w:u w:val="single"/>
        </w:rPr>
      </w:pPr>
      <w:bookmarkStart w:id="820" w:name="_Toc10698_WPSOffice_Level3"/>
      <w:r>
        <w:rPr>
          <w:rFonts w:hint="eastAsia" w:ascii="宋体" w:hAnsi="宋体" w:eastAsia="宋体" w:cs="宋体"/>
          <w:color w:val="auto"/>
          <w:szCs w:val="21"/>
          <w:highlight w:val="none"/>
        </w:rPr>
        <w:t>2、纳税人识别号（国税）/或统一社会信用代码：</w:t>
      </w:r>
      <w:r>
        <w:rPr>
          <w:rFonts w:hint="eastAsia" w:ascii="宋体" w:hAnsi="宋体" w:eastAsia="宋体" w:cs="宋体"/>
          <w:color w:val="auto"/>
          <w:szCs w:val="21"/>
          <w:highlight w:val="none"/>
          <w:u w:val="single"/>
        </w:rPr>
        <w:t>（请填写）</w:t>
      </w:r>
      <w:bookmarkEnd w:id="820"/>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B：如需开具</w:t>
      </w:r>
      <w:r>
        <w:rPr>
          <w:rFonts w:hint="eastAsia" w:ascii="宋体" w:hAnsi="宋体" w:eastAsia="宋体" w:cs="宋体"/>
          <w:b/>
          <w:bCs/>
          <w:color w:val="auto"/>
          <w:szCs w:val="21"/>
          <w:highlight w:val="none"/>
          <w:u w:val="single"/>
        </w:rPr>
        <w:t>增值税专用发票</w:t>
      </w:r>
      <w:r>
        <w:rPr>
          <w:rFonts w:hint="eastAsia" w:ascii="宋体" w:hAnsi="宋体" w:eastAsia="宋体" w:cs="宋体"/>
          <w:color w:val="auto"/>
          <w:szCs w:val="21"/>
          <w:highlight w:val="none"/>
        </w:rPr>
        <w:t>，请于下方（）打“√”,并提供资料</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请向我司开具中标费的“</w:t>
      </w:r>
      <w:r>
        <w:rPr>
          <w:rFonts w:hint="eastAsia" w:ascii="宋体" w:hAnsi="宋体" w:eastAsia="宋体" w:cs="宋体"/>
          <w:b/>
          <w:bCs/>
          <w:color w:val="auto"/>
          <w:szCs w:val="21"/>
          <w:highlight w:val="none"/>
          <w:u w:val="single"/>
        </w:rPr>
        <w:t>增值税专用发票</w:t>
      </w:r>
      <w:r>
        <w:rPr>
          <w:rFonts w:hint="eastAsia" w:ascii="宋体" w:hAnsi="宋体" w:eastAsia="宋体" w:cs="宋体"/>
          <w:color w:val="auto"/>
          <w:szCs w:val="21"/>
          <w:highlight w:val="none"/>
        </w:rPr>
        <w:t>”，开票信息为：</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1、我司工商注册名称：</w:t>
      </w:r>
      <w:r>
        <w:rPr>
          <w:rFonts w:hint="eastAsia" w:ascii="宋体" w:hAnsi="宋体" w:eastAsia="宋体" w:cs="宋体"/>
          <w:color w:val="auto"/>
          <w:szCs w:val="21"/>
          <w:highlight w:val="none"/>
          <w:u w:val="single"/>
        </w:rPr>
        <w:t>（请填写）</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2、纳税人识别号（国税）/或统一社会信用代码：</w:t>
      </w:r>
      <w:r>
        <w:rPr>
          <w:rFonts w:hint="eastAsia" w:ascii="宋体" w:hAnsi="宋体" w:eastAsia="宋体" w:cs="宋体"/>
          <w:color w:val="auto"/>
          <w:szCs w:val="21"/>
          <w:highlight w:val="none"/>
          <w:u w:val="single"/>
        </w:rPr>
        <w:t>（请填写）</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3、注册地址：</w:t>
      </w:r>
      <w:r>
        <w:rPr>
          <w:rFonts w:hint="eastAsia" w:ascii="宋体" w:hAnsi="宋体" w:eastAsia="宋体" w:cs="宋体"/>
          <w:color w:val="auto"/>
          <w:szCs w:val="21"/>
          <w:highlight w:val="none"/>
          <w:u w:val="single"/>
        </w:rPr>
        <w:t>（请填写）</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4、办公电话（固话）：</w:t>
      </w:r>
      <w:r>
        <w:rPr>
          <w:rFonts w:hint="eastAsia" w:ascii="宋体" w:hAnsi="宋体" w:eastAsia="宋体" w:cs="宋体"/>
          <w:color w:val="auto"/>
          <w:szCs w:val="21"/>
          <w:highlight w:val="none"/>
          <w:u w:val="single"/>
        </w:rPr>
        <w:t>（请填写）</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5、开户银行及账号：</w:t>
      </w:r>
      <w:r>
        <w:rPr>
          <w:rFonts w:hint="eastAsia" w:ascii="宋体" w:hAnsi="宋体" w:eastAsia="宋体" w:cs="宋体"/>
          <w:color w:val="auto"/>
          <w:szCs w:val="21"/>
          <w:highlight w:val="none"/>
          <w:u w:val="single"/>
        </w:rPr>
        <w:t>（请填写）</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6、一般纳税人资格证书/或加盖了税务局“增值税一般纳税人”条章的国税登记证扫描件/或在所属国税局网站的查询结果截图</w:t>
      </w:r>
      <w:r>
        <w:rPr>
          <w:rFonts w:hint="eastAsia" w:ascii="宋体" w:hAnsi="宋体" w:eastAsia="宋体" w:cs="宋体"/>
          <w:color w:val="auto"/>
          <w:szCs w:val="21"/>
          <w:highlight w:val="none"/>
          <w:u w:val="single"/>
        </w:rPr>
        <w:t>（截图后附）</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中标单位联系人：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，手机号：</w:t>
      </w:r>
      <w:r>
        <w:rPr>
          <w:rFonts w:hint="eastAsia" w:ascii="宋体" w:hAnsi="宋体" w:eastAsia="宋体" w:cs="宋体"/>
          <w:color w:val="auto"/>
          <w:szCs w:val="21"/>
          <w:highlight w:val="none"/>
          <w:u w:val="single"/>
        </w:rPr>
        <w:t xml:space="preserve">            ；</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单位地址：电话：传真：。</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特此声明。</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pPr>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  期：　年  月  日</w:t>
      </w:r>
    </w:p>
    <w:p>
      <w:pPr>
        <w:pageBreakBefore/>
        <w:spacing w:before="120" w:after="120" w:line="360" w:lineRule="auto"/>
        <w:jc w:val="left"/>
        <w:outlineLvl w:val="9"/>
        <w:rPr>
          <w:rFonts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、投标保证金汇入情况说明</w:t>
      </w:r>
      <w:bookmarkEnd w:id="784"/>
      <w:bookmarkEnd w:id="785"/>
      <w:bookmarkEnd w:id="786"/>
      <w:bookmarkEnd w:id="787"/>
      <w:bookmarkEnd w:id="788"/>
      <w:bookmarkEnd w:id="789"/>
      <w:bookmarkEnd w:id="790"/>
      <w:bookmarkEnd w:id="791"/>
      <w:bookmarkEnd w:id="792"/>
      <w:bookmarkEnd w:id="793"/>
      <w:bookmarkEnd w:id="794"/>
      <w:bookmarkEnd w:id="795"/>
      <w:bookmarkEnd w:id="813"/>
      <w:bookmarkEnd w:id="814"/>
      <w:bookmarkEnd w:id="815"/>
    </w:p>
    <w:p>
      <w:pPr>
        <w:autoSpaceDE w:val="0"/>
        <w:autoSpaceDN w:val="0"/>
        <w:adjustRightInd w:val="0"/>
        <w:spacing w:line="360" w:lineRule="auto"/>
        <w:jc w:val="left"/>
        <w:outlineLvl w:val="9"/>
        <w:rPr>
          <w:rFonts w:ascii="宋体" w:hAnsi="宋体" w:eastAsia="宋体" w:cs="宋体"/>
          <w:color w:val="auto"/>
          <w:szCs w:val="24"/>
          <w:highlight w:val="none"/>
        </w:rPr>
      </w:pPr>
    </w:p>
    <w:p>
      <w:pPr>
        <w:autoSpaceDE w:val="0"/>
        <w:autoSpaceDN w:val="0"/>
        <w:adjustRightInd w:val="0"/>
        <w:spacing w:line="360" w:lineRule="auto"/>
        <w:jc w:val="center"/>
        <w:outlineLvl w:val="9"/>
        <w:rPr>
          <w:rFonts w:ascii="宋体" w:hAnsi="宋体" w:eastAsia="宋体" w:cs="宋体"/>
          <w:b/>
          <w:bCs/>
          <w:color w:val="auto"/>
          <w:kern w:val="0"/>
          <w:sz w:val="24"/>
          <w:szCs w:val="24"/>
          <w:highlight w:val="none"/>
        </w:rPr>
      </w:pPr>
      <w:bookmarkStart w:id="821" w:name="_Toc31832_WPSOffice_Level3"/>
      <w:r>
        <w:rPr>
          <w:rFonts w:hint="eastAsia" w:ascii="宋体" w:hAnsi="宋体" w:eastAsia="宋体" w:cs="宋体"/>
          <w:b/>
          <w:bCs/>
          <w:color w:val="auto"/>
          <w:kern w:val="0"/>
          <w:sz w:val="24"/>
          <w:szCs w:val="24"/>
          <w:highlight w:val="none"/>
        </w:rPr>
        <w:t>投标保证金汇入情况说明</w:t>
      </w:r>
      <w:bookmarkEnd w:id="821"/>
    </w:p>
    <w:p>
      <w:pPr>
        <w:autoSpaceDE w:val="0"/>
        <w:autoSpaceDN w:val="0"/>
        <w:adjustRightInd w:val="0"/>
        <w:spacing w:line="360" w:lineRule="auto"/>
        <w:jc w:val="center"/>
        <w:outlineLvl w:val="9"/>
        <w:rPr>
          <w:rFonts w:ascii="宋体" w:hAnsi="宋体" w:eastAsia="宋体" w:cs="宋体"/>
          <w:b/>
          <w:bCs/>
          <w:color w:val="auto"/>
          <w:kern w:val="0"/>
          <w:szCs w:val="24"/>
          <w:highlight w:val="none"/>
        </w:rPr>
      </w:pP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东莞市众源环境投资有限公司</w:t>
      </w:r>
      <w:r>
        <w:rPr>
          <w:rFonts w:hint="eastAsia" w:ascii="宋体" w:hAnsi="宋体" w:eastAsia="宋体" w:cs="宋体"/>
          <w:color w:val="auto"/>
          <w:szCs w:val="21"/>
          <w:highlight w:val="none"/>
        </w:rPr>
        <w:t>：</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rPr>
        <w:t>东莞市众源环境投资有限公司五金配件及劳保物资采购项目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0832-SFCX24DG010A</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pPr>
        <w:spacing w:line="360" w:lineRule="auto"/>
        <w:ind w:firstLine="424" w:firstLineChars="202"/>
        <w:outlineLvl w:val="9"/>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pPr>
        <w:spacing w:line="360" w:lineRule="auto"/>
        <w:ind w:right="844" w:rightChars="402" w:firstLine="424" w:firstLineChars="202"/>
        <w:jc w:val="right"/>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pPr>
        <w:spacing w:line="360" w:lineRule="auto"/>
        <w:ind w:right="628" w:rightChars="299" w:firstLine="7774" w:firstLineChars="3702"/>
        <w:jc w:val="left"/>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pPr>
        <w:spacing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pPr>
        <w:spacing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pPr>
        <w:spacing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pPr>
        <w:spacing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pPr>
        <w:spacing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pPr>
        <w:spacing w:line="360" w:lineRule="auto"/>
        <w:ind w:left="340" w:leftChars="162" w:firstLine="425"/>
        <w:outlineLvl w:val="9"/>
        <w:rPr>
          <w:rFonts w:ascii="宋体" w:hAnsi="宋体" w:eastAsia="宋体" w:cs="宋体"/>
          <w:b/>
          <w:bCs/>
          <w:color w:val="auto"/>
          <w:szCs w:val="21"/>
          <w:highlight w:val="none"/>
        </w:rPr>
      </w:pPr>
      <w:bookmarkStart w:id="822" w:name="_Toc26208_WPSOffice_Level3"/>
      <w:r>
        <w:rPr>
          <w:rFonts w:hint="eastAsia" w:ascii="宋体" w:hAnsi="宋体" w:eastAsia="宋体" w:cs="宋体"/>
          <w:b/>
          <w:bCs/>
          <w:color w:val="auto"/>
          <w:szCs w:val="21"/>
          <w:highlight w:val="none"/>
        </w:rPr>
        <w:t>附：1、我方投标保证金汇款凭证（复印件）</w:t>
      </w:r>
      <w:bookmarkEnd w:id="822"/>
    </w:p>
    <w:p>
      <w:pPr>
        <w:spacing w:line="360" w:lineRule="auto"/>
        <w:ind w:left="340" w:leftChars="162" w:firstLine="839" w:firstLineChars="398"/>
        <w:outlineLvl w:val="9"/>
        <w:rPr>
          <w:rFonts w:ascii="宋体" w:hAnsi="宋体" w:eastAsia="宋体" w:cs="宋体"/>
          <w:b/>
          <w:bCs/>
          <w:color w:val="auto"/>
          <w:szCs w:val="21"/>
          <w:highlight w:val="none"/>
        </w:rPr>
      </w:pPr>
      <w:bookmarkStart w:id="823" w:name="_Toc12992_WPSOffice_Level3"/>
      <w:r>
        <w:rPr>
          <w:rFonts w:hint="eastAsia" w:ascii="宋体" w:hAnsi="宋体" w:eastAsia="宋体" w:cs="宋体"/>
          <w:b/>
          <w:bCs/>
          <w:color w:val="auto"/>
          <w:szCs w:val="21"/>
          <w:highlight w:val="none"/>
        </w:rPr>
        <w:t>2、我方基本账户开户许可证（复印件）</w:t>
      </w:r>
      <w:bookmarkEnd w:id="823"/>
    </w:p>
    <w:p>
      <w:pPr>
        <w:spacing w:line="360" w:lineRule="auto"/>
        <w:ind w:left="340" w:leftChars="162" w:firstLine="736" w:firstLineChars="349"/>
        <w:outlineLvl w:val="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pPr>
        <w:autoSpaceDE w:val="0"/>
        <w:autoSpaceDN w:val="0"/>
        <w:adjustRightInd w:val="0"/>
        <w:spacing w:line="360" w:lineRule="auto"/>
        <w:ind w:firstLine="5145" w:firstLineChars="2450"/>
        <w:outlineLvl w:val="9"/>
        <w:rPr>
          <w:rFonts w:ascii="宋体" w:hAnsi="宋体" w:eastAsia="宋体" w:cs="宋体"/>
          <w:color w:val="auto"/>
          <w:szCs w:val="24"/>
          <w:highlight w:val="none"/>
          <w:lang w:val="zh-CN"/>
        </w:rPr>
      </w:pPr>
    </w:p>
    <w:p>
      <w:pPr>
        <w:spacing w:line="360" w:lineRule="auto"/>
        <w:ind w:firstLine="424" w:firstLineChars="202"/>
        <w:outlineLvl w:val="9"/>
        <w:rPr>
          <w:rFonts w:ascii="宋体" w:hAnsi="宋体" w:eastAsia="宋体" w:cs="宋体"/>
          <w:color w:val="auto"/>
          <w:szCs w:val="24"/>
          <w:highlight w:val="none"/>
        </w:rPr>
      </w:pPr>
      <w:bookmarkStart w:id="824" w:name="_Toc486167721"/>
    </w:p>
    <w:p>
      <w:pPr>
        <w:spacing w:line="360" w:lineRule="auto"/>
        <w:ind w:firstLine="424" w:firstLineChars="202"/>
        <w:outlineLvl w:val="9"/>
        <w:rPr>
          <w:rFonts w:ascii="宋体" w:hAnsi="宋体" w:eastAsia="宋体" w:cs="宋体"/>
          <w:color w:val="auto"/>
          <w:szCs w:val="24"/>
          <w:highlight w:val="none"/>
        </w:rPr>
      </w:pPr>
      <w:bookmarkStart w:id="825" w:name="_Toc533708134"/>
    </w:p>
    <w:p>
      <w:pPr>
        <w:widowControl/>
        <w:jc w:val="left"/>
        <w:outlineLvl w:val="9"/>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sectPr>
          <w:pgSz w:w="12240" w:h="15840"/>
          <w:pgMar w:top="1191" w:right="1043" w:bottom="1191" w:left="1043" w:header="720" w:footer="720" w:gutter="0"/>
          <w:cols w:space="0" w:num="1"/>
          <w:titlePg/>
          <w:rtlGutter w:val="0"/>
          <w:docGrid w:linePitch="326" w:charSpace="0"/>
        </w:sectPr>
      </w:pPr>
      <w:bookmarkStart w:id="826" w:name="_Toc104991886"/>
      <w:bookmarkStart w:id="827" w:name="_Toc18032"/>
      <w:bookmarkStart w:id="828" w:name="_Toc16292"/>
      <w:bookmarkStart w:id="829" w:name="_Toc102860084"/>
      <w:bookmarkStart w:id="830" w:name="_Toc140596939"/>
      <w:bookmarkStart w:id="831" w:name="_Toc20746"/>
      <w:bookmarkStart w:id="832" w:name="_Toc1977738"/>
      <w:bookmarkStart w:id="833" w:name="_Toc18213"/>
      <w:bookmarkStart w:id="834" w:name="_Toc102860428"/>
      <w:bookmarkStart w:id="835" w:name="_Toc5442"/>
      <w:bookmarkStart w:id="836" w:name="_Toc94107221"/>
      <w:bookmarkStart w:id="837" w:name="_Toc142508379"/>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三</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826"/>
      <w:bookmarkEnd w:id="827"/>
      <w:bookmarkEnd w:id="828"/>
      <w:bookmarkEnd w:id="829"/>
      <w:bookmarkEnd w:id="830"/>
      <w:bookmarkEnd w:id="831"/>
      <w:bookmarkEnd w:id="832"/>
      <w:bookmarkEnd w:id="833"/>
      <w:bookmarkEnd w:id="834"/>
      <w:bookmarkEnd w:id="835"/>
      <w:bookmarkEnd w:id="836"/>
      <w:bookmarkEnd w:id="837"/>
    </w:p>
    <w:p>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bookmarkStart w:id="838" w:name="_Toc9070"/>
      <w:bookmarkStart w:id="839" w:name="_Toc15051"/>
      <w:bookmarkStart w:id="840" w:name="_Toc104991887"/>
      <w:bookmarkStart w:id="841" w:name="_Toc140596940"/>
      <w:bookmarkStart w:id="842" w:name="_Toc14341"/>
      <w:bookmarkStart w:id="843" w:name="_Toc94107222"/>
      <w:bookmarkStart w:id="844" w:name="_Toc102860085"/>
      <w:bookmarkStart w:id="845" w:name="_Toc1977739"/>
      <w:bookmarkStart w:id="846" w:name="_Toc142508380"/>
      <w:bookmarkStart w:id="847" w:name="_Toc29068"/>
      <w:bookmarkStart w:id="848" w:name="_Toc102860429"/>
      <w:bookmarkStart w:id="849" w:name="_Toc4750"/>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、技术响应文件格式</w:t>
      </w:r>
      <w:bookmarkEnd w:id="825"/>
      <w:bookmarkEnd w:id="838"/>
      <w:bookmarkEnd w:id="839"/>
      <w:bookmarkEnd w:id="840"/>
      <w:bookmarkEnd w:id="841"/>
      <w:bookmarkEnd w:id="842"/>
      <w:bookmarkEnd w:id="843"/>
      <w:bookmarkEnd w:id="844"/>
      <w:bookmarkEnd w:id="845"/>
      <w:bookmarkEnd w:id="846"/>
      <w:bookmarkEnd w:id="847"/>
      <w:bookmarkEnd w:id="848"/>
      <w:bookmarkEnd w:id="849"/>
    </w:p>
    <w:p>
      <w:pPr>
        <w:tabs>
          <w:tab w:val="left" w:pos="8640"/>
        </w:tabs>
        <w:spacing w:line="360" w:lineRule="auto"/>
        <w:ind w:firstLine="420" w:firstLineChars="200"/>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pPr>
        <w:spacing w:line="360" w:lineRule="auto"/>
        <w:ind w:left="443" w:leftChars="77" w:hanging="281" w:hangingChars="134"/>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4</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pPr>
        <w:spacing w:line="360" w:lineRule="auto"/>
        <w:ind w:left="443" w:leftChars="77" w:hanging="281" w:hangingChars="134"/>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2、投标品牌表；</w:t>
      </w:r>
    </w:p>
    <w:p>
      <w:pPr>
        <w:spacing w:line="360" w:lineRule="auto"/>
        <w:ind w:left="443" w:leftChars="77" w:hanging="281" w:hangingChars="134"/>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3、整体供货服务流程；</w:t>
      </w:r>
    </w:p>
    <w:p>
      <w:pPr>
        <w:spacing w:line="360" w:lineRule="auto"/>
        <w:ind w:left="443" w:leftChars="77" w:hanging="281" w:hangingChars="134"/>
        <w:outlineLvl w:val="9"/>
        <w:rPr>
          <w:rFonts w:ascii="宋体" w:hAnsi="宋体" w:eastAsia="宋体" w:cs="宋体"/>
          <w:color w:val="auto"/>
          <w:kern w:val="0"/>
          <w:szCs w:val="21"/>
          <w:highlight w:val="none"/>
        </w:rPr>
      </w:pPr>
      <w:r>
        <w:rPr>
          <w:rFonts w:ascii="宋体" w:hAnsi="宋体" w:eastAsia="宋体" w:cs="宋体"/>
          <w:color w:val="auto"/>
          <w:kern w:val="0"/>
          <w:szCs w:val="21"/>
          <w:highlight w:val="none"/>
        </w:rPr>
        <w:t>4</w:t>
      </w:r>
      <w:r>
        <w:rPr>
          <w:rFonts w:hint="eastAsia" w:ascii="宋体" w:hAnsi="宋体" w:eastAsia="宋体" w:cs="宋体"/>
          <w:color w:val="auto"/>
          <w:kern w:val="0"/>
          <w:szCs w:val="21"/>
          <w:highlight w:val="none"/>
        </w:rPr>
        <w:t>、供货计划及进度保证措施方案；</w:t>
      </w:r>
    </w:p>
    <w:p>
      <w:pPr>
        <w:spacing w:line="360" w:lineRule="auto"/>
        <w:ind w:left="443" w:leftChars="77" w:hanging="281" w:hangingChars="134"/>
        <w:outlineLvl w:val="9"/>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5</w:t>
      </w:r>
      <w:r>
        <w:rPr>
          <w:rFonts w:hint="eastAsia" w:ascii="宋体" w:hAnsi="宋体" w:eastAsia="宋体" w:cs="宋体"/>
          <w:color w:val="auto"/>
          <w:kern w:val="0"/>
          <w:szCs w:val="21"/>
          <w:highlight w:val="none"/>
        </w:rPr>
        <w:t>、售后服务质量保证和承诺；</w:t>
      </w:r>
    </w:p>
    <w:p>
      <w:pPr>
        <w:spacing w:line="360" w:lineRule="auto"/>
        <w:ind w:left="443" w:leftChars="77" w:hanging="281" w:hangingChars="134"/>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pP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pPr>
        <w:pStyle w:val="21"/>
        <w:spacing w:line="360" w:lineRule="auto"/>
        <w:jc w:val="center"/>
        <w:outlineLvl w:val="9"/>
        <w:rPr>
          <w:rFonts w:hint="eastAsia" w:ascii="宋体" w:hAnsi="宋体" w:eastAsia="宋体" w:cs="宋体"/>
          <w:color w:val="auto"/>
          <w:sz w:val="84"/>
          <w:highlight w:val="none"/>
        </w:rPr>
      </w:pPr>
    </w:p>
    <w:p>
      <w:pPr>
        <w:pStyle w:val="21"/>
        <w:spacing w:line="360" w:lineRule="auto"/>
        <w:jc w:val="center"/>
        <w:outlineLvl w:val="9"/>
        <w:rPr>
          <w:rFonts w:hint="eastAsia" w:ascii="宋体" w:hAnsi="宋体" w:eastAsia="宋体" w:cs="宋体"/>
          <w:color w:val="auto"/>
          <w:sz w:val="84"/>
          <w:highlight w:val="none"/>
        </w:rPr>
      </w:pPr>
    </w:p>
    <w:p>
      <w:pPr>
        <w:pStyle w:val="21"/>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1"/>
        <w:spacing w:line="360" w:lineRule="auto"/>
        <w:outlineLvl w:val="9"/>
        <w:rPr>
          <w:rFonts w:hint="eastAsia" w:ascii="宋体" w:hAnsi="宋体" w:eastAsia="宋体" w:cs="宋体"/>
          <w:color w:val="auto"/>
          <w:highlight w:val="none"/>
        </w:rPr>
      </w:pPr>
    </w:p>
    <w:p>
      <w:pPr>
        <w:pStyle w:val="21"/>
        <w:spacing w:line="360" w:lineRule="auto"/>
        <w:outlineLvl w:val="9"/>
        <w:rPr>
          <w:rFonts w:hint="eastAsia" w:ascii="宋体" w:hAnsi="宋体" w:eastAsia="宋体" w:cs="宋体"/>
          <w:color w:val="auto"/>
          <w:highlight w:val="none"/>
        </w:rPr>
      </w:pPr>
    </w:p>
    <w:p>
      <w:pPr>
        <w:pStyle w:val="21"/>
        <w:spacing w:line="360" w:lineRule="auto"/>
        <w:outlineLvl w:val="9"/>
        <w:rPr>
          <w:rFonts w:hint="eastAsia" w:ascii="宋体" w:hAnsi="宋体" w:eastAsia="宋体" w:cs="宋体"/>
          <w:color w:val="auto"/>
          <w:highlight w:val="none"/>
        </w:rPr>
      </w:pPr>
    </w:p>
    <w:p>
      <w:pPr>
        <w:pStyle w:val="21"/>
        <w:spacing w:line="360" w:lineRule="auto"/>
        <w:outlineLvl w:val="9"/>
        <w:rPr>
          <w:rFonts w:hint="eastAsia" w:ascii="宋体" w:hAnsi="宋体" w:eastAsia="宋体" w:cs="宋体"/>
          <w:color w:val="auto"/>
          <w:highlight w:val="none"/>
        </w:rPr>
      </w:pPr>
    </w:p>
    <w:p>
      <w:pPr>
        <w:pStyle w:val="21"/>
        <w:spacing w:line="360" w:lineRule="auto"/>
        <w:outlineLvl w:val="9"/>
        <w:rPr>
          <w:rFonts w:hint="eastAsia" w:ascii="宋体" w:hAnsi="宋体" w:eastAsia="宋体" w:cs="宋体"/>
          <w:color w:val="auto"/>
          <w:highlight w:val="none"/>
        </w:rPr>
      </w:pPr>
    </w:p>
    <w:p>
      <w:pPr>
        <w:pStyle w:val="21"/>
        <w:spacing w:line="360" w:lineRule="auto"/>
        <w:outlineLvl w:val="9"/>
        <w:rPr>
          <w:rFonts w:hint="eastAsia" w:ascii="宋体" w:hAnsi="宋体" w:eastAsia="宋体" w:cs="宋体"/>
          <w:color w:val="auto"/>
          <w:highlight w:val="none"/>
        </w:rPr>
      </w:pPr>
    </w:p>
    <w:p>
      <w:pPr>
        <w:pStyle w:val="21"/>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0832-SFCX24DG010A</w:t>
      </w:r>
    </w:p>
    <w:p>
      <w:pPr>
        <w:pStyle w:val="21"/>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东莞市众源环境投资有限公司五金配件及劳保物</w:t>
      </w:r>
    </w:p>
    <w:p>
      <w:pPr>
        <w:pStyle w:val="21"/>
        <w:spacing w:line="360" w:lineRule="auto"/>
        <w:ind w:firstLine="3375" w:firstLineChars="11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u w:val="single"/>
        </w:rPr>
        <w:t>资采购项目</w:t>
      </w:r>
    </w:p>
    <w:p>
      <w:pPr>
        <w:pStyle w:val="21"/>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pPr>
        <w:pStyle w:val="21"/>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东莞市众源环境投资有限公司</w:t>
      </w:r>
    </w:p>
    <w:p>
      <w:pPr>
        <w:pStyle w:val="21"/>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1"/>
        <w:spacing w:line="360" w:lineRule="auto"/>
        <w:outlineLvl w:val="9"/>
        <w:rPr>
          <w:rFonts w:hint="eastAsia" w:ascii="宋体" w:hAnsi="宋体" w:eastAsia="宋体" w:cs="宋体"/>
          <w:color w:val="auto"/>
          <w:highlight w:val="none"/>
        </w:rPr>
      </w:pPr>
    </w:p>
    <w:p>
      <w:pPr>
        <w:pStyle w:val="21"/>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1"/>
        <w:spacing w:line="360" w:lineRule="auto"/>
        <w:outlineLvl w:val="9"/>
        <w:rPr>
          <w:rFonts w:hint="eastAsia" w:ascii="宋体" w:hAnsi="宋体" w:eastAsia="宋体" w:cs="宋体"/>
          <w:color w:val="auto"/>
          <w:highlight w:val="none"/>
        </w:rPr>
      </w:pPr>
    </w:p>
    <w:p>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p>
        </w:tc>
        <w:tc>
          <w:tcPr>
            <w:tcW w:w="861" w:type="pct"/>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outlineLvl w:val="9"/>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outlineLvl w:val="9"/>
              <w:rPr>
                <w:rFonts w:hint="eastAsia" w:ascii="宋体" w:hAnsi="宋体" w:eastAsia="宋体" w:cs="宋体"/>
                <w:bCs/>
                <w:color w:val="auto"/>
                <w:szCs w:val="21"/>
                <w:highlight w:val="none"/>
              </w:rPr>
            </w:pPr>
          </w:p>
        </w:tc>
        <w:tc>
          <w:tcPr>
            <w:tcW w:w="1337" w:type="pct"/>
            <w:vAlign w:val="center"/>
          </w:tcPr>
          <w:p>
            <w:pPr>
              <w:outlineLvl w:val="9"/>
              <w:rPr>
                <w:rFonts w:hint="eastAsia" w:ascii="宋体" w:hAnsi="宋体" w:eastAsia="宋体" w:cs="宋体"/>
                <w:bCs/>
                <w:color w:val="auto"/>
                <w:szCs w:val="21"/>
                <w:highlight w:val="none"/>
              </w:rPr>
            </w:pPr>
          </w:p>
        </w:tc>
        <w:tc>
          <w:tcPr>
            <w:tcW w:w="861" w:type="pct"/>
            <w:vAlign w:val="center"/>
          </w:tcPr>
          <w:p>
            <w:pP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outlineLvl w:val="9"/>
              <w:rPr>
                <w:rFonts w:hint="eastAsia" w:ascii="宋体" w:hAnsi="宋体" w:eastAsia="宋体" w:cs="宋体"/>
                <w:bCs/>
                <w:color w:val="auto"/>
                <w:szCs w:val="21"/>
                <w:highlight w:val="none"/>
              </w:rPr>
            </w:pPr>
          </w:p>
        </w:tc>
        <w:tc>
          <w:tcPr>
            <w:tcW w:w="861" w:type="pct"/>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pPr>
              <w:spacing w:line="360" w:lineRule="auto"/>
              <w:ind w:firstLine="8" w:firstLineChars="4"/>
              <w:outlineLvl w:val="9"/>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outlineLvl w:val="9"/>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outlineLvl w:val="9"/>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pPr>
              <w:spacing w:line="360" w:lineRule="auto"/>
              <w:jc w:val="center"/>
              <w:outlineLvl w:val="9"/>
              <w:rPr>
                <w:rFonts w:hint="eastAsia" w:ascii="宋体" w:hAnsi="宋体" w:eastAsia="宋体" w:cs="宋体"/>
                <w:bCs/>
                <w:color w:val="auto"/>
                <w:szCs w:val="21"/>
                <w:highlight w:val="none"/>
              </w:rPr>
            </w:pPr>
          </w:p>
        </w:tc>
      </w:tr>
    </w:tbl>
    <w:p>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824"/>
      <w:bookmarkStart w:id="850" w:name="_Toc12218"/>
      <w:bookmarkStart w:id="851" w:name="_Toc142508381"/>
      <w:bookmarkStart w:id="852" w:name="_Toc1558"/>
      <w:bookmarkStart w:id="853" w:name="_Toc104991888"/>
      <w:bookmarkStart w:id="854" w:name="_Toc140596941"/>
      <w:bookmarkStart w:id="855" w:name="_Toc3094"/>
      <w:bookmarkStart w:id="856" w:name="_Toc102860086"/>
      <w:bookmarkStart w:id="857" w:name="_Toc533708135"/>
      <w:bookmarkStart w:id="858" w:name="_Toc29947"/>
      <w:bookmarkStart w:id="859" w:name="_Toc20630"/>
      <w:bookmarkStart w:id="860" w:name="_Toc102860430"/>
      <w:bookmarkStart w:id="861" w:name="_Toc1977740"/>
      <w:bookmarkStart w:id="862" w:name="_Toc94107223"/>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用户需求偏离表格式</w:t>
      </w:r>
      <w:bookmarkEnd w:id="850"/>
      <w:bookmarkEnd w:id="851"/>
      <w:bookmarkEnd w:id="852"/>
      <w:bookmarkEnd w:id="853"/>
      <w:bookmarkEnd w:id="854"/>
      <w:bookmarkEnd w:id="855"/>
      <w:bookmarkEnd w:id="856"/>
      <w:bookmarkEnd w:id="857"/>
      <w:bookmarkEnd w:id="858"/>
      <w:bookmarkEnd w:id="859"/>
      <w:bookmarkEnd w:id="860"/>
      <w:bookmarkEnd w:id="861"/>
      <w:bookmarkEnd w:id="862"/>
    </w:p>
    <w:p>
      <w:pPr>
        <w:spacing w:before="120" w:after="120" w:line="360" w:lineRule="auto"/>
        <w:jc w:val="center"/>
        <w:outlineLvl w:val="9"/>
        <w:rPr>
          <w:rFonts w:ascii="宋体" w:hAnsi="宋体" w:eastAsia="宋体" w:cs="Times New Roman"/>
          <w:color w:val="auto"/>
          <w:kern w:val="0"/>
          <w:szCs w:val="21"/>
          <w:highlight w:val="none"/>
        </w:rPr>
      </w:pPr>
      <w:bookmarkStart w:id="863" w:name="_Toc17449_WPSOffice_Level3"/>
      <w:r>
        <w:rPr>
          <w:rFonts w:hint="eastAsia" w:ascii="宋体" w:hAnsi="宋体" w:eastAsia="宋体" w:cs="宋体"/>
          <w:b/>
          <w:color w:val="auto"/>
          <w:kern w:val="0"/>
          <w:sz w:val="30"/>
          <w:szCs w:val="30"/>
          <w:highlight w:val="none"/>
          <w:lang w:val="zh-CN"/>
        </w:rPr>
        <w:t>用户需求偏离表</w:t>
      </w:r>
      <w:bookmarkEnd w:id="863"/>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952"/>
        <w:gridCol w:w="6417"/>
        <w:gridCol w:w="722"/>
        <w:gridCol w:w="867"/>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4" w:type="pct"/>
            <w:vMerge w:val="restart"/>
            <w:vAlign w:val="center"/>
          </w:tcPr>
          <w:p>
            <w:pPr>
              <w:spacing w:line="400" w:lineRule="exact"/>
              <w:jc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3552" w:type="pct"/>
            <w:gridSpan w:val="2"/>
            <w:vAlign w:val="center"/>
          </w:tcPr>
          <w:p>
            <w:pPr>
              <w:spacing w:line="400" w:lineRule="exact"/>
              <w:jc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招标文件要求</w:t>
            </w:r>
          </w:p>
        </w:tc>
        <w:tc>
          <w:tcPr>
            <w:tcW w:w="1162" w:type="pct"/>
            <w:gridSpan w:val="3"/>
            <w:vAlign w:val="center"/>
          </w:tcPr>
          <w:p>
            <w:pPr>
              <w:spacing w:line="400" w:lineRule="exact"/>
              <w:jc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284" w:type="pct"/>
            <w:vMerge w:val="continue"/>
            <w:vAlign w:val="center"/>
          </w:tcPr>
          <w:p>
            <w:pPr>
              <w:keepNext/>
              <w:keepLines/>
              <w:spacing w:line="400" w:lineRule="exact"/>
              <w:jc w:val="center"/>
              <w:outlineLvl w:val="9"/>
              <w:rPr>
                <w:rFonts w:hint="eastAsia" w:ascii="宋体" w:hAnsi="宋体" w:eastAsia="宋体" w:cs="宋体"/>
                <w:color w:val="auto"/>
                <w:kern w:val="0"/>
                <w:sz w:val="18"/>
                <w:szCs w:val="18"/>
              </w:rPr>
            </w:pPr>
          </w:p>
        </w:tc>
        <w:tc>
          <w:tcPr>
            <w:tcW w:w="459" w:type="pct"/>
            <w:vAlign w:val="center"/>
          </w:tcPr>
          <w:p>
            <w:pPr>
              <w:spacing w:line="400" w:lineRule="exact"/>
              <w:jc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条款号</w:t>
            </w:r>
          </w:p>
        </w:tc>
        <w:tc>
          <w:tcPr>
            <w:tcW w:w="3093" w:type="pct"/>
            <w:vAlign w:val="center"/>
          </w:tcPr>
          <w:p>
            <w:pPr>
              <w:spacing w:line="400" w:lineRule="exact"/>
              <w:jc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简要内容</w:t>
            </w:r>
          </w:p>
        </w:tc>
        <w:tc>
          <w:tcPr>
            <w:tcW w:w="348" w:type="pct"/>
            <w:vAlign w:val="center"/>
          </w:tcPr>
          <w:p>
            <w:pPr>
              <w:spacing w:line="400" w:lineRule="exact"/>
              <w:jc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偏离情况</w:t>
            </w:r>
          </w:p>
        </w:tc>
        <w:tc>
          <w:tcPr>
            <w:tcW w:w="418" w:type="pct"/>
            <w:vAlign w:val="center"/>
          </w:tcPr>
          <w:p>
            <w:pPr>
              <w:spacing w:line="400" w:lineRule="exact"/>
              <w:jc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实质性响应的具体内容</w:t>
            </w:r>
          </w:p>
        </w:tc>
        <w:tc>
          <w:tcPr>
            <w:tcW w:w="396" w:type="pct"/>
            <w:vAlign w:val="center"/>
          </w:tcPr>
          <w:p>
            <w:pPr>
              <w:spacing w:line="400" w:lineRule="exact"/>
              <w:jc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4" w:type="pct"/>
            <w:vAlign w:val="center"/>
          </w:tcPr>
          <w:p>
            <w:pPr>
              <w:spacing w:line="240" w:lineRule="auto"/>
              <w:jc w:val="center"/>
              <w:outlineLvl w:val="9"/>
              <w:rPr>
                <w:rFonts w:hint="eastAsia" w:ascii="宋体" w:hAnsi="宋体" w:eastAsia="宋体" w:cs="宋体"/>
                <w:color w:val="auto"/>
                <w:kern w:val="0"/>
                <w:sz w:val="18"/>
                <w:szCs w:val="18"/>
              </w:rPr>
            </w:pPr>
          </w:p>
        </w:tc>
        <w:tc>
          <w:tcPr>
            <w:tcW w:w="459" w:type="pct"/>
            <w:vAlign w:val="center"/>
          </w:tcPr>
          <w:p>
            <w:pPr>
              <w:spacing w:line="240" w:lineRule="auto"/>
              <w:jc w:val="center"/>
              <w:outlineLvl w:val="9"/>
              <w:rPr>
                <w:rFonts w:hint="eastAsia" w:ascii="宋体" w:hAnsi="宋体" w:eastAsia="宋体" w:cs="宋体"/>
                <w:color w:val="auto"/>
                <w:kern w:val="0"/>
                <w:sz w:val="18"/>
                <w:szCs w:val="18"/>
              </w:rPr>
            </w:pPr>
          </w:p>
        </w:tc>
        <w:tc>
          <w:tcPr>
            <w:tcW w:w="3093" w:type="pct"/>
            <w:vAlign w:val="center"/>
          </w:tcPr>
          <w:p>
            <w:pPr>
              <w:autoSpaceDE w:val="0"/>
              <w:autoSpaceDN w:val="0"/>
              <w:adjustRightInd w:val="0"/>
              <w:spacing w:line="240" w:lineRule="auto"/>
              <w:outlineLvl w:val="9"/>
              <w:rPr>
                <w:rFonts w:hint="eastAsia" w:ascii="宋体" w:hAnsi="宋体" w:eastAsia="宋体" w:cs="宋体"/>
                <w:color w:val="auto"/>
                <w:kern w:val="0"/>
                <w:sz w:val="18"/>
                <w:szCs w:val="18"/>
              </w:rPr>
            </w:pPr>
          </w:p>
        </w:tc>
        <w:tc>
          <w:tcPr>
            <w:tcW w:w="348" w:type="pct"/>
            <w:vAlign w:val="center"/>
          </w:tcPr>
          <w:p>
            <w:pPr>
              <w:keepNext/>
              <w:keepLines/>
              <w:spacing w:line="400" w:lineRule="exact"/>
              <w:jc w:val="center"/>
              <w:outlineLvl w:val="9"/>
              <w:rPr>
                <w:rFonts w:hint="eastAsia" w:ascii="宋体" w:hAnsi="宋体" w:eastAsia="宋体" w:cs="宋体"/>
                <w:color w:val="auto"/>
                <w:kern w:val="0"/>
                <w:sz w:val="18"/>
                <w:szCs w:val="18"/>
              </w:rPr>
            </w:pPr>
          </w:p>
        </w:tc>
        <w:tc>
          <w:tcPr>
            <w:tcW w:w="418" w:type="pct"/>
            <w:vAlign w:val="center"/>
          </w:tcPr>
          <w:p>
            <w:pPr>
              <w:keepNext/>
              <w:keepLines/>
              <w:spacing w:line="400" w:lineRule="exact"/>
              <w:jc w:val="center"/>
              <w:outlineLvl w:val="9"/>
              <w:rPr>
                <w:rFonts w:hint="eastAsia" w:ascii="宋体" w:hAnsi="宋体" w:eastAsia="宋体" w:cs="宋体"/>
                <w:color w:val="auto"/>
                <w:kern w:val="0"/>
                <w:sz w:val="18"/>
                <w:szCs w:val="18"/>
              </w:rPr>
            </w:pPr>
          </w:p>
        </w:tc>
        <w:tc>
          <w:tcPr>
            <w:tcW w:w="396" w:type="pct"/>
            <w:vAlign w:val="center"/>
          </w:tcPr>
          <w:p>
            <w:pPr>
              <w:keepNext/>
              <w:keepLines/>
              <w:spacing w:line="400" w:lineRule="exact"/>
              <w:jc w:val="center"/>
              <w:outlineLvl w:val="9"/>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pPr>
              <w:spacing w:line="240" w:lineRule="auto"/>
              <w:jc w:val="center"/>
              <w:outlineLvl w:val="9"/>
              <w:rPr>
                <w:rFonts w:hint="eastAsia" w:ascii="宋体" w:hAnsi="宋体" w:eastAsia="宋体" w:cs="宋体"/>
                <w:color w:val="auto"/>
                <w:kern w:val="0"/>
                <w:sz w:val="18"/>
                <w:szCs w:val="18"/>
              </w:rPr>
            </w:pPr>
          </w:p>
        </w:tc>
        <w:tc>
          <w:tcPr>
            <w:tcW w:w="459" w:type="pct"/>
            <w:vAlign w:val="center"/>
          </w:tcPr>
          <w:p>
            <w:pPr>
              <w:spacing w:line="240" w:lineRule="auto"/>
              <w:jc w:val="center"/>
              <w:outlineLvl w:val="9"/>
              <w:rPr>
                <w:rFonts w:hint="eastAsia" w:ascii="宋体" w:hAnsi="宋体" w:eastAsia="宋体" w:cs="宋体"/>
                <w:color w:val="auto"/>
                <w:kern w:val="0"/>
                <w:sz w:val="18"/>
                <w:szCs w:val="18"/>
              </w:rPr>
            </w:pPr>
          </w:p>
        </w:tc>
        <w:tc>
          <w:tcPr>
            <w:tcW w:w="3093" w:type="pct"/>
            <w:vAlign w:val="center"/>
          </w:tcPr>
          <w:p>
            <w:pPr>
              <w:adjustRightInd w:val="0"/>
              <w:snapToGrid w:val="0"/>
              <w:spacing w:line="240" w:lineRule="auto"/>
              <w:outlineLvl w:val="9"/>
              <w:rPr>
                <w:rFonts w:hint="default" w:ascii="宋体" w:hAnsi="宋体" w:eastAsia="宋体" w:cs="宋体"/>
                <w:color w:val="auto"/>
                <w:sz w:val="18"/>
                <w:szCs w:val="18"/>
                <w:lang w:val="en-US" w:eastAsia="zh-CN"/>
              </w:rPr>
            </w:pPr>
          </w:p>
        </w:tc>
        <w:tc>
          <w:tcPr>
            <w:tcW w:w="348" w:type="pct"/>
            <w:vAlign w:val="center"/>
          </w:tcPr>
          <w:p>
            <w:pPr>
              <w:keepNext/>
              <w:keepLines/>
              <w:spacing w:line="400" w:lineRule="exact"/>
              <w:jc w:val="center"/>
              <w:outlineLvl w:val="9"/>
              <w:rPr>
                <w:rFonts w:hint="eastAsia" w:ascii="宋体" w:hAnsi="宋体" w:eastAsia="宋体" w:cs="宋体"/>
                <w:color w:val="auto"/>
                <w:kern w:val="0"/>
                <w:sz w:val="18"/>
                <w:szCs w:val="18"/>
              </w:rPr>
            </w:pPr>
          </w:p>
        </w:tc>
        <w:tc>
          <w:tcPr>
            <w:tcW w:w="418" w:type="pct"/>
            <w:vAlign w:val="center"/>
          </w:tcPr>
          <w:p>
            <w:pPr>
              <w:keepNext/>
              <w:keepLines/>
              <w:spacing w:line="400" w:lineRule="exact"/>
              <w:jc w:val="center"/>
              <w:outlineLvl w:val="9"/>
              <w:rPr>
                <w:rFonts w:hint="eastAsia" w:ascii="宋体" w:hAnsi="宋体" w:eastAsia="宋体" w:cs="宋体"/>
                <w:color w:val="auto"/>
                <w:kern w:val="0"/>
                <w:sz w:val="18"/>
                <w:szCs w:val="18"/>
              </w:rPr>
            </w:pPr>
          </w:p>
        </w:tc>
        <w:tc>
          <w:tcPr>
            <w:tcW w:w="396" w:type="pct"/>
            <w:vAlign w:val="center"/>
          </w:tcPr>
          <w:p>
            <w:pPr>
              <w:keepNext/>
              <w:keepLines/>
              <w:spacing w:line="400" w:lineRule="exact"/>
              <w:jc w:val="center"/>
              <w:outlineLvl w:val="9"/>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pPr>
              <w:spacing w:line="240" w:lineRule="auto"/>
              <w:jc w:val="center"/>
              <w:outlineLvl w:val="9"/>
              <w:rPr>
                <w:rFonts w:hint="eastAsia" w:ascii="宋体" w:hAnsi="宋体" w:eastAsia="宋体" w:cs="宋体"/>
                <w:color w:val="auto"/>
                <w:kern w:val="0"/>
                <w:sz w:val="18"/>
                <w:szCs w:val="18"/>
              </w:rPr>
            </w:pPr>
          </w:p>
        </w:tc>
        <w:tc>
          <w:tcPr>
            <w:tcW w:w="459" w:type="pct"/>
            <w:vAlign w:val="center"/>
          </w:tcPr>
          <w:p>
            <w:pPr>
              <w:spacing w:line="240" w:lineRule="auto"/>
              <w:jc w:val="center"/>
              <w:outlineLvl w:val="9"/>
              <w:rPr>
                <w:rFonts w:hint="eastAsia" w:ascii="宋体" w:hAnsi="宋体" w:eastAsia="宋体" w:cs="宋体"/>
                <w:color w:val="auto"/>
                <w:sz w:val="18"/>
                <w:szCs w:val="18"/>
              </w:rPr>
            </w:pPr>
          </w:p>
        </w:tc>
        <w:tc>
          <w:tcPr>
            <w:tcW w:w="3093" w:type="pct"/>
            <w:vAlign w:val="center"/>
          </w:tcPr>
          <w:p>
            <w:pPr>
              <w:spacing w:line="240" w:lineRule="auto"/>
              <w:outlineLvl w:val="9"/>
              <w:rPr>
                <w:rFonts w:hint="default" w:ascii="宋体" w:hAnsi="宋体" w:eastAsia="宋体" w:cs="宋体"/>
                <w:color w:val="auto"/>
                <w:sz w:val="18"/>
                <w:szCs w:val="18"/>
                <w:lang w:val="en-US" w:eastAsia="zh-CN"/>
              </w:rPr>
            </w:pPr>
          </w:p>
        </w:tc>
        <w:tc>
          <w:tcPr>
            <w:tcW w:w="348" w:type="pct"/>
            <w:vAlign w:val="center"/>
          </w:tcPr>
          <w:p>
            <w:pPr>
              <w:keepNext/>
              <w:keepLines/>
              <w:spacing w:line="400" w:lineRule="exact"/>
              <w:jc w:val="center"/>
              <w:outlineLvl w:val="9"/>
              <w:rPr>
                <w:rFonts w:hint="eastAsia" w:ascii="宋体" w:hAnsi="宋体" w:eastAsia="宋体" w:cs="宋体"/>
                <w:color w:val="auto"/>
                <w:kern w:val="0"/>
                <w:sz w:val="18"/>
                <w:szCs w:val="18"/>
              </w:rPr>
            </w:pPr>
          </w:p>
        </w:tc>
        <w:tc>
          <w:tcPr>
            <w:tcW w:w="418" w:type="pct"/>
            <w:vAlign w:val="center"/>
          </w:tcPr>
          <w:p>
            <w:pPr>
              <w:keepNext/>
              <w:keepLines/>
              <w:spacing w:line="400" w:lineRule="exact"/>
              <w:jc w:val="center"/>
              <w:outlineLvl w:val="9"/>
              <w:rPr>
                <w:rFonts w:hint="eastAsia" w:ascii="宋体" w:hAnsi="宋体" w:eastAsia="宋体" w:cs="宋体"/>
                <w:color w:val="auto"/>
                <w:kern w:val="0"/>
                <w:sz w:val="18"/>
                <w:szCs w:val="18"/>
              </w:rPr>
            </w:pPr>
          </w:p>
        </w:tc>
        <w:tc>
          <w:tcPr>
            <w:tcW w:w="396" w:type="pct"/>
            <w:vAlign w:val="center"/>
          </w:tcPr>
          <w:p>
            <w:pPr>
              <w:keepNext/>
              <w:keepLines/>
              <w:spacing w:line="400" w:lineRule="exact"/>
              <w:jc w:val="center"/>
              <w:outlineLvl w:val="9"/>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pPr>
              <w:spacing w:line="240" w:lineRule="auto"/>
              <w:jc w:val="center"/>
              <w:outlineLvl w:val="9"/>
              <w:rPr>
                <w:rFonts w:hint="eastAsia" w:ascii="宋体" w:hAnsi="宋体" w:eastAsia="宋体" w:cs="宋体"/>
                <w:color w:val="auto"/>
                <w:kern w:val="0"/>
                <w:sz w:val="18"/>
                <w:szCs w:val="18"/>
              </w:rPr>
            </w:pPr>
          </w:p>
        </w:tc>
        <w:tc>
          <w:tcPr>
            <w:tcW w:w="459" w:type="pct"/>
            <w:vAlign w:val="center"/>
          </w:tcPr>
          <w:p>
            <w:pPr>
              <w:spacing w:line="240" w:lineRule="auto"/>
              <w:jc w:val="center"/>
              <w:outlineLvl w:val="9"/>
              <w:rPr>
                <w:rFonts w:hint="eastAsia" w:ascii="宋体" w:hAnsi="宋体" w:eastAsia="宋体" w:cs="宋体"/>
                <w:color w:val="auto"/>
                <w:sz w:val="18"/>
                <w:szCs w:val="18"/>
              </w:rPr>
            </w:pPr>
          </w:p>
        </w:tc>
        <w:tc>
          <w:tcPr>
            <w:tcW w:w="3093" w:type="pct"/>
            <w:vAlign w:val="center"/>
          </w:tcPr>
          <w:p>
            <w:pPr>
              <w:spacing w:line="240" w:lineRule="auto"/>
              <w:outlineLvl w:val="9"/>
              <w:rPr>
                <w:rFonts w:hint="default" w:ascii="宋体" w:hAnsi="宋体" w:eastAsia="宋体" w:cs="宋体"/>
                <w:color w:val="auto"/>
                <w:sz w:val="18"/>
                <w:szCs w:val="18"/>
                <w:lang w:val="en-US" w:eastAsia="zh-CN"/>
              </w:rPr>
            </w:pPr>
          </w:p>
        </w:tc>
        <w:tc>
          <w:tcPr>
            <w:tcW w:w="348" w:type="pct"/>
            <w:vAlign w:val="center"/>
          </w:tcPr>
          <w:p>
            <w:pPr>
              <w:keepNext/>
              <w:keepLines/>
              <w:spacing w:line="400" w:lineRule="exact"/>
              <w:jc w:val="center"/>
              <w:outlineLvl w:val="9"/>
              <w:rPr>
                <w:rFonts w:hint="eastAsia" w:ascii="宋体" w:hAnsi="宋体" w:eastAsia="宋体" w:cs="宋体"/>
                <w:color w:val="auto"/>
                <w:kern w:val="0"/>
                <w:sz w:val="18"/>
                <w:szCs w:val="18"/>
              </w:rPr>
            </w:pPr>
          </w:p>
        </w:tc>
        <w:tc>
          <w:tcPr>
            <w:tcW w:w="418" w:type="pct"/>
            <w:vAlign w:val="center"/>
          </w:tcPr>
          <w:p>
            <w:pPr>
              <w:keepNext/>
              <w:keepLines/>
              <w:spacing w:line="400" w:lineRule="exact"/>
              <w:jc w:val="center"/>
              <w:outlineLvl w:val="9"/>
              <w:rPr>
                <w:rFonts w:hint="eastAsia" w:ascii="宋体" w:hAnsi="宋体" w:eastAsia="宋体" w:cs="宋体"/>
                <w:color w:val="auto"/>
                <w:kern w:val="0"/>
                <w:sz w:val="18"/>
                <w:szCs w:val="18"/>
              </w:rPr>
            </w:pPr>
          </w:p>
        </w:tc>
        <w:tc>
          <w:tcPr>
            <w:tcW w:w="396" w:type="pct"/>
            <w:vAlign w:val="center"/>
          </w:tcPr>
          <w:p>
            <w:pPr>
              <w:keepNext/>
              <w:keepLines/>
              <w:spacing w:line="400" w:lineRule="exact"/>
              <w:jc w:val="center"/>
              <w:outlineLvl w:val="9"/>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pPr>
              <w:spacing w:line="240" w:lineRule="auto"/>
              <w:jc w:val="center"/>
              <w:outlineLvl w:val="9"/>
              <w:rPr>
                <w:rFonts w:hint="eastAsia" w:ascii="宋体" w:hAnsi="宋体" w:eastAsia="宋体" w:cs="宋体"/>
                <w:color w:val="auto"/>
                <w:kern w:val="0"/>
                <w:sz w:val="18"/>
                <w:szCs w:val="18"/>
              </w:rPr>
            </w:pPr>
          </w:p>
        </w:tc>
        <w:tc>
          <w:tcPr>
            <w:tcW w:w="459" w:type="pct"/>
            <w:vAlign w:val="center"/>
          </w:tcPr>
          <w:p>
            <w:pPr>
              <w:spacing w:line="240" w:lineRule="auto"/>
              <w:jc w:val="center"/>
              <w:outlineLvl w:val="9"/>
              <w:rPr>
                <w:rFonts w:hint="eastAsia" w:ascii="宋体" w:hAnsi="宋体" w:eastAsia="宋体" w:cs="宋体"/>
                <w:color w:val="auto"/>
                <w:kern w:val="0"/>
                <w:sz w:val="18"/>
                <w:szCs w:val="18"/>
              </w:rPr>
            </w:pPr>
          </w:p>
        </w:tc>
        <w:tc>
          <w:tcPr>
            <w:tcW w:w="3093" w:type="pct"/>
            <w:vAlign w:val="center"/>
          </w:tcPr>
          <w:p>
            <w:pPr>
              <w:spacing w:line="240" w:lineRule="auto"/>
              <w:outlineLvl w:val="9"/>
              <w:rPr>
                <w:rFonts w:hint="default" w:ascii="宋体" w:hAnsi="宋体" w:eastAsia="宋体" w:cs="宋体"/>
                <w:color w:val="auto"/>
                <w:sz w:val="18"/>
                <w:szCs w:val="18"/>
                <w:lang w:val="en-US" w:eastAsia="zh-CN"/>
              </w:rPr>
            </w:pPr>
          </w:p>
        </w:tc>
        <w:tc>
          <w:tcPr>
            <w:tcW w:w="348" w:type="pct"/>
            <w:vAlign w:val="center"/>
          </w:tcPr>
          <w:p>
            <w:pPr>
              <w:keepNext/>
              <w:keepLines/>
              <w:spacing w:line="400" w:lineRule="exact"/>
              <w:jc w:val="center"/>
              <w:outlineLvl w:val="9"/>
              <w:rPr>
                <w:rFonts w:hint="eastAsia" w:ascii="宋体" w:hAnsi="宋体" w:eastAsia="宋体" w:cs="宋体"/>
                <w:color w:val="auto"/>
                <w:kern w:val="0"/>
                <w:sz w:val="18"/>
                <w:szCs w:val="18"/>
              </w:rPr>
            </w:pPr>
          </w:p>
        </w:tc>
        <w:tc>
          <w:tcPr>
            <w:tcW w:w="418" w:type="pct"/>
            <w:vAlign w:val="center"/>
          </w:tcPr>
          <w:p>
            <w:pPr>
              <w:keepNext/>
              <w:keepLines/>
              <w:spacing w:line="400" w:lineRule="exact"/>
              <w:jc w:val="center"/>
              <w:outlineLvl w:val="9"/>
              <w:rPr>
                <w:rFonts w:hint="eastAsia" w:ascii="宋体" w:hAnsi="宋体" w:eastAsia="宋体" w:cs="宋体"/>
                <w:color w:val="auto"/>
                <w:kern w:val="0"/>
                <w:sz w:val="18"/>
                <w:szCs w:val="18"/>
              </w:rPr>
            </w:pPr>
          </w:p>
        </w:tc>
        <w:tc>
          <w:tcPr>
            <w:tcW w:w="396" w:type="pct"/>
            <w:vAlign w:val="center"/>
          </w:tcPr>
          <w:p>
            <w:pPr>
              <w:keepNext/>
              <w:keepLines/>
              <w:spacing w:line="400" w:lineRule="exact"/>
              <w:jc w:val="center"/>
              <w:outlineLvl w:val="9"/>
              <w:rPr>
                <w:rFonts w:hint="eastAsia" w:ascii="宋体" w:hAnsi="宋体" w:eastAsia="宋体" w:cs="宋体"/>
                <w:color w:val="auto"/>
                <w:kern w:val="0"/>
                <w:sz w:val="18"/>
                <w:szCs w:val="18"/>
              </w:rPr>
            </w:pPr>
          </w:p>
        </w:tc>
      </w:tr>
    </w:tbl>
    <w:p>
      <w:pPr>
        <w:spacing w:line="360" w:lineRule="auto"/>
        <w:outlineLvl w:val="9"/>
        <w:rPr>
          <w:rFonts w:ascii="宋体" w:hAnsi="宋体" w:eastAsia="宋体" w:cs="宋体"/>
          <w:color w:val="auto"/>
          <w:szCs w:val="21"/>
          <w:highlight w:val="none"/>
        </w:rPr>
      </w:pPr>
    </w:p>
    <w:p>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5" w:leftChars="18" w:hanging="567" w:hangingChars="270"/>
        <w:outlineLvl w:val="9"/>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（其中“一、项目</w:t>
      </w:r>
      <w:r>
        <w:rPr>
          <w:rFonts w:hint="eastAsia" w:ascii="宋体" w:hAnsi="宋体" w:eastAsia="宋体" w:cs="宋体"/>
          <w:b/>
          <w:color w:val="auto"/>
          <w:szCs w:val="21"/>
          <w:highlight w:val="none"/>
          <w:u w:val="single"/>
          <w:lang w:val="en-US" w:eastAsia="zh-CN"/>
        </w:rPr>
        <w:t>概况</w:t>
      </w:r>
      <w:r>
        <w:rPr>
          <w:rFonts w:hint="eastAsia" w:ascii="宋体" w:hAnsi="宋体" w:eastAsia="宋体" w:cs="宋体"/>
          <w:b/>
          <w:color w:val="auto"/>
          <w:szCs w:val="21"/>
          <w:highlight w:val="none"/>
          <w:u w:val="single"/>
          <w:lang w:eastAsia="zh-CN"/>
        </w:rPr>
        <w:t>”除外）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bCs/>
          <w:color w:val="auto"/>
          <w:szCs w:val="21"/>
          <w:highlight w:val="none"/>
          <w:u w:val="single"/>
        </w:rPr>
        <w:t>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w:t>
      </w:r>
      <w:r>
        <w:rPr>
          <w:rFonts w:hint="eastAsia" w:ascii="宋体" w:hAnsi="宋体" w:eastAsia="宋体" w:cs="宋体"/>
          <w:color w:val="auto"/>
          <w:szCs w:val="21"/>
          <w:highlight w:val="none"/>
        </w:rPr>
        <w:t xml:space="preserve">。 </w:t>
      </w:r>
    </w:p>
    <w:p>
      <w:pPr>
        <w:spacing w:line="360" w:lineRule="auto"/>
        <w:ind w:left="607" w:leftChars="18" w:hanging="569" w:hangingChars="270"/>
        <w:outlineLvl w:val="9"/>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pPr>
        <w:spacing w:line="360" w:lineRule="auto"/>
        <w:ind w:left="607" w:leftChars="18" w:hanging="569" w:hangingChars="270"/>
        <w:outlineLvl w:val="9"/>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pPr>
        <w:spacing w:line="360" w:lineRule="auto"/>
        <w:outlineLvl w:val="9"/>
        <w:rPr>
          <w:rFonts w:ascii="宋体" w:hAnsi="宋体" w:eastAsia="宋体" w:cs="宋体"/>
          <w:color w:val="auto"/>
          <w:szCs w:val="21"/>
          <w:highlight w:val="none"/>
        </w:rPr>
      </w:pPr>
    </w:p>
    <w:p>
      <w:pPr>
        <w:autoSpaceDE w:val="0"/>
        <w:autoSpaceDN w:val="0"/>
        <w:adjustRightInd w:val="0"/>
        <w:spacing w:line="360" w:lineRule="auto"/>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pPr>
        <w:autoSpaceDE w:val="0"/>
        <w:autoSpaceDN w:val="0"/>
        <w:adjustRightInd w:val="0"/>
        <w:ind w:left="15" w:leftChars="-50" w:hanging="12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pPr>
        <w:tabs>
          <w:tab w:val="left" w:pos="567"/>
        </w:tabs>
        <w:autoSpaceDE w:val="0"/>
        <w:autoSpaceDN w:val="0"/>
        <w:adjustRightInd w:val="0"/>
        <w:spacing w:line="360" w:lineRule="auto"/>
        <w:jc w:val="left"/>
        <w:outlineLvl w:val="9"/>
        <w:rPr>
          <w:rFonts w:hint="eastAsia" w:ascii="宋体" w:hAnsi="宋体" w:eastAsia="宋体" w:cs="Times New Roman"/>
          <w:b/>
          <w:color w:val="auto"/>
          <w:kern w:val="0"/>
          <w:sz w:val="30"/>
          <w:szCs w:val="30"/>
          <w:highlight w:val="none"/>
          <w:lang w:val="en-US" w:eastAsia="zh-CN"/>
        </w:rPr>
      </w:pPr>
      <w:r>
        <w:rPr>
          <w:rFonts w:hint="eastAsia" w:ascii="宋体" w:hAnsi="宋体" w:eastAsia="宋体" w:cs="宋体"/>
          <w:b/>
          <w:color w:val="auto"/>
          <w:kern w:val="0"/>
          <w:sz w:val="30"/>
          <w:szCs w:val="30"/>
          <w:highlight w:val="none"/>
        </w:rPr>
        <w:br w:type="page"/>
      </w:r>
      <w:bookmarkStart w:id="864" w:name="_Toc140596942"/>
      <w:bookmarkStart w:id="865" w:name="_Toc104991889"/>
      <w:bookmarkStart w:id="866" w:name="_Toc20665"/>
      <w:bookmarkStart w:id="867" w:name="_Toc28623"/>
      <w:bookmarkStart w:id="868" w:name="_Toc102860431"/>
      <w:bookmarkStart w:id="869" w:name="_Toc102860087"/>
      <w:bookmarkStart w:id="870" w:name="_Toc142508382"/>
      <w:bookmarkStart w:id="871" w:name="_Toc94107224"/>
      <w:bookmarkStart w:id="872" w:name="_Toc20178"/>
      <w:bookmarkStart w:id="873" w:name="_Toc14265"/>
      <w:bookmarkStart w:id="874" w:name="_Toc32486"/>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864"/>
      <w:bookmarkEnd w:id="865"/>
      <w:bookmarkEnd w:id="866"/>
      <w:bookmarkEnd w:id="867"/>
      <w:bookmarkEnd w:id="868"/>
      <w:bookmarkEnd w:id="869"/>
      <w:bookmarkEnd w:id="870"/>
      <w:bookmarkEnd w:id="871"/>
      <w:r>
        <w:rPr>
          <w:rFonts w:hint="eastAsia" w:ascii="宋体" w:hAnsi="宋体" w:eastAsia="宋体" w:cs="宋体"/>
          <w:b/>
          <w:color w:val="auto"/>
          <w:kern w:val="0"/>
          <w:sz w:val="30"/>
          <w:szCs w:val="30"/>
          <w:highlight w:val="none"/>
        </w:rPr>
        <w:t>投标品牌表</w:t>
      </w:r>
      <w:r>
        <w:rPr>
          <w:rFonts w:hint="eastAsia" w:ascii="宋体" w:hAnsi="宋体" w:eastAsia="宋体" w:cs="宋体"/>
          <w:b/>
          <w:color w:val="auto"/>
          <w:kern w:val="0"/>
          <w:sz w:val="30"/>
          <w:szCs w:val="30"/>
          <w:highlight w:val="none"/>
          <w:lang w:val="en-US" w:eastAsia="zh-CN"/>
        </w:rPr>
        <w:t>格式</w:t>
      </w:r>
      <w:bookmarkEnd w:id="872"/>
      <w:bookmarkEnd w:id="873"/>
      <w:bookmarkEnd w:id="874"/>
    </w:p>
    <w:p>
      <w:pPr>
        <w:pStyle w:val="23"/>
        <w:spacing w:line="360" w:lineRule="auto"/>
        <w:jc w:val="center"/>
        <w:outlineLvl w:val="9"/>
        <w:rPr>
          <w:rFonts w:hint="eastAsia" w:ascii="宋体" w:hAnsi="宋体" w:eastAsia="宋体" w:cs="宋体"/>
          <w:b/>
          <w:color w:val="auto"/>
          <w:sz w:val="30"/>
          <w:szCs w:val="30"/>
          <w:highlight w:val="none"/>
          <w:lang w:val="zh-CN"/>
        </w:rPr>
      </w:pPr>
      <w:r>
        <w:rPr>
          <w:rFonts w:hint="eastAsia" w:hAnsi="宋体" w:cs="宋体"/>
          <w:b/>
          <w:color w:val="auto"/>
          <w:sz w:val="30"/>
          <w:szCs w:val="30"/>
          <w:highlight w:val="none"/>
        </w:rPr>
        <w:t>投标品牌</w:t>
      </w:r>
      <w:r>
        <w:rPr>
          <w:rFonts w:hAnsi="宋体" w:cs="宋体"/>
          <w:b/>
          <w:color w:val="auto"/>
          <w:sz w:val="30"/>
          <w:szCs w:val="30"/>
          <w:highlight w:val="none"/>
        </w:rPr>
        <w:t>表</w:t>
      </w:r>
    </w:p>
    <w:p>
      <w:pPr>
        <w:pStyle w:val="23"/>
        <w:spacing w:line="360" w:lineRule="auto"/>
        <w:outlineLvl w:val="9"/>
        <w:rPr>
          <w:rFonts w:hint="eastAsia" w:ascii="宋体" w:hAnsi="宋体" w:eastAsia="宋体" w:cs="宋体"/>
          <w:color w:val="auto"/>
          <w:sz w:val="21"/>
          <w:szCs w:val="21"/>
          <w:highlight w:val="none"/>
          <w:u w:val="single"/>
          <w:lang w:eastAsia="zh-CN"/>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u w:val="single"/>
          <w:lang w:eastAsia="zh-CN"/>
        </w:rPr>
        <w:t>东莞市众源环境投资有限公司五金配件及劳保物资采购项目</w:t>
      </w:r>
    </w:p>
    <w:p>
      <w:pPr>
        <w:pStyle w:val="23"/>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招标编号：</w:t>
      </w:r>
      <w:r>
        <w:rPr>
          <w:rFonts w:hint="eastAsia" w:ascii="宋体" w:hAnsi="宋体" w:eastAsia="宋体" w:cs="宋体"/>
          <w:color w:val="auto"/>
          <w:sz w:val="21"/>
          <w:szCs w:val="21"/>
          <w:highlight w:val="none"/>
          <w:u w:val="single"/>
          <w:lang w:val="zh-CN"/>
        </w:rPr>
        <w:t>0832-SFCX24DG010A</w:t>
      </w:r>
    </w:p>
    <w:p>
      <w:pPr>
        <w:pStyle w:val="23"/>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投标品牌填写说明：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jc w:val="left"/>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投标人应根据表格要求在</w:t>
      </w:r>
      <w:r>
        <w:rPr>
          <w:rFonts w:hint="eastAsia" w:ascii="宋体" w:hAnsi="宋体" w:eastAsia="宋体" w:cs="宋体"/>
          <w:b/>
          <w:color w:val="auto"/>
          <w:sz w:val="21"/>
          <w:szCs w:val="21"/>
          <w:highlight w:val="none"/>
          <w:lang w:val="en-US" w:eastAsia="zh-CN"/>
        </w:rPr>
        <w:t>不含税</w:t>
      </w:r>
      <w:r>
        <w:rPr>
          <w:rFonts w:hint="eastAsia" w:ascii="宋体" w:hAnsi="宋体" w:eastAsia="宋体" w:cs="宋体"/>
          <w:b/>
          <w:color w:val="auto"/>
          <w:sz w:val="21"/>
          <w:szCs w:val="21"/>
          <w:highlight w:val="none"/>
        </w:rPr>
        <w:t>中标综合单价不变的前提下，填写每项</w:t>
      </w:r>
      <w:r>
        <w:rPr>
          <w:rFonts w:hint="eastAsia" w:ascii="宋体" w:hAnsi="宋体" w:eastAsia="宋体" w:cs="宋体"/>
          <w:b/>
          <w:color w:val="auto"/>
          <w:sz w:val="21"/>
          <w:szCs w:val="21"/>
          <w:highlight w:val="none"/>
          <w:lang w:val="en-US" w:eastAsia="zh-CN"/>
        </w:rPr>
        <w:t>物资</w:t>
      </w:r>
      <w:r>
        <w:rPr>
          <w:rFonts w:hint="eastAsia" w:ascii="宋体" w:hAnsi="宋体" w:eastAsia="宋体" w:cs="宋体"/>
          <w:b/>
          <w:color w:val="auto"/>
          <w:sz w:val="21"/>
          <w:szCs w:val="21"/>
          <w:highlight w:val="none"/>
        </w:rPr>
        <w:t>投标人中标后能提供的品牌；中标后，招标人将根据实际需求，每次下单时</w:t>
      </w:r>
      <w:r>
        <w:rPr>
          <w:rFonts w:hint="eastAsia" w:ascii="宋体" w:hAnsi="宋体" w:eastAsia="宋体" w:cs="宋体"/>
          <w:b/>
          <w:color w:val="auto"/>
          <w:sz w:val="21"/>
          <w:szCs w:val="21"/>
          <w:highlight w:val="none"/>
          <w:lang w:val="en-US" w:eastAsia="zh-CN"/>
        </w:rPr>
        <w:t>将在投标人投标时所填报的物资品牌中</w:t>
      </w:r>
      <w:r>
        <w:rPr>
          <w:rFonts w:hint="eastAsia" w:ascii="宋体" w:hAnsi="宋体" w:eastAsia="宋体" w:cs="宋体"/>
          <w:b/>
          <w:color w:val="auto"/>
          <w:sz w:val="21"/>
          <w:szCs w:val="21"/>
          <w:highlight w:val="none"/>
        </w:rPr>
        <w:t>明确当批次</w:t>
      </w:r>
      <w:r>
        <w:rPr>
          <w:rFonts w:hint="eastAsia" w:ascii="宋体" w:hAnsi="宋体" w:eastAsia="宋体" w:cs="宋体"/>
          <w:b/>
          <w:color w:val="auto"/>
          <w:sz w:val="21"/>
          <w:szCs w:val="21"/>
          <w:highlight w:val="none"/>
          <w:lang w:val="en-US" w:eastAsia="zh-CN"/>
        </w:rPr>
        <w:t>供货物资</w:t>
      </w:r>
      <w:r>
        <w:rPr>
          <w:rFonts w:hint="eastAsia" w:ascii="宋体" w:hAnsi="宋体" w:eastAsia="宋体" w:cs="宋体"/>
          <w:b/>
          <w:color w:val="auto"/>
          <w:sz w:val="21"/>
          <w:szCs w:val="21"/>
          <w:highlight w:val="none"/>
        </w:rPr>
        <w:t>需求的</w:t>
      </w:r>
      <w:r>
        <w:rPr>
          <w:rFonts w:hint="eastAsia" w:ascii="宋体" w:hAnsi="宋体" w:eastAsia="宋体" w:cs="宋体"/>
          <w:b/>
          <w:color w:val="auto"/>
          <w:sz w:val="21"/>
          <w:szCs w:val="21"/>
          <w:highlight w:val="none"/>
          <w:lang w:val="en-US" w:eastAsia="zh-CN"/>
        </w:rPr>
        <w:t>品牌。</w:t>
      </w:r>
    </w:p>
    <w:tbl>
      <w:tblPr>
        <w:tblStyle w:val="38"/>
        <w:tblW w:w="4615" w:type="pct"/>
        <w:jc w:val="center"/>
        <w:tblLayout w:type="fixed"/>
        <w:tblCellMar>
          <w:top w:w="0" w:type="dxa"/>
          <w:left w:w="108" w:type="dxa"/>
          <w:bottom w:w="0" w:type="dxa"/>
          <w:right w:w="108" w:type="dxa"/>
        </w:tblCellMar>
      </w:tblPr>
      <w:tblGrid>
        <w:gridCol w:w="572"/>
        <w:gridCol w:w="714"/>
        <w:gridCol w:w="1442"/>
        <w:gridCol w:w="1608"/>
        <w:gridCol w:w="2000"/>
        <w:gridCol w:w="728"/>
        <w:gridCol w:w="700"/>
        <w:gridCol w:w="1808"/>
      </w:tblGrid>
      <w:tr>
        <w:tblPrEx>
          <w:tblCellMar>
            <w:top w:w="0" w:type="dxa"/>
            <w:left w:w="108" w:type="dxa"/>
            <w:bottom w:w="0" w:type="dxa"/>
            <w:right w:w="108" w:type="dxa"/>
          </w:tblCellMar>
        </w:tblPrEx>
        <w:trPr>
          <w:trHeight w:val="84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b/>
                <w:bCs/>
                <w:color w:val="auto"/>
                <w:sz w:val="22"/>
                <w:szCs w:val="22"/>
              </w:rPr>
            </w:pPr>
            <w:r>
              <w:rPr>
                <w:rFonts w:hint="eastAsia" w:ascii="宋体" w:hAnsi="宋体" w:eastAsia="宋体" w:cs="宋体"/>
                <w:b/>
                <w:bCs/>
                <w:color w:val="auto"/>
                <w:sz w:val="22"/>
                <w:szCs w:val="22"/>
              </w:rPr>
              <w:t>序号</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b/>
                <w:bCs/>
                <w:color w:val="auto"/>
                <w:sz w:val="22"/>
                <w:szCs w:val="22"/>
              </w:rPr>
            </w:pPr>
            <w:r>
              <w:rPr>
                <w:rFonts w:hint="eastAsia" w:ascii="宋体" w:hAnsi="宋体" w:eastAsia="宋体" w:cs="宋体"/>
                <w:b/>
                <w:bCs/>
                <w:color w:val="auto"/>
                <w:sz w:val="22"/>
                <w:szCs w:val="22"/>
              </w:rPr>
              <w:t>物资类别</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b/>
                <w:bCs/>
                <w:color w:val="auto"/>
                <w:sz w:val="22"/>
                <w:szCs w:val="22"/>
              </w:rPr>
            </w:pPr>
            <w:r>
              <w:rPr>
                <w:rFonts w:hint="eastAsia" w:ascii="宋体" w:hAnsi="宋体" w:eastAsia="宋体" w:cs="宋体"/>
                <w:b/>
                <w:bCs/>
                <w:color w:val="auto"/>
                <w:sz w:val="22"/>
                <w:szCs w:val="22"/>
              </w:rPr>
              <w:t>物资名称</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b/>
                <w:bCs/>
                <w:color w:val="auto"/>
                <w:sz w:val="22"/>
                <w:szCs w:val="22"/>
              </w:rPr>
            </w:pPr>
            <w:r>
              <w:rPr>
                <w:rFonts w:hint="eastAsia" w:ascii="宋体" w:hAnsi="宋体" w:eastAsia="宋体" w:cs="宋体"/>
                <w:b/>
                <w:bCs/>
                <w:color w:val="auto"/>
                <w:sz w:val="22"/>
                <w:szCs w:val="22"/>
                <w:lang w:val="en-US" w:eastAsia="zh-CN"/>
              </w:rPr>
              <w:t>推荐</w:t>
            </w:r>
            <w:r>
              <w:rPr>
                <w:rFonts w:hint="eastAsia" w:ascii="宋体" w:hAnsi="宋体" w:eastAsia="宋体" w:cs="宋体"/>
                <w:b/>
                <w:bCs/>
                <w:color w:val="auto"/>
                <w:sz w:val="22"/>
                <w:szCs w:val="22"/>
              </w:rPr>
              <w:t>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b/>
                <w:bCs/>
                <w:color w:val="auto"/>
                <w:sz w:val="22"/>
                <w:szCs w:val="22"/>
              </w:rPr>
            </w:pPr>
            <w:r>
              <w:rPr>
                <w:rFonts w:hint="eastAsia" w:ascii="宋体" w:hAnsi="宋体" w:eastAsia="宋体" w:cs="宋体"/>
                <w:b/>
                <w:bCs/>
                <w:color w:val="auto"/>
                <w:sz w:val="22"/>
                <w:szCs w:val="22"/>
              </w:rPr>
              <w:t>规格型号</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sz w:val="22"/>
                <w:szCs w:val="22"/>
              </w:rPr>
              <w:t>单位</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sz w:val="22"/>
                <w:szCs w:val="22"/>
              </w:rPr>
              <w:t>暂定数量</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投标品牌</w:t>
            </w:r>
          </w:p>
        </w:tc>
      </w:tr>
      <w:tr>
        <w:tblPrEx>
          <w:tblCellMar>
            <w:top w:w="0" w:type="dxa"/>
            <w:left w:w="108" w:type="dxa"/>
            <w:bottom w:w="0" w:type="dxa"/>
            <w:right w:w="108" w:type="dxa"/>
          </w:tblCellMar>
        </w:tblPrEx>
        <w:trPr>
          <w:trHeight w:val="35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槽钢</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碳钢材质，国标尺寸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角钢</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碳钢材质，国标尺寸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方通</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碳钢材质，国标尺寸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钢板</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碳钢材质，国标尺寸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304不锈钢方通</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304不锈钢格网</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304不锈钢链条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304不锈钢薄板</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1220×2440mm,0.8mm厚</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张</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304不锈钢薄板</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1220×2440mm,1.0mm厚</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张</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304不锈钢薄板</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1220×2440mm,1.2mm厚</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张</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镀锌方通</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碳钢镀锌，国标尺寸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镀锌钢管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碳钢镀锌，国标尺寸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镀锌格栅板</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碳钢镀锌，国标尺寸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镀锌链条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碳钢镀锌，国标尺寸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80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镀锌板</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1220×2440mm,1.0mm厚</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张</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镀锌板</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1220×2440mm,2.0mm厚</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张</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304不锈钢管件</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90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碳钢焊接法兰</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碳钢焊接法兰</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DN32，PN16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碳钢焊接法兰</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DN40，PN16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碳钢焊接法兰</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9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碳钢焊接法兰</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9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碳钢焊接法兰</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304不锈钢焊接法兰</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304不锈钢焊接法兰</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DN32，PN16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304不锈钢焊接法兰</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DN40，PN16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304不锈钢焊接法兰</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304不锈钢焊接法兰</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304不锈钢法兰盲板</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304不锈钢法兰盲板</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304不锈钢法兰盲板</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304不锈钢波纹伸缩接头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DN100，PN10</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304不锈钢波纹伸缩接头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DN125，PN10</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304不锈钢波纹伸缩接头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DN150，PN10</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304不锈钢波纹伸缩接头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DN200，PN10</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304不锈钢波纹伸缩接头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DN250，PN10</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304不锈钢法兰橡胶软接头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DN100，PN25，耐酸碱、高温</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304不锈钢法兰橡胶软接头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DN100，PN16，耐酸碱、高温</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304不锈钢法兰橡胶软接头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DN80，PN25，耐酸碱、高温</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304不锈钢法兰橡胶软接头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DN50，PN16，耐酸碱、高温</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碳钢镀锌外六角螺栓</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碳钢镀锌内六角螺栓</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碳钢镀锌螺母</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碳钢镀锌弹垫</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碳钢镀锌平垫</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304不锈钢外六角螺栓</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304不锈钢内六角螺栓</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304不锈钢螺母</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23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304不锈钢弹垫</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13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304不锈钢平垫</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13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碳钢镀锌螺钉</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13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碳钢镀锌膨胀螺栓</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28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碳钢镀锌花篮螺栓</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8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410不锈钢自钻螺钉</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28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304不锈钢U型卸扣</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304不锈钢钢丝绳锁扣</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拉簧</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1.2*12*60，碳钢</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条</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58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铁丝</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镀锌铁丝</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不锈钢氩弧焊丝</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国标尺寸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304不锈钢喉箍</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14-51mm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304不锈钢喉箍</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46-95mm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304不锈钢喉箍</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84-140mm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304不锈钢喉箍</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130-178mm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304不锈钢喉箍</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160-245mm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铁管卡箍</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铆钉</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M2.4×10，1000枚/盒</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铆钉</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M3.2×20，1000枚/盒</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铆钉</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M4×25，500枚/盒</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绝缘橡胶垫</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10KV，5mm厚，1米宽，绿色，防滑，5米/卷</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卷</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21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石墨盘根</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任意尺寸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紫铜棒</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任意尺寸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紫铜板</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任意尺寸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304不锈钢钢丝绳</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直径3mm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304不锈钢钢丝绳</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直径5mm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304不锈钢钢丝绳</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直径8mm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DN150,PN16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80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DN150,PN16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DN150,PN16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UPVC给水管45°弯头（灰色）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UPVC给水管45°弯头（灰色）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UPVC给水管45°弯头（灰色）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UPVC给水管45°弯头（灰色）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UPVC给水管45°弯头（灰色）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UPVC给水管45°弯头（灰色）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UPVC给水管45°弯头（灰色）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DN150,PN16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DN150,PN16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UPVC给水管异径三通（灰色）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DN25转DN20，PN16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UPVC给水管异径三通（灰色）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DN65转DN50，PN16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UPVC给水管异径三通（灰色）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DN80转DN65，PN16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UPVC给水管异径三通（灰色）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DN100转DN80，PN16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UPVC带法兰接头  （灰色）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UPVC带法兰接头  （灰色）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UPVC带法兰接头  （灰色）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UPVC带法兰接头  （灰色）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UPVC带法兰接头  （灰色）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UPVC带法兰接头  （灰色）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UPVC带法兰接头  （灰色）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DN150,PN16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UPVC补芯（灰色）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DN25转DN20</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UPVC补芯（灰色）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DN65转DN50</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UPVC补芯（灰色）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DN80转DN65</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UPVC补芯（灰色）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DN100转DN80</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DN150,PN16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UPVC球式止回阀  （灰色）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UPVC球式止回阀  （灰色）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UPVC球式止回阀  （灰色）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UPVC球式止回阀  （灰色）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DN150,PN16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UPVC给水管（蓝色）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UPVC给水管（蓝色）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UPVC给水管（蓝色）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（蓝色）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（蓝色）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UPVC给水管直接  （蓝色）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UPVC给水管90°弯头（蓝色）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UPVC给水管90°弯头（蓝色）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UPVC给水管90°弯头（蓝色）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UPVC给水管正三通（蓝色）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UPVC给水管正三通（蓝色）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UPVC给水管正三通（蓝色）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UPVC给水管异径三通（蓝色）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DN25转DN20，PN16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UPVC给水管异径三通（蓝色）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DN50转DN25，PN16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170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UPVC给水管异径三通（蓝色）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DN65转DN60，PN16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171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UPVC给水管异径三通（蓝色）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DN100转DN80，PN16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172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173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UPVC活接（蓝色）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174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175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UPVC活接（蓝色）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176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177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UPVC活接（蓝色）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178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UPVC补芯（蓝色）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DN25转DN20</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179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UPVC补芯（蓝色）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DN65转DN50</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UPVC补芯（蓝色）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DN80转DN65</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UPVC补芯（蓝色）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DN100转DN80</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（蓝色）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（蓝色）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UPVC简单型球阀  （蓝色）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联塑/日丰/南亚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UPVC球式止回阀  （蓝色）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UPVC球式止回阀  （蓝色）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/日丰/南亚</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190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UPVC球式止回阀  （蓝色）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/日丰/南亚</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78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191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安全阀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富羽</w:t>
            </w:r>
            <w:r>
              <w:rPr>
                <w:rFonts w:ascii="宋体" w:hAnsi="宋体" w:eastAsia="宋体" w:cs="宋体"/>
                <w:sz w:val="20"/>
                <w:szCs w:val="20"/>
                <w:highlight w:val="none"/>
              </w:rPr>
              <w:t>/</w:t>
            </w:r>
            <w:r>
              <w:rPr>
                <w:rFonts w:hint="eastAsia" w:ascii="宋体" w:hAnsi="宋体" w:eastAsia="宋体" w:cs="宋体"/>
                <w:sz w:val="20"/>
                <w:szCs w:val="20"/>
                <w:highlight w:val="none"/>
              </w:rPr>
              <w:t>永一</w:t>
            </w:r>
            <w:r>
              <w:rPr>
                <w:rFonts w:ascii="宋体" w:hAnsi="宋体" w:eastAsia="宋体" w:cs="宋体"/>
                <w:sz w:val="20"/>
                <w:szCs w:val="20"/>
                <w:highlight w:val="none"/>
              </w:rPr>
              <w:t>/沪工</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A28W-16T，公称压力：1.0MPa，公称通径：DN25mm，排放压力≤0.92MPa，压力等级：0.7-1.0MPa</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78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192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安全阀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富羽</w:t>
            </w:r>
            <w:r>
              <w:rPr>
                <w:rFonts w:ascii="宋体" w:hAnsi="宋体" w:eastAsia="宋体" w:cs="宋体"/>
                <w:sz w:val="20"/>
                <w:szCs w:val="20"/>
                <w:highlight w:val="none"/>
              </w:rPr>
              <w:t>/</w:t>
            </w:r>
            <w:r>
              <w:rPr>
                <w:rFonts w:hint="eastAsia" w:ascii="宋体" w:hAnsi="宋体" w:eastAsia="宋体" w:cs="宋体"/>
                <w:sz w:val="20"/>
                <w:szCs w:val="20"/>
                <w:highlight w:val="none"/>
              </w:rPr>
              <w:t>永一</w:t>
            </w:r>
            <w:r>
              <w:rPr>
                <w:rFonts w:ascii="宋体" w:hAnsi="宋体" w:eastAsia="宋体" w:cs="宋体"/>
                <w:sz w:val="20"/>
                <w:szCs w:val="20"/>
                <w:highlight w:val="none"/>
              </w:rPr>
              <w:t>/沪工</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A28W-16T，公称压力：1.0MPa，公称通径：DN20mm，整定压力：0.84Mpa，排放压力：0.92MPa，压力等级：0.7-1.0MPa</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78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193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安全阀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富羽</w:t>
            </w:r>
            <w:r>
              <w:rPr>
                <w:rFonts w:ascii="宋体" w:hAnsi="宋体" w:eastAsia="宋体" w:cs="宋体"/>
                <w:sz w:val="20"/>
                <w:szCs w:val="20"/>
                <w:highlight w:val="none"/>
              </w:rPr>
              <w:t>/</w:t>
            </w:r>
            <w:r>
              <w:rPr>
                <w:rFonts w:hint="eastAsia" w:ascii="宋体" w:hAnsi="宋体" w:eastAsia="宋体" w:cs="宋体"/>
                <w:sz w:val="20"/>
                <w:szCs w:val="20"/>
                <w:highlight w:val="none"/>
              </w:rPr>
              <w:t>永一</w:t>
            </w:r>
            <w:r>
              <w:rPr>
                <w:rFonts w:ascii="宋体" w:hAnsi="宋体" w:eastAsia="宋体" w:cs="宋体"/>
                <w:sz w:val="20"/>
                <w:szCs w:val="20"/>
                <w:highlight w:val="none"/>
              </w:rPr>
              <w:t>/沪工</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A28H-16,公称通径：DN40mm，公称压力 1.6MPa，整定压力1.05，排放压力≤1.1.整定压力</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52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194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安全阀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富羽</w:t>
            </w:r>
            <w:r>
              <w:rPr>
                <w:rFonts w:ascii="宋体" w:hAnsi="宋体" w:eastAsia="宋体" w:cs="宋体"/>
                <w:sz w:val="20"/>
                <w:szCs w:val="20"/>
                <w:highlight w:val="none"/>
              </w:rPr>
              <w:t>/</w:t>
            </w:r>
            <w:r>
              <w:rPr>
                <w:rFonts w:hint="eastAsia" w:ascii="宋体" w:hAnsi="宋体" w:eastAsia="宋体" w:cs="宋体"/>
                <w:sz w:val="20"/>
                <w:szCs w:val="20"/>
                <w:highlight w:val="none"/>
              </w:rPr>
              <w:t>永一</w:t>
            </w:r>
            <w:r>
              <w:rPr>
                <w:rFonts w:ascii="宋体" w:hAnsi="宋体" w:eastAsia="宋体" w:cs="宋体"/>
                <w:sz w:val="20"/>
                <w:szCs w:val="20"/>
                <w:highlight w:val="none"/>
              </w:rPr>
              <w:t>/沪工</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A28H-16,公称通径：DN25mm，公称压力 1.6MPa，排放压力≤1.1.整定压力1.05MPa</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52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195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法兰安全阀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永一/飞峰/海一</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A42H-25C,公称通径：DN40mm，公称压力 2.5MPa，整定压力2.4MPa，排放压力2.88MPa</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52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196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安全阀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富羽/永一/沪工</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A48Y-16，公称压力：1.60MPa，公称通径：DN40mm，整定压力：1.0MPa</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197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手动闸阀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冠龙/郑蝶/凯士比</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198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手动闸阀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冠龙/郑蝶/凯士比</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199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 Y型过滤器</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9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 Y型过滤器</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9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 Y型过滤器</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9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 Y型过滤器</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DN65,PN16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9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UPVC管码</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UPVC管码</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DN32</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UPVC管码</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塑料管转子流量计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最大量程600L/h</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塑料管转子流量计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最大量程1000L/h</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塑料管转子流量计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最大量程1600L/h</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8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PVC阻燃线槽</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20mmX10mmX4000mm ，2米/条</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条</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210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PVC阻燃线槽</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30mmX15mmX4000mm ，2米/条</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条</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211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DN20，4米/根</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根</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212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DN25，4米/根</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根</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213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DN32，4米/根</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根</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214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PVC阻燃线管三通</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215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PVC阻燃线管三通</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216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PVC阻燃线管三通</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DN32</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217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PVC阻燃线管90°弯头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218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PVC阻燃线管90°弯头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219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PVC阻燃线管90°弯头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DN32</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PVC阻燃线管直接</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PVC阻燃线管直接</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PVC阻燃线管直接</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日丰</w:t>
            </w:r>
            <w:r>
              <w:rPr>
                <w:rFonts w:ascii="宋体" w:hAnsi="宋体" w:eastAsia="宋体" w:cs="宋体"/>
                <w:sz w:val="20"/>
                <w:szCs w:val="20"/>
                <w:highlight w:val="none"/>
              </w:rPr>
              <w:t>/</w:t>
            </w:r>
            <w:r>
              <w:rPr>
                <w:rFonts w:hint="eastAsia" w:ascii="宋体" w:hAnsi="宋体" w:eastAsia="宋体" w:cs="宋体"/>
                <w:sz w:val="20"/>
                <w:szCs w:val="20"/>
                <w:highlight w:val="none"/>
              </w:rPr>
              <w:t>京梯</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DN32</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PVC阻燃波纹管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内径20mm，50米/卷，任意颜色</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卷</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PVC阻燃波纹管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内径25mm，50米/卷，任意颜色</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卷</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28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PVC阻燃波纹管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内径32mm，50米/卷，任意颜色</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卷</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涂塑水带</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1寸，壁厚2-3mm，20米/卷，耐磨</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卷</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涂塑水带</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2寸，壁厚2-3mm，20米/卷，耐磨</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卷</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涂塑水带加厚铝接头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涂塑水带加厚铝接头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304不锈钢卡扣式快速接头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304不锈钢卡扣式快速接头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304不锈钢卡扣式快速接头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304不锈钢卡扣式快速接头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PVC透明钢丝软管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内径25mm，厚3.5mm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80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PVC透明钢丝软管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内径32mm，厚4mm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80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PVC透明钢丝软管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内径40mm，厚3.5mm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80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PVC透明钢丝软管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内径50mm，厚5mm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80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PVC透明钢丝软管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内径64mm，厚4.5mm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80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纤维增强软管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4分</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纤维增强软管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6分</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纤维增强软管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纤维增强软管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PU气管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外径6mm、内径4mm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PU气管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外径8mm、内径5mm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550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PU气管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外径10mm、内径6.5mm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气管直通二口接头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PU6-6   10只/包</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包</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气管直通二口接头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PU8-8   10只/包</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包</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11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气管直通二口接头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PU10-10   10只/包</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包</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气管直通三口T型接头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PU6-6   10只/包</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包</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气管直通三口T型接头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PU8-8   10只/包</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包</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气管直通三口T型接头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PU10-10   10只/包</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包</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气管自锁快速接头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公母头  接内径6mmPU气管</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对</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气管自锁快速接头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公母头  接内径8mmPU气管</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对</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气管自锁快速接头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公母头  接内径10mmPU气管</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对</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宝塔接头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304不锈钢材质</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加厚黄蜡管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管径5mm，100米/卷</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卷</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加厚黄蜡管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管径10mm，100米/卷</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卷</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加厚黄蜡管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管径16mm，50米/卷</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卷</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加厚黄蜡管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管径20mm，50米/卷</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卷</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加厚黄蜡管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管径25mm，20米/卷</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卷</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加厚黄蜡管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管径30mm，20米/卷</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卷</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玻璃胶</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300ml/支，任意颜色</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AB胶</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20g/组</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组</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中性硅酮幕墙结构胶</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室外使用寿命30年</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硅酮免垫片红胶</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卡夫特/硅宝/万达</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K-383耐油耐压耐高温，85g/支</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铸铁金属修补剂</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双组分，1kg/组，铸铁件修复</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组</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螺纹紧固剂</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乐泰/奥斯邦/金士达</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50ml/瓶，K243</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瓶</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502胶水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快干</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UPVC给水管胶水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南亚</w:t>
            </w:r>
            <w:r>
              <w:rPr>
                <w:rFonts w:ascii="宋体" w:hAnsi="宋体" w:eastAsia="宋体" w:cs="宋体"/>
                <w:sz w:val="20"/>
                <w:szCs w:val="20"/>
                <w:highlight w:val="none"/>
              </w:rPr>
              <w:t>/</w:t>
            </w:r>
            <w:r>
              <w:rPr>
                <w:rFonts w:hint="eastAsia" w:ascii="宋体" w:hAnsi="宋体" w:eastAsia="宋体" w:cs="宋体"/>
                <w:sz w:val="20"/>
                <w:szCs w:val="20"/>
                <w:highlight w:val="none"/>
              </w:rPr>
              <w:t>威卡固</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500ml/瓶</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瓶</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270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UPVC给水管胶水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联塑</w:t>
            </w:r>
            <w:r>
              <w:rPr>
                <w:rFonts w:ascii="宋体" w:hAnsi="宋体" w:eastAsia="宋体" w:cs="宋体"/>
                <w:sz w:val="20"/>
                <w:szCs w:val="20"/>
                <w:highlight w:val="none"/>
              </w:rPr>
              <w:t>/</w:t>
            </w:r>
            <w:r>
              <w:rPr>
                <w:rFonts w:hint="eastAsia" w:ascii="宋体" w:hAnsi="宋体" w:eastAsia="宋体" w:cs="宋体"/>
                <w:sz w:val="20"/>
                <w:szCs w:val="20"/>
                <w:highlight w:val="none"/>
              </w:rPr>
              <w:t>南亚</w:t>
            </w:r>
            <w:r>
              <w:rPr>
                <w:rFonts w:ascii="宋体" w:hAnsi="宋体" w:eastAsia="宋体" w:cs="宋体"/>
                <w:sz w:val="20"/>
                <w:szCs w:val="20"/>
                <w:highlight w:val="none"/>
              </w:rPr>
              <w:t>/</w:t>
            </w:r>
            <w:r>
              <w:rPr>
                <w:rFonts w:hint="eastAsia" w:ascii="宋体" w:hAnsi="宋体" w:eastAsia="宋体" w:cs="宋体"/>
                <w:sz w:val="20"/>
                <w:szCs w:val="20"/>
                <w:highlight w:val="none"/>
              </w:rPr>
              <w:t>威卡固</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100ml/瓶</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瓶</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271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免钉胶</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12g/支</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272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3号润滑脂</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长城/美孚/昆仑</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5kg/罐</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罐</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273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WD-40 除锈剂</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400ml/瓶</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瓶</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274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油漆</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电视塔/迅彩/诺一美</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丙烯酸面漆，任意颜色 11kg/桶</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桶</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18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275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铁红防锈底漆</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电视塔/迅彩/诺一美</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15kg/桶，红色</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桶</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18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276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环氧地坪漆</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三青/千居美/迅彩</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任意颜色 防水耐磨面漆 15kg/桶</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桶</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18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277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自动喷漆</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任意颜色，400ml/瓶</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瓶</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278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油漆稀释剂</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414# 6kg/桶</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桶</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13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279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油漆稀释剂</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414# 1kg/桶</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桶</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18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304不锈钢电焊条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大桥</w:t>
            </w:r>
            <w:r>
              <w:rPr>
                <w:rFonts w:ascii="宋体" w:hAnsi="宋体" w:eastAsia="宋体" w:cs="宋体"/>
                <w:sz w:val="20"/>
                <w:szCs w:val="20"/>
                <w:highlight w:val="none"/>
              </w:rPr>
              <w:t>/</w:t>
            </w:r>
            <w:r>
              <w:rPr>
                <w:rFonts w:hint="eastAsia" w:ascii="宋体" w:hAnsi="宋体" w:eastAsia="宋体" w:cs="宋体"/>
                <w:sz w:val="20"/>
                <w:szCs w:val="20"/>
                <w:highlight w:val="none"/>
              </w:rPr>
              <w:t>上海东风</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304不锈钢电焊条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大桥</w:t>
            </w:r>
            <w:r>
              <w:rPr>
                <w:rFonts w:ascii="宋体" w:hAnsi="宋体" w:eastAsia="宋体" w:cs="宋体"/>
                <w:sz w:val="20"/>
                <w:szCs w:val="20"/>
                <w:highlight w:val="none"/>
              </w:rPr>
              <w:t>/</w:t>
            </w:r>
            <w:r>
              <w:rPr>
                <w:rFonts w:hint="eastAsia" w:ascii="宋体" w:hAnsi="宋体" w:eastAsia="宋体" w:cs="宋体"/>
                <w:sz w:val="20"/>
                <w:szCs w:val="20"/>
                <w:highlight w:val="none"/>
              </w:rPr>
              <w:t>上海东风</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304不锈钢电焊条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大桥</w:t>
            </w:r>
            <w:r>
              <w:rPr>
                <w:rFonts w:ascii="宋体" w:hAnsi="宋体" w:eastAsia="宋体" w:cs="宋体"/>
                <w:sz w:val="20"/>
                <w:szCs w:val="20"/>
                <w:highlight w:val="none"/>
              </w:rPr>
              <w:t>/</w:t>
            </w:r>
            <w:r>
              <w:rPr>
                <w:rFonts w:hint="eastAsia" w:ascii="宋体" w:hAnsi="宋体" w:eastAsia="宋体" w:cs="宋体"/>
                <w:sz w:val="20"/>
                <w:szCs w:val="20"/>
                <w:highlight w:val="none"/>
              </w:rPr>
              <w:t>上海东风</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国标碳钢电焊条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大桥</w:t>
            </w:r>
            <w:r>
              <w:rPr>
                <w:rFonts w:ascii="宋体" w:hAnsi="宋体" w:eastAsia="宋体" w:cs="宋体"/>
                <w:sz w:val="20"/>
                <w:szCs w:val="20"/>
                <w:highlight w:val="none"/>
              </w:rPr>
              <w:t>/</w:t>
            </w:r>
            <w:r>
              <w:rPr>
                <w:rFonts w:hint="eastAsia" w:ascii="宋体" w:hAnsi="宋体" w:eastAsia="宋体" w:cs="宋体"/>
                <w:sz w:val="20"/>
                <w:szCs w:val="20"/>
                <w:highlight w:val="none"/>
              </w:rPr>
              <w:t>上海东风</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国标碳钢电焊条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大桥</w:t>
            </w:r>
            <w:r>
              <w:rPr>
                <w:rFonts w:ascii="宋体" w:hAnsi="宋体" w:eastAsia="宋体" w:cs="宋体"/>
                <w:sz w:val="20"/>
                <w:szCs w:val="20"/>
                <w:highlight w:val="none"/>
              </w:rPr>
              <w:t>/</w:t>
            </w:r>
            <w:r>
              <w:rPr>
                <w:rFonts w:hint="eastAsia" w:ascii="宋体" w:hAnsi="宋体" w:eastAsia="宋体" w:cs="宋体"/>
                <w:sz w:val="20"/>
                <w:szCs w:val="20"/>
                <w:highlight w:val="none"/>
              </w:rPr>
              <w:t>上海东风</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国标碳钢电焊条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大桥</w:t>
            </w:r>
            <w:r>
              <w:rPr>
                <w:rFonts w:ascii="宋体" w:hAnsi="宋体" w:eastAsia="宋体" w:cs="宋体"/>
                <w:sz w:val="20"/>
                <w:szCs w:val="20"/>
                <w:highlight w:val="none"/>
              </w:rPr>
              <w:t>/</w:t>
            </w:r>
            <w:r>
              <w:rPr>
                <w:rFonts w:hint="eastAsia" w:ascii="宋体" w:hAnsi="宋体" w:eastAsia="宋体" w:cs="宋体"/>
                <w:sz w:val="20"/>
                <w:szCs w:val="20"/>
                <w:highlight w:val="none"/>
              </w:rPr>
              <w:t>上海东风</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生料带</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卷</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80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青壳纸</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0.5mm厚，耐油、耐高温</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平方米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青壳纸</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1.0mm厚，耐油、耐高温</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平方米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青壳纸</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1.2mm厚，耐油、耐高温</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平方米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290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青壳纸</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1.5mm厚，耐油、耐高温</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平方米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291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青壳纸</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2.0mm厚，耐油、耐高温</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平方米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292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橡胶垫片</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DN32</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293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橡胶垫片</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DN40</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294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橡胶垫片</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295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橡胶垫片</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DN65</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296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橡胶垫片</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297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橡胶垫片</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298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橡胶垫片</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DN125</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299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橡胶垫片</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DN150</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橡胶垫片</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DN200</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橡胶垫片</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DN250</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橡胶垫片</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DN300</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丁晴橡胶O型密封圈</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直径10-15mm，线径1.0-2.4mm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丁晴橡胶O型密封圈</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直径15-20mm，线径1.0-2.5mm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丁晴橡胶O型密封圈</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直径20-30mm，线径1.0-3.5mm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丁晴橡胶O型密封圈</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直径30-40mm，线径1.5-5.0mm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丁晴橡胶O型密封圈</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直径40-50mm，线径2.0-5.0mm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丁晴橡胶O型密封圈</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直径50-65mm，线径2.5-5.0mm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丁晴橡胶O型密封圈</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直径65-80mm，线径2.5-6.0mm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氟橡胶O型密封圈</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直径10-15mm，线径1.0-2.4mm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氟橡胶O型密封圈</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直径15-20mm，线径1.0-2.5mm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氟橡胶O型密封圈</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直径20-30mm，线径1.0-3.5mm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氟橡胶O型密封圈</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直径30-40mm，线径1.5-5.0mm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氟橡胶O型密封圈</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直径40-50mm，线径2.0-5.0mm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氟橡胶O型密封圈</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直径50-65mm，线径2.5-5.0mm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氟橡胶O型密封圈</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直径65-80mm，线径2.5-6.0mm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线径2.5-3.0mm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线径3.1-4.0mm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线径4.1-5.0mm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线径5.1-6.5mm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线径6.6-7.5mm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线径7.6-8.5mm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线径8.5-10.0mm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线径10.1-12.0mm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丁晴橡胶O型密封条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线径12.1-14.0mm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硬骨架密封</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UCK/NOK/CFW</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轴径10mm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硬骨架密封</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UCK/NOK/CFW</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轴径11-20mm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硬骨架密封</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UCK/NOK/CFW</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轴径21-30mm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硬骨架密封</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UCK/NOK/CFW</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轴径31-40mm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330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硬骨架密封</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UCK/NOK/CFW</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轴径41-55mm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331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硬骨架密封</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UCK/NOK/CFW</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轴径56-70mm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332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硬骨架密封</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UCK/NOK/CFW</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轴径71-85mm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333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硬骨架密封</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UCK/NOK/CFW</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轴径86-100mm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334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硬骨架密封</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UCK/NOK/CFW</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轴径101-125mm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335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硬骨架密封</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UCK/NOK/CFW</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轴径126-150mm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336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含油四氟盘根</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12x12mm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337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含油四氟盘根</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14x14mm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338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工业级尼龙扎带</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3×150mm，500根/包</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包</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339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工业级尼龙扎带</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8×300mm，100根/包</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包</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340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可拆卸扎带</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8×200mm，100根/包</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包</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341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配电柜门锁</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MS818</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342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配电柜门锁</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AB303-1-2平面锁</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343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配电柜门锁</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MS401铜芯</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344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配电柜门锁</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MS308-2-1亮铬</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345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配电柜门锁</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MS830-P米色带挂</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346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合页</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304不锈钢，4寸，不分左右</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付</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347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碎布/碎布条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348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磨砂工业油污洗手液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5L/桶</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桶</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349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洗手粉</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8斤/箱</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箱</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堵漏王</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2kg/包</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包</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小型储药罐</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容积300L</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采水器</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透明亚克力；容积3L；厚5mm；含5米尼龙绳</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油漆刷</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1英寸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油漆刷</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2英寸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油漆刷</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3英寸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黄油嘴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铜M8×1，中直，国标</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黄油嘴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铜M10×1，中直，国标</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黄油嘴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铜M12×1，中直，国标</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黄油嘴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铜M8×1，45°，国标</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360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黄油嘴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铜M10×1，45°，国标</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361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PVC挡鼠板</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2000mm*600mm*10mm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362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百叶窗</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电柜散热风扇用</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8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363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不锈钢扇形喷嘴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1/8-65度 出水孔径2.0</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364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不锈钢扇形喷嘴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1/4-65度 出水孔径2.0</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365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地板警示胶带</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3M/鸣固/优仪</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颜色：黑黄，宽50mm，卷长33米</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卷</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366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杀虫喷雾</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专杀蜘蛛</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瓶</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367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磁吸式库存卡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55×75三轮磁，蓝色</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368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导轨</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电气元件安装用，国标尺寸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公斤</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369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缓冲闭门器</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大号 承重65-85KG</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370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隔热棉</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20mm厚</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平方米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371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三角皮带</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三维/风豹/三力士</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SPZ型</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条</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372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三角皮带</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三维/风豹/三力士</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SPA型</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条</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373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三角皮带</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三维/风豹/三力士</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SPB型</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条</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374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三角皮带</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三维/风豹/三力士</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SPC型</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条</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375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三角皮带</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三维/风豹/三力士</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A型</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条</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376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三角皮带</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三维/风豹/三力士</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B型</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条</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28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377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抗震压力表</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红旗/伊莱斯/鹤山</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xml:space="preserve"> YTN-100，量程0-1.6MPa</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28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378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抗震压力表</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红旗/伊莱斯/鹤山</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YTN-60，量程0-2.5MPa</w:t>
            </w:r>
          </w:p>
        </w:tc>
        <w:tc>
          <w:tcPr>
            <w:tcW w:w="380"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28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379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压力表（储气罐用）</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红旗/伊莱斯/鹤山</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0-1.6MPa，背接式</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28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380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压力表（储气罐用）</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红旗/伊莱斯/鹤山</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0-2.5MPa，立式</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52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381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耐震压力表</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上海江云仪表厂/红旗/伊莱斯</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YN-100，量程0-1.6MPa</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52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382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隔膜压力表</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上海江云仪表厂/红旗/伊莱斯</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YE-100，量程0-16KPa</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52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383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压力表</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上海江云仪表厂/红旗/伊莱斯</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Y-100，量程0-0.4MPa</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52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384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压力表</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上海江云仪表厂/红旗/伊莱斯</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Y-100，量程0-1.0MPa</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66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385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电接点压力表</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红旗/伊莱斯/润能</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YXCHK-100 , Vcc=24V， lo=0.25A,量程0-40MPa，立式</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386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电接点压力表</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红旗/伊莱斯/润能</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YXCHK-100 , Vcc=380V， lo=30VA，立式</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387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水表</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388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水表</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389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水表</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125mm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390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水表</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391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水表</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392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水表</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393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水表</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394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水表</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395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水表</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32mm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396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油水分离器</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正泰/德力西/亚德客</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AFC2000</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101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397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电磁换向阀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正泰/亚德客/SNS</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4M310-08</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398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气动风炮</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含M9至M27套筒</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399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遮蔽保护膜</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2m×20m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卷</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气动球阀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 (16 CF8)，双作用，含三联件</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气动球阀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 (16 CF8)，双作用，含三联件</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气动球阀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DN50 (16 CF8)，双作用，含三联件</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气动球阀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 (25 WCB)，双作用，含三联件</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气动球阀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DN40 (25 WCB)，双作用，含三联件</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气动闸阀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DN100，PN16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气动闸阀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DN80 ，PN10</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彩钢瓦</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彩涂钢板材质，厚度0.4-0.6mm，宽度0.8m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电工胶布</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公牛/3M/正泰</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18mmX10m,阻燃防潮，任意颜色</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卷</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120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防火泥</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3C消防认证，10kg/箱</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箱</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工业草酸清洗剂</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25kg/桶，浓度≥55%</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桶</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吸油棉</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400*500*2mm，100片/箱</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箱</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卷尺</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世达/史丹利/老A</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5米</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游标卡尺</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上工/世达/史丹利</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0-200mm（带表）</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游标卡尺</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上工/世达/史丹利</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0-300mm（带表）</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2.5mm，含钴高速钢全磨制</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3mm，含钴高速钢全磨制</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3.5mm，含钴高速钢全磨制</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4mm，含钴高速钢全磨制</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419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4.5mm，含钴高速钢全磨制</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420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5mm，含钴高速钢全磨制</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421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6mm，含钴高速钢全磨制</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422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7mm，含钴高速钢全磨制</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423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8mm，含钴高速钢全磨制</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424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9mm，含钴高速钢全磨制</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425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10.5含钴高速钢全磨制</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426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11.5含钴高速钢全磨制</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427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12.5含钴高速钢全磨制</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428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13mm，含钴高速钢全磨制</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429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14mm，含钴高速钢全磨制</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430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直柄麻花钻头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16mm，含钴高速钢全磨制</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431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高速合金硬质麻花钻头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12mm-13.5mm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432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高速合金硬质麻花钻头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13.5mm-15.5mm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433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高速合金硬质麻花钻头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15.6mm-16.5mm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434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高速合金硬质麻花钻头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16.6mm-18.5mm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435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高速合金硬质麻花钻头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18.6mm-20.5mm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436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高速合金硬质麻花钻头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20.6mm-22.5mm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437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高速合金硬质麻花钻头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22.6mm-24.5mm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438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高速合金硬质麻花钻头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24.6mm-26.5mm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439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高速合金硬质麻花钻头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26.6mm-28.5mm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440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高速合金硬质麻花钻头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w:t>
            </w:r>
            <w:r>
              <w:rPr>
                <w:rFonts w:ascii="宋体" w:hAnsi="宋体" w:eastAsia="宋体" w:cs="宋体"/>
                <w:sz w:val="20"/>
                <w:szCs w:val="20"/>
                <w:highlight w:val="none"/>
              </w:rPr>
              <w:t>/</w:t>
            </w:r>
            <w:r>
              <w:rPr>
                <w:rFonts w:hint="eastAsia" w:ascii="宋体" w:hAnsi="宋体" w:eastAsia="宋体" w:cs="宋体"/>
                <w:sz w:val="20"/>
                <w:szCs w:val="20"/>
                <w:highlight w:val="none"/>
              </w:rPr>
              <w:t>上工</w:t>
            </w:r>
            <w:r>
              <w:rPr>
                <w:rFonts w:ascii="宋体" w:hAnsi="宋体" w:eastAsia="宋体" w:cs="宋体"/>
                <w:sz w:val="20"/>
                <w:szCs w:val="20"/>
                <w:highlight w:val="none"/>
              </w:rPr>
              <w:t>/</w:t>
            </w:r>
            <w:r>
              <w:rPr>
                <w:rFonts w:hint="eastAsia" w:ascii="宋体" w:hAnsi="宋体" w:eastAsia="宋体" w:cs="宋体"/>
                <w:sz w:val="20"/>
                <w:szCs w:val="20"/>
                <w:highlight w:val="none"/>
              </w:rPr>
              <w:t>绿林</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28.6mm-30.5mm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441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瓷砖专用钻头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M6</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442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瓷砖专用钻头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M8</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443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瓷砖专用钻头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M10</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444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超硬钨钢合金，M6×100mm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445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超硬钨钢合金，M8×100mm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446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超硬钨钢合金，M10×100mm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447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超硬钨钢合金，M10×160mm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448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超硬钨钢合金，M12×120mm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449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超硬钨钢合金，M12×160mm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超硬钨钢合金，M12×200mm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超硬钨钢合金，M14×160mm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超硬钨钢合金，M14×200mm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超硬钨钢合金，M16×160mm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超硬钨钢合金，M16×200mm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超硬钨钢合金，M16×350mm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超硬钨钢合金，M18×200mm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超硬钨钢合金，M18×350mm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超硬钨钢合金，M20×200mm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超硬钨钢合金，M20×350mm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超硬钨钢合金，M22×200mm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超硬钨钢合金，M22×350mm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超硬钨钢合金，M25×200mm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圆柄/方柄冲击钻头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东成/得力/德力西</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超硬钨钢合金，M25×350mm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梅花扳手套装</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世达/史丹利/田岛</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5.5mm-32mm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开口扳手套装</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百威狮/世达/史丹利</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5.5mm-32mm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套筒扳手套装</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沪工/百威狮/瑞能</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5.5mm-32mm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棘轮齿轮扳手套装</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开拓/世达/史丹利</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8mm-24mm（14件套）</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内六角扳手套装</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史丹利/世达/高松</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1.5mm-10mm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469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活动扳手</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世达/宝工/史丹利</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活动扳手</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世达/宝工/史丹利</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活动扳手</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世达/宝工/史丹利</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活动扳手</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世达/宝工/史丹利</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活动扳手</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世达/宝工/史丹利</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链条扳手</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世达/宝工/史丹利</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杆径3.2mm，杆长60-75mm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杆径3.2mm，杆长100mm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杆径3.2mm，杆长125mm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杆径3.2mm，杆长150mm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杆径5mm，杆长60-75mm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杆径5mm，杆长100mm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杆径5mm，杆长150mm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杆径5mm，杆长200mm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杆径6mm，杆长40-60mm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杆径6mm，杆长100mm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杆径6mm，杆长125mm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杆径6mm，杆长150mm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杆径6mm，杆长200mm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十字螺丝刀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杆径6mm，杆长250mm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杆径3.2mm，杆长60-75mm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490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杆径3.2mm，杆长100mm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491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杆径3.2mm，杆长125mm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492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杆径3.2mm，杆长150mm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493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杆径5mm，杆长60-75mm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494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杆径5mm，杆长100mm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495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杆径5mm，杆长150mm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496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杆径5mm，杆长200mm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497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杆径6mm，杆长40-60mm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498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杆径6mm，杆长100mm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499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杆径6mm，杆长125mm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杆径6mm，杆长150mm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杆径6mm，杆长200mm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一字螺丝刀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杆径6mm，杆长250mm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可敲击十字螺丝刀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杆径6mm，杆长150mm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可敲击十字螺丝刀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杆径8mm，杆长200mm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可敲击十字螺丝刀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杆径8mm，杆长250mm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可敲击十字螺丝刀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杆径8mm，杆长300mm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可敲击一字螺丝刀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杆径6mm，杆长150mm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可敲击一字螺丝刀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杆径8mm，杆长200mm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可敲击一字螺丝刀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杆径8mm，杆长250mm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510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十字绝缘螺丝刀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杆径3mm，杆长60mm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511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十字绝缘螺丝刀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杆径5mm，杆长80mm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512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十字绝缘螺丝刀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杆径6mm，杆长100mm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513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一字绝缘螺丝刀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杆径3mm，杆长60mm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514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一字绝缘螺丝刀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杆径5mm，杆长80mm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515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一字绝缘螺丝刀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杆径6mm，杆长100mm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516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精修螺丝刀套装</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史丹利/世达/罗宾汉</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6件套</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517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钢丝钳</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8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518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钢丝钳</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519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斜口钳</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520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斜口钳</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8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521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斜口钳</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522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尖嘴钳</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523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尖嘴钳</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8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524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尖嘴钳</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525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大力钳</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老A/世达/史丹利</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526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大力钳</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老A/世达/史丹利</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527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台虎钳</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528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管钳</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绿林</w:t>
            </w:r>
            <w:r>
              <w:rPr>
                <w:rFonts w:ascii="宋体" w:hAnsi="宋体" w:eastAsia="宋体" w:cs="宋体"/>
                <w:sz w:val="20"/>
                <w:szCs w:val="20"/>
                <w:highlight w:val="none"/>
              </w:rPr>
              <w:t>/</w:t>
            </w:r>
            <w:r>
              <w:rPr>
                <w:rFonts w:hint="eastAsia" w:ascii="宋体" w:hAnsi="宋体" w:eastAsia="宋体" w:cs="宋体"/>
                <w:sz w:val="20"/>
                <w:szCs w:val="20"/>
                <w:highlight w:val="none"/>
              </w:rPr>
              <w:t>得力</w:t>
            </w:r>
            <w:r>
              <w:rPr>
                <w:rFonts w:ascii="宋体" w:hAnsi="宋体" w:eastAsia="宋体" w:cs="宋体"/>
                <w:sz w:val="20"/>
                <w:szCs w:val="20"/>
                <w:highlight w:val="none"/>
              </w:rPr>
              <w:t>/</w:t>
            </w:r>
            <w:r>
              <w:rPr>
                <w:rFonts w:hint="eastAsia" w:ascii="宋体" w:hAnsi="宋体" w:eastAsia="宋体" w:cs="宋体"/>
                <w:sz w:val="20"/>
                <w:szCs w:val="20"/>
                <w:highlight w:val="none"/>
              </w:rPr>
              <w:t>德力西</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529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管钳</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绿林</w:t>
            </w:r>
            <w:r>
              <w:rPr>
                <w:rFonts w:ascii="宋体" w:hAnsi="宋体" w:eastAsia="宋体" w:cs="宋体"/>
                <w:sz w:val="20"/>
                <w:szCs w:val="20"/>
                <w:highlight w:val="none"/>
              </w:rPr>
              <w:t>/</w:t>
            </w:r>
            <w:r>
              <w:rPr>
                <w:rFonts w:hint="eastAsia" w:ascii="宋体" w:hAnsi="宋体" w:eastAsia="宋体" w:cs="宋体"/>
                <w:sz w:val="20"/>
                <w:szCs w:val="20"/>
                <w:highlight w:val="none"/>
              </w:rPr>
              <w:t>得力</w:t>
            </w:r>
            <w:r>
              <w:rPr>
                <w:rFonts w:ascii="宋体" w:hAnsi="宋体" w:eastAsia="宋体" w:cs="宋体"/>
                <w:sz w:val="20"/>
                <w:szCs w:val="20"/>
                <w:highlight w:val="none"/>
              </w:rPr>
              <w:t>/</w:t>
            </w:r>
            <w:r>
              <w:rPr>
                <w:rFonts w:hint="eastAsia" w:ascii="宋体" w:hAnsi="宋体" w:eastAsia="宋体" w:cs="宋体"/>
                <w:sz w:val="20"/>
                <w:szCs w:val="20"/>
                <w:highlight w:val="none"/>
              </w:rPr>
              <w:t>德力西</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530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管钳</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绿林</w:t>
            </w:r>
            <w:r>
              <w:rPr>
                <w:rFonts w:ascii="宋体" w:hAnsi="宋体" w:eastAsia="宋体" w:cs="宋体"/>
                <w:sz w:val="20"/>
                <w:szCs w:val="20"/>
                <w:highlight w:val="none"/>
              </w:rPr>
              <w:t>/</w:t>
            </w:r>
            <w:r>
              <w:rPr>
                <w:rFonts w:hint="eastAsia" w:ascii="宋体" w:hAnsi="宋体" w:eastAsia="宋体" w:cs="宋体"/>
                <w:sz w:val="20"/>
                <w:szCs w:val="20"/>
                <w:highlight w:val="none"/>
              </w:rPr>
              <w:t>得力</w:t>
            </w:r>
            <w:r>
              <w:rPr>
                <w:rFonts w:ascii="宋体" w:hAnsi="宋体" w:eastAsia="宋体" w:cs="宋体"/>
                <w:sz w:val="20"/>
                <w:szCs w:val="20"/>
                <w:highlight w:val="none"/>
              </w:rPr>
              <w:t>/</w:t>
            </w:r>
            <w:r>
              <w:rPr>
                <w:rFonts w:hint="eastAsia" w:ascii="宋体" w:hAnsi="宋体" w:eastAsia="宋体" w:cs="宋体"/>
                <w:sz w:val="20"/>
                <w:szCs w:val="20"/>
                <w:highlight w:val="none"/>
              </w:rPr>
              <w:t>德力西</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531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管钳</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绿林</w:t>
            </w:r>
            <w:r>
              <w:rPr>
                <w:rFonts w:ascii="宋体" w:hAnsi="宋体" w:eastAsia="宋体" w:cs="宋体"/>
                <w:sz w:val="20"/>
                <w:szCs w:val="20"/>
                <w:highlight w:val="none"/>
              </w:rPr>
              <w:t>/</w:t>
            </w:r>
            <w:r>
              <w:rPr>
                <w:rFonts w:hint="eastAsia" w:ascii="宋体" w:hAnsi="宋体" w:eastAsia="宋体" w:cs="宋体"/>
                <w:sz w:val="20"/>
                <w:szCs w:val="20"/>
                <w:highlight w:val="none"/>
              </w:rPr>
              <w:t>得力</w:t>
            </w:r>
            <w:r>
              <w:rPr>
                <w:rFonts w:ascii="宋体" w:hAnsi="宋体" w:eastAsia="宋体" w:cs="宋体"/>
                <w:sz w:val="20"/>
                <w:szCs w:val="20"/>
                <w:highlight w:val="none"/>
              </w:rPr>
              <w:t>/</w:t>
            </w:r>
            <w:r>
              <w:rPr>
                <w:rFonts w:hint="eastAsia" w:ascii="宋体" w:hAnsi="宋体" w:eastAsia="宋体" w:cs="宋体"/>
                <w:sz w:val="20"/>
                <w:szCs w:val="20"/>
                <w:highlight w:val="none"/>
              </w:rPr>
              <w:t>德力西</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14寸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532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管钳</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绿林</w:t>
            </w:r>
            <w:r>
              <w:rPr>
                <w:rFonts w:ascii="宋体" w:hAnsi="宋体" w:eastAsia="宋体" w:cs="宋体"/>
                <w:sz w:val="20"/>
                <w:szCs w:val="20"/>
                <w:highlight w:val="none"/>
              </w:rPr>
              <w:t>/</w:t>
            </w:r>
            <w:r>
              <w:rPr>
                <w:rFonts w:hint="eastAsia" w:ascii="宋体" w:hAnsi="宋体" w:eastAsia="宋体" w:cs="宋体"/>
                <w:sz w:val="20"/>
                <w:szCs w:val="20"/>
                <w:highlight w:val="none"/>
              </w:rPr>
              <w:t>得力</w:t>
            </w:r>
            <w:r>
              <w:rPr>
                <w:rFonts w:ascii="宋体" w:hAnsi="宋体" w:eastAsia="宋体" w:cs="宋体"/>
                <w:sz w:val="20"/>
                <w:szCs w:val="20"/>
                <w:highlight w:val="none"/>
              </w:rPr>
              <w:t>/</w:t>
            </w:r>
            <w:r>
              <w:rPr>
                <w:rFonts w:hint="eastAsia" w:ascii="宋体" w:hAnsi="宋体" w:eastAsia="宋体" w:cs="宋体"/>
                <w:sz w:val="20"/>
                <w:szCs w:val="20"/>
                <w:highlight w:val="none"/>
              </w:rPr>
              <w:t>德力西</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533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管钳</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绿林</w:t>
            </w:r>
            <w:r>
              <w:rPr>
                <w:rFonts w:ascii="宋体" w:hAnsi="宋体" w:eastAsia="宋体" w:cs="宋体"/>
                <w:sz w:val="20"/>
                <w:szCs w:val="20"/>
                <w:highlight w:val="none"/>
              </w:rPr>
              <w:t>/</w:t>
            </w:r>
            <w:r>
              <w:rPr>
                <w:rFonts w:hint="eastAsia" w:ascii="宋体" w:hAnsi="宋体" w:eastAsia="宋体" w:cs="宋体"/>
                <w:sz w:val="20"/>
                <w:szCs w:val="20"/>
                <w:highlight w:val="none"/>
              </w:rPr>
              <w:t>得力</w:t>
            </w:r>
            <w:r>
              <w:rPr>
                <w:rFonts w:ascii="宋体" w:hAnsi="宋体" w:eastAsia="宋体" w:cs="宋体"/>
                <w:sz w:val="20"/>
                <w:szCs w:val="20"/>
                <w:highlight w:val="none"/>
              </w:rPr>
              <w:t>/</w:t>
            </w:r>
            <w:r>
              <w:rPr>
                <w:rFonts w:hint="eastAsia" w:ascii="宋体" w:hAnsi="宋体" w:eastAsia="宋体" w:cs="宋体"/>
                <w:sz w:val="20"/>
                <w:szCs w:val="20"/>
                <w:highlight w:val="none"/>
              </w:rPr>
              <w:t>德力西</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48寸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534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钢凿</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绿林</w:t>
            </w:r>
            <w:r>
              <w:rPr>
                <w:rFonts w:ascii="宋体" w:hAnsi="宋体" w:eastAsia="宋体" w:cs="宋体"/>
                <w:sz w:val="20"/>
                <w:szCs w:val="20"/>
                <w:highlight w:val="none"/>
              </w:rPr>
              <w:t>/</w:t>
            </w:r>
            <w:r>
              <w:rPr>
                <w:rFonts w:hint="eastAsia" w:ascii="宋体" w:hAnsi="宋体" w:eastAsia="宋体" w:cs="宋体"/>
                <w:sz w:val="20"/>
                <w:szCs w:val="20"/>
                <w:highlight w:val="none"/>
              </w:rPr>
              <w:t>得力</w:t>
            </w:r>
            <w:r>
              <w:rPr>
                <w:rFonts w:ascii="宋体" w:hAnsi="宋体" w:eastAsia="宋体" w:cs="宋体"/>
                <w:sz w:val="20"/>
                <w:szCs w:val="20"/>
                <w:highlight w:val="none"/>
              </w:rPr>
              <w:t>/</w:t>
            </w:r>
            <w:r>
              <w:rPr>
                <w:rFonts w:hint="eastAsia" w:ascii="宋体" w:hAnsi="宋体" w:eastAsia="宋体" w:cs="宋体"/>
                <w:sz w:val="20"/>
                <w:szCs w:val="20"/>
                <w:highlight w:val="none"/>
              </w:rPr>
              <w:t>德力西</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250mm，平头</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535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钢凿</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绿林</w:t>
            </w:r>
            <w:r>
              <w:rPr>
                <w:rFonts w:ascii="宋体" w:hAnsi="宋体" w:eastAsia="宋体" w:cs="宋体"/>
                <w:sz w:val="20"/>
                <w:szCs w:val="20"/>
                <w:highlight w:val="none"/>
              </w:rPr>
              <w:t>/</w:t>
            </w:r>
            <w:r>
              <w:rPr>
                <w:rFonts w:hint="eastAsia" w:ascii="宋体" w:hAnsi="宋体" w:eastAsia="宋体" w:cs="宋体"/>
                <w:sz w:val="20"/>
                <w:szCs w:val="20"/>
                <w:highlight w:val="none"/>
              </w:rPr>
              <w:t>得力</w:t>
            </w:r>
            <w:r>
              <w:rPr>
                <w:rFonts w:ascii="宋体" w:hAnsi="宋体" w:eastAsia="宋体" w:cs="宋体"/>
                <w:sz w:val="20"/>
                <w:szCs w:val="20"/>
                <w:highlight w:val="none"/>
              </w:rPr>
              <w:t>/</w:t>
            </w:r>
            <w:r>
              <w:rPr>
                <w:rFonts w:hint="eastAsia" w:ascii="宋体" w:hAnsi="宋体" w:eastAsia="宋体" w:cs="宋体"/>
                <w:sz w:val="20"/>
                <w:szCs w:val="20"/>
                <w:highlight w:val="none"/>
              </w:rPr>
              <w:t>德力西</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300mm，平头</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536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钢凿</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绿林</w:t>
            </w:r>
            <w:r>
              <w:rPr>
                <w:rFonts w:ascii="宋体" w:hAnsi="宋体" w:eastAsia="宋体" w:cs="宋体"/>
                <w:sz w:val="20"/>
                <w:szCs w:val="20"/>
                <w:highlight w:val="none"/>
              </w:rPr>
              <w:t>/</w:t>
            </w:r>
            <w:r>
              <w:rPr>
                <w:rFonts w:hint="eastAsia" w:ascii="宋体" w:hAnsi="宋体" w:eastAsia="宋体" w:cs="宋体"/>
                <w:sz w:val="20"/>
                <w:szCs w:val="20"/>
                <w:highlight w:val="none"/>
              </w:rPr>
              <w:t>得力</w:t>
            </w:r>
            <w:r>
              <w:rPr>
                <w:rFonts w:ascii="宋体" w:hAnsi="宋体" w:eastAsia="宋体" w:cs="宋体"/>
                <w:sz w:val="20"/>
                <w:szCs w:val="20"/>
                <w:highlight w:val="none"/>
              </w:rPr>
              <w:t>/</w:t>
            </w:r>
            <w:r>
              <w:rPr>
                <w:rFonts w:hint="eastAsia" w:ascii="宋体" w:hAnsi="宋体" w:eastAsia="宋体" w:cs="宋体"/>
                <w:sz w:val="20"/>
                <w:szCs w:val="20"/>
                <w:highlight w:val="none"/>
              </w:rPr>
              <w:t>德力西</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250mm，尖头</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537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钢凿</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绿林</w:t>
            </w:r>
            <w:r>
              <w:rPr>
                <w:rFonts w:ascii="宋体" w:hAnsi="宋体" w:eastAsia="宋体" w:cs="宋体"/>
                <w:sz w:val="20"/>
                <w:szCs w:val="20"/>
                <w:highlight w:val="none"/>
              </w:rPr>
              <w:t>/</w:t>
            </w:r>
            <w:r>
              <w:rPr>
                <w:rFonts w:hint="eastAsia" w:ascii="宋体" w:hAnsi="宋体" w:eastAsia="宋体" w:cs="宋体"/>
                <w:sz w:val="20"/>
                <w:szCs w:val="20"/>
                <w:highlight w:val="none"/>
              </w:rPr>
              <w:t>得力</w:t>
            </w:r>
            <w:r>
              <w:rPr>
                <w:rFonts w:ascii="宋体" w:hAnsi="宋体" w:eastAsia="宋体" w:cs="宋体"/>
                <w:sz w:val="20"/>
                <w:szCs w:val="20"/>
                <w:highlight w:val="none"/>
              </w:rPr>
              <w:t>/</w:t>
            </w:r>
            <w:r>
              <w:rPr>
                <w:rFonts w:hint="eastAsia" w:ascii="宋体" w:hAnsi="宋体" w:eastAsia="宋体" w:cs="宋体"/>
                <w:sz w:val="20"/>
                <w:szCs w:val="20"/>
                <w:highlight w:val="none"/>
              </w:rPr>
              <w:t>德力西</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300mm，尖头</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538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接油盘</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640x440x105</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8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539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漏斗</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大号胶质</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研磨器</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不锈钢材质</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卸泥铲头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板框压滤机用</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剥线钳</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世达/老A/罗宾汉</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剪剥压线钳</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世达/老A/罗宾汉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0.5-6mm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多功能网络压线钳</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胜为/锐能/山泽</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4P/6P/8P</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锯弓</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12寸，重型</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锯条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史丹利/世达/老A</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12寸，18齿，10片/盒</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撬棍</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六凌钢   粗23mm，长95cm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撬棍</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六凌钢   粗16mm，长55cm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钳工锉刀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史丹利/世达/得力</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粗齿平锉10寸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钳工锉刀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史丹利/世达/得力</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中齿平锉10寸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钳工锉刀</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史丹利/世达/得力</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细齿平锉10寸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手用丝锥</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上工/沪工/博世</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M6</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付</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手用丝锥</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上工/沪工/博世</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M8</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付</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手用丝锥</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上工/沪工/博世</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M10</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付</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手用丝锥</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上工/沪工/博世</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M12</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付</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丝攻铰手</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丝攻铰手</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280mm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锦纶尼龙绳</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绳径6mm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锦纶尼龙绳</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绳径18mm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560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起重吊带</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1T×2米</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条</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561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起重吊带</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2T×2米</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条</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562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起重吊带</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3T×2米</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条</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563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吊环链吊具</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1吨，1腿，2米</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564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焊把钳</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金象/沪工之星/长城精工</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全铜，300A</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565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电焊机地线钳</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全铜，300A</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566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电焊机地线钳</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全铜，500A</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567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氧气乙炔管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含氧气管、乙炔管，双色管，φ8mm，配接头</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568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氧气减压表</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全铜</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569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乙炔减压表</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全铜</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570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氩气减压表</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全铜</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571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回火防止器</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适用于乙炔减压阀</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572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回火防止器</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适用于割枪</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573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氧气乙炔割枪</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30型，全铜国标</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574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氧气乙炔割枪</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100型，全铜国标</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575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氧气乙炔割枪</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300型，全铜国标</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576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乙炔割嘴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30型，全铜，5只/盒</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577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乙炔割嘴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100型，全铜，5只/盒</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578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乙炔割嘴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300型，全铜，5只/盒</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52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579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氧气乙炔工具套装</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30型/100型，含铜割枪、氧气乙炔气管，氧气乙炔减压阀、回火防止器等。</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580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氩弧焊机枪</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150A,4米长度</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581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氩弧焊机枪</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150A,8米长度</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582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氩弧焊机枪头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150A</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583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1.6mm，铈钨，10支/盒</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584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1.6mm，钍钨，10支/盒</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585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1.6mm，纯钨，10支/盒</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586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2.0mm，铈钨，10支/盒</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587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2.0mm，钍钨，10支/盒</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588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2.0mm，纯钨，10支/盒</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589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2.4mm，铈钨，10支/盒</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590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2.4mm，钍钨，10支/盒</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591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2.4mm，纯钨，10支/盒</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592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3.0mm，铈钨，10支/盒</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593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3.0mm，钍钨，10支/盒</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594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氩弧焊钨针</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佳士</w:t>
            </w:r>
            <w:r>
              <w:rPr>
                <w:rFonts w:ascii="宋体" w:hAnsi="宋体" w:eastAsia="宋体" w:cs="宋体"/>
                <w:sz w:val="20"/>
                <w:szCs w:val="20"/>
                <w:highlight w:val="none"/>
              </w:rPr>
              <w:t>/</w:t>
            </w:r>
            <w:r>
              <w:rPr>
                <w:rFonts w:hint="eastAsia" w:ascii="宋体" w:hAnsi="宋体" w:eastAsia="宋体" w:cs="宋体"/>
                <w:sz w:val="20"/>
                <w:szCs w:val="20"/>
                <w:highlight w:val="none"/>
              </w:rPr>
              <w:t>瑞凌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3.0mm，纯钨，10支/盒</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595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钨针夹</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沪工/佳士/</w:t>
            </w:r>
            <w:r>
              <w:rPr>
                <w:rFonts w:ascii="宋体" w:hAnsi="宋体" w:eastAsia="宋体" w:cs="宋体"/>
                <w:sz w:val="20"/>
                <w:szCs w:val="20"/>
                <w:highlight w:val="none"/>
              </w:rPr>
              <w:t>YOBEL</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1.6mm，紫铜，10个/盒</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596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钨针夹</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沪工/佳士/</w:t>
            </w:r>
            <w:r>
              <w:rPr>
                <w:rFonts w:ascii="宋体" w:hAnsi="宋体" w:eastAsia="宋体" w:cs="宋体"/>
                <w:sz w:val="20"/>
                <w:szCs w:val="20"/>
                <w:highlight w:val="none"/>
              </w:rPr>
              <w:t>YOBEL</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2.0mm，紫铜，10个/盒</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597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钨针夹</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沪工/佳士/</w:t>
            </w:r>
            <w:r>
              <w:rPr>
                <w:rFonts w:ascii="宋体" w:hAnsi="宋体" w:eastAsia="宋体" w:cs="宋体"/>
                <w:sz w:val="20"/>
                <w:szCs w:val="20"/>
                <w:highlight w:val="none"/>
              </w:rPr>
              <w:t>YOBEL</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2.4mm，紫铜，10个/盒</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598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钨针夹</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沪工/佳士/</w:t>
            </w:r>
            <w:r>
              <w:rPr>
                <w:rFonts w:ascii="宋体" w:hAnsi="宋体" w:eastAsia="宋体" w:cs="宋体"/>
                <w:sz w:val="20"/>
                <w:szCs w:val="20"/>
                <w:highlight w:val="none"/>
              </w:rPr>
              <w:t>YOBEL</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3.0mm，紫铜，10个/盒</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599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氩弧焊枪瓷嘴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任意规格</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包</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氩弧焊保护套</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适配TIG150型焊枪</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氩弧焊手套</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全羊皮，耐高温</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副</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52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等离子切割枪把</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含枪头、防爆橡胶管、纯铜线、防火橡胶套等，长度8米。</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等离子切割枪头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P80</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P80电极割嘴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1.5孔，10套/盒</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P80电极铪丝割嘴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1.5孔，10套/盒</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P80电极超音速割嘴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1.5孔，10套/盒</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切割枪头开关</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P80割枪使用，10只/包</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包</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橡胶锤</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 OZ</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圆头锤</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麦思德/老A/史丹利</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2磅</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610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八角锤</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世达/老A/史丹利</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6磅</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611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松香</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20g</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612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无铅锡焊丝</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100g</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卷</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613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LED手提式照明灯</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50W 6-8小时</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盏</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614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手提式手电筒</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充电式，光源类型：LED，电池类型：锂电池</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615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PVC剪管器</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上匠/世达/史丹利</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0-64mm+刀片</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616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剪刀</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不锈钢，中号</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617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锄头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木柄小号宽锄</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8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618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不锈钢铲</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1m，尖头</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619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不锈钢铲</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1m，方头</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28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不锈钢铲（小）</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10cm宽，方头</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捞网</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带4米长杆、孔径30mm。口宽45×50cm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台秤</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300kg，电子计数</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台</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氧气瓶</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国标40L,不带气</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瓶</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乙炔瓶</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国标40L,不带气</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瓶</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氩气瓶</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国标10L,不带气</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瓶</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氧气充装</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40L/瓶</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瓶</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乙炔充装</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40L/瓶</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瓶</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氩气充装</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40L/瓶</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瓶</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平板小推车</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90cm×60cm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辆</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零件盒</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350×200×150mm 斜口箱，任意颜色</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塑料筐</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540×360×310mm 任意颜色</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货架</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长1.5m、宽0.4米、高2米</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螺丝盒</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10mm×15mm×50mm     任意颜色</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分体式铁皮柜</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高390mm、宽850mm、深360mm。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52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铁皮柜</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高810mm、宽630mm、深400mm,双门，2层，表面喷塑加工。</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不锈钢取样桶</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1L</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吹尘枪</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带15米气管及接头</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结构胶枪</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639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玻璃胶枪</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黄油枪</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400CC</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把</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黄油枪尖嘴</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通用尺寸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黄油枪油嘴</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通用尺寸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黄油枪软管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世达/史丹利/宝工</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18英寸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条</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28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手摇油泵</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　</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适用200L油桶，金属管、金属嘴</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便携储油桶</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20L，铝盖加厚</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便携储油桶</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30L，铝盖加厚</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7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砂轮机砂轮片</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5寸，白刚玉</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8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砂轮机砂轮片</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6寸，白刚玉</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8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649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砂轮机砂轮片</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8寸，白刚玉</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8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650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切割片</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大白鲨/金象/砂威</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400*3.2*32mm 25片/盒</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651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切割片</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大白鲨/金象/砂威</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350*3.2*25.4mm 25片/盒</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652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手砂轮切割片</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大白鲨/金象/砂威</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105*1.2*16mm  50片/盒</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653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手砂轮切割片</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大白鲨/金象/砂威</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105*2.5*16mm  50片/盒</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654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手砂轮磨片</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大白鲨/金象/砂威</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100*6*16mm 50片/盒</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655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手砂轮磨片</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大白鲨/金象/砂威</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100*4*16mm 50片/盒</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656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手砂轮百叶砂轮片</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大白鲨/金象/砂威</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100*16mm 40片/盒</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657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角磨机钢丝刷</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孔径16mm，特厚耐磨</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658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砂纸</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干湿两用，120目</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张</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659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砂纸</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干湿两用，320目</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张</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660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砂纸</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干湿两用，800目</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张</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661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液压立式千斤顶</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皇驰</w:t>
            </w:r>
            <w:r>
              <w:rPr>
                <w:rFonts w:ascii="宋体" w:hAnsi="宋体" w:eastAsia="宋体" w:cs="宋体"/>
                <w:sz w:val="20"/>
                <w:szCs w:val="20"/>
                <w:highlight w:val="none"/>
              </w:rPr>
              <w:t>/得力</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2吨</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台</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662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液压立式千斤顶</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皇驰</w:t>
            </w:r>
            <w:r>
              <w:rPr>
                <w:rFonts w:ascii="宋体" w:hAnsi="宋体" w:eastAsia="宋体" w:cs="宋体"/>
                <w:sz w:val="20"/>
                <w:szCs w:val="20"/>
                <w:highlight w:val="none"/>
              </w:rPr>
              <w:t>/得力</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3吨</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台</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663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液压立式千斤顶</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沪工</w:t>
            </w:r>
            <w:r>
              <w:rPr>
                <w:rFonts w:ascii="宋体" w:hAnsi="宋体" w:eastAsia="宋体" w:cs="宋体"/>
                <w:sz w:val="20"/>
                <w:szCs w:val="20"/>
                <w:highlight w:val="none"/>
              </w:rPr>
              <w:t>/</w:t>
            </w:r>
            <w:r>
              <w:rPr>
                <w:rFonts w:hint="eastAsia" w:ascii="宋体" w:hAnsi="宋体" w:eastAsia="宋体" w:cs="宋体"/>
                <w:sz w:val="20"/>
                <w:szCs w:val="20"/>
                <w:highlight w:val="none"/>
              </w:rPr>
              <w:t>皇驰</w:t>
            </w:r>
            <w:r>
              <w:rPr>
                <w:rFonts w:ascii="宋体" w:hAnsi="宋体" w:eastAsia="宋体" w:cs="宋体"/>
                <w:sz w:val="20"/>
                <w:szCs w:val="20"/>
                <w:highlight w:val="none"/>
              </w:rPr>
              <w:t>/得力</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5吨</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台</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664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双轴承手拉葫芦</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沪工/世达/得力</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1吨6米</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台</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665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双轴承手拉葫芦</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沪工/世达/得力</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2吨6米</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台</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666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双轴承手拉葫芦</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沪工/世达/得力</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2吨9米</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台</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667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双轴承手拉葫芦</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沪工/世达/得力</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3吨9米</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台</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668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三爪拉马</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669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三爪拉马</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670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三爪拉马</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671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三爪拉马</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8寸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672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三爪拉马</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10寸</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4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673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三爪拉马</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12寸</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674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内孔轴承拉马</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拆卸内孔直径16-38mm轴承</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52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675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多用分离器工具套装</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齿轮、轴承拆卸器组合，14件套，适用范围35mm-75mm。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676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断头螺丝取丝器</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双头，4分-6分</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677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铝合金人字梯</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12步（3米），加厚</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张</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678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铝合金人字梯</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20步（5米），加厚</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张</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679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铝合金便携竹节升降人字梯</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4.7米</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张</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680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铝合金伸缩直梯</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收5.5米，伸10米，加厚</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张</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681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手动液压堆高叉车</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2T，升高高度1600mm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台</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682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热缩绝缘套管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φ5mm，100米/卷</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卷</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683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热缩绝缘套管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φ6mm，100米/卷</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卷</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684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橡胶量杯</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500ml</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685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橡胶量杯</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1000ml</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12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686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lang w:eastAsia="zh-CN"/>
              </w:rPr>
              <w:t>五金配件</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磁翻板液位计</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0-3米</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687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线手套</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12双/组，500G</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组</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688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劳保鞋</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基础款，绝缘10kv，防砸防刺穿</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双</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25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689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安全帽</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符合：GB2811-2019，需印“众源公司”字样</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690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安全带</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全身式，2米双小钩</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条</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691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安全绳</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16mm，15米</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条</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692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雪糕筒</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4斤，方锥形，橡胶材质</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693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红白反光贴条</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23*4.5（cm）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片</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28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694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工业级耐酸碱加长乳胶手套</w:t>
            </w:r>
          </w:p>
        </w:tc>
        <w:tc>
          <w:tcPr>
            <w:tcW w:w="839"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45cm</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50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695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工业级耐酸碱加长乳胶手套</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55cm</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28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696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救生圈</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2.5KG加厚实心塑料</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697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挂钩（挂救生圈用）</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不锈钢S型挂钩</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698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救生浮绳</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橘色，绳长20米，绳径8mm,一环一扣。</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条</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699</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防晒帽</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加大帽檐15cm配遮阳帘子</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顶</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35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64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700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氩弧焊面罩</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众安、泰克曼110A、X.C.U</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可戴式</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顶</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64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701</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防毒面罩主体</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3M、霍尼韦尔、代尔塔、MSA/梅</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7502防毒面罩主体</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64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702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防毒有机滤盒</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3M、霍尼韦尔、代尔塔、MSA/梅</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6046CN滤毒盒</w:t>
            </w:r>
          </w:p>
        </w:tc>
        <w:tc>
          <w:tcPr>
            <w:tcW w:w="380"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15 </w:t>
            </w:r>
          </w:p>
        </w:tc>
        <w:tc>
          <w:tcPr>
            <w:tcW w:w="944"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64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703</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5N11CN颗粒物过滤棉</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3M、霍尼韦尔、代尔塔、思安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防毒面罩配件 过滤棉，5套/盒</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64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704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6200 防毒面具防尘面具</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3M、霍尼韦尔、代尔塔、MSA/梅</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朝美，新2002多功能独立口罩</w:t>
            </w:r>
          </w:p>
        </w:tc>
        <w:tc>
          <w:tcPr>
            <w:tcW w:w="380"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个</w:t>
            </w:r>
          </w:p>
        </w:tc>
        <w:tc>
          <w:tcPr>
            <w:tcW w:w="365"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6 </w:t>
            </w:r>
          </w:p>
        </w:tc>
        <w:tc>
          <w:tcPr>
            <w:tcW w:w="944"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rPr>
          <w:trHeight w:val="64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705</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防毒面具配件501胶盖接承盖</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3M、霍尼韦尔、代尔塔、思安</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滤盒盖2个为1套</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64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706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人工呼吸面膜</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华东、沪模、优模、画婷、好万家</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CPR消毒面膜，50片/盒</w:t>
            </w:r>
          </w:p>
        </w:tc>
        <w:tc>
          <w:tcPr>
            <w:tcW w:w="380"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盒</w:t>
            </w:r>
          </w:p>
        </w:tc>
        <w:tc>
          <w:tcPr>
            <w:tcW w:w="365"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 </w:t>
            </w:r>
          </w:p>
        </w:tc>
        <w:tc>
          <w:tcPr>
            <w:tcW w:w="944"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707</w:t>
            </w:r>
          </w:p>
        </w:tc>
        <w:tc>
          <w:tcPr>
            <w:tcW w:w="372"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753"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灭火器</w:t>
            </w:r>
          </w:p>
        </w:tc>
        <w:tc>
          <w:tcPr>
            <w:tcW w:w="839"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干粉MFZ/ABC3型 3KG</w:t>
            </w:r>
          </w:p>
        </w:tc>
        <w:tc>
          <w:tcPr>
            <w:tcW w:w="380"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瓶</w:t>
            </w:r>
          </w:p>
        </w:tc>
        <w:tc>
          <w:tcPr>
            <w:tcW w:w="365"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20 </w:t>
            </w:r>
          </w:p>
        </w:tc>
        <w:tc>
          <w:tcPr>
            <w:tcW w:w="944" w:type="pct"/>
            <w:tcBorders>
              <w:top w:val="single" w:color="auto" w:sz="4" w:space="0"/>
              <w:left w:val="single" w:color="auto" w:sz="4" w:space="0"/>
              <w:bottom w:val="single" w:color="auto" w:sz="4" w:space="0"/>
              <w:right w:val="single" w:color="auto" w:sz="4" w:space="0"/>
            </w:tcBorders>
            <w:shd w:val="clear" w:color="DDEBF7" w:fill="DDEBF7"/>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708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劳保用品</w:t>
            </w:r>
          </w:p>
        </w:tc>
        <w:tc>
          <w:tcPr>
            <w:tcW w:w="753"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灭火器箱</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任意品牌</w:t>
            </w:r>
          </w:p>
        </w:tc>
        <w:tc>
          <w:tcPr>
            <w:tcW w:w="10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r>
              <w:rPr>
                <w:rFonts w:hint="eastAsia" w:ascii="宋体" w:hAnsi="宋体" w:eastAsia="宋体" w:cs="宋体"/>
                <w:color w:val="auto"/>
                <w:sz w:val="20"/>
                <w:szCs w:val="20"/>
              </w:rPr>
              <w:t>2支装</w:t>
            </w:r>
          </w:p>
        </w:tc>
        <w:tc>
          <w:tcPr>
            <w:tcW w:w="380"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365"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 xml:space="preserve">10 </w:t>
            </w:r>
          </w:p>
        </w:tc>
        <w:tc>
          <w:tcPr>
            <w:tcW w:w="944" w:type="pct"/>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firstLine="0" w:firstLineChars="0"/>
              <w:jc w:val="center"/>
              <w:outlineLvl w:val="9"/>
              <w:rPr>
                <w:rFonts w:hint="eastAsia" w:ascii="宋体" w:hAnsi="宋体" w:eastAsia="宋体" w:cs="宋体"/>
                <w:color w:val="auto"/>
                <w:sz w:val="20"/>
                <w:szCs w:val="20"/>
              </w:rPr>
            </w:pPr>
          </w:p>
        </w:tc>
      </w:tr>
    </w:tbl>
    <w:p>
      <w:pPr>
        <w:autoSpaceDE w:val="0"/>
        <w:autoSpaceDN w:val="0"/>
        <w:adjustRightInd w:val="0"/>
        <w:snapToGrid w:val="0"/>
        <w:spacing w:line="360" w:lineRule="auto"/>
        <w:jc w:val="left"/>
        <w:outlineLvl w:val="9"/>
        <w:rPr>
          <w:rFonts w:ascii="宋体" w:hAnsi="宋体" w:eastAsia="宋体" w:cs="Times New Roman"/>
          <w:color w:val="auto"/>
          <w:kern w:val="0"/>
          <w:szCs w:val="21"/>
          <w:highlight w:val="none"/>
        </w:rPr>
      </w:pPr>
    </w:p>
    <w:p>
      <w:pPr>
        <w:widowControl/>
        <w:jc w:val="left"/>
        <w:outlineLvl w:val="9"/>
        <w:rPr>
          <w:rFonts w:ascii="宋体" w:hAnsi="宋体" w:eastAsia="宋体" w:cs="Times New Roman"/>
          <w:color w:val="auto"/>
          <w:kern w:val="0"/>
          <w:szCs w:val="21"/>
          <w:highlight w:val="none"/>
        </w:rPr>
      </w:pPr>
      <w:bookmarkStart w:id="875" w:name="_Toc94107225"/>
      <w:r>
        <w:rPr>
          <w:rFonts w:ascii="宋体" w:hAnsi="宋体" w:eastAsia="宋体" w:cs="Times New Roman"/>
          <w:color w:val="auto"/>
          <w:kern w:val="0"/>
          <w:szCs w:val="21"/>
          <w:highlight w:val="none"/>
        </w:rPr>
        <w:br w:type="page"/>
      </w:r>
    </w:p>
    <w:bookmarkEnd w:id="875"/>
    <w:p>
      <w:pPr>
        <w:outlineLvl w:val="9"/>
        <w:rPr>
          <w:rFonts w:hint="eastAsia" w:ascii="宋体" w:hAnsi="宋体" w:eastAsia="宋体" w:cs="宋体"/>
          <w:b/>
          <w:color w:val="auto"/>
          <w:kern w:val="0"/>
          <w:sz w:val="30"/>
          <w:szCs w:val="30"/>
          <w:highlight w:val="none"/>
          <w:lang w:val="en-US" w:eastAsia="zh-CN"/>
        </w:rPr>
      </w:pPr>
      <w:bookmarkStart w:id="876" w:name="_Toc102860094"/>
      <w:bookmarkStart w:id="877" w:name="_Toc102860438"/>
      <w:bookmarkStart w:id="878" w:name="_Toc104991896"/>
      <w:bookmarkStart w:id="879" w:name="_Toc140596949"/>
      <w:bookmarkStart w:id="880" w:name="_Toc142508389"/>
      <w:bookmarkStart w:id="881" w:name="_Toc533708139"/>
      <w:r>
        <w:rPr>
          <w:rFonts w:hint="eastAsia" w:ascii="宋体" w:hAnsi="宋体" w:eastAsia="宋体" w:cs="宋体"/>
          <w:b/>
          <w:color w:val="auto"/>
          <w:kern w:val="0"/>
          <w:sz w:val="30"/>
          <w:szCs w:val="30"/>
          <w:highlight w:val="none"/>
          <w:lang w:val="en-US" w:eastAsia="zh-CN"/>
        </w:rPr>
        <w:t>14.3 整体供货服务流程</w:t>
      </w:r>
      <w:r>
        <w:rPr>
          <w:rFonts w:hint="eastAsia" w:ascii="宋体" w:hAnsi="宋体" w:eastAsia="宋体" w:cs="宋体"/>
          <w:b/>
          <w:color w:val="auto"/>
          <w:kern w:val="0"/>
          <w:sz w:val="30"/>
          <w:szCs w:val="30"/>
          <w:highlight w:val="none"/>
          <w:lang w:val="en-US" w:eastAsia="zh-CN"/>
        </w:rPr>
        <w:br w:type="page"/>
      </w:r>
    </w:p>
    <w:p>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14.4 供货计划及进度保证措施方案</w:t>
      </w:r>
      <w:r>
        <w:rPr>
          <w:rFonts w:hint="eastAsia" w:ascii="宋体" w:hAnsi="宋体" w:eastAsia="宋体" w:cs="宋体"/>
          <w:b/>
          <w:color w:val="auto"/>
          <w:kern w:val="0"/>
          <w:sz w:val="30"/>
          <w:szCs w:val="30"/>
          <w:highlight w:val="none"/>
          <w:lang w:val="en-US" w:eastAsia="zh-CN"/>
        </w:rPr>
        <w:br w:type="page"/>
      </w:r>
    </w:p>
    <w:p>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bookmarkStart w:id="882" w:name="_Toc13089"/>
      <w:bookmarkStart w:id="883" w:name="_Toc19909"/>
      <w:bookmarkStart w:id="884" w:name="_Toc28696"/>
      <w:bookmarkStart w:id="885" w:name="_Toc1222"/>
      <w:bookmarkStart w:id="886" w:name="_Toc770"/>
      <w:r>
        <w:rPr>
          <w:rFonts w:hint="eastAsia" w:ascii="宋体" w:hAnsi="宋体" w:eastAsia="宋体" w:cs="宋体"/>
          <w:b/>
          <w:color w:val="auto"/>
          <w:kern w:val="0"/>
          <w:sz w:val="30"/>
          <w:szCs w:val="30"/>
          <w:highlight w:val="none"/>
          <w:lang w:val="en-US" w:eastAsia="zh-CN"/>
        </w:rPr>
        <w:t>14.5 售后服务质量保证和承诺</w:t>
      </w:r>
      <w:bookmarkEnd w:id="882"/>
      <w:bookmarkEnd w:id="883"/>
      <w:bookmarkEnd w:id="884"/>
    </w:p>
    <w:p>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887" w:name="_Toc19663"/>
      <w:bookmarkStart w:id="888" w:name="_Toc949"/>
      <w:bookmarkStart w:id="889" w:name="_Toc12524"/>
      <w:r>
        <w:rPr>
          <w:rFonts w:hint="eastAsia" w:ascii="宋体" w:hAnsi="宋体" w:eastAsia="宋体" w:cs="宋体"/>
          <w:b/>
          <w:color w:val="auto"/>
          <w:kern w:val="0"/>
          <w:sz w:val="30"/>
          <w:szCs w:val="30"/>
          <w:highlight w:val="none"/>
          <w:lang w:val="en-US" w:eastAsia="zh-CN"/>
        </w:rPr>
        <w:t xml:space="preserve">14.6 </w:t>
      </w:r>
      <w:r>
        <w:rPr>
          <w:rFonts w:hint="eastAsia" w:ascii="宋体" w:hAnsi="宋体" w:eastAsia="宋体" w:cs="宋体"/>
          <w:b/>
          <w:color w:val="auto"/>
          <w:kern w:val="0"/>
          <w:sz w:val="30"/>
          <w:szCs w:val="30"/>
          <w:highlight w:val="none"/>
        </w:rPr>
        <w:t>投标人认为有必要提供的其它材料（不做强制要求）</w:t>
      </w:r>
      <w:bookmarkEnd w:id="876"/>
      <w:bookmarkEnd w:id="877"/>
      <w:bookmarkEnd w:id="878"/>
      <w:bookmarkEnd w:id="879"/>
      <w:bookmarkEnd w:id="880"/>
      <w:bookmarkEnd w:id="885"/>
      <w:bookmarkEnd w:id="886"/>
      <w:bookmarkEnd w:id="887"/>
      <w:bookmarkEnd w:id="888"/>
      <w:bookmarkEnd w:id="889"/>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pPr>
        <w:autoSpaceDE w:val="0"/>
        <w:autoSpaceDN w:val="0"/>
        <w:adjustRightInd w:val="0"/>
        <w:jc w:val="left"/>
        <w:rPr>
          <w:rFonts w:ascii="宋体" w:hAnsi="宋体" w:eastAsia="宋体" w:cs="Times New Roman"/>
          <w:color w:val="auto"/>
          <w:kern w:val="0"/>
          <w:sz w:val="24"/>
          <w:szCs w:val="24"/>
          <w:highlight w:val="none"/>
        </w:rPr>
      </w:pPr>
    </w:p>
    <w:p>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890" w:name="_Toc256"/>
      <w:bookmarkStart w:id="891" w:name="_Toc142508390"/>
      <w:bookmarkStart w:id="892" w:name="_Toc25469"/>
      <w:bookmarkStart w:id="893" w:name="_Toc15928"/>
      <w:bookmarkStart w:id="894" w:name="_Toc21118"/>
      <w:bookmarkStart w:id="895" w:name="_Toc28845"/>
      <w:bookmarkStart w:id="896" w:name="_Toc10486"/>
      <w:bookmarkStart w:id="897" w:name="_Toc522047402"/>
      <w:bookmarkStart w:id="898" w:name="_Toc22601_WPSOffice_Level1"/>
      <w:bookmarkStart w:id="899" w:name="_Toc521918141"/>
      <w:r>
        <w:rPr>
          <w:rFonts w:hint="eastAsia" w:ascii="宋体" w:hAnsi="宋体" w:eastAsia="宋体" w:cs="宋体"/>
          <w:b/>
          <w:bCs/>
          <w:color w:val="auto"/>
          <w:kern w:val="44"/>
          <w:sz w:val="32"/>
          <w:szCs w:val="32"/>
          <w:highlight w:val="none"/>
          <w:lang w:val="zh-CN"/>
        </w:rPr>
        <w:t>附件一：评标工作大纲</w:t>
      </w:r>
      <w:bookmarkEnd w:id="890"/>
      <w:bookmarkEnd w:id="891"/>
      <w:bookmarkEnd w:id="892"/>
      <w:bookmarkEnd w:id="893"/>
      <w:bookmarkEnd w:id="894"/>
      <w:bookmarkEnd w:id="895"/>
      <w:bookmarkEnd w:id="896"/>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360" w:lineRule="auto"/>
        <w:jc w:val="center"/>
        <w:outlineLvl w:val="9"/>
        <w:rPr>
          <w:rFonts w:ascii="宋体" w:hAnsi="宋体" w:eastAsia="宋体" w:cs="宋体"/>
          <w:b/>
          <w:bCs/>
          <w:color w:val="auto"/>
          <w:sz w:val="36"/>
          <w:szCs w:val="44"/>
          <w:highlight w:val="none"/>
        </w:rPr>
      </w:pPr>
      <w:r>
        <w:rPr>
          <w:rFonts w:hint="eastAsia" w:ascii="宋体" w:hAnsi="宋体" w:eastAsia="宋体" w:cs="宋体"/>
          <w:b/>
          <w:bCs/>
          <w:color w:val="auto"/>
          <w:sz w:val="40"/>
          <w:szCs w:val="36"/>
          <w:highlight w:val="none"/>
        </w:rPr>
        <w:t>东莞市众源环境投资有限公司五金配件及劳保物资采购项目</w:t>
      </w:r>
    </w:p>
    <w:p>
      <w:pPr>
        <w:autoSpaceDE w:val="0"/>
        <w:autoSpaceDN w:val="0"/>
        <w:adjustRightInd w:val="0"/>
        <w:spacing w:line="360" w:lineRule="auto"/>
        <w:jc w:val="center"/>
        <w:outlineLvl w:val="9"/>
        <w:rPr>
          <w:rFonts w:ascii="宋体" w:hAnsi="宋体" w:eastAsia="宋体" w:cs="宋体"/>
          <w:b/>
          <w:bCs/>
          <w:color w:val="auto"/>
          <w:sz w:val="36"/>
          <w:szCs w:val="36"/>
          <w:highlight w:val="none"/>
        </w:rPr>
      </w:pPr>
      <w:bookmarkStart w:id="900" w:name="_Toc14752_WPSOffice_Level1"/>
      <w:r>
        <w:rPr>
          <w:rFonts w:hint="eastAsia" w:ascii="宋体" w:hAnsi="宋体" w:eastAsia="宋体" w:cs="宋体"/>
          <w:b/>
          <w:bCs/>
          <w:color w:val="auto"/>
          <w:sz w:val="36"/>
          <w:szCs w:val="36"/>
          <w:highlight w:val="none"/>
          <w:lang w:val="zh-CN"/>
        </w:rPr>
        <w:t>（招标编号：0832-SFCX24DG010A）</w:t>
      </w:r>
      <w:bookmarkEnd w:id="900"/>
    </w:p>
    <w:p>
      <w:pPr>
        <w:autoSpaceDE w:val="0"/>
        <w:autoSpaceDN w:val="0"/>
        <w:adjustRightInd w:val="0"/>
        <w:spacing w:line="400" w:lineRule="atLeast"/>
        <w:jc w:val="center"/>
        <w:outlineLvl w:val="9"/>
        <w:rPr>
          <w:rFonts w:ascii="宋体" w:hAnsi="宋体" w:eastAsia="宋体" w:cs="宋体"/>
          <w:b/>
          <w:bCs/>
          <w:color w:val="auto"/>
          <w:sz w:val="36"/>
          <w:szCs w:val="36"/>
          <w:highlight w:val="none"/>
        </w:rPr>
      </w:pPr>
    </w:p>
    <w:p>
      <w:pPr>
        <w:autoSpaceDE w:val="0"/>
        <w:autoSpaceDN w:val="0"/>
        <w:adjustRightInd w:val="0"/>
        <w:spacing w:line="400" w:lineRule="atLeast"/>
        <w:jc w:val="center"/>
        <w:outlineLvl w:val="9"/>
        <w:rPr>
          <w:rFonts w:ascii="宋体" w:hAnsi="宋体" w:eastAsia="宋体" w:cs="宋体"/>
          <w:b/>
          <w:bCs/>
          <w:color w:val="auto"/>
          <w:sz w:val="36"/>
          <w:szCs w:val="36"/>
          <w:highlight w:val="none"/>
        </w:rPr>
      </w:pPr>
    </w:p>
    <w:p>
      <w:pPr>
        <w:autoSpaceDE w:val="0"/>
        <w:autoSpaceDN w:val="0"/>
        <w:adjustRightInd w:val="0"/>
        <w:spacing w:line="400" w:lineRule="atLeast"/>
        <w:jc w:val="center"/>
        <w:outlineLvl w:val="9"/>
        <w:rPr>
          <w:rFonts w:ascii="宋体" w:hAnsi="宋体" w:eastAsia="宋体" w:cs="宋体"/>
          <w:b/>
          <w:bCs/>
          <w:color w:val="auto"/>
          <w:sz w:val="36"/>
          <w:szCs w:val="36"/>
          <w:highlight w:val="none"/>
        </w:rPr>
      </w:pPr>
    </w:p>
    <w:p>
      <w:pPr>
        <w:autoSpaceDE w:val="0"/>
        <w:autoSpaceDN w:val="0"/>
        <w:adjustRightInd w:val="0"/>
        <w:spacing w:line="400" w:lineRule="atLeast"/>
        <w:jc w:val="center"/>
        <w:outlineLvl w:val="9"/>
        <w:rPr>
          <w:rFonts w:ascii="宋体" w:hAnsi="宋体" w:eastAsia="宋体" w:cs="宋体"/>
          <w:b/>
          <w:bCs/>
          <w:color w:val="auto"/>
          <w:sz w:val="36"/>
          <w:szCs w:val="36"/>
          <w:highlight w:val="none"/>
        </w:rPr>
      </w:pPr>
    </w:p>
    <w:p>
      <w:pPr>
        <w:autoSpaceDE w:val="0"/>
        <w:autoSpaceDN w:val="0"/>
        <w:adjustRightInd w:val="0"/>
        <w:spacing w:line="400" w:lineRule="atLeast"/>
        <w:jc w:val="center"/>
        <w:outlineLvl w:val="9"/>
        <w:rPr>
          <w:rFonts w:ascii="宋体" w:hAnsi="宋体" w:eastAsia="宋体" w:cs="宋体"/>
          <w:b/>
          <w:bCs/>
          <w:color w:val="auto"/>
          <w:sz w:val="72"/>
          <w:szCs w:val="72"/>
          <w:highlight w:val="none"/>
          <w:lang w:val="zh-CN"/>
        </w:rPr>
      </w:pPr>
      <w:bookmarkStart w:id="901" w:name="_Toc18947_WPSOffice_Level2"/>
      <w:r>
        <w:rPr>
          <w:rFonts w:hint="eastAsia" w:ascii="宋体" w:hAnsi="宋体" w:eastAsia="宋体" w:cs="宋体"/>
          <w:b/>
          <w:bCs/>
          <w:color w:val="auto"/>
          <w:sz w:val="72"/>
          <w:szCs w:val="72"/>
          <w:highlight w:val="none"/>
          <w:lang w:val="zh-CN"/>
        </w:rPr>
        <w:t>评标工作大纲</w:t>
      </w:r>
      <w:bookmarkEnd w:id="901"/>
    </w:p>
    <w:p>
      <w:pPr>
        <w:autoSpaceDE w:val="0"/>
        <w:autoSpaceDN w:val="0"/>
        <w:adjustRightInd w:val="0"/>
        <w:spacing w:line="400" w:lineRule="atLeast"/>
        <w:jc w:val="center"/>
        <w:outlineLvl w:val="9"/>
        <w:rPr>
          <w:rFonts w:ascii="宋体" w:hAnsi="宋体" w:eastAsia="宋体" w:cs="宋体"/>
          <w:b/>
          <w:bCs/>
          <w:color w:val="auto"/>
          <w:sz w:val="36"/>
          <w:szCs w:val="36"/>
          <w:highlight w:val="none"/>
        </w:rPr>
      </w:pPr>
    </w:p>
    <w:p>
      <w:pPr>
        <w:autoSpaceDE w:val="0"/>
        <w:autoSpaceDN w:val="0"/>
        <w:adjustRightInd w:val="0"/>
        <w:spacing w:line="400" w:lineRule="atLeast"/>
        <w:outlineLvl w:val="9"/>
        <w:rPr>
          <w:rFonts w:ascii="宋体" w:hAnsi="宋体" w:eastAsia="宋体" w:cs="宋体"/>
          <w:b/>
          <w:bCs/>
          <w:color w:val="auto"/>
          <w:sz w:val="36"/>
          <w:szCs w:val="36"/>
          <w:highlight w:val="none"/>
        </w:rPr>
      </w:pPr>
    </w:p>
    <w:p>
      <w:pPr>
        <w:autoSpaceDE w:val="0"/>
        <w:autoSpaceDN w:val="0"/>
        <w:adjustRightInd w:val="0"/>
        <w:spacing w:line="400" w:lineRule="atLeast"/>
        <w:jc w:val="center"/>
        <w:outlineLvl w:val="9"/>
        <w:rPr>
          <w:rFonts w:ascii="宋体" w:hAnsi="宋体" w:eastAsia="宋体" w:cs="宋体"/>
          <w:b/>
          <w:bCs/>
          <w:color w:val="auto"/>
          <w:sz w:val="36"/>
          <w:szCs w:val="36"/>
          <w:highlight w:val="none"/>
        </w:rPr>
      </w:pPr>
    </w:p>
    <w:p>
      <w:pPr>
        <w:autoSpaceDE w:val="0"/>
        <w:autoSpaceDN w:val="0"/>
        <w:adjustRightInd w:val="0"/>
        <w:spacing w:line="400" w:lineRule="atLeast"/>
        <w:jc w:val="center"/>
        <w:outlineLvl w:val="9"/>
        <w:rPr>
          <w:rFonts w:ascii="宋体" w:hAnsi="宋体" w:eastAsia="宋体" w:cs="宋体"/>
          <w:b/>
          <w:bCs/>
          <w:color w:val="auto"/>
          <w:sz w:val="36"/>
          <w:szCs w:val="36"/>
          <w:highlight w:val="none"/>
        </w:rPr>
      </w:pPr>
    </w:p>
    <w:p>
      <w:pPr>
        <w:autoSpaceDE w:val="0"/>
        <w:autoSpaceDN w:val="0"/>
        <w:adjustRightInd w:val="0"/>
        <w:spacing w:line="400" w:lineRule="atLeast"/>
        <w:jc w:val="center"/>
        <w:outlineLvl w:val="9"/>
        <w:rPr>
          <w:rFonts w:ascii="宋体" w:hAnsi="宋体" w:eastAsia="宋体" w:cs="宋体"/>
          <w:b/>
          <w:bCs/>
          <w:color w:val="auto"/>
          <w:sz w:val="36"/>
          <w:szCs w:val="36"/>
          <w:highlight w:val="none"/>
        </w:rPr>
      </w:pPr>
    </w:p>
    <w:p>
      <w:pPr>
        <w:autoSpaceDE w:val="0"/>
        <w:autoSpaceDN w:val="0"/>
        <w:adjustRightInd w:val="0"/>
        <w:spacing w:line="400" w:lineRule="atLeast"/>
        <w:jc w:val="center"/>
        <w:outlineLvl w:val="9"/>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pPr>
        <w:autoSpaceDE w:val="0"/>
        <w:autoSpaceDN w:val="0"/>
        <w:adjustRightInd w:val="0"/>
        <w:spacing w:line="400" w:lineRule="atLeast"/>
        <w:jc w:val="center"/>
        <w:outlineLvl w:val="9"/>
        <w:rPr>
          <w:rFonts w:ascii="宋体" w:hAnsi="宋体" w:eastAsia="宋体" w:cs="宋体"/>
          <w:b/>
          <w:bCs/>
          <w:color w:val="auto"/>
          <w:sz w:val="36"/>
          <w:szCs w:val="36"/>
          <w:highlight w:val="none"/>
        </w:rPr>
      </w:pPr>
    </w:p>
    <w:p>
      <w:pPr>
        <w:autoSpaceDE w:val="0"/>
        <w:autoSpaceDN w:val="0"/>
        <w:adjustRightInd w:val="0"/>
        <w:spacing w:line="400" w:lineRule="atLeast"/>
        <w:jc w:val="center"/>
        <w:outlineLvl w:val="9"/>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902" w:name="_Toc32395_WPSOffice_Level1"/>
      <w:r>
        <w:rPr>
          <w:rFonts w:hint="eastAsia" w:ascii="宋体" w:hAnsi="宋体" w:eastAsia="宋体" w:cs="宋体"/>
          <w:b/>
          <w:bCs/>
          <w:color w:val="auto"/>
          <w:sz w:val="36"/>
          <w:szCs w:val="36"/>
          <w:highlight w:val="none"/>
          <w:lang w:val="zh-CN"/>
        </w:rPr>
        <w:t>目录</w:t>
      </w:r>
      <w:bookmarkEnd w:id="902"/>
    </w:p>
    <w:p>
      <w:pPr>
        <w:autoSpaceDE w:val="0"/>
        <w:autoSpaceDN w:val="0"/>
        <w:adjustRightInd w:val="0"/>
        <w:spacing w:line="400" w:lineRule="atLeast"/>
        <w:jc w:val="center"/>
        <w:outlineLvl w:val="9"/>
        <w:rPr>
          <w:rFonts w:ascii="宋体" w:hAnsi="宋体" w:eastAsia="宋体" w:cs="宋体"/>
          <w:color w:val="auto"/>
          <w:sz w:val="44"/>
          <w:szCs w:val="44"/>
          <w:highlight w:val="none"/>
        </w:rPr>
      </w:pPr>
    </w:p>
    <w:p>
      <w:pPr>
        <w:autoSpaceDE w:val="0"/>
        <w:autoSpaceDN w:val="0"/>
        <w:adjustRightInd w:val="0"/>
        <w:spacing w:line="360" w:lineRule="auto"/>
        <w:ind w:left="567" w:hanging="567"/>
        <w:outlineLvl w:val="9"/>
        <w:rPr>
          <w:rFonts w:ascii="宋体" w:hAnsi="宋体" w:eastAsia="宋体" w:cs="宋体"/>
          <w:color w:val="auto"/>
          <w:szCs w:val="30"/>
          <w:highlight w:val="none"/>
        </w:rPr>
      </w:pPr>
      <w:bookmarkStart w:id="903"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903"/>
    </w:p>
    <w:p>
      <w:pPr>
        <w:autoSpaceDE w:val="0"/>
        <w:autoSpaceDN w:val="0"/>
        <w:adjustRightInd w:val="0"/>
        <w:spacing w:line="360" w:lineRule="auto"/>
        <w:ind w:left="567" w:hanging="567"/>
        <w:outlineLvl w:val="9"/>
        <w:rPr>
          <w:rFonts w:ascii="宋体" w:hAnsi="宋体" w:eastAsia="宋体" w:cs="宋体"/>
          <w:color w:val="auto"/>
          <w:szCs w:val="30"/>
          <w:highlight w:val="none"/>
        </w:rPr>
      </w:pPr>
      <w:bookmarkStart w:id="904"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904"/>
    </w:p>
    <w:p>
      <w:pPr>
        <w:autoSpaceDE w:val="0"/>
        <w:autoSpaceDN w:val="0"/>
        <w:adjustRightInd w:val="0"/>
        <w:spacing w:line="360" w:lineRule="auto"/>
        <w:ind w:left="567" w:hanging="567"/>
        <w:outlineLvl w:val="9"/>
        <w:rPr>
          <w:rFonts w:ascii="宋体" w:hAnsi="宋体" w:eastAsia="宋体" w:cs="宋体"/>
          <w:color w:val="auto"/>
          <w:szCs w:val="30"/>
          <w:highlight w:val="none"/>
        </w:rPr>
      </w:pPr>
      <w:bookmarkStart w:id="905"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905"/>
    </w:p>
    <w:p>
      <w:pPr>
        <w:autoSpaceDE w:val="0"/>
        <w:autoSpaceDN w:val="0"/>
        <w:adjustRightInd w:val="0"/>
        <w:spacing w:line="360" w:lineRule="auto"/>
        <w:ind w:left="567" w:hanging="567"/>
        <w:outlineLvl w:val="9"/>
        <w:rPr>
          <w:rFonts w:ascii="宋体" w:hAnsi="宋体" w:eastAsia="宋体" w:cs="宋体"/>
          <w:color w:val="auto"/>
          <w:szCs w:val="30"/>
          <w:highlight w:val="none"/>
        </w:rPr>
      </w:pPr>
      <w:bookmarkStart w:id="906" w:name="_Toc1206_WPSOffice_Level1"/>
      <w:r>
        <w:rPr>
          <w:rFonts w:hint="eastAsia" w:ascii="宋体" w:hAnsi="宋体" w:eastAsia="宋体" w:cs="宋体"/>
          <w:color w:val="auto"/>
          <w:szCs w:val="30"/>
          <w:highlight w:val="none"/>
        </w:rPr>
        <w:t>四、 比较和评价</w:t>
      </w:r>
      <w:bookmarkEnd w:id="906"/>
    </w:p>
    <w:p>
      <w:pPr>
        <w:autoSpaceDE w:val="0"/>
        <w:autoSpaceDN w:val="0"/>
        <w:adjustRightInd w:val="0"/>
        <w:spacing w:line="360" w:lineRule="auto"/>
        <w:ind w:left="567" w:hanging="567"/>
        <w:outlineLvl w:val="9"/>
        <w:rPr>
          <w:rFonts w:ascii="宋体" w:hAnsi="宋体" w:eastAsia="宋体" w:cs="宋体"/>
          <w:color w:val="auto"/>
          <w:szCs w:val="30"/>
          <w:highlight w:val="none"/>
        </w:rPr>
      </w:pPr>
      <w:bookmarkStart w:id="907"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907"/>
    </w:p>
    <w:p>
      <w:pPr>
        <w:autoSpaceDE w:val="0"/>
        <w:autoSpaceDN w:val="0"/>
        <w:adjustRightInd w:val="0"/>
        <w:spacing w:line="360" w:lineRule="auto"/>
        <w:ind w:left="567" w:hanging="567"/>
        <w:outlineLvl w:val="9"/>
        <w:rPr>
          <w:rFonts w:ascii="宋体" w:hAnsi="宋体" w:eastAsia="宋体" w:cs="宋体"/>
          <w:color w:val="auto"/>
          <w:szCs w:val="30"/>
          <w:highlight w:val="none"/>
        </w:rPr>
      </w:pPr>
      <w:bookmarkStart w:id="908"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908"/>
    </w:p>
    <w:p>
      <w:pPr>
        <w:autoSpaceDE w:val="0"/>
        <w:autoSpaceDN w:val="0"/>
        <w:adjustRightInd w:val="0"/>
        <w:spacing w:line="360" w:lineRule="auto"/>
        <w:ind w:left="567" w:hanging="567"/>
        <w:outlineLvl w:val="9"/>
        <w:rPr>
          <w:rFonts w:ascii="宋体" w:hAnsi="宋体" w:eastAsia="宋体" w:cs="宋体"/>
          <w:color w:val="auto"/>
          <w:szCs w:val="30"/>
          <w:highlight w:val="none"/>
        </w:rPr>
      </w:pPr>
      <w:bookmarkStart w:id="909"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909"/>
    </w:p>
    <w:p>
      <w:pPr>
        <w:tabs>
          <w:tab w:val="right" w:pos="7320"/>
        </w:tabs>
        <w:autoSpaceDE w:val="0"/>
        <w:autoSpaceDN w:val="0"/>
        <w:adjustRightInd w:val="0"/>
        <w:spacing w:line="360" w:lineRule="auto"/>
        <w:ind w:left="720" w:hanging="720"/>
        <w:outlineLvl w:val="9"/>
        <w:rPr>
          <w:rFonts w:ascii="宋体" w:hAnsi="宋体" w:eastAsia="宋体" w:cs="宋体"/>
          <w:color w:val="auto"/>
          <w:szCs w:val="30"/>
          <w:highlight w:val="none"/>
        </w:rPr>
      </w:pPr>
    </w:p>
    <w:p>
      <w:pPr>
        <w:tabs>
          <w:tab w:val="right" w:pos="7320"/>
        </w:tabs>
        <w:autoSpaceDE w:val="0"/>
        <w:autoSpaceDN w:val="0"/>
        <w:adjustRightInd w:val="0"/>
        <w:spacing w:line="360" w:lineRule="auto"/>
        <w:ind w:left="720" w:hanging="720"/>
        <w:outlineLvl w:val="9"/>
        <w:rPr>
          <w:rFonts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outlineLvl w:val="9"/>
        <w:rPr>
          <w:rFonts w:ascii="宋体" w:hAnsi="宋体" w:eastAsia="宋体" w:cs="宋体"/>
          <w:color w:val="auto"/>
          <w:szCs w:val="30"/>
          <w:highlight w:val="none"/>
        </w:rPr>
      </w:pPr>
    </w:p>
    <w:p>
      <w:pPr>
        <w:tabs>
          <w:tab w:val="left" w:pos="1140"/>
        </w:tabs>
        <w:autoSpaceDE w:val="0"/>
        <w:autoSpaceDN w:val="0"/>
        <w:adjustRightInd w:val="0"/>
        <w:spacing w:line="360" w:lineRule="auto"/>
        <w:jc w:val="center"/>
        <w:outlineLvl w:val="9"/>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910"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910"/>
    </w:p>
    <w:p>
      <w:pPr>
        <w:tabs>
          <w:tab w:val="left" w:pos="567"/>
          <w:tab w:val="left" w:pos="600"/>
        </w:tabs>
        <w:autoSpaceDE w:val="0"/>
        <w:autoSpaceDN w:val="0"/>
        <w:adjustRightInd w:val="0"/>
        <w:spacing w:line="360" w:lineRule="auto"/>
        <w:ind w:left="600" w:hanging="600"/>
        <w:outlineLvl w:val="9"/>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pPr>
        <w:autoSpaceDE w:val="0"/>
        <w:autoSpaceDN w:val="0"/>
        <w:adjustRightInd w:val="0"/>
        <w:spacing w:line="360" w:lineRule="auto"/>
        <w:ind w:left="567" w:hanging="567"/>
        <w:outlineLvl w:val="9"/>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东莞市众源环境投资有限公司五金配件及劳保物资采购项目</w:t>
      </w:r>
      <w:r>
        <w:rPr>
          <w:rFonts w:hint="eastAsia" w:ascii="宋体" w:hAnsi="宋体" w:eastAsia="宋体" w:cs="宋体"/>
          <w:color w:val="auto"/>
          <w:szCs w:val="21"/>
          <w:highlight w:val="none"/>
          <w:lang w:val="zh-CN"/>
        </w:rPr>
        <w:t>(招标编号：0832-SFCX24DG010A</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2"/>
        </w:numPr>
        <w:autoSpaceDE w:val="0"/>
        <w:autoSpaceDN w:val="0"/>
        <w:adjustRightInd w:val="0"/>
        <w:spacing w:line="360" w:lineRule="auto"/>
        <w:ind w:left="565" w:hanging="564" w:hangingChars="269"/>
        <w:jc w:val="left"/>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outlineLvl w:val="9"/>
        <w:rPr>
          <w:rFonts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outlineLvl w:val="9"/>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outlineLvl w:val="9"/>
        <w:rPr>
          <w:rFonts w:ascii="宋体" w:hAnsi="宋体" w:eastAsia="宋体" w:cs="宋体"/>
          <w:color w:val="auto"/>
          <w:sz w:val="24"/>
          <w:szCs w:val="24"/>
          <w:highlight w:val="none"/>
          <w:lang w:val="zh-CN"/>
        </w:rPr>
      </w:pPr>
    </w:p>
    <w:p>
      <w:pPr>
        <w:autoSpaceDE w:val="0"/>
        <w:autoSpaceDN w:val="0"/>
        <w:adjustRightInd w:val="0"/>
        <w:spacing w:line="360" w:lineRule="auto"/>
        <w:outlineLvl w:val="9"/>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outlineLvl w:val="9"/>
        <w:rPr>
          <w:rFonts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outlineLvl w:val="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outlineLvl w:val="9"/>
        <w:rPr>
          <w:rFonts w:ascii="宋体" w:hAnsi="宋体" w:eastAsia="宋体" w:cs="宋体"/>
          <w:color w:val="auto"/>
          <w:sz w:val="24"/>
          <w:szCs w:val="24"/>
          <w:highlight w:val="none"/>
          <w:lang w:val="zh-CN"/>
        </w:rPr>
      </w:pPr>
    </w:p>
    <w:p>
      <w:pPr>
        <w:tabs>
          <w:tab w:val="left" w:pos="1547"/>
        </w:tabs>
        <w:autoSpaceDE w:val="0"/>
        <w:autoSpaceDN w:val="0"/>
        <w:adjustRightInd w:val="0"/>
        <w:spacing w:line="360" w:lineRule="auto"/>
        <w:outlineLvl w:val="9"/>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pPr>
        <w:autoSpaceDE w:val="0"/>
        <w:autoSpaceDN w:val="0"/>
        <w:adjustRightInd w:val="0"/>
        <w:spacing w:line="360" w:lineRule="auto"/>
        <w:ind w:left="567" w:hanging="567"/>
        <w:outlineLvl w:val="9"/>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en-US" w:eastAsia="zh-CN"/>
        </w:rPr>
        <w:t>A</w:t>
      </w:r>
      <w:r>
        <w:rPr>
          <w:rFonts w:hint="eastAsia" w:ascii="宋体" w:hAnsi="宋体" w:eastAsia="宋体" w:cs="Times New Roman"/>
          <w:b/>
          <w:color w:val="auto"/>
          <w:szCs w:val="24"/>
          <w:lang w:val="zh-CN"/>
        </w:rPr>
        <w:t>．</w:t>
      </w:r>
      <w:r>
        <w:rPr>
          <w:rFonts w:hint="eastAsia" w:ascii="宋体" w:hAnsi="宋体" w:eastAsia="宋体" w:cs="Times New Roman"/>
          <w:b/>
          <w:color w:val="auto"/>
          <w:szCs w:val="24"/>
          <w:highlight w:val="none"/>
          <w:lang w:val="zh-CN"/>
        </w:rPr>
        <w:t>公开招标：</w:t>
      </w:r>
    </w:p>
    <w:p>
      <w:pPr>
        <w:autoSpaceDE w:val="0"/>
        <w:autoSpaceDN w:val="0"/>
        <w:adjustRightInd w:val="0"/>
        <w:spacing w:line="360" w:lineRule="auto"/>
        <w:ind w:left="567" w:hanging="567"/>
        <w:outlineLvl w:val="9"/>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outlineLvl w:val="9"/>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pPr>
        <w:autoSpaceDE w:val="0"/>
        <w:autoSpaceDN w:val="0"/>
        <w:adjustRightInd w:val="0"/>
        <w:spacing w:line="360" w:lineRule="auto"/>
        <w:ind w:left="567" w:hanging="567"/>
        <w:outlineLvl w:val="9"/>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outlineLvl w:val="9"/>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outlineLvl w:val="9"/>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outlineLvl w:val="9"/>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outlineLvl w:val="9"/>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pPr>
        <w:autoSpaceDE w:val="0"/>
        <w:autoSpaceDN w:val="0"/>
        <w:adjustRightInd w:val="0"/>
        <w:spacing w:line="360" w:lineRule="auto"/>
        <w:ind w:left="567" w:hanging="567"/>
        <w:outlineLvl w:val="9"/>
        <w:rPr>
          <w:rFonts w:ascii="宋体" w:hAnsi="宋体" w:eastAsia="宋体" w:cs="Times New Roman"/>
          <w:b/>
          <w:color w:val="auto"/>
          <w:szCs w:val="24"/>
          <w:lang w:val="zh-CN"/>
        </w:rPr>
      </w:pPr>
    </w:p>
    <w:p>
      <w:pPr>
        <w:autoSpaceDE w:val="0"/>
        <w:autoSpaceDN w:val="0"/>
        <w:adjustRightInd w:val="0"/>
        <w:spacing w:line="360" w:lineRule="auto"/>
        <w:ind w:left="567" w:hanging="567"/>
        <w:outlineLvl w:val="9"/>
        <w:rPr>
          <w:rFonts w:ascii="宋体" w:hAnsi="宋体" w:eastAsia="宋体" w:cs="Times New Roman"/>
          <w:b/>
          <w:color w:val="auto"/>
          <w:szCs w:val="24"/>
          <w:lang w:val="zh-CN"/>
        </w:rPr>
      </w:pPr>
      <w:r>
        <w:rPr>
          <w:rFonts w:ascii="宋体" w:hAnsi="宋体" w:eastAsia="宋体" w:cs="Times New Roman"/>
          <w:b/>
          <w:color w:val="auto"/>
          <w:szCs w:val="24"/>
          <w:lang w:val="zh-CN"/>
        </w:rPr>
        <w:t>B</w:t>
      </w:r>
      <w:r>
        <w:rPr>
          <w:rFonts w:hint="eastAsia" w:ascii="宋体" w:hAnsi="宋体" w:eastAsia="宋体" w:cs="Times New Roman"/>
          <w:b/>
          <w:color w:val="auto"/>
          <w:szCs w:val="24"/>
          <w:lang w:val="zh-CN"/>
        </w:rPr>
        <w:t>．竞争性谈判：</w:t>
      </w:r>
    </w:p>
    <w:p>
      <w:pPr>
        <w:autoSpaceDE w:val="0"/>
        <w:autoSpaceDN w:val="0"/>
        <w:adjustRightInd w:val="0"/>
        <w:spacing w:line="360" w:lineRule="auto"/>
        <w:ind w:left="518" w:hanging="518"/>
        <w:outlineLvl w:val="9"/>
        <w:rPr>
          <w:rFonts w:ascii="宋体" w:hAnsi="宋体" w:eastAsia="宋体" w:cs="Times New Roman"/>
          <w:color w:val="auto"/>
          <w:szCs w:val="21"/>
        </w:rPr>
      </w:pPr>
      <w:r>
        <w:rPr>
          <w:rFonts w:hint="eastAsia" w:ascii="宋体" w:hAnsi="宋体" w:eastAsia="宋体" w:cs="Times New Roman"/>
          <w:bCs/>
          <w:color w:val="auto"/>
          <w:szCs w:val="24"/>
          <w:lang w:val="zh-CN"/>
        </w:rPr>
        <w:t>5.8</w:t>
      </w:r>
      <w:r>
        <w:rPr>
          <w:rFonts w:ascii="宋体" w:hAnsi="宋体" w:eastAsia="宋体" w:cs="Times New Roman"/>
          <w:bCs/>
          <w:color w:val="auto"/>
          <w:szCs w:val="24"/>
        </w:rPr>
        <w:t xml:space="preserve">  </w:t>
      </w:r>
      <w:r>
        <w:rPr>
          <w:rFonts w:hint="eastAsia" w:ascii="宋体" w:hAnsi="宋体" w:eastAsia="宋体" w:cs="Times New Roman"/>
          <w:color w:val="auto"/>
          <w:szCs w:val="21"/>
        </w:rPr>
        <w:t>当有效</w:t>
      </w:r>
      <w:r>
        <w:rPr>
          <w:rFonts w:hint="eastAsia" w:ascii="宋体" w:hAnsi="宋体" w:eastAsia="宋体" w:cs="Times New Roman"/>
          <w:color w:val="auto"/>
          <w:szCs w:val="21"/>
          <w:lang w:val="zh-CN"/>
        </w:rPr>
        <w:t>投标人只有2个时，终止公开招标采购，经评标委员会论证，采购文件没有不合理条款、采购程序符合规定，现场经招标人代表和作出实质性响应的投标人代表同意后，现场更改为竞争性谈判的方式继续采购。</w:t>
      </w:r>
      <w:r>
        <w:rPr>
          <w:rFonts w:hint="eastAsia" w:ascii="宋体" w:hAnsi="宋体" w:eastAsia="宋体" w:cs="Times New Roman"/>
          <w:bCs/>
          <w:color w:val="auto"/>
          <w:szCs w:val="24"/>
          <w:lang w:val="zh-CN"/>
        </w:rPr>
        <w:t>评审首先由评标委员会对投标人的投标文件做</w:t>
      </w:r>
      <w:r>
        <w:rPr>
          <w:rFonts w:hint="eastAsia" w:ascii="宋体" w:hAnsi="宋体" w:eastAsia="宋体" w:cs="Times New Roman"/>
          <w:color w:val="auto"/>
          <w:szCs w:val="21"/>
          <w:lang w:val="zh-CN"/>
        </w:rPr>
        <w:t>初审</w:t>
      </w:r>
      <w:r>
        <w:rPr>
          <w:rFonts w:hint="eastAsia" w:ascii="宋体" w:hAnsi="宋体" w:eastAsia="宋体" w:cs="Times New Roman"/>
          <w:bCs/>
          <w:color w:val="auto"/>
          <w:szCs w:val="24"/>
          <w:lang w:val="zh-CN"/>
        </w:rPr>
        <w:t>，对未能通过初审的投标文件不再进入下一阶段评审。</w:t>
      </w:r>
    </w:p>
    <w:p>
      <w:pPr>
        <w:autoSpaceDE w:val="0"/>
        <w:autoSpaceDN w:val="0"/>
        <w:adjustRightInd w:val="0"/>
        <w:spacing w:line="360" w:lineRule="auto"/>
        <w:ind w:left="518" w:hanging="518"/>
        <w:outlineLvl w:val="9"/>
        <w:rPr>
          <w:rFonts w:ascii="宋体" w:hAnsi="宋体" w:eastAsia="宋体" w:cs="Times New Roman"/>
          <w:color w:val="auto"/>
          <w:kern w:val="0"/>
          <w:szCs w:val="21"/>
        </w:rPr>
      </w:pPr>
      <w:r>
        <w:rPr>
          <w:rFonts w:ascii="宋体" w:hAnsi="宋体" w:eastAsia="宋体" w:cs="Times New Roman"/>
          <w:color w:val="auto"/>
          <w:szCs w:val="24"/>
          <w:lang w:val="zh-CN"/>
        </w:rPr>
        <w:t>5.9</w:t>
      </w:r>
      <w:r>
        <w:rPr>
          <w:rFonts w:ascii="宋体" w:hAnsi="宋体" w:eastAsia="宋体" w:cs="Times New Roman"/>
          <w:color w:val="auto"/>
          <w:szCs w:val="24"/>
        </w:rPr>
        <w:t xml:space="preserve">  </w:t>
      </w:r>
      <w:r>
        <w:rPr>
          <w:rFonts w:hint="eastAsia" w:ascii="宋体" w:hAnsi="宋体" w:eastAsia="宋体" w:cs="Times New Roman"/>
          <w:color w:val="auto"/>
          <w:szCs w:val="21"/>
          <w:lang w:val="zh-CN"/>
        </w:rPr>
        <w:t>评标委员会将集中按递交投标文件的先后顺序逐一与合格的投标人</w:t>
      </w:r>
      <w:r>
        <w:rPr>
          <w:rFonts w:hint="eastAsia" w:ascii="宋体" w:hAnsi="宋体" w:eastAsia="宋体" w:cs="Times New Roman"/>
          <w:color w:val="auto"/>
          <w:kern w:val="0"/>
          <w:szCs w:val="21"/>
        </w:rPr>
        <w:t>进行相同轮次（一个或多个回合）谈判</w:t>
      </w:r>
      <w:r>
        <w:rPr>
          <w:rFonts w:hint="eastAsia" w:ascii="宋体" w:hAnsi="宋体" w:eastAsia="宋体" w:cs="Times New Roman"/>
          <w:color w:val="auto"/>
          <w:szCs w:val="21"/>
          <w:lang w:val="zh-CN"/>
        </w:rPr>
        <w:t>，并给予所有参加谈判的响应投标人平等的谈判机会。</w:t>
      </w:r>
      <w:r>
        <w:rPr>
          <w:rFonts w:hint="eastAsia" w:ascii="宋体" w:hAnsi="宋体" w:eastAsia="宋体" w:cs="Times New Roman"/>
          <w:color w:val="auto"/>
          <w:szCs w:val="24"/>
          <w:lang w:val="zh-CN"/>
        </w:rPr>
        <w:t>如需要，进行必要的澄清工作。</w:t>
      </w:r>
      <w:r>
        <w:rPr>
          <w:rFonts w:hint="eastAsia" w:ascii="宋体" w:hAnsi="宋体" w:eastAsia="宋体" w:cs="Times New Roman"/>
          <w:color w:val="auto"/>
          <w:kern w:val="0"/>
          <w:szCs w:val="21"/>
        </w:rPr>
        <w:t>在谈判中，谈判的任何一方不得透露与谈判有关的其他投标人的技术资料、报价和其他信息。</w:t>
      </w:r>
    </w:p>
    <w:p>
      <w:pPr>
        <w:autoSpaceDE w:val="0"/>
        <w:autoSpaceDN w:val="0"/>
        <w:adjustRightInd w:val="0"/>
        <w:spacing w:line="360" w:lineRule="auto"/>
        <w:ind w:left="518" w:hanging="518"/>
        <w:outlineLvl w:val="9"/>
        <w:rPr>
          <w:rFonts w:ascii="宋体" w:hAnsi="宋体" w:eastAsia="宋体" w:cs="Times New Roman"/>
          <w:color w:val="auto"/>
          <w:szCs w:val="24"/>
        </w:rPr>
      </w:pPr>
      <w:r>
        <w:rPr>
          <w:rFonts w:hint="eastAsia" w:ascii="宋体" w:hAnsi="宋体" w:eastAsia="宋体" w:cs="Times New Roman"/>
          <w:color w:val="auto"/>
          <w:szCs w:val="24"/>
          <w:lang w:val="zh-CN"/>
        </w:rPr>
        <w:t>5.</w:t>
      </w:r>
      <w:r>
        <w:rPr>
          <w:rFonts w:ascii="宋体" w:hAnsi="宋体" w:eastAsia="宋体" w:cs="Times New Roman"/>
          <w:color w:val="auto"/>
          <w:szCs w:val="24"/>
          <w:lang w:val="zh-CN"/>
        </w:rPr>
        <w:t>10</w:t>
      </w:r>
      <w:r>
        <w:rPr>
          <w:rFonts w:ascii="宋体" w:hAnsi="宋体" w:eastAsia="宋体" w:cs="Times New Roman"/>
          <w:color w:val="auto"/>
          <w:szCs w:val="24"/>
        </w:rPr>
        <w:t xml:space="preserve"> </w:t>
      </w:r>
      <w:r>
        <w:rPr>
          <w:rFonts w:hint="eastAsia" w:ascii="宋体" w:hAnsi="宋体" w:eastAsia="宋体" w:cs="Times New Roman"/>
          <w:color w:val="auto"/>
          <w:szCs w:val="24"/>
        </w:rPr>
        <w:t>在谈判过程中，评标委员会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评标委员会应当及时以书面形式同时通知所有参加谈判的投标人。</w:t>
      </w:r>
    </w:p>
    <w:p>
      <w:pPr>
        <w:autoSpaceDE w:val="0"/>
        <w:autoSpaceDN w:val="0"/>
        <w:adjustRightInd w:val="0"/>
        <w:spacing w:line="360" w:lineRule="auto"/>
        <w:ind w:left="518" w:hanging="518"/>
        <w:outlineLvl w:val="9"/>
        <w:rPr>
          <w:rFonts w:ascii="宋体" w:hAnsi="宋体" w:eastAsia="宋体" w:cs="Times New Roman"/>
          <w:color w:val="auto"/>
          <w:szCs w:val="24"/>
        </w:rPr>
      </w:pPr>
      <w:r>
        <w:rPr>
          <w:rFonts w:hint="eastAsia" w:ascii="宋体" w:hAnsi="宋体" w:eastAsia="宋体" w:cs="Times New Roman"/>
          <w:color w:val="auto"/>
          <w:szCs w:val="24"/>
        </w:rPr>
        <w:t>5.</w:t>
      </w:r>
      <w:r>
        <w:rPr>
          <w:rFonts w:ascii="宋体" w:hAnsi="宋体" w:eastAsia="宋体" w:cs="Times New Roman"/>
          <w:color w:val="auto"/>
          <w:szCs w:val="24"/>
        </w:rPr>
        <w:t xml:space="preserve">11 </w:t>
      </w:r>
      <w:r>
        <w:rPr>
          <w:rFonts w:hint="eastAsia" w:ascii="宋体" w:hAnsi="宋体" w:eastAsia="宋体" w:cs="Times New Roman"/>
          <w:color w:val="auto"/>
          <w:szCs w:val="24"/>
        </w:rPr>
        <w:t>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pPr>
        <w:autoSpaceDE w:val="0"/>
        <w:autoSpaceDN w:val="0"/>
        <w:adjustRightInd w:val="0"/>
        <w:spacing w:line="360" w:lineRule="auto"/>
        <w:ind w:left="518" w:hanging="518"/>
        <w:outlineLvl w:val="9"/>
        <w:rPr>
          <w:rFonts w:ascii="宋体" w:hAnsi="宋体" w:eastAsia="宋体" w:cs="Times New Roman"/>
          <w:b/>
          <w:color w:val="auto"/>
          <w:szCs w:val="21"/>
          <w:lang w:val="zh-CN"/>
        </w:rPr>
      </w:pPr>
      <w:r>
        <w:rPr>
          <w:rFonts w:hint="eastAsia" w:ascii="宋体" w:hAnsi="宋体" w:eastAsia="宋体" w:cs="Times New Roman"/>
          <w:color w:val="auto"/>
          <w:szCs w:val="24"/>
        </w:rPr>
        <w:t>5.</w:t>
      </w:r>
      <w:r>
        <w:rPr>
          <w:rFonts w:ascii="宋体" w:hAnsi="宋体" w:eastAsia="宋体" w:cs="Times New Roman"/>
          <w:color w:val="auto"/>
          <w:szCs w:val="24"/>
        </w:rPr>
        <w:t xml:space="preserve">12 </w:t>
      </w:r>
      <w:r>
        <w:rPr>
          <w:rFonts w:hint="eastAsia" w:ascii="宋体" w:hAnsi="宋体" w:eastAsia="宋体" w:cs="Times New Roman"/>
          <w:color w:val="auto"/>
          <w:szCs w:val="24"/>
        </w:rPr>
        <w:t>招标文件能够详细列明采购标的的技术、服务要求的，</w:t>
      </w:r>
      <w:r>
        <w:rPr>
          <w:rFonts w:hint="eastAsia" w:ascii="宋体" w:hAnsi="宋体" w:eastAsia="宋体" w:cs="Times New Roman"/>
          <w:color w:val="auto"/>
          <w:szCs w:val="21"/>
          <w:lang w:val="zh-CN"/>
        </w:rPr>
        <w:t>谈判结束后，所有作出实质性响应的有效投标人应在规定的时间内集中密封提交二次报价（即最后报价，最后报价时间视谈判进程由评标委员会决定）及其在谈判过程中涉及的有关承诺，最后报价是投标人投标文件的有效组成部分。</w:t>
      </w:r>
      <w:r>
        <w:rPr>
          <w:rFonts w:hint="eastAsia" w:ascii="宋体" w:hAnsi="宋体" w:eastAsia="宋体" w:cs="Times New Roman"/>
          <w:b/>
          <w:color w:val="auto"/>
          <w:szCs w:val="21"/>
          <w:u w:val="single"/>
          <w:lang w:val="zh-CN"/>
        </w:rPr>
        <w:t>如在谈判中评标委员会没有对本招标文件作实质性变动增加新的需求，后一轮报价不得高于前一轮报价</w:t>
      </w:r>
      <w:r>
        <w:rPr>
          <w:rFonts w:hint="eastAsia" w:ascii="宋体" w:hAnsi="宋体" w:eastAsia="宋体" w:cs="Times New Roman"/>
          <w:b/>
          <w:color w:val="auto"/>
          <w:szCs w:val="21"/>
          <w:lang w:val="zh-CN"/>
        </w:rPr>
        <w:t>。</w:t>
      </w:r>
    </w:p>
    <w:p>
      <w:pPr>
        <w:tabs>
          <w:tab w:val="left" w:pos="567"/>
        </w:tabs>
        <w:autoSpaceDE w:val="0"/>
        <w:autoSpaceDN w:val="0"/>
        <w:adjustRightInd w:val="0"/>
        <w:spacing w:line="360" w:lineRule="auto"/>
        <w:ind w:left="525" w:hanging="525" w:hangingChars="250"/>
        <w:outlineLvl w:val="9"/>
        <w:rPr>
          <w:rFonts w:ascii="宋体" w:hAnsi="宋体" w:eastAsia="宋体" w:cs="Times New Roman"/>
          <w:color w:val="auto"/>
          <w:szCs w:val="21"/>
          <w:lang w:val="zh-CN"/>
        </w:rPr>
      </w:pPr>
      <w:r>
        <w:rPr>
          <w:rFonts w:ascii="宋体" w:hAnsi="宋体" w:eastAsia="宋体" w:cs="Times New Roman"/>
          <w:color w:val="auto"/>
          <w:szCs w:val="21"/>
          <w:lang w:val="zh-CN"/>
        </w:rPr>
        <w:t>5.13</w:t>
      </w:r>
      <w:r>
        <w:rPr>
          <w:rFonts w:ascii="宋体" w:hAnsi="宋体" w:eastAsia="宋体" w:cs="Times New Roman"/>
          <w:color w:val="auto"/>
          <w:szCs w:val="21"/>
        </w:rPr>
        <w:t xml:space="preserve"> </w:t>
      </w:r>
      <w:r>
        <w:rPr>
          <w:rFonts w:hint="eastAsia" w:ascii="宋体" w:hAnsi="宋体" w:eastAsia="宋体" w:cs="Times New Roman"/>
          <w:b/>
          <w:color w:val="auto"/>
          <w:szCs w:val="24"/>
          <w:u w:val="single"/>
        </w:rPr>
        <w:t>投标</w:t>
      </w:r>
      <w:r>
        <w:rPr>
          <w:rFonts w:ascii="宋体" w:hAnsi="宋体" w:eastAsia="宋体" w:cs="Times New Roman"/>
          <w:b/>
          <w:color w:val="auto"/>
          <w:szCs w:val="21"/>
          <w:u w:val="single"/>
          <w:lang w:val="zh-CN"/>
        </w:rPr>
        <w:t>人不得违反标准规范规定，通过降低</w:t>
      </w:r>
      <w:r>
        <w:rPr>
          <w:rFonts w:hint="eastAsia" w:ascii="宋体" w:hAnsi="宋体" w:eastAsia="宋体" w:cs="Times New Roman"/>
          <w:b/>
          <w:color w:val="auto"/>
          <w:szCs w:val="21"/>
          <w:u w:val="single"/>
          <w:lang w:val="zh-CN"/>
        </w:rPr>
        <w:t>货物或</w:t>
      </w:r>
      <w:r>
        <w:rPr>
          <w:rFonts w:ascii="宋体" w:hAnsi="宋体" w:eastAsia="宋体" w:cs="Times New Roman"/>
          <w:b/>
          <w:color w:val="auto"/>
          <w:szCs w:val="21"/>
          <w:u w:val="single"/>
          <w:lang w:val="zh-CN"/>
        </w:rPr>
        <w:t>服务质量、减少服务内容等手段进行恶性竞争，扰乱正常市场秩序。</w:t>
      </w:r>
      <w:r>
        <w:rPr>
          <w:rFonts w:hint="eastAsia" w:ascii="宋体" w:hAnsi="宋体" w:eastAsia="宋体" w:cs="Times New Roman"/>
          <w:b/>
          <w:color w:val="auto"/>
          <w:szCs w:val="24"/>
          <w:u w:val="single"/>
        </w:rPr>
        <w:t>投标</w:t>
      </w:r>
      <w:r>
        <w:rPr>
          <w:rFonts w:hint="eastAsia" w:ascii="宋体" w:hAnsi="宋体" w:eastAsia="宋体" w:cs="Times New Roman"/>
          <w:b/>
          <w:color w:val="auto"/>
          <w:szCs w:val="21"/>
          <w:u w:val="single"/>
          <w:lang w:val="zh-CN"/>
        </w:rPr>
        <w:t>人不得以低于成本的报价竞标。如果评标委员会发现</w:t>
      </w:r>
      <w:r>
        <w:rPr>
          <w:rFonts w:hint="eastAsia" w:ascii="宋体" w:hAnsi="宋体" w:eastAsia="宋体" w:cs="Times New Roman"/>
          <w:b/>
          <w:color w:val="auto"/>
          <w:szCs w:val="24"/>
          <w:u w:val="single"/>
        </w:rPr>
        <w:t>投标</w:t>
      </w:r>
      <w:r>
        <w:rPr>
          <w:rFonts w:hint="eastAsia" w:ascii="宋体" w:hAnsi="宋体" w:eastAsia="宋体" w:cs="Times New Roman"/>
          <w:b/>
          <w:color w:val="auto"/>
          <w:szCs w:val="21"/>
          <w:u w:val="single"/>
          <w:lang w:val="zh-CN"/>
        </w:rPr>
        <w:t>人的最后报价明显低于其他投标人的最后报价，使得其报价可能低于其自身成本的，将要求该投标人作出书面说明并提供相关证明材料。投标人不能合理说明或不能提供相关证明材料的，评标委员会将认定其投标报价低于成本，同时否决其</w:t>
      </w:r>
      <w:r>
        <w:rPr>
          <w:rFonts w:hint="eastAsia" w:ascii="宋体" w:hAnsi="宋体" w:eastAsia="宋体" w:cs="Times New Roman"/>
          <w:b/>
          <w:color w:val="auto"/>
          <w:szCs w:val="21"/>
          <w:u w:val="single"/>
        </w:rPr>
        <w:t>投标</w:t>
      </w:r>
      <w:r>
        <w:rPr>
          <w:rFonts w:hint="eastAsia" w:ascii="宋体" w:hAnsi="宋体" w:eastAsia="宋体" w:cs="Times New Roman"/>
          <w:b/>
          <w:color w:val="auto"/>
          <w:szCs w:val="21"/>
          <w:lang w:val="zh-CN"/>
        </w:rPr>
        <w:t>。</w:t>
      </w:r>
    </w:p>
    <w:p>
      <w:pPr>
        <w:tabs>
          <w:tab w:val="left" w:pos="567"/>
        </w:tabs>
        <w:autoSpaceDE w:val="0"/>
        <w:autoSpaceDN w:val="0"/>
        <w:adjustRightInd w:val="0"/>
        <w:spacing w:line="360" w:lineRule="auto"/>
        <w:ind w:left="525" w:hanging="525" w:hangingChars="250"/>
        <w:outlineLvl w:val="9"/>
        <w:rPr>
          <w:rFonts w:ascii="宋体" w:hAnsi="宋体" w:eastAsia="宋体" w:cs="Times New Roman"/>
          <w:color w:val="auto"/>
          <w:kern w:val="0"/>
          <w:szCs w:val="21"/>
        </w:rPr>
      </w:pPr>
      <w:r>
        <w:rPr>
          <w:rFonts w:ascii="宋体" w:hAnsi="宋体" w:eastAsia="宋体" w:cs="Times New Roman"/>
          <w:color w:val="auto"/>
          <w:szCs w:val="21"/>
          <w:lang w:val="zh-CN"/>
        </w:rPr>
        <w:t xml:space="preserve">5.14 </w:t>
      </w:r>
      <w:r>
        <w:rPr>
          <w:rFonts w:hint="eastAsia" w:ascii="宋体" w:hAnsi="宋体" w:eastAsia="宋体" w:cs="Times New Roman"/>
          <w:color w:val="auto"/>
          <w:kern w:val="0"/>
          <w:szCs w:val="21"/>
        </w:rPr>
        <w:t>参与竞争性谈判的投标人，在提交最</w:t>
      </w:r>
      <w:r>
        <w:rPr>
          <w:rFonts w:hint="eastAsia" w:ascii="宋体" w:hAnsi="宋体" w:eastAsia="宋体" w:cs="Times New Roman"/>
          <w:color w:val="auto"/>
          <w:szCs w:val="21"/>
          <w:lang w:val="zh-CN"/>
        </w:rPr>
        <w:t>后</w:t>
      </w:r>
      <w:r>
        <w:rPr>
          <w:rFonts w:hint="eastAsia" w:ascii="宋体" w:hAnsi="宋体" w:eastAsia="宋体" w:cs="Times New Roman"/>
          <w:color w:val="auto"/>
          <w:kern w:val="0"/>
          <w:szCs w:val="21"/>
        </w:rPr>
        <w:t>报价之前，可以根据谈判情况退出谈判，招标人将退还其投标保证金。</w:t>
      </w:r>
    </w:p>
    <w:p>
      <w:pPr>
        <w:autoSpaceDE w:val="0"/>
        <w:autoSpaceDN w:val="0"/>
        <w:adjustRightInd w:val="0"/>
        <w:spacing w:line="360" w:lineRule="auto"/>
        <w:ind w:left="518" w:hanging="518"/>
        <w:outlineLvl w:val="9"/>
        <w:rPr>
          <w:rFonts w:ascii="宋体" w:hAnsi="宋体" w:eastAsia="宋体" w:cs="Times New Roman"/>
          <w:color w:val="auto"/>
          <w:kern w:val="0"/>
          <w:szCs w:val="21"/>
          <w:u w:val="single"/>
        </w:rPr>
      </w:pPr>
      <w:r>
        <w:rPr>
          <w:rFonts w:hint="eastAsia" w:ascii="宋体" w:hAnsi="宋体" w:eastAsia="宋体" w:cs="Arial"/>
          <w:color w:val="auto"/>
          <w:szCs w:val="24"/>
          <w:lang w:val="zh-CN"/>
        </w:rPr>
        <w:t>5.</w:t>
      </w:r>
      <w:r>
        <w:rPr>
          <w:rFonts w:ascii="宋体" w:hAnsi="宋体" w:eastAsia="宋体" w:cs="Arial"/>
          <w:color w:val="auto"/>
          <w:szCs w:val="24"/>
          <w:lang w:val="zh-CN"/>
        </w:rPr>
        <w:t>15</w:t>
      </w:r>
      <w:r>
        <w:rPr>
          <w:rFonts w:ascii="宋体" w:hAnsi="宋体" w:eastAsia="宋体" w:cs="Arial"/>
          <w:color w:val="auto"/>
          <w:szCs w:val="24"/>
        </w:rPr>
        <w:t xml:space="preserve"> </w:t>
      </w:r>
      <w:r>
        <w:rPr>
          <w:rFonts w:hint="eastAsia" w:ascii="宋体" w:hAnsi="宋体" w:eastAsia="宋体" w:cs="Arial"/>
          <w:color w:val="auto"/>
          <w:szCs w:val="24"/>
          <w:lang w:val="zh-CN"/>
        </w:rPr>
        <w:t>评标</w:t>
      </w:r>
      <w:r>
        <w:rPr>
          <w:rFonts w:hint="eastAsia" w:ascii="宋体" w:hAnsi="宋体" w:eastAsia="宋体" w:cs="Times New Roman"/>
          <w:color w:val="auto"/>
          <w:szCs w:val="24"/>
        </w:rPr>
        <w:t>委员会</w:t>
      </w:r>
      <w:r>
        <w:rPr>
          <w:rFonts w:hint="eastAsia" w:ascii="宋体" w:hAnsi="宋体" w:eastAsia="宋体" w:cs="Times New Roman"/>
          <w:color w:val="auto"/>
          <w:szCs w:val="21"/>
          <w:lang w:val="zh-CN"/>
        </w:rPr>
        <w:t>将</w:t>
      </w:r>
      <w:r>
        <w:rPr>
          <w:rFonts w:hint="eastAsia" w:ascii="宋体" w:hAnsi="宋体" w:eastAsia="宋体" w:cs="Times New Roman"/>
          <w:color w:val="auto"/>
          <w:kern w:val="0"/>
          <w:szCs w:val="21"/>
        </w:rPr>
        <w:t>从质量和服务均能满足招标文件实质性响应要求的供应商中，按照最后报价由低到高的顺序向招标人推荐最后报价最低的投标人为第一成交候选人，推荐最后报价次低的投标人为第二成交候选人。如出现两个相同报价,则由评标委员会</w:t>
      </w:r>
      <w:r>
        <w:rPr>
          <w:rFonts w:hint="eastAsia" w:ascii="宋体" w:hAnsi="宋体" w:eastAsia="宋体" w:cs="Times New Roman"/>
          <w:color w:val="auto"/>
          <w:kern w:val="0"/>
          <w:szCs w:val="21"/>
          <w:lang w:val="zh-CN"/>
        </w:rPr>
        <w:t>主持，采取由最低报价的投标人抽签的方式确定</w:t>
      </w:r>
      <w:r>
        <w:rPr>
          <w:rFonts w:hint="eastAsia" w:ascii="宋体" w:hAnsi="宋体" w:eastAsia="宋体" w:cs="Times New Roman"/>
          <w:color w:val="auto"/>
          <w:kern w:val="0"/>
          <w:szCs w:val="21"/>
        </w:rPr>
        <w:t>第一成交候选人和第二成交候选人(抽签按投标人递交投标文件的先后顺序进行)。</w:t>
      </w:r>
    </w:p>
    <w:p>
      <w:pPr>
        <w:autoSpaceDE w:val="0"/>
        <w:autoSpaceDN w:val="0"/>
        <w:adjustRightInd w:val="0"/>
        <w:spacing w:line="360" w:lineRule="auto"/>
        <w:ind w:left="518" w:hanging="518"/>
        <w:outlineLvl w:val="9"/>
        <w:rPr>
          <w:rFonts w:ascii="宋体" w:hAnsi="宋体" w:eastAsia="宋体" w:cs="Times New Roman"/>
          <w:color w:val="auto"/>
          <w:szCs w:val="24"/>
          <w:lang w:val="zh-CN"/>
        </w:rPr>
      </w:pPr>
      <w:r>
        <w:rPr>
          <w:rFonts w:hint="eastAsia" w:ascii="宋体" w:hAnsi="宋体" w:eastAsia="宋体" w:cs="Times New Roman"/>
          <w:color w:val="auto"/>
          <w:kern w:val="0"/>
          <w:szCs w:val="24"/>
          <w:lang w:val="zh-CN"/>
        </w:rPr>
        <w:t>5.</w:t>
      </w:r>
      <w:r>
        <w:rPr>
          <w:rFonts w:hint="eastAsia" w:ascii="宋体" w:hAnsi="宋体" w:eastAsia="宋体" w:cs="Times New Roman"/>
          <w:color w:val="auto"/>
          <w:szCs w:val="24"/>
          <w:lang w:val="zh-CN"/>
        </w:rPr>
        <w:t>1</w:t>
      </w:r>
      <w:r>
        <w:rPr>
          <w:rFonts w:ascii="宋体" w:hAnsi="宋体" w:eastAsia="宋体" w:cs="Times New Roman"/>
          <w:color w:val="auto"/>
          <w:szCs w:val="24"/>
          <w:lang w:val="zh-CN"/>
        </w:rPr>
        <w:t>6</w:t>
      </w:r>
      <w:r>
        <w:rPr>
          <w:rFonts w:ascii="宋体" w:hAnsi="宋体" w:eastAsia="宋体" w:cs="Times New Roman"/>
          <w:color w:val="auto"/>
          <w:szCs w:val="24"/>
        </w:rPr>
        <w:t xml:space="preserve"> </w:t>
      </w:r>
      <w:r>
        <w:rPr>
          <w:rFonts w:hint="eastAsia" w:ascii="宋体" w:hAnsi="宋体" w:eastAsia="宋体" w:cs="Times New Roman"/>
          <w:color w:val="auto"/>
          <w:kern w:val="0"/>
          <w:szCs w:val="24"/>
          <w:lang w:val="zh-CN"/>
        </w:rPr>
        <w:t>评标委员会</w:t>
      </w:r>
      <w:r>
        <w:rPr>
          <w:rFonts w:hint="eastAsia" w:ascii="宋体" w:hAnsi="宋体" w:eastAsia="宋体" w:cs="Times New Roman"/>
          <w:color w:val="auto"/>
          <w:szCs w:val="24"/>
          <w:lang w:val="zh-CN"/>
        </w:rPr>
        <w:t>根据评审结果编写评审报告。</w:t>
      </w:r>
    </w:p>
    <w:p>
      <w:pPr>
        <w:autoSpaceDE w:val="0"/>
        <w:autoSpaceDN w:val="0"/>
        <w:adjustRightInd w:val="0"/>
        <w:spacing w:line="360" w:lineRule="auto"/>
        <w:ind w:left="518" w:hanging="518"/>
        <w:outlineLvl w:val="9"/>
        <w:rPr>
          <w:rFonts w:ascii="宋体" w:hAnsi="宋体" w:eastAsia="宋体" w:cs="Times New Roman"/>
          <w:color w:val="auto"/>
          <w:szCs w:val="21"/>
        </w:rPr>
      </w:pPr>
    </w:p>
    <w:p>
      <w:pPr>
        <w:autoSpaceDE w:val="0"/>
        <w:autoSpaceDN w:val="0"/>
        <w:adjustRightInd w:val="0"/>
        <w:spacing w:line="360" w:lineRule="auto"/>
        <w:ind w:left="567" w:hanging="567"/>
        <w:outlineLvl w:val="9"/>
        <w:rPr>
          <w:rFonts w:ascii="宋体" w:hAnsi="宋体" w:eastAsia="宋体" w:cs="Times New Roman"/>
          <w:b/>
          <w:color w:val="auto"/>
          <w:szCs w:val="24"/>
          <w:lang w:val="zh-CN"/>
        </w:rPr>
      </w:pPr>
      <w:r>
        <w:rPr>
          <w:rFonts w:ascii="宋体" w:hAnsi="宋体" w:eastAsia="宋体" w:cs="Times New Roman"/>
          <w:b/>
          <w:color w:val="auto"/>
          <w:szCs w:val="24"/>
          <w:lang w:val="zh-CN"/>
        </w:rPr>
        <w:t>C</w:t>
      </w:r>
      <w:r>
        <w:rPr>
          <w:rFonts w:hint="eastAsia" w:ascii="宋体" w:hAnsi="宋体" w:eastAsia="宋体" w:cs="Times New Roman"/>
          <w:b/>
          <w:color w:val="auto"/>
          <w:szCs w:val="24"/>
          <w:lang w:val="zh-CN"/>
        </w:rPr>
        <w:t>．单一来源：</w:t>
      </w:r>
    </w:p>
    <w:p>
      <w:pPr>
        <w:autoSpaceDE w:val="0"/>
        <w:autoSpaceDN w:val="0"/>
        <w:adjustRightInd w:val="0"/>
        <w:spacing w:line="360" w:lineRule="auto"/>
        <w:ind w:left="518" w:hanging="518"/>
        <w:outlineLvl w:val="9"/>
        <w:rPr>
          <w:rFonts w:ascii="宋体" w:hAnsi="宋体" w:eastAsia="宋体" w:cs="Times New Roman"/>
          <w:color w:val="auto"/>
          <w:szCs w:val="21"/>
        </w:rPr>
      </w:pPr>
      <w:r>
        <w:rPr>
          <w:rFonts w:hint="eastAsia" w:ascii="宋体" w:hAnsi="宋体" w:eastAsia="宋体" w:cs="Times New Roman"/>
          <w:color w:val="auto"/>
          <w:szCs w:val="21"/>
        </w:rPr>
        <w:t>5.1</w:t>
      </w:r>
      <w:r>
        <w:rPr>
          <w:rFonts w:ascii="宋体" w:hAnsi="宋体" w:eastAsia="宋体" w:cs="Times New Roman"/>
          <w:color w:val="auto"/>
          <w:szCs w:val="21"/>
        </w:rPr>
        <w:t>7</w:t>
      </w:r>
      <w:r>
        <w:rPr>
          <w:rFonts w:hint="eastAsia" w:ascii="宋体" w:hAnsi="宋体" w:eastAsia="宋体" w:cs="Times New Roman"/>
          <w:color w:val="auto"/>
          <w:szCs w:val="21"/>
        </w:rPr>
        <w:t xml:space="preserve"> 当</w:t>
      </w:r>
      <w:r>
        <w:rPr>
          <w:rFonts w:hint="eastAsia" w:ascii="宋体" w:hAnsi="宋体" w:eastAsia="宋体" w:cs="Times New Roman"/>
          <w:color w:val="auto"/>
          <w:szCs w:val="21"/>
          <w:lang w:val="zh-CN"/>
        </w:rPr>
        <w:t>有效的投标人只有1个时，终止公开招标采购，经</w:t>
      </w:r>
      <w:r>
        <w:rPr>
          <w:rFonts w:hint="eastAsia" w:ascii="宋体" w:hAnsi="宋体" w:eastAsia="宋体" w:cs="Times New Roman"/>
          <w:color w:val="auto"/>
          <w:szCs w:val="21"/>
        </w:rPr>
        <w:t>评标委员会</w:t>
      </w:r>
      <w:r>
        <w:rPr>
          <w:rFonts w:hint="eastAsia" w:ascii="宋体" w:hAnsi="宋体" w:eastAsia="宋体" w:cs="Times New Roman"/>
          <w:color w:val="auto"/>
          <w:szCs w:val="21"/>
          <w:lang w:val="zh-CN"/>
        </w:rPr>
        <w:t>论证，采购文件没有不合理条款、采购程序符合规定，现场经招标人代表和作出实质性响应的投标人代表同意后，更改为单一来源的方式继续采购。</w:t>
      </w:r>
      <w:r>
        <w:rPr>
          <w:rFonts w:hint="eastAsia" w:ascii="宋体" w:hAnsi="宋体" w:eastAsia="宋体" w:cs="Times New Roman"/>
          <w:bCs/>
          <w:color w:val="auto"/>
          <w:szCs w:val="24"/>
          <w:lang w:val="zh-CN"/>
        </w:rPr>
        <w:t>由评标委员会按照本评标工作大纲总则内的5.1</w:t>
      </w:r>
      <w:r>
        <w:rPr>
          <w:rFonts w:ascii="宋体" w:hAnsi="宋体" w:eastAsia="宋体" w:cs="Times New Roman"/>
          <w:bCs/>
          <w:color w:val="auto"/>
          <w:szCs w:val="24"/>
          <w:lang w:val="zh-CN"/>
        </w:rPr>
        <w:t>8</w:t>
      </w:r>
      <w:r>
        <w:rPr>
          <w:rFonts w:hint="eastAsia" w:ascii="宋体" w:hAnsi="宋体" w:eastAsia="宋体" w:cs="Times New Roman"/>
          <w:bCs/>
          <w:color w:val="auto"/>
          <w:szCs w:val="24"/>
          <w:lang w:val="zh-CN"/>
        </w:rPr>
        <w:t>款至5.</w:t>
      </w:r>
      <w:r>
        <w:rPr>
          <w:rFonts w:ascii="宋体" w:hAnsi="宋体" w:eastAsia="宋体" w:cs="Times New Roman"/>
          <w:bCs/>
          <w:color w:val="auto"/>
          <w:szCs w:val="24"/>
          <w:lang w:val="zh-CN"/>
        </w:rPr>
        <w:t>22</w:t>
      </w:r>
      <w:r>
        <w:rPr>
          <w:rFonts w:hint="eastAsia" w:ascii="宋体" w:hAnsi="宋体" w:eastAsia="宋体" w:cs="Times New Roman"/>
          <w:bCs/>
          <w:color w:val="auto"/>
          <w:szCs w:val="24"/>
          <w:lang w:val="zh-CN"/>
        </w:rPr>
        <w:t>款的约定直接与投标人在保证采购质量的前提下商定合理的成交价格。</w:t>
      </w:r>
    </w:p>
    <w:p>
      <w:pPr>
        <w:autoSpaceDE w:val="0"/>
        <w:autoSpaceDN w:val="0"/>
        <w:adjustRightInd w:val="0"/>
        <w:spacing w:line="360" w:lineRule="auto"/>
        <w:ind w:left="518" w:hanging="518"/>
        <w:outlineLvl w:val="9"/>
        <w:rPr>
          <w:rFonts w:ascii="宋体" w:hAnsi="宋体" w:eastAsia="宋体" w:cs="Times New Roman"/>
          <w:bCs/>
          <w:color w:val="auto"/>
          <w:szCs w:val="24"/>
          <w:lang w:val="zh-CN"/>
        </w:rPr>
      </w:pPr>
      <w:r>
        <w:rPr>
          <w:rFonts w:hint="eastAsia" w:ascii="宋体" w:hAnsi="宋体" w:eastAsia="宋体" w:cs="Times New Roman"/>
          <w:color w:val="auto"/>
          <w:szCs w:val="21"/>
          <w:lang w:val="zh-CN"/>
        </w:rPr>
        <w:t>5.1</w:t>
      </w:r>
      <w:r>
        <w:rPr>
          <w:rFonts w:ascii="宋体" w:hAnsi="宋体" w:eastAsia="宋体" w:cs="Times New Roman"/>
          <w:color w:val="auto"/>
          <w:szCs w:val="21"/>
          <w:lang w:val="zh-CN"/>
        </w:rPr>
        <w:t>8</w:t>
      </w:r>
      <w:r>
        <w:rPr>
          <w:rFonts w:hint="eastAsia" w:ascii="宋体" w:hAnsi="宋体" w:eastAsia="宋体" w:cs="Times New Roman"/>
          <w:bCs/>
          <w:color w:val="auto"/>
          <w:szCs w:val="24"/>
          <w:lang w:val="zh-CN"/>
        </w:rPr>
        <w:t xml:space="preserve"> 评标委员会直接与</w:t>
      </w:r>
      <w:r>
        <w:rPr>
          <w:rFonts w:hint="eastAsia" w:ascii="宋体" w:hAnsi="宋体" w:eastAsia="宋体" w:cs="Times New Roman"/>
          <w:color w:val="auto"/>
          <w:szCs w:val="24"/>
          <w:lang w:val="zh-CN"/>
        </w:rPr>
        <w:t>投标人进行谈判协商，然后对最终报价及投标文件进行审查，得出评审结果，编写评审报告（含协商情况记录）及推荐成交候选人。</w:t>
      </w:r>
    </w:p>
    <w:p>
      <w:pPr>
        <w:autoSpaceDE w:val="0"/>
        <w:autoSpaceDN w:val="0"/>
        <w:adjustRightInd w:val="0"/>
        <w:spacing w:line="360" w:lineRule="auto"/>
        <w:ind w:left="518" w:hanging="518"/>
        <w:outlineLvl w:val="9"/>
        <w:rPr>
          <w:rFonts w:ascii="宋体" w:hAnsi="宋体" w:eastAsia="宋体" w:cs="Times New Roman"/>
          <w:color w:val="auto"/>
          <w:szCs w:val="24"/>
        </w:rPr>
      </w:pPr>
      <w:r>
        <w:rPr>
          <w:rFonts w:hint="eastAsia" w:ascii="宋体" w:hAnsi="宋体" w:eastAsia="宋体" w:cs="Times New Roman"/>
          <w:bCs/>
          <w:color w:val="auto"/>
          <w:szCs w:val="24"/>
          <w:lang w:val="zh-CN"/>
        </w:rPr>
        <w:t>5.</w:t>
      </w:r>
      <w:r>
        <w:rPr>
          <w:rFonts w:ascii="宋体" w:hAnsi="宋体" w:eastAsia="宋体" w:cs="Times New Roman"/>
          <w:bCs/>
          <w:color w:val="auto"/>
          <w:szCs w:val="24"/>
          <w:lang w:val="zh-CN"/>
        </w:rPr>
        <w:t xml:space="preserve">19 </w:t>
      </w:r>
      <w:r>
        <w:rPr>
          <w:rFonts w:hint="eastAsia" w:ascii="宋体" w:hAnsi="宋体" w:eastAsia="宋体" w:cs="Times New Roman"/>
          <w:color w:val="auto"/>
          <w:szCs w:val="24"/>
        </w:rPr>
        <w:t>在协商的过程中，评标委员会可以根据招标文件和协商情况实质性变动采购需求中的技术、服务要求以及合同草案条款。实质性变动的内容，须经招标人代表确认，对招标文件作出的实质性变动是招标文件的有效组成部分。</w:t>
      </w:r>
    </w:p>
    <w:p>
      <w:pPr>
        <w:autoSpaceDE w:val="0"/>
        <w:autoSpaceDN w:val="0"/>
        <w:adjustRightInd w:val="0"/>
        <w:spacing w:line="360" w:lineRule="auto"/>
        <w:ind w:left="518" w:hanging="518"/>
        <w:outlineLvl w:val="9"/>
        <w:rPr>
          <w:rFonts w:ascii="宋体" w:hAnsi="宋体" w:eastAsia="宋体" w:cs="Times New Roman"/>
          <w:color w:val="auto"/>
          <w:szCs w:val="24"/>
          <w:lang w:val="zh-CN"/>
        </w:rPr>
      </w:pPr>
      <w:r>
        <w:rPr>
          <w:rFonts w:hint="eastAsia" w:ascii="宋体" w:hAnsi="宋体" w:eastAsia="宋体" w:cs="Times New Roman"/>
          <w:color w:val="auto"/>
          <w:szCs w:val="24"/>
        </w:rPr>
        <w:t>5.</w:t>
      </w:r>
      <w:r>
        <w:rPr>
          <w:rFonts w:ascii="宋体" w:hAnsi="宋体" w:eastAsia="宋体" w:cs="Times New Roman"/>
          <w:color w:val="auto"/>
          <w:szCs w:val="24"/>
        </w:rPr>
        <w:t xml:space="preserve">20 </w:t>
      </w:r>
      <w:r>
        <w:rPr>
          <w:rFonts w:hint="eastAsia" w:ascii="宋体" w:hAnsi="宋体" w:eastAsia="宋体" w:cs="Times New Roman"/>
          <w:color w:val="auto"/>
          <w:szCs w:val="24"/>
        </w:rPr>
        <w:t>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pPr>
        <w:autoSpaceDE w:val="0"/>
        <w:autoSpaceDN w:val="0"/>
        <w:adjustRightInd w:val="0"/>
        <w:spacing w:line="360" w:lineRule="auto"/>
        <w:ind w:left="518" w:hanging="518"/>
        <w:outlineLvl w:val="9"/>
        <w:rPr>
          <w:rFonts w:ascii="宋体" w:hAnsi="宋体" w:eastAsia="宋体" w:cs="Times New Roman"/>
          <w:b/>
          <w:color w:val="auto"/>
          <w:szCs w:val="21"/>
          <w:lang w:val="zh-CN"/>
        </w:rPr>
      </w:pPr>
      <w:r>
        <w:rPr>
          <w:rFonts w:hint="eastAsia" w:ascii="宋体" w:hAnsi="宋体" w:eastAsia="宋体" w:cs="Times New Roman"/>
          <w:color w:val="auto"/>
          <w:szCs w:val="24"/>
        </w:rPr>
        <w:t>5.</w:t>
      </w:r>
      <w:r>
        <w:rPr>
          <w:rFonts w:ascii="宋体" w:hAnsi="宋体" w:eastAsia="宋体" w:cs="Times New Roman"/>
          <w:color w:val="auto"/>
          <w:szCs w:val="24"/>
        </w:rPr>
        <w:t xml:space="preserve">21 </w:t>
      </w:r>
      <w:r>
        <w:rPr>
          <w:rFonts w:hint="eastAsia" w:ascii="宋体" w:hAnsi="宋体" w:eastAsia="宋体" w:cs="Times New Roman"/>
          <w:color w:val="auto"/>
          <w:szCs w:val="24"/>
        </w:rPr>
        <w:t>招标文件能够详细列明采购标的的技术、服务要求的，协商</w:t>
      </w:r>
      <w:r>
        <w:rPr>
          <w:rFonts w:hint="eastAsia" w:ascii="宋体" w:hAnsi="宋体" w:eastAsia="宋体" w:cs="Times New Roman"/>
          <w:color w:val="auto"/>
          <w:szCs w:val="21"/>
          <w:lang w:val="zh-CN"/>
        </w:rPr>
        <w:t>结束后，投标人应在规定的时间内提交二次报价（即最终报价，最终报价时间视协商进程由评标委员会决定），最终报价是投标人投标文件的有效组成部分。</w:t>
      </w:r>
      <w:r>
        <w:rPr>
          <w:rFonts w:hint="eastAsia" w:ascii="宋体" w:hAnsi="宋体" w:eastAsia="宋体" w:cs="Times New Roman"/>
          <w:b/>
          <w:color w:val="auto"/>
          <w:szCs w:val="21"/>
          <w:u w:val="single"/>
          <w:lang w:val="zh-CN"/>
        </w:rPr>
        <w:t>如在协商中评标委员会没有对本招标文件作实质性变动增加新的需求，后一轮报价不得高于前一轮报价</w:t>
      </w:r>
      <w:r>
        <w:rPr>
          <w:rFonts w:hint="eastAsia" w:ascii="宋体" w:hAnsi="宋体" w:eastAsia="宋体" w:cs="Times New Roman"/>
          <w:b/>
          <w:color w:val="auto"/>
          <w:szCs w:val="21"/>
          <w:lang w:val="zh-CN"/>
        </w:rPr>
        <w:t>。</w:t>
      </w:r>
    </w:p>
    <w:p>
      <w:pPr>
        <w:autoSpaceDE w:val="0"/>
        <w:autoSpaceDN w:val="0"/>
        <w:adjustRightInd w:val="0"/>
        <w:spacing w:line="360" w:lineRule="auto"/>
        <w:ind w:left="518" w:hanging="518"/>
        <w:outlineLvl w:val="9"/>
        <w:rPr>
          <w:rFonts w:ascii="宋体" w:hAnsi="宋体" w:eastAsia="宋体" w:cs="Times New Roman"/>
          <w:b/>
          <w:color w:val="auto"/>
          <w:szCs w:val="24"/>
          <w:lang w:val="zh-CN"/>
        </w:rPr>
      </w:pPr>
      <w:r>
        <w:rPr>
          <w:rFonts w:hint="eastAsia" w:ascii="宋体" w:hAnsi="宋体" w:eastAsia="宋体" w:cs="Times New Roman"/>
          <w:b/>
          <w:color w:val="auto"/>
          <w:szCs w:val="24"/>
          <w:lang w:val="zh-CN"/>
        </w:rPr>
        <w:t>5.2</w:t>
      </w:r>
      <w:r>
        <w:rPr>
          <w:rFonts w:ascii="宋体" w:hAnsi="宋体" w:eastAsia="宋体" w:cs="Times New Roman"/>
          <w:b/>
          <w:color w:val="auto"/>
          <w:szCs w:val="24"/>
          <w:lang w:val="zh-CN"/>
        </w:rPr>
        <w:t>2</w:t>
      </w:r>
      <w:r>
        <w:rPr>
          <w:rFonts w:hint="eastAsia" w:ascii="宋体" w:hAnsi="宋体" w:eastAsia="宋体" w:cs="Times New Roman"/>
          <w:b/>
          <w:color w:val="auto"/>
          <w:szCs w:val="24"/>
          <w:lang w:val="zh-CN"/>
        </w:rPr>
        <w:t xml:space="preserve"> 单一来源采购过程中，当出现下列情形之一的，评标委员会应当终止采购活动：</w:t>
      </w:r>
    </w:p>
    <w:p>
      <w:pPr>
        <w:autoSpaceDE w:val="0"/>
        <w:autoSpaceDN w:val="0"/>
        <w:adjustRightInd w:val="0"/>
        <w:spacing w:line="360" w:lineRule="auto"/>
        <w:ind w:left="708" w:hanging="708" w:hangingChars="336"/>
        <w:outlineLvl w:val="9"/>
        <w:rPr>
          <w:rFonts w:ascii="宋体" w:hAnsi="宋体" w:eastAsia="宋体" w:cs="Times New Roman"/>
          <w:b/>
          <w:color w:val="auto"/>
          <w:kern w:val="0"/>
          <w:szCs w:val="21"/>
        </w:rPr>
      </w:pPr>
      <w:r>
        <w:rPr>
          <w:rFonts w:hint="eastAsia" w:ascii="宋体" w:hAnsi="宋体" w:eastAsia="宋体" w:cs="Times New Roman"/>
          <w:b/>
          <w:color w:val="auto"/>
          <w:szCs w:val="24"/>
          <w:lang w:val="zh-CN"/>
        </w:rPr>
        <w:t>5.2</w:t>
      </w:r>
      <w:r>
        <w:rPr>
          <w:rFonts w:ascii="宋体" w:hAnsi="宋体" w:eastAsia="宋体" w:cs="Times New Roman"/>
          <w:b/>
          <w:color w:val="auto"/>
          <w:szCs w:val="24"/>
          <w:lang w:val="zh-CN"/>
        </w:rPr>
        <w:t>2</w:t>
      </w:r>
      <w:r>
        <w:rPr>
          <w:rFonts w:hint="eastAsia" w:ascii="宋体" w:hAnsi="宋体" w:eastAsia="宋体" w:cs="Times New Roman"/>
          <w:b/>
          <w:color w:val="auto"/>
          <w:szCs w:val="24"/>
          <w:lang w:val="zh-CN"/>
        </w:rPr>
        <w:t>.1</w:t>
      </w:r>
      <w:r>
        <w:rPr>
          <w:rFonts w:ascii="宋体" w:hAnsi="宋体" w:eastAsia="宋体" w:cs="Times New Roman"/>
          <w:b/>
          <w:color w:val="auto"/>
          <w:szCs w:val="24"/>
        </w:rPr>
        <w:t xml:space="preserve"> </w:t>
      </w:r>
      <w:r>
        <w:rPr>
          <w:rFonts w:hint="eastAsia" w:ascii="宋体" w:hAnsi="宋体" w:eastAsia="宋体" w:cs="Times New Roman"/>
          <w:b/>
          <w:color w:val="auto"/>
          <w:szCs w:val="24"/>
          <w:u w:val="single"/>
          <w:lang w:val="zh-CN"/>
        </w:rPr>
        <w:t>投标人</w:t>
      </w:r>
      <w:r>
        <w:rPr>
          <w:rFonts w:hint="eastAsia" w:ascii="宋体" w:hAnsi="宋体" w:eastAsia="宋体" w:cs="Times New Roman"/>
          <w:b/>
          <w:color w:val="auto"/>
          <w:kern w:val="0"/>
          <w:szCs w:val="21"/>
          <w:u w:val="single"/>
        </w:rPr>
        <w:t>（含其不具有独立法人资格的分支机构）被列入“信用中国”网站失信被执行人、重大税收违法失信主体、政府采购严重违法失信行为记录名单（处罚期限届满的除外）的</w:t>
      </w:r>
      <w:r>
        <w:rPr>
          <w:rFonts w:hint="eastAsia" w:ascii="宋体" w:hAnsi="宋体" w:eastAsia="宋体" w:cs="Times New Roman"/>
          <w:b/>
          <w:color w:val="auto"/>
          <w:kern w:val="0"/>
          <w:szCs w:val="21"/>
        </w:rPr>
        <w:t>；</w:t>
      </w:r>
    </w:p>
    <w:p>
      <w:pPr>
        <w:autoSpaceDE w:val="0"/>
        <w:autoSpaceDN w:val="0"/>
        <w:adjustRightInd w:val="0"/>
        <w:spacing w:line="360" w:lineRule="auto"/>
        <w:outlineLvl w:val="9"/>
        <w:rPr>
          <w:rFonts w:ascii="宋体" w:hAnsi="宋体" w:eastAsia="宋体" w:cs="Times New Roman"/>
          <w:b/>
          <w:color w:val="auto"/>
          <w:szCs w:val="24"/>
          <w:lang w:val="zh-CN"/>
        </w:rPr>
      </w:pPr>
      <w:r>
        <w:rPr>
          <w:rFonts w:hint="eastAsia" w:ascii="宋体" w:hAnsi="宋体" w:eastAsia="宋体" w:cs="Times New Roman"/>
          <w:b/>
          <w:color w:val="auto"/>
          <w:szCs w:val="24"/>
          <w:lang w:val="zh-CN"/>
        </w:rPr>
        <w:t>5.2</w:t>
      </w:r>
      <w:r>
        <w:rPr>
          <w:rFonts w:ascii="宋体" w:hAnsi="宋体" w:eastAsia="宋体" w:cs="Times New Roman"/>
          <w:b/>
          <w:color w:val="auto"/>
          <w:szCs w:val="24"/>
          <w:lang w:val="zh-CN"/>
        </w:rPr>
        <w:t>2</w:t>
      </w:r>
      <w:r>
        <w:rPr>
          <w:rFonts w:hint="eastAsia" w:ascii="宋体" w:hAnsi="宋体" w:eastAsia="宋体" w:cs="Times New Roman"/>
          <w:b/>
          <w:color w:val="auto"/>
          <w:szCs w:val="24"/>
          <w:lang w:val="zh-CN"/>
        </w:rPr>
        <w:t>.</w:t>
      </w:r>
      <w:r>
        <w:rPr>
          <w:rFonts w:ascii="宋体" w:hAnsi="宋体" w:eastAsia="宋体" w:cs="Times New Roman"/>
          <w:b/>
          <w:color w:val="auto"/>
          <w:szCs w:val="24"/>
          <w:lang w:val="zh-CN"/>
        </w:rPr>
        <w:t>2</w:t>
      </w:r>
      <w:r>
        <w:rPr>
          <w:rFonts w:hint="eastAsia" w:ascii="宋体" w:hAnsi="宋体" w:eastAsia="宋体" w:cs="Times New Roman"/>
          <w:b/>
          <w:color w:val="auto"/>
          <w:szCs w:val="24"/>
          <w:lang w:val="zh-CN"/>
        </w:rPr>
        <w:t xml:space="preserve"> </w:t>
      </w:r>
      <w:r>
        <w:rPr>
          <w:rFonts w:hint="eastAsia" w:ascii="宋体" w:eastAsia="宋体"/>
          <w:b/>
          <w:color w:val="auto"/>
          <w:szCs w:val="21"/>
          <w:u w:val="single"/>
        </w:rPr>
        <w:t>投标人报价未按照招标文件要求进行折扣系数报价的</w:t>
      </w:r>
      <w:r>
        <w:rPr>
          <w:rFonts w:hint="eastAsia" w:ascii="宋体" w:hAnsi="宋体" w:eastAsia="宋体" w:cs="Times New Roman"/>
          <w:b/>
          <w:color w:val="auto"/>
          <w:szCs w:val="24"/>
          <w:lang w:val="zh-CN"/>
        </w:rPr>
        <w:t>；</w:t>
      </w:r>
    </w:p>
    <w:p>
      <w:pPr>
        <w:autoSpaceDE w:val="0"/>
        <w:autoSpaceDN w:val="0"/>
        <w:adjustRightInd w:val="0"/>
        <w:spacing w:line="360" w:lineRule="auto"/>
        <w:outlineLvl w:val="9"/>
        <w:rPr>
          <w:rFonts w:ascii="宋体" w:hAnsi="宋体" w:eastAsia="宋体" w:cs="Times New Roman"/>
          <w:b/>
          <w:color w:val="auto"/>
          <w:szCs w:val="24"/>
          <w:lang w:val="zh-CN"/>
        </w:rPr>
      </w:pPr>
      <w:r>
        <w:rPr>
          <w:rFonts w:hint="eastAsia" w:ascii="宋体" w:hAnsi="宋体" w:eastAsia="宋体" w:cs="Times New Roman"/>
          <w:b/>
          <w:color w:val="auto"/>
          <w:szCs w:val="24"/>
          <w:lang w:val="zh-CN"/>
        </w:rPr>
        <w:t>5.2</w:t>
      </w:r>
      <w:r>
        <w:rPr>
          <w:rFonts w:ascii="宋体" w:hAnsi="宋体" w:eastAsia="宋体" w:cs="Times New Roman"/>
          <w:b/>
          <w:color w:val="auto"/>
          <w:szCs w:val="24"/>
          <w:lang w:val="zh-CN"/>
        </w:rPr>
        <w:t>2</w:t>
      </w:r>
      <w:r>
        <w:rPr>
          <w:rFonts w:hint="eastAsia" w:ascii="宋体" w:hAnsi="宋体" w:eastAsia="宋体" w:cs="Times New Roman"/>
          <w:b/>
          <w:color w:val="auto"/>
          <w:szCs w:val="24"/>
          <w:lang w:val="zh-CN"/>
        </w:rPr>
        <w:t>.</w:t>
      </w:r>
      <w:r>
        <w:rPr>
          <w:rFonts w:ascii="宋体" w:hAnsi="宋体" w:eastAsia="宋体" w:cs="Times New Roman"/>
          <w:b/>
          <w:color w:val="auto"/>
          <w:szCs w:val="24"/>
          <w:lang w:val="zh-CN"/>
        </w:rPr>
        <w:t xml:space="preserve">3 </w:t>
      </w:r>
      <w:r>
        <w:rPr>
          <w:rFonts w:hint="eastAsia" w:ascii="宋体" w:hAnsi="宋体" w:eastAsia="宋体" w:cs="Times New Roman"/>
          <w:b/>
          <w:color w:val="auto"/>
          <w:szCs w:val="24"/>
          <w:u w:val="single"/>
          <w:lang w:val="zh-CN"/>
        </w:rPr>
        <w:t>投标人未能与评标委员会商定出合理的价格的</w:t>
      </w:r>
      <w:r>
        <w:rPr>
          <w:rFonts w:hint="eastAsia" w:ascii="宋体" w:hAnsi="宋体" w:eastAsia="宋体" w:cs="Times New Roman"/>
          <w:b/>
          <w:color w:val="auto"/>
          <w:szCs w:val="24"/>
          <w:lang w:val="zh-CN"/>
        </w:rPr>
        <w:t>；</w:t>
      </w:r>
    </w:p>
    <w:p>
      <w:pPr>
        <w:tabs>
          <w:tab w:val="left" w:pos="1140"/>
        </w:tabs>
        <w:autoSpaceDE w:val="0"/>
        <w:autoSpaceDN w:val="0"/>
        <w:adjustRightInd w:val="0"/>
        <w:spacing w:line="360" w:lineRule="auto"/>
        <w:jc w:val="left"/>
        <w:outlineLvl w:val="9"/>
        <w:rPr>
          <w:rFonts w:ascii="宋体" w:hAnsi="宋体" w:eastAsia="宋体" w:cs="宋体"/>
          <w:b/>
          <w:bCs/>
          <w:color w:val="auto"/>
          <w:sz w:val="32"/>
          <w:szCs w:val="32"/>
        </w:rPr>
      </w:pPr>
      <w:r>
        <w:rPr>
          <w:rFonts w:hint="eastAsia" w:ascii="宋体" w:hAnsi="宋体" w:eastAsia="宋体" w:cs="Times New Roman"/>
          <w:b/>
          <w:color w:val="auto"/>
          <w:szCs w:val="24"/>
          <w:lang w:val="zh-CN"/>
        </w:rPr>
        <w:t>5.2</w:t>
      </w:r>
      <w:r>
        <w:rPr>
          <w:rFonts w:ascii="宋体" w:hAnsi="宋体" w:eastAsia="宋体" w:cs="Times New Roman"/>
          <w:b/>
          <w:color w:val="auto"/>
          <w:szCs w:val="24"/>
          <w:lang w:val="zh-CN"/>
        </w:rPr>
        <w:t>2</w:t>
      </w:r>
      <w:r>
        <w:rPr>
          <w:rFonts w:hint="eastAsia" w:ascii="宋体" w:hAnsi="宋体" w:eastAsia="宋体" w:cs="Times New Roman"/>
          <w:b/>
          <w:color w:val="auto"/>
          <w:szCs w:val="24"/>
          <w:lang w:val="zh-CN"/>
        </w:rPr>
        <w:t>.</w:t>
      </w:r>
      <w:r>
        <w:rPr>
          <w:rFonts w:ascii="宋体" w:hAnsi="宋体" w:eastAsia="宋体" w:cs="Times New Roman"/>
          <w:b/>
          <w:color w:val="auto"/>
          <w:szCs w:val="24"/>
          <w:lang w:val="zh-CN"/>
        </w:rPr>
        <w:t xml:space="preserve">4 </w:t>
      </w:r>
      <w:r>
        <w:rPr>
          <w:rFonts w:hint="eastAsia" w:ascii="宋体" w:hAnsi="宋体" w:eastAsia="宋体" w:cs="Times New Roman"/>
          <w:b/>
          <w:color w:val="auto"/>
          <w:szCs w:val="24"/>
          <w:u w:val="single"/>
          <w:lang w:val="zh-CN"/>
        </w:rPr>
        <w:t>评标委员会认定投标人最终的投标文件存在影响采购项目质量，</w:t>
      </w:r>
      <w:r>
        <w:rPr>
          <w:rFonts w:hint="eastAsia" w:ascii="宋体" w:hAnsi="宋体" w:eastAsia="宋体" w:cs="Times New Roman"/>
          <w:b/>
          <w:color w:val="auto"/>
          <w:kern w:val="0"/>
          <w:szCs w:val="21"/>
          <w:u w:val="single"/>
          <w:lang w:val="zh-CN"/>
        </w:rPr>
        <w:t>且投标人不能合理说明或不能提供相关证明材料</w:t>
      </w:r>
      <w:r>
        <w:rPr>
          <w:rFonts w:hint="eastAsia" w:ascii="宋体" w:hAnsi="宋体" w:eastAsia="宋体" w:cs="Times New Roman"/>
          <w:b/>
          <w:color w:val="auto"/>
          <w:szCs w:val="24"/>
          <w:lang w:val="zh-CN"/>
        </w:rPr>
        <w:t>。</w:t>
      </w:r>
    </w:p>
    <w:p>
      <w:pPr>
        <w:autoSpaceDE w:val="0"/>
        <w:autoSpaceDN w:val="0"/>
        <w:adjustRightInd w:val="0"/>
        <w:spacing w:line="360" w:lineRule="auto"/>
        <w:ind w:left="525" w:hanging="525" w:hangingChars="250"/>
        <w:jc w:val="left"/>
        <w:outlineLvl w:val="9"/>
        <w:rPr>
          <w:rFonts w:ascii="宋体" w:hAnsi="宋体" w:eastAsia="宋体" w:cs="Times New Roman"/>
          <w:color w:val="auto"/>
          <w:szCs w:val="24"/>
          <w:highlight w:val="none"/>
          <w:lang w:val="zh-CN"/>
        </w:rPr>
      </w:pPr>
    </w:p>
    <w:p>
      <w:pPr>
        <w:tabs>
          <w:tab w:val="left" w:pos="1140"/>
        </w:tabs>
        <w:autoSpaceDE w:val="0"/>
        <w:autoSpaceDN w:val="0"/>
        <w:adjustRightInd w:val="0"/>
        <w:spacing w:line="360" w:lineRule="auto"/>
        <w:jc w:val="center"/>
        <w:outlineLvl w:val="9"/>
        <w:rPr>
          <w:rFonts w:ascii="宋体" w:hAnsi="宋体" w:eastAsia="宋体" w:cs="宋体"/>
          <w:b/>
          <w:bCs/>
          <w:color w:val="auto"/>
          <w:sz w:val="28"/>
          <w:szCs w:val="28"/>
          <w:highlight w:val="none"/>
        </w:rPr>
      </w:pPr>
      <w:bookmarkStart w:id="911" w:name="_Toc19435_WPSOffice_Level1"/>
      <w:r>
        <w:rPr>
          <w:rFonts w:hint="eastAsia" w:ascii="宋体" w:hAnsi="宋体" w:eastAsia="宋体" w:cs="宋体"/>
          <w:b/>
          <w:bCs/>
          <w:color w:val="auto"/>
          <w:sz w:val="28"/>
          <w:szCs w:val="28"/>
          <w:highlight w:val="none"/>
          <w:lang w:val="zh-CN"/>
        </w:rPr>
        <w:t>二、投标文件的初审</w:t>
      </w:r>
      <w:bookmarkEnd w:id="911"/>
    </w:p>
    <w:p>
      <w:pPr>
        <w:autoSpaceDE w:val="0"/>
        <w:autoSpaceDN w:val="0"/>
        <w:adjustRightInd w:val="0"/>
        <w:spacing w:line="360" w:lineRule="auto"/>
        <w:outlineLvl w:val="9"/>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outlineLvl w:val="9"/>
        <w:rPr>
          <w:rFonts w:ascii="宋体" w:hAnsi="宋体" w:eastAsia="宋体" w:cs="宋体"/>
          <w:b/>
          <w:color w:val="auto"/>
          <w:szCs w:val="24"/>
          <w:highlight w:val="none"/>
          <w:lang w:val="zh-CN"/>
        </w:rPr>
      </w:pPr>
      <w:r>
        <w:rPr>
          <w:rFonts w:hint="eastAsia" w:ascii="宋体" w:hAnsi="宋体" w:eastAsia="宋体" w:cs="宋体"/>
          <w:b/>
          <w:color w:val="auto"/>
          <w:szCs w:val="24"/>
          <w:highlight w:val="none"/>
          <w:u w:val="singl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u w:val="single"/>
          <w:lang w:val="en-US" w:eastAsia="zh-CN"/>
        </w:rPr>
        <w:t>从</w:t>
      </w:r>
      <w:r>
        <w:rPr>
          <w:rFonts w:hint="eastAsia" w:ascii="宋体" w:hAnsi="宋体" w:eastAsia="宋体" w:cs="宋体"/>
          <w:b/>
          <w:color w:val="auto"/>
          <w:szCs w:val="24"/>
          <w:highlight w:val="none"/>
          <w:u w:val="single"/>
          <w:lang w:val="zh-CN"/>
        </w:rPr>
        <w:t>多数的原则，获多数表决通过的投标人才有资格进入下一阶段的评审,否则将被认定为无效投标文件</w:t>
      </w:r>
      <w:r>
        <w:rPr>
          <w:rFonts w:hint="eastAsia" w:ascii="宋体" w:hAnsi="宋体" w:eastAsia="宋体" w:cs="宋体"/>
          <w:b/>
          <w:color w:val="auto"/>
          <w:szCs w:val="24"/>
          <w:highlight w:val="none"/>
          <w:lang w:val="zh-CN"/>
        </w:rPr>
        <w:t>。</w:t>
      </w:r>
    </w:p>
    <w:p>
      <w:pPr>
        <w:autoSpaceDE w:val="0"/>
        <w:autoSpaceDN w:val="0"/>
        <w:adjustRightInd w:val="0"/>
        <w:spacing w:line="360" w:lineRule="auto"/>
        <w:outlineLvl w:val="9"/>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pPr>
        <w:autoSpaceDE w:val="0"/>
        <w:autoSpaceDN w:val="0"/>
        <w:adjustRightInd w:val="0"/>
        <w:spacing w:line="360" w:lineRule="auto"/>
        <w:outlineLvl w:val="9"/>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u w:val="single"/>
        </w:rPr>
        <w:t>投标人未按招标文件要求交纳投标保证金的</w:t>
      </w:r>
      <w:r>
        <w:rPr>
          <w:rFonts w:hint="eastAsia" w:ascii="宋体" w:hAnsi="宋体" w:eastAsia="宋体" w:cs="宋体"/>
          <w:b/>
          <w:bCs/>
          <w:color w:val="auto"/>
          <w:kern w:val="0"/>
          <w:szCs w:val="21"/>
          <w:highlight w:val="none"/>
        </w:rPr>
        <w:t>；</w:t>
      </w:r>
    </w:p>
    <w:p>
      <w:pPr>
        <w:tabs>
          <w:tab w:val="left" w:pos="1140"/>
        </w:tabs>
        <w:autoSpaceDE w:val="0"/>
        <w:autoSpaceDN w:val="0"/>
        <w:adjustRightInd w:val="0"/>
        <w:spacing w:line="360" w:lineRule="auto"/>
        <w:jc w:val="left"/>
        <w:outlineLvl w:val="9"/>
        <w:rPr>
          <w:rFonts w:hint="eastAsia" w:ascii="宋体" w:hAnsi="宋体" w:eastAsia="宋体" w:cs="Times New Roman"/>
          <w:b/>
          <w:color w:val="auto"/>
          <w:kern w:val="0"/>
          <w:szCs w:val="21"/>
          <w:lang w:val="zh-CN"/>
        </w:rPr>
      </w:pPr>
      <w:r>
        <w:rPr>
          <w:rFonts w:hint="eastAsia" w:ascii="宋体" w:hAnsi="宋体" w:eastAsia="宋体" w:cs="Times New Roman"/>
          <w:b/>
          <w:color w:val="auto"/>
          <w:kern w:val="0"/>
          <w:szCs w:val="21"/>
          <w:lang w:val="zh-CN"/>
        </w:rPr>
        <w:t xml:space="preserve">7.2  </w:t>
      </w:r>
      <w:r>
        <w:rPr>
          <w:rFonts w:hint="eastAsia" w:ascii="宋体" w:hAnsi="宋体" w:eastAsia="宋体" w:cs="Times New Roman"/>
          <w:b/>
          <w:color w:val="auto"/>
          <w:kern w:val="0"/>
          <w:szCs w:val="21"/>
          <w:u w:val="single"/>
          <w:lang w:val="zh-CN"/>
        </w:rPr>
        <w:t>投标人报价未按照招标文件要求进行折扣系数报价的</w:t>
      </w:r>
      <w:r>
        <w:rPr>
          <w:rFonts w:hint="eastAsia" w:ascii="宋体" w:hAnsi="宋体" w:eastAsia="宋体" w:cs="Times New Roman"/>
          <w:b/>
          <w:color w:val="auto"/>
          <w:kern w:val="0"/>
          <w:szCs w:val="21"/>
          <w:lang w:val="zh-CN"/>
        </w:rPr>
        <w:t>；</w:t>
      </w:r>
    </w:p>
    <w:p>
      <w:pPr>
        <w:tabs>
          <w:tab w:val="left" w:pos="567"/>
        </w:tabs>
        <w:spacing w:line="360" w:lineRule="auto"/>
        <w:ind w:left="632" w:hanging="632" w:hangingChars="300"/>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7.3  </w:t>
      </w:r>
      <w:r>
        <w:rPr>
          <w:rFonts w:hint="eastAsia" w:ascii="宋体" w:hAnsi="宋体" w:eastAsia="宋体" w:cs="宋体"/>
          <w:b/>
          <w:color w:val="auto"/>
          <w:kern w:val="0"/>
          <w:szCs w:val="21"/>
          <w:highlight w:val="none"/>
          <w:u w:val="single"/>
        </w:rPr>
        <w:t>投标人以低于企业成本价报价，且投标人不能合理说明或不能提供相关证明材料</w:t>
      </w:r>
      <w:r>
        <w:rPr>
          <w:rFonts w:hint="eastAsia" w:ascii="宋体" w:hAnsi="宋体" w:eastAsia="宋体" w:cs="宋体"/>
          <w:b/>
          <w:color w:val="auto"/>
          <w:kern w:val="0"/>
          <w:szCs w:val="21"/>
          <w:highlight w:val="none"/>
        </w:rPr>
        <w:t>；</w:t>
      </w:r>
    </w:p>
    <w:p>
      <w:pPr>
        <w:tabs>
          <w:tab w:val="left" w:pos="567"/>
        </w:tabs>
        <w:spacing w:line="360" w:lineRule="auto"/>
        <w:ind w:left="632" w:hanging="632" w:hangingChars="300"/>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7.4  </w:t>
      </w:r>
      <w:r>
        <w:rPr>
          <w:rFonts w:hint="eastAsia" w:ascii="宋体" w:hAnsi="宋体" w:eastAsia="宋体" w:cs="宋体"/>
          <w:b/>
          <w:color w:val="auto"/>
          <w:kern w:val="0"/>
          <w:szCs w:val="21"/>
          <w:highlight w:val="none"/>
          <w:u w:val="single"/>
        </w:rPr>
        <w:t>投标人递交两份或多份内容不同的投标文件，或在一份投标文件中报有两个或多个报价，且未书面声明哪一个有效</w:t>
      </w:r>
      <w:r>
        <w:rPr>
          <w:rFonts w:hint="eastAsia" w:ascii="宋体" w:hAnsi="宋体" w:eastAsia="宋体" w:cs="宋体"/>
          <w:b/>
          <w:color w:val="auto"/>
          <w:kern w:val="0"/>
          <w:szCs w:val="21"/>
          <w:highlight w:val="none"/>
        </w:rPr>
        <w:t>；</w:t>
      </w:r>
    </w:p>
    <w:p>
      <w:pPr>
        <w:tabs>
          <w:tab w:val="left" w:pos="567"/>
        </w:tabs>
        <w:spacing w:line="360" w:lineRule="auto"/>
        <w:ind w:left="632" w:hanging="632" w:hangingChars="300"/>
        <w:outlineLvl w:val="9"/>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u w:val="singl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u w:val="single"/>
          <w:lang w:val="en-US" w:eastAsia="zh-CN"/>
        </w:rPr>
        <w:t>政府采购</w:t>
      </w:r>
      <w:r>
        <w:rPr>
          <w:rFonts w:hint="eastAsia" w:ascii="宋体" w:hAnsi="宋体" w:eastAsia="宋体" w:cs="宋体"/>
          <w:b/>
          <w:color w:val="auto"/>
          <w:kern w:val="0"/>
          <w:szCs w:val="21"/>
          <w:highlight w:val="none"/>
          <w:u w:val="single"/>
        </w:rPr>
        <w:t>严重违法失信行为记录名单（处罚期限届满的除外）]</w:t>
      </w:r>
      <w:r>
        <w:rPr>
          <w:rFonts w:hint="eastAsia" w:ascii="宋体" w:hAnsi="宋体" w:eastAsia="宋体" w:cs="宋体"/>
          <w:b/>
          <w:color w:val="auto"/>
          <w:kern w:val="0"/>
          <w:szCs w:val="21"/>
          <w:highlight w:val="none"/>
        </w:rPr>
        <w:t>；</w:t>
      </w:r>
    </w:p>
    <w:p>
      <w:pPr>
        <w:spacing w:line="360" w:lineRule="auto"/>
        <w:ind w:left="527" w:hanging="527" w:hangingChars="250"/>
        <w:outlineLvl w:val="9"/>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w:t>
      </w:r>
      <w:r>
        <w:rPr>
          <w:rFonts w:hint="eastAsia" w:ascii="宋体" w:hAnsi="宋体" w:eastAsia="宋体" w:cs="宋体"/>
          <w:b/>
          <w:bCs/>
          <w:color w:val="auto"/>
          <w:kern w:val="0"/>
          <w:szCs w:val="21"/>
          <w:highlight w:val="none"/>
          <w:u w:val="single"/>
        </w:rPr>
        <w:t>投标文件未按照招标文件规定要求密封；投标文件无法定代表人或其授权代表签字（或盖私章），或签字人无法定代表人有效授权的；签字盖章不符合招标文件要求的</w:t>
      </w:r>
      <w:r>
        <w:rPr>
          <w:rFonts w:hint="eastAsia" w:ascii="宋体" w:hAnsi="宋体" w:eastAsia="宋体" w:cs="宋体"/>
          <w:b/>
          <w:bCs/>
          <w:color w:val="auto"/>
          <w:kern w:val="0"/>
          <w:szCs w:val="21"/>
          <w:highlight w:val="none"/>
        </w:rPr>
        <w:t xml:space="preserve">； </w:t>
      </w:r>
    </w:p>
    <w:p>
      <w:pPr>
        <w:spacing w:line="360" w:lineRule="auto"/>
        <w:ind w:left="527" w:hanging="527" w:hangingChars="250"/>
        <w:outlineLvl w:val="9"/>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u w:val="single"/>
        </w:rPr>
        <w:t>投标有效期限不符合要求</w:t>
      </w:r>
      <w:r>
        <w:rPr>
          <w:rFonts w:hint="eastAsia" w:ascii="宋体" w:hAnsi="宋体" w:eastAsia="宋体" w:cs="宋体"/>
          <w:b/>
          <w:bCs/>
          <w:color w:val="auto"/>
          <w:kern w:val="0"/>
          <w:szCs w:val="21"/>
          <w:highlight w:val="none"/>
        </w:rPr>
        <w:t>；</w:t>
      </w:r>
    </w:p>
    <w:p>
      <w:pPr>
        <w:spacing w:line="360" w:lineRule="auto"/>
        <w:ind w:left="527" w:hanging="527" w:hangingChars="250"/>
        <w:outlineLvl w:val="9"/>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7.8  </w:t>
      </w:r>
      <w:r>
        <w:rPr>
          <w:rFonts w:hint="eastAsia" w:ascii="宋体" w:hAnsi="宋体" w:eastAsia="宋体" w:cs="宋体"/>
          <w:b/>
          <w:bCs/>
          <w:color w:val="auto"/>
          <w:kern w:val="0"/>
          <w:szCs w:val="21"/>
          <w:highlight w:val="none"/>
          <w:u w:val="single"/>
        </w:rPr>
        <w:t>投标文件未对招标范围内的全部内容进行投标报价</w:t>
      </w:r>
      <w:r>
        <w:rPr>
          <w:rFonts w:hint="eastAsia" w:ascii="宋体" w:hAnsi="宋体" w:eastAsia="宋体" w:cs="Times New Roman"/>
          <w:b/>
          <w:color w:val="auto"/>
          <w:kern w:val="0"/>
          <w:szCs w:val="21"/>
          <w:highlight w:val="none"/>
          <w:u w:val="single"/>
        </w:rPr>
        <w:t>或投标方案不是唯一</w:t>
      </w:r>
      <w:r>
        <w:rPr>
          <w:rFonts w:hint="eastAsia" w:ascii="宋体" w:hAnsi="宋体" w:eastAsia="宋体" w:cs="宋体"/>
          <w:b/>
          <w:bCs/>
          <w:color w:val="auto"/>
          <w:kern w:val="0"/>
          <w:szCs w:val="21"/>
          <w:highlight w:val="none"/>
        </w:rPr>
        <w:t>；</w:t>
      </w:r>
    </w:p>
    <w:p>
      <w:pPr>
        <w:spacing w:line="360" w:lineRule="auto"/>
        <w:ind w:left="413" w:hanging="413" w:hangingChars="196"/>
        <w:outlineLvl w:val="9"/>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u w:val="single"/>
        </w:rPr>
        <w:t>未提供或虚假填写《合同条款偏离表》，或对《合同条款偏离表》有负偏离的</w:t>
      </w:r>
      <w:r>
        <w:rPr>
          <w:rFonts w:ascii="宋体" w:hAnsi="宋体" w:eastAsia="宋体" w:cs="Times New Roman"/>
          <w:b/>
          <w:color w:val="auto"/>
          <w:kern w:val="0"/>
          <w:szCs w:val="21"/>
          <w:highlight w:val="none"/>
        </w:rPr>
        <w:t>；</w:t>
      </w:r>
    </w:p>
    <w:p>
      <w:pPr>
        <w:spacing w:line="360" w:lineRule="auto"/>
        <w:ind w:left="413" w:hanging="413" w:hangingChars="196"/>
        <w:outlineLvl w:val="9"/>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u w:val="single"/>
        </w:rPr>
        <w:t>未填写或虚假填写《用户需求偏离表》的</w:t>
      </w:r>
      <w:r>
        <w:rPr>
          <w:rFonts w:ascii="宋体" w:hAnsi="宋体" w:eastAsia="宋体" w:cs="Times New Roman"/>
          <w:b/>
          <w:color w:val="auto"/>
          <w:kern w:val="0"/>
          <w:szCs w:val="21"/>
          <w:highlight w:val="none"/>
        </w:rPr>
        <w:t>；</w:t>
      </w:r>
    </w:p>
    <w:p>
      <w:pPr>
        <w:spacing w:line="360" w:lineRule="auto"/>
        <w:ind w:left="413" w:hanging="413" w:hangingChars="196"/>
        <w:outlineLvl w:val="9"/>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u w:val="single"/>
        </w:rPr>
        <w:t>未</w:t>
      </w:r>
      <w:r>
        <w:rPr>
          <w:rFonts w:hint="eastAsia" w:ascii="宋体" w:hAnsi="宋体" w:eastAsia="宋体" w:cs="Times New Roman"/>
          <w:b/>
          <w:color w:val="auto"/>
          <w:kern w:val="0"/>
          <w:szCs w:val="21"/>
          <w:highlight w:val="none"/>
          <w:u w:val="single"/>
        </w:rPr>
        <w:t>响应</w:t>
      </w:r>
      <w:r>
        <w:rPr>
          <w:rFonts w:ascii="宋体" w:hAnsi="宋体" w:eastAsia="宋体" w:cs="Times New Roman"/>
          <w:b/>
          <w:color w:val="auto"/>
          <w:kern w:val="0"/>
          <w:szCs w:val="21"/>
          <w:highlight w:val="none"/>
          <w:u w:val="single"/>
        </w:rPr>
        <w:t>招标文件提出的实质性要求和条件（标注★的条款</w:t>
      </w:r>
      <w:r>
        <w:rPr>
          <w:rFonts w:ascii="宋体" w:hAnsi="宋体" w:eastAsia="宋体" w:cs="Times New Roman"/>
          <w:b/>
          <w:color w:val="auto"/>
          <w:kern w:val="0"/>
          <w:szCs w:val="21"/>
          <w:highlight w:val="none"/>
        </w:rPr>
        <w:t>）</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315" w:hanging="315" w:hangingChars="150"/>
        <w:outlineLvl w:val="9"/>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outlineLvl w:val="9"/>
        <w:rPr>
          <w:rFonts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outlineLvl w:val="9"/>
        <w:rPr>
          <w:rFonts w:ascii="宋体" w:hAnsi="宋体" w:eastAsia="宋体" w:cs="宋体"/>
          <w:b/>
          <w:bCs/>
          <w:color w:val="auto"/>
          <w:sz w:val="28"/>
          <w:szCs w:val="28"/>
          <w:highlight w:val="none"/>
        </w:rPr>
      </w:pPr>
      <w:bookmarkStart w:id="912" w:name="_Toc4109_WPSOffice_Level1"/>
      <w:r>
        <w:rPr>
          <w:rFonts w:hint="eastAsia" w:ascii="宋体" w:hAnsi="宋体" w:eastAsia="宋体" w:cs="宋体"/>
          <w:b/>
          <w:bCs/>
          <w:color w:val="auto"/>
          <w:sz w:val="28"/>
          <w:szCs w:val="28"/>
          <w:highlight w:val="none"/>
          <w:lang w:val="zh-CN"/>
        </w:rPr>
        <w:t>三、澄清有关问题</w:t>
      </w:r>
      <w:bookmarkEnd w:id="912"/>
    </w:p>
    <w:p>
      <w:pPr>
        <w:autoSpaceDE w:val="0"/>
        <w:autoSpaceDN w:val="0"/>
        <w:adjustRightInd w:val="0"/>
        <w:spacing w:line="360" w:lineRule="auto"/>
        <w:ind w:left="315" w:hanging="315" w:hangingChars="150"/>
        <w:outlineLvl w:val="9"/>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w:t>
      </w:r>
      <w:r>
        <w:rPr>
          <w:rFonts w:hint="eastAsia" w:ascii="宋体" w:hAnsi="宋体" w:eastAsia="宋体" w:cs="宋体"/>
          <w:color w:val="auto"/>
          <w:kern w:val="0"/>
          <w:szCs w:val="21"/>
          <w:highlight w:val="none"/>
          <w:lang w:val="en-US" w:eastAsia="zh-CN"/>
        </w:rPr>
        <w:t>表达</w:t>
      </w:r>
      <w:r>
        <w:rPr>
          <w:rFonts w:hint="eastAsia" w:ascii="宋体" w:hAnsi="宋体" w:eastAsia="宋体" w:cs="宋体"/>
          <w:color w:val="auto"/>
          <w:kern w:val="0"/>
          <w:szCs w:val="21"/>
          <w:highlight w:val="none"/>
        </w:rPr>
        <w:t>错误的修正</w:t>
      </w:r>
    </w:p>
    <w:p>
      <w:pPr>
        <w:autoSpaceDE/>
        <w:autoSpaceDN/>
        <w:adjustRightInd/>
        <w:spacing w:line="360" w:lineRule="auto"/>
        <w:ind w:left="567"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（1）评标委员会将对确定为实质上响应招标文件要求的投标文件进行校核，看其是否有表达上的错误，修正错误的原则为：</w:t>
      </w:r>
    </w:p>
    <w:p>
      <w:pPr>
        <w:autoSpaceDE/>
        <w:autoSpaceDN/>
        <w:adjustRightInd/>
        <w:spacing w:line="360" w:lineRule="auto"/>
        <w:ind w:left="0" w:firstLine="420" w:firstLineChars="200"/>
        <w:jc w:val="left"/>
        <w:outlineLvl w:val="9"/>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lang w:val="zh-CN"/>
        </w:rPr>
        <w:t>当以数字表示的报价系数与以文字表示的报价系数不一致时，以文字表示的报价系数为准。</w:t>
      </w:r>
      <w:r>
        <w:rPr>
          <w:rFonts w:hint="eastAsia" w:ascii="宋体" w:hAnsi="宋体" w:eastAsia="宋体" w:cs="宋体"/>
          <w:color w:val="auto"/>
          <w:kern w:val="0"/>
          <w:szCs w:val="21"/>
          <w:highlight w:val="none"/>
          <w:lang w:val="zh-CN"/>
        </w:rPr>
        <w:t>经双方确认后，作为合同文件的组成部分。</w:t>
      </w:r>
    </w:p>
    <w:p>
      <w:pPr>
        <w:spacing w:line="360" w:lineRule="auto"/>
        <w:ind w:left="567" w:hanging="567" w:hangingChars="270"/>
        <w:outlineLvl w:val="9"/>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spacing w:line="360" w:lineRule="auto"/>
        <w:ind w:left="567" w:hanging="567" w:hangingChars="270"/>
        <w:outlineLvl w:val="9"/>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u w:val="single"/>
          <w:lang w:val="zh-CN"/>
        </w:rPr>
        <w:t>若投标人不能合理说明或不能提供相关证明材料的，评标委员会将认定其投标报价低于成本，同时否决其投标</w:t>
      </w:r>
      <w:r>
        <w:rPr>
          <w:rFonts w:hint="eastAsia" w:ascii="宋体" w:hAnsi="宋体" w:eastAsia="宋体" w:cs="宋体"/>
          <w:b/>
          <w:color w:val="auto"/>
          <w:szCs w:val="21"/>
          <w:highlight w:val="none"/>
          <w:lang w:val="zh-CN"/>
        </w:rPr>
        <w:t>。</w:t>
      </w:r>
    </w:p>
    <w:p>
      <w:pPr>
        <w:autoSpaceDE w:val="0"/>
        <w:autoSpaceDN w:val="0"/>
        <w:adjustRightInd w:val="0"/>
        <w:spacing w:line="360" w:lineRule="auto"/>
        <w:jc w:val="center"/>
        <w:outlineLvl w:val="9"/>
        <w:rPr>
          <w:rFonts w:ascii="宋体" w:hAnsi="宋体" w:eastAsia="宋体" w:cs="宋体"/>
          <w:b/>
          <w:bCs/>
          <w:color w:val="auto"/>
          <w:sz w:val="28"/>
          <w:szCs w:val="28"/>
          <w:highlight w:val="none"/>
          <w:lang w:val="zh-CN"/>
        </w:rPr>
      </w:pPr>
      <w:bookmarkStart w:id="913" w:name="_Toc8518_WPSOffice_Level1"/>
    </w:p>
    <w:p>
      <w:pPr>
        <w:autoSpaceDE w:val="0"/>
        <w:autoSpaceDN w:val="0"/>
        <w:adjustRightInd w:val="0"/>
        <w:spacing w:line="360" w:lineRule="auto"/>
        <w:jc w:val="center"/>
        <w:outlineLvl w:val="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913"/>
    </w:p>
    <w:p>
      <w:pPr>
        <w:autoSpaceDE w:val="0"/>
        <w:autoSpaceDN w:val="0"/>
        <w:adjustRightInd w:val="0"/>
        <w:spacing w:line="360" w:lineRule="auto"/>
        <w:ind w:left="422" w:leftChars="1" w:hanging="420" w:hangingChars="200"/>
        <w:outlineLvl w:val="9"/>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outlineLvl w:val="9"/>
        <w:rPr>
          <w:rFonts w:ascii="宋体" w:hAnsi="宋体" w:eastAsia="宋体" w:cs="宋体"/>
          <w:color w:val="auto"/>
          <w:szCs w:val="24"/>
          <w:highlight w:val="none"/>
          <w:lang w:val="zh-CN"/>
        </w:rPr>
      </w:pPr>
    </w:p>
    <w:p>
      <w:pPr>
        <w:tabs>
          <w:tab w:val="left" w:pos="1701"/>
        </w:tabs>
        <w:autoSpaceDE w:val="0"/>
        <w:autoSpaceDN w:val="0"/>
        <w:adjustRightInd w:val="0"/>
        <w:spacing w:line="360" w:lineRule="auto"/>
        <w:outlineLvl w:val="9"/>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pPr>
        <w:autoSpaceDE w:val="0"/>
        <w:autoSpaceDN w:val="0"/>
        <w:adjustRightInd w:val="0"/>
        <w:spacing w:line="360" w:lineRule="auto"/>
        <w:outlineLvl w:val="9"/>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pPr>
        <w:autoSpaceDE w:val="0"/>
        <w:autoSpaceDN w:val="0"/>
        <w:adjustRightInd w:val="0"/>
        <w:spacing w:line="360" w:lineRule="auto"/>
        <w:ind w:left="565" w:leftChars="-1" w:hanging="567" w:hangingChars="270"/>
        <w:outlineLvl w:val="9"/>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pPr>
        <w:autoSpaceDE w:val="0"/>
        <w:autoSpaceDN w:val="0"/>
        <w:adjustRightInd w:val="0"/>
        <w:spacing w:line="360" w:lineRule="auto"/>
        <w:ind w:left="565" w:leftChars="-1" w:hanging="567" w:hangingChars="270"/>
        <w:outlineLvl w:val="9"/>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pPr>
        <w:tabs>
          <w:tab w:val="left" w:pos="600"/>
        </w:tabs>
        <w:autoSpaceDE w:val="0"/>
        <w:autoSpaceDN w:val="0"/>
        <w:adjustRightInd w:val="0"/>
        <w:spacing w:line="360" w:lineRule="auto"/>
        <w:outlineLvl w:val="9"/>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pPr>
        <w:autoSpaceDE w:val="0"/>
        <w:autoSpaceDN w:val="0"/>
        <w:adjustRightInd w:val="0"/>
        <w:spacing w:line="360" w:lineRule="auto"/>
        <w:ind w:left="565" w:leftChars="-1" w:hanging="567" w:hangingChars="270"/>
        <w:outlineLvl w:val="9"/>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outlineLvl w:val="9"/>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pPr>
        <w:tabs>
          <w:tab w:val="left" w:pos="600"/>
        </w:tabs>
        <w:autoSpaceDE w:val="0"/>
        <w:autoSpaceDN w:val="0"/>
        <w:adjustRightInd w:val="0"/>
        <w:spacing w:line="360" w:lineRule="auto"/>
        <w:outlineLvl w:val="9"/>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pPr>
        <w:tabs>
          <w:tab w:val="left" w:pos="1134"/>
        </w:tabs>
        <w:autoSpaceDE w:val="0"/>
        <w:autoSpaceDN w:val="0"/>
        <w:adjustRightInd w:val="0"/>
        <w:spacing w:line="360" w:lineRule="auto"/>
        <w:ind w:left="565" w:leftChars="-1" w:hanging="567" w:hangingChars="270"/>
        <w:outlineLvl w:val="9"/>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outlineLvl w:val="9"/>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outlineLvl w:val="9"/>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pPr>
        <w:autoSpaceDE w:val="0"/>
        <w:autoSpaceDN w:val="0"/>
        <w:adjustRightInd w:val="0"/>
        <w:spacing w:line="360" w:lineRule="auto"/>
        <w:outlineLvl w:val="9"/>
        <w:rPr>
          <w:rFonts w:ascii="宋体" w:hAnsi="宋体" w:eastAsia="宋体" w:cs="宋体"/>
          <w:color w:val="auto"/>
          <w:szCs w:val="24"/>
          <w:highlight w:val="none"/>
          <w:lang w:val="zh-CN"/>
        </w:rPr>
      </w:pPr>
    </w:p>
    <w:p>
      <w:pPr>
        <w:tabs>
          <w:tab w:val="left" w:pos="1701"/>
        </w:tabs>
        <w:autoSpaceDE w:val="0"/>
        <w:autoSpaceDN w:val="0"/>
        <w:adjustRightInd w:val="0"/>
        <w:spacing w:line="360" w:lineRule="auto"/>
        <w:outlineLvl w:val="9"/>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ascii="宋体" w:hAnsi="宋体" w:eastAsia="宋体" w:cs="宋体"/>
                <w:bCs/>
                <w:color w:val="auto"/>
                <w:kern w:val="0"/>
                <w:sz w:val="21"/>
                <w:szCs w:val="21"/>
                <w:highlight w:val="none"/>
                <w:lang w:val="zh-CN"/>
              </w:rPr>
            </w:pPr>
            <w:r>
              <w:rPr>
                <w:rFonts w:hint="eastAsia" w:ascii="宋体" w:hAnsi="宋体" w:eastAsia="宋体" w:cs="宋体"/>
                <w:b/>
                <w:color w:val="auto"/>
                <w:sz w:val="21"/>
                <w:szCs w:val="21"/>
                <w:highlight w:val="none"/>
                <w:lang w:val="en-US" w:eastAsia="zh-CN"/>
              </w:rPr>
              <w:t>30</w:t>
            </w:r>
            <w:r>
              <w:rPr>
                <w:rFonts w:hint="eastAsia" w:ascii="宋体" w:hAnsi="宋体" w:eastAsia="宋体" w:cs="宋体"/>
                <w:b/>
                <w:color w:val="auto"/>
                <w:sz w:val="21"/>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ascii="宋体" w:hAnsi="宋体" w:eastAsia="宋体" w:cs="宋体"/>
                <w:bCs/>
                <w:color w:val="auto"/>
                <w:kern w:val="0"/>
                <w:sz w:val="21"/>
                <w:szCs w:val="21"/>
                <w:highlight w:val="none"/>
                <w:lang w:val="zh-CN"/>
              </w:rPr>
            </w:pPr>
            <w:r>
              <w:rPr>
                <w:rFonts w:hint="eastAsia" w:ascii="宋体" w:hAnsi="宋体" w:eastAsia="宋体" w:cs="宋体"/>
                <w:b/>
                <w:color w:val="auto"/>
                <w:sz w:val="21"/>
                <w:szCs w:val="21"/>
                <w:highlight w:val="none"/>
                <w:lang w:val="en-US" w:eastAsia="zh-CN"/>
              </w:rPr>
              <w:t>40</w:t>
            </w:r>
            <w:r>
              <w:rPr>
                <w:rFonts w:hint="eastAsia" w:ascii="宋体" w:hAnsi="宋体" w:eastAsia="宋体" w:cs="宋体"/>
                <w:b/>
                <w:color w:val="auto"/>
                <w:sz w:val="21"/>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ascii="宋体" w:hAnsi="宋体" w:eastAsia="宋体" w:cs="宋体"/>
                <w:bCs/>
                <w:color w:val="auto"/>
                <w:kern w:val="0"/>
                <w:sz w:val="21"/>
                <w:szCs w:val="21"/>
                <w:highlight w:val="none"/>
                <w:lang w:val="zh-CN"/>
              </w:rPr>
            </w:pPr>
            <w:r>
              <w:rPr>
                <w:rFonts w:hint="eastAsia" w:ascii="宋体" w:hAnsi="宋体" w:eastAsia="宋体" w:cs="宋体"/>
                <w:b/>
                <w:color w:val="auto"/>
                <w:sz w:val="21"/>
                <w:szCs w:val="21"/>
                <w:highlight w:val="none"/>
                <w:lang w:val="en-US" w:eastAsia="zh-CN"/>
              </w:rPr>
              <w:t>30</w:t>
            </w:r>
            <w:r>
              <w:rPr>
                <w:rFonts w:hint="eastAsia" w:ascii="宋体" w:hAnsi="宋体" w:eastAsia="宋体" w:cs="宋体"/>
                <w:b/>
                <w:color w:val="auto"/>
                <w:sz w:val="21"/>
                <w:szCs w:val="21"/>
                <w:highlight w:val="none"/>
                <w:lang w:val="zh-CN"/>
              </w:rPr>
              <w:t>分</w:t>
            </w:r>
          </w:p>
        </w:tc>
      </w:tr>
    </w:tbl>
    <w:p>
      <w:pPr>
        <w:tabs>
          <w:tab w:val="left" w:pos="585"/>
        </w:tabs>
        <w:autoSpaceDE w:val="0"/>
        <w:autoSpaceDN w:val="0"/>
        <w:adjustRightInd w:val="0"/>
        <w:spacing w:line="360" w:lineRule="auto"/>
        <w:outlineLvl w:val="9"/>
        <w:rPr>
          <w:rFonts w:ascii="宋体" w:hAnsi="宋体" w:eastAsia="宋体" w:cs="宋体"/>
          <w:b/>
          <w:color w:val="auto"/>
          <w:szCs w:val="21"/>
          <w:highlight w:val="none"/>
        </w:rPr>
      </w:pPr>
      <w:bookmarkStart w:id="914" w:name="_Toc18349_WPSOffice_Level2"/>
    </w:p>
    <w:p>
      <w:pPr>
        <w:tabs>
          <w:tab w:val="left" w:pos="585"/>
        </w:tabs>
        <w:autoSpaceDE w:val="0"/>
        <w:autoSpaceDN w:val="0"/>
        <w:adjustRightInd w:val="0"/>
        <w:spacing w:line="360" w:lineRule="auto"/>
        <w:outlineLvl w:val="9"/>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914"/>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outlineLvl w:val="9"/>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hint="eastAsia" w:ascii="宋体" w:hAnsi="宋体" w:eastAsia="宋体" w:cs="宋体"/>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both"/>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投标人2020年-20</w:t>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zh-CN"/>
              </w:rPr>
              <w:t>年三个年度，每具有1个年度</w:t>
            </w:r>
            <w:r>
              <w:rPr>
                <w:rFonts w:hint="eastAsia" w:ascii="宋体" w:hAnsi="宋体" w:eastAsia="宋体" w:cs="宋体"/>
                <w:color w:val="auto"/>
                <w:sz w:val="21"/>
                <w:szCs w:val="21"/>
                <w:highlight w:val="none"/>
                <w:lang w:val="en-US" w:eastAsia="zh-CN"/>
              </w:rPr>
              <w:t>盈利</w:t>
            </w:r>
            <w:r>
              <w:rPr>
                <w:rFonts w:hint="eastAsia" w:ascii="宋体" w:hAnsi="宋体" w:eastAsia="宋体" w:cs="宋体"/>
                <w:color w:val="auto"/>
                <w:sz w:val="21"/>
                <w:szCs w:val="21"/>
                <w:highlight w:val="none"/>
                <w:lang w:val="zh-CN"/>
              </w:rPr>
              <w:t>的得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分，满分</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分。</w:t>
            </w:r>
          </w:p>
          <w:p>
            <w:pPr>
              <w:snapToGrid w:val="0"/>
              <w:spacing w:line="360" w:lineRule="auto"/>
              <w:jc w:val="both"/>
              <w:outlineLvl w:val="9"/>
              <w:rPr>
                <w:rFonts w:hint="eastAsia" w:ascii="宋体" w:hAnsi="宋体" w:eastAsia="宋体" w:cs="宋体"/>
                <w:b/>
                <w:color w:val="auto"/>
                <w:kern w:val="0"/>
                <w:szCs w:val="21"/>
                <w:highlight w:val="none"/>
                <w:lang w:val="zh-CN"/>
              </w:rPr>
            </w:pPr>
            <w:r>
              <w:rPr>
                <w:rFonts w:hint="eastAsia" w:ascii="宋体" w:hAnsi="宋体" w:eastAsia="宋体" w:cs="宋体"/>
                <w:b/>
                <w:color w:val="auto"/>
                <w:sz w:val="21"/>
                <w:szCs w:val="21"/>
                <w:highlight w:val="none"/>
              </w:rPr>
              <w:t>备注：</w:t>
            </w:r>
            <w:r>
              <w:rPr>
                <w:rFonts w:hint="eastAsia" w:ascii="宋体" w:hAnsi="宋体" w:eastAsia="宋体" w:cs="宋体"/>
                <w:b/>
                <w:color w:val="auto"/>
                <w:sz w:val="21"/>
                <w:szCs w:val="21"/>
                <w:highlight w:val="none"/>
                <w:lang w:val="zh-CN"/>
              </w:rPr>
              <w:t>盈</w:t>
            </w:r>
            <w:r>
              <w:rPr>
                <w:rFonts w:hint="eastAsia" w:ascii="宋体" w:hAnsi="宋体" w:eastAsia="宋体" w:cs="宋体"/>
                <w:b/>
                <w:color w:val="auto"/>
                <w:sz w:val="21"/>
                <w:szCs w:val="21"/>
                <w:highlight w:val="none"/>
                <w:lang w:val="en-US" w:eastAsia="zh-CN"/>
              </w:rPr>
              <w:t>利指净利润为正数（非零、非负数），</w:t>
            </w:r>
            <w:r>
              <w:rPr>
                <w:rFonts w:hint="eastAsia" w:ascii="宋体" w:hAnsi="宋体" w:eastAsia="宋体" w:cs="宋体"/>
                <w:b/>
                <w:color w:val="auto"/>
                <w:sz w:val="21"/>
                <w:szCs w:val="21"/>
                <w:highlight w:val="none"/>
              </w:rPr>
              <w:t>投标人应提供2020年、2021年、2022年三个年度的财务报表，</w:t>
            </w:r>
            <w:r>
              <w:rPr>
                <w:rFonts w:hint="eastAsia" w:ascii="宋体" w:hAnsi="宋体" w:eastAsia="宋体" w:cs="宋体"/>
                <w:b/>
                <w:color w:val="auto"/>
                <w:sz w:val="21"/>
                <w:szCs w:val="21"/>
                <w:highlight w:val="none"/>
                <w:lang w:val="zh-CN"/>
              </w:rPr>
              <w:t>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2</w:t>
            </w:r>
          </w:p>
        </w:tc>
        <w:tc>
          <w:tcPr>
            <w:tcW w:w="54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标准化程度</w:t>
            </w:r>
          </w:p>
        </w:tc>
        <w:tc>
          <w:tcPr>
            <w:tcW w:w="3691" w:type="pct"/>
            <w:tcBorders>
              <w:top w:val="single" w:color="auto" w:sz="4" w:space="0"/>
              <w:left w:val="single" w:color="auto" w:sz="4" w:space="0"/>
              <w:bottom w:val="single" w:color="auto" w:sz="4" w:space="0"/>
              <w:right w:val="single" w:color="auto" w:sz="4" w:space="0"/>
            </w:tcBorders>
            <w:vAlign w:val="center"/>
          </w:tcPr>
          <w:p>
            <w:pPr>
              <w:tabs>
                <w:tab w:val="left" w:pos="134"/>
              </w:tabs>
              <w:snapToGrid w:val="0"/>
              <w:spacing w:line="360" w:lineRule="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（1）投标人具有有效期内的ISO9001质量管理体系认证证书得1分；</w:t>
            </w:r>
          </w:p>
          <w:p>
            <w:pPr>
              <w:tabs>
                <w:tab w:val="left" w:pos="134"/>
              </w:tabs>
              <w:snapToGrid w:val="0"/>
              <w:spacing w:line="360" w:lineRule="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（2）投标人具有有效期内的ISO14001环境管理体系认证证书得1分；</w:t>
            </w:r>
          </w:p>
          <w:p>
            <w:pPr>
              <w:tabs>
                <w:tab w:val="left" w:pos="134"/>
              </w:tabs>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（3）投标人具有有效期内的OHSAS18001（或GB/T</w:t>
            </w:r>
            <w:r>
              <w:rPr>
                <w:rFonts w:hint="eastAsia" w:ascii="宋体" w:hAnsi="宋体" w:eastAsia="宋体" w:cs="宋体"/>
                <w:color w:val="auto"/>
                <w:sz w:val="21"/>
                <w:szCs w:val="21"/>
                <w:highlight w:val="none"/>
                <w:lang w:val="en-US" w:eastAsia="zh-CN"/>
              </w:rPr>
              <w:t>45001</w:t>
            </w:r>
            <w:r>
              <w:rPr>
                <w:rFonts w:hint="eastAsia" w:ascii="宋体" w:hAnsi="宋体" w:eastAsia="宋体" w:cs="宋体"/>
                <w:color w:val="auto"/>
                <w:sz w:val="21"/>
                <w:szCs w:val="21"/>
                <w:highlight w:val="none"/>
                <w:lang w:val="zh-CN"/>
              </w:rPr>
              <w:t>-20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zh-CN"/>
              </w:rPr>
              <w:t>，或ISO45001）职业健康安全管理体系认证证书得1分。</w:t>
            </w:r>
          </w:p>
          <w:p>
            <w:pPr>
              <w:snapToGrid w:val="0"/>
              <w:spacing w:line="360" w:lineRule="auto"/>
              <w:jc w:val="both"/>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sz w:val="21"/>
                <w:szCs w:val="21"/>
                <w:highlight w:val="none"/>
              </w:rPr>
              <w:t>备注：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bookmarkStart w:id="915" w:name="_Hlk104987354"/>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业绩</w:t>
            </w:r>
          </w:p>
        </w:tc>
        <w:tc>
          <w:tcPr>
            <w:tcW w:w="3691" w:type="pct"/>
            <w:tcBorders>
              <w:top w:val="single" w:color="auto" w:sz="4" w:space="0"/>
              <w:left w:val="single" w:color="auto" w:sz="4" w:space="0"/>
              <w:bottom w:val="single" w:color="auto" w:sz="4" w:space="0"/>
              <w:right w:val="single" w:color="auto" w:sz="4" w:space="0"/>
            </w:tcBorders>
            <w:vAlign w:val="center"/>
          </w:tcPr>
          <w:p>
            <w:pPr>
              <w:adjustRightInd/>
              <w:spacing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年1月1日以来承接的五金配件在国内的销售业绩，按下列情况评分，</w:t>
            </w:r>
            <w:r>
              <w:rPr>
                <w:rFonts w:hint="eastAsia" w:ascii="宋体" w:hAnsi="宋体" w:eastAsia="宋体" w:cs="宋体"/>
                <w:b/>
                <w:color w:val="auto"/>
                <w:sz w:val="21"/>
                <w:szCs w:val="21"/>
                <w:highlight w:val="none"/>
              </w:rPr>
              <w:t>本项业绩评审满分</w:t>
            </w:r>
            <w:r>
              <w:rPr>
                <w:rFonts w:hint="eastAsia" w:ascii="宋体" w:hAnsi="宋体" w:eastAsia="宋体" w:cs="宋体"/>
                <w:b/>
                <w:color w:val="auto"/>
                <w:sz w:val="21"/>
                <w:szCs w:val="21"/>
                <w:highlight w:val="none"/>
                <w:lang w:val="en-US" w:eastAsia="zh-CN"/>
              </w:rPr>
              <w:t>24</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pPr>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（1）单项合同金额≥</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0万元的前述业绩，每项得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pPr>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万元≤单项合同金额＜</w:t>
            </w:r>
            <w:r>
              <w:rPr>
                <w:rFonts w:hint="eastAsia" w:ascii="宋体" w:hAnsi="宋体" w:eastAsia="宋体" w:cs="宋体"/>
                <w:color w:val="auto"/>
                <w:sz w:val="21"/>
                <w:szCs w:val="21"/>
                <w:lang w:val="en-US" w:eastAsia="zh-CN"/>
              </w:rPr>
              <w:t>80</w:t>
            </w:r>
            <w:r>
              <w:rPr>
                <w:rFonts w:hint="eastAsia" w:ascii="宋体" w:hAnsi="宋体" w:eastAsia="宋体" w:cs="宋体"/>
                <w:color w:val="auto"/>
                <w:sz w:val="21"/>
                <w:szCs w:val="21"/>
              </w:rPr>
              <w:t>万元的前述业绩，每项得3分。</w:t>
            </w:r>
          </w:p>
          <w:p>
            <w:pPr>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0万元≤单项合同金额＜50万元的前述业绩，每项得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分，本子项满分</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p>
            <w:pPr>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pPr>
              <w:tabs>
                <w:tab w:val="left" w:pos="134"/>
              </w:tabs>
              <w:autoSpaceDE w:val="0"/>
              <w:autoSpaceDN w:val="0"/>
              <w:adjustRightInd w:val="0"/>
              <w:spacing w:line="400" w:lineRule="exact"/>
              <w:outlineLvl w:val="9"/>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①业绩须附</w:t>
            </w:r>
            <w:r>
              <w:rPr>
                <w:rFonts w:hint="eastAsia" w:ascii="宋体" w:hAnsi="宋体" w:eastAsia="宋体" w:cs="Times New Roman"/>
                <w:b/>
                <w:color w:val="auto"/>
                <w:kern w:val="0"/>
                <w:szCs w:val="21"/>
                <w:highlight w:val="none"/>
                <w:lang w:val="en-US" w:eastAsia="zh-CN"/>
              </w:rPr>
              <w:t>五金配件</w:t>
            </w:r>
            <w:r>
              <w:rPr>
                <w:rFonts w:hint="eastAsia" w:ascii="宋体" w:hAnsi="宋体" w:eastAsia="宋体" w:cs="Times New Roman"/>
                <w:b/>
                <w:color w:val="auto"/>
                <w:kern w:val="0"/>
                <w:szCs w:val="21"/>
                <w:highlight w:val="none"/>
              </w:rPr>
              <w:t>销售合同复印件（合同卖方为投标人）</w:t>
            </w:r>
            <w:r>
              <w:rPr>
                <w:rFonts w:hint="eastAsia" w:ascii="宋体" w:hAnsi="宋体" w:eastAsia="宋体" w:cs="Times New Roman"/>
                <w:b/>
                <w:color w:val="auto"/>
                <w:kern w:val="0"/>
                <w:szCs w:val="21"/>
                <w:highlight w:val="none"/>
                <w:lang w:eastAsia="zh-CN"/>
              </w:rPr>
              <w:t>，</w:t>
            </w:r>
            <w:r>
              <w:rPr>
                <w:rFonts w:hint="eastAsia" w:ascii="宋体" w:hAnsi="宋体" w:eastAsia="宋体" w:cs="Times New Roman"/>
                <w:b/>
                <w:color w:val="auto"/>
                <w:kern w:val="0"/>
                <w:szCs w:val="21"/>
                <w:highlight w:val="none"/>
                <w:lang w:val="en-US" w:eastAsia="zh-CN"/>
              </w:rPr>
              <w:t>否则不得分</w:t>
            </w:r>
            <w:r>
              <w:rPr>
                <w:rFonts w:hint="eastAsia" w:ascii="宋体" w:hAnsi="宋体" w:eastAsia="宋体" w:cs="Times New Roman"/>
                <w:b/>
                <w:color w:val="auto"/>
                <w:kern w:val="0"/>
                <w:szCs w:val="21"/>
                <w:highlight w:val="none"/>
              </w:rPr>
              <w:t>；</w:t>
            </w:r>
          </w:p>
          <w:p>
            <w:pPr>
              <w:tabs>
                <w:tab w:val="left" w:pos="134"/>
              </w:tabs>
              <w:autoSpaceDE w:val="0"/>
              <w:autoSpaceDN w:val="0"/>
              <w:adjustRightInd w:val="0"/>
              <w:spacing w:line="400" w:lineRule="exact"/>
              <w:outlineLvl w:val="9"/>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②若合同无法反映评分条件（合同签订日期为2021年1月1日或以后、合同标的必须包含五金配件、合同金额），还需提供购买方出具的书面补充说明文件复印件作为辅助证明（补充说明文件复印件能显示购买方公章）</w:t>
            </w:r>
            <w:r>
              <w:rPr>
                <w:rFonts w:hint="eastAsia" w:ascii="宋体" w:hAnsi="宋体" w:eastAsia="宋体" w:cs="宋体"/>
                <w:b/>
                <w:color w:val="auto"/>
                <w:sz w:val="21"/>
                <w:szCs w:val="21"/>
                <w:highlight w:val="none"/>
              </w:rPr>
              <w:t>，否则不得分</w:t>
            </w:r>
            <w:r>
              <w:rPr>
                <w:rFonts w:hint="eastAsia" w:ascii="宋体" w:hAnsi="宋体" w:eastAsia="宋体" w:cs="Times New Roman"/>
                <w:b/>
                <w:color w:val="auto"/>
                <w:kern w:val="0"/>
                <w:szCs w:val="21"/>
                <w:highlight w:val="none"/>
              </w:rPr>
              <w:t>；</w:t>
            </w:r>
          </w:p>
          <w:p>
            <w:pPr>
              <w:tabs>
                <w:tab w:val="left" w:pos="134"/>
              </w:tabs>
              <w:autoSpaceDE w:val="0"/>
              <w:autoSpaceDN w:val="0"/>
              <w:adjustRightInd w:val="0"/>
              <w:spacing w:line="400" w:lineRule="exact"/>
              <w:outlineLvl w:val="9"/>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③若业绩为框架式协议或资格入围无明确金额的合同，必须同时提供合同期限内已供货产品发票金额统计表和发票复印件</w:t>
            </w:r>
            <w:r>
              <w:rPr>
                <w:rFonts w:hint="eastAsia" w:ascii="宋体" w:hAnsi="宋体" w:eastAsia="宋体" w:cs="宋体"/>
                <w:b/>
                <w:color w:val="auto"/>
                <w:sz w:val="21"/>
                <w:szCs w:val="21"/>
                <w:highlight w:val="none"/>
              </w:rPr>
              <w:t>，否则不得分</w:t>
            </w:r>
            <w:r>
              <w:rPr>
                <w:rFonts w:hint="eastAsia" w:ascii="宋体" w:hAnsi="宋体" w:eastAsia="宋体" w:cs="Times New Roman"/>
                <w:b/>
                <w:color w:val="auto"/>
                <w:kern w:val="0"/>
                <w:szCs w:val="21"/>
                <w:highlight w:val="none"/>
              </w:rPr>
              <w:t>；</w:t>
            </w:r>
          </w:p>
          <w:p>
            <w:pPr>
              <w:tabs>
                <w:tab w:val="left" w:pos="134"/>
              </w:tabs>
              <w:autoSpaceDE w:val="0"/>
              <w:autoSpaceDN w:val="0"/>
              <w:adjustRightInd w:val="0"/>
              <w:spacing w:line="400" w:lineRule="exact"/>
              <w:outlineLvl w:val="9"/>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④未按上述要求</w:t>
            </w:r>
            <w:r>
              <w:rPr>
                <w:rFonts w:hint="eastAsia" w:ascii="宋体" w:hAnsi="宋体" w:eastAsia="宋体" w:cs="Times New Roman"/>
                <w:b/>
                <w:color w:val="auto"/>
                <w:kern w:val="0"/>
                <w:szCs w:val="21"/>
                <w:highlight w:val="none"/>
                <w:lang w:val="zh-CN"/>
              </w:rPr>
              <w:t>在此格式下</w:t>
            </w:r>
            <w:r>
              <w:rPr>
                <w:rFonts w:hint="eastAsia" w:ascii="宋体" w:hAnsi="宋体" w:eastAsia="宋体" w:cs="Times New Roman"/>
                <w:b/>
                <w:color w:val="auto"/>
                <w:kern w:val="0"/>
                <w:szCs w:val="21"/>
                <w:highlight w:val="none"/>
              </w:rPr>
              <w:t>提供证明材料的业绩，或</w:t>
            </w:r>
            <w:r>
              <w:rPr>
                <w:rFonts w:hint="eastAsia" w:ascii="宋体" w:hAnsi="宋体" w:eastAsia="宋体" w:cs="Times New Roman"/>
                <w:b/>
                <w:color w:val="auto"/>
                <w:kern w:val="0"/>
                <w:szCs w:val="21"/>
                <w:highlight w:val="none"/>
                <w:lang w:val="zh-CN"/>
              </w:rPr>
              <w:t>在此格式下</w:t>
            </w:r>
            <w:r>
              <w:rPr>
                <w:rFonts w:hint="eastAsia" w:ascii="宋体" w:hAnsi="宋体" w:eastAsia="宋体" w:cs="Times New Roman"/>
                <w:b/>
                <w:color w:val="auto"/>
                <w:kern w:val="0"/>
                <w:szCs w:val="21"/>
                <w:highlight w:val="none"/>
              </w:rPr>
              <w:t>所附材料无法证明填报项目属投标人完成的或符合本项评分要求的业绩，在评标时将不予考虑。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46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outlineLvl w:val="9"/>
              <w:rPr>
                <w:rFonts w:hint="eastAsia" w:ascii="宋体" w:hAnsi="宋体" w:eastAsia="宋体" w:cs="宋体"/>
                <w:b/>
                <w:color w:val="auto"/>
                <w:kern w:val="0"/>
                <w:szCs w:val="21"/>
                <w:highlight w:val="none"/>
              </w:rPr>
            </w:pPr>
            <w:bookmarkStart w:id="916" w:name="_Toc11639_WPSOffice_Level2"/>
            <w:r>
              <w:rPr>
                <w:rFonts w:hint="eastAsia" w:ascii="宋体" w:hAnsi="宋体" w:eastAsia="宋体" w:cs="宋体"/>
                <w:b/>
                <w:color w:val="auto"/>
                <w:sz w:val="21"/>
                <w:szCs w:val="21"/>
                <w:highlight w:val="none"/>
                <w:lang w:val="zh-CN"/>
              </w:rPr>
              <w:t>商务总分</w:t>
            </w:r>
          </w:p>
        </w:tc>
        <w:tc>
          <w:tcPr>
            <w:tcW w:w="90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outlineLvl w:val="9"/>
              <w:rPr>
                <w:rFonts w:hint="eastAsia" w:ascii="宋体" w:hAnsi="宋体" w:eastAsia="宋体" w:cs="宋体"/>
                <w:color w:val="auto"/>
                <w:szCs w:val="24"/>
                <w:highlight w:val="none"/>
                <w:lang w:val="en-US" w:eastAsia="zh-CN"/>
              </w:rPr>
            </w:pPr>
            <w:r>
              <w:rPr>
                <w:rFonts w:hint="eastAsia" w:ascii="宋体" w:hAnsi="宋体" w:eastAsia="宋体" w:cs="宋体"/>
                <w:b/>
                <w:color w:val="auto"/>
                <w:sz w:val="21"/>
                <w:szCs w:val="21"/>
                <w:highlight w:val="none"/>
              </w:rPr>
              <w:t>30分</w:t>
            </w:r>
          </w:p>
        </w:tc>
      </w:tr>
      <w:bookmarkEnd w:id="915"/>
    </w:tbl>
    <w:p>
      <w:pPr>
        <w:autoSpaceDE w:val="0"/>
        <w:autoSpaceDN w:val="0"/>
        <w:adjustRightInd w:val="0"/>
        <w:ind w:right="-26" w:firstLine="480"/>
        <w:jc w:val="center"/>
        <w:outlineLvl w:val="9"/>
        <w:rPr>
          <w:rFonts w:ascii="宋体" w:hAnsi="宋体" w:eastAsia="宋体" w:cs="Times New Roman"/>
          <w:b/>
          <w:bCs/>
          <w:color w:val="auto"/>
          <w:kern w:val="0"/>
          <w:sz w:val="24"/>
          <w:szCs w:val="24"/>
          <w:highlight w:val="none"/>
        </w:rPr>
      </w:pPr>
    </w:p>
    <w:p>
      <w:pPr>
        <w:tabs>
          <w:tab w:val="left" w:pos="585"/>
        </w:tabs>
        <w:autoSpaceDE w:val="0"/>
        <w:autoSpaceDN w:val="0"/>
        <w:adjustRightInd w:val="0"/>
        <w:spacing w:line="360" w:lineRule="auto"/>
        <w:outlineLvl w:val="9"/>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bookmarkEnd w:id="916"/>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outlineLvl w:val="9"/>
              <w:rPr>
                <w:rFonts w:ascii="宋体" w:hAnsi="宋体" w:eastAsia="宋体" w:cs="宋体"/>
                <w:b/>
                <w:color w:val="auto"/>
                <w:kern w:val="0"/>
                <w:szCs w:val="21"/>
                <w:highlight w:val="none"/>
              </w:rPr>
            </w:pPr>
            <w:bookmarkStart w:id="917"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outlineLvl w:val="9"/>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val="0"/>
              <w:snapToGrid/>
              <w:spacing w:line="360" w:lineRule="exact"/>
              <w:ind w:firstLine="0" w:firstLine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lang w:val="zh-CN"/>
              </w:rPr>
              <w:t>用户需求响应程度</w:t>
            </w:r>
          </w:p>
        </w:tc>
        <w:tc>
          <w:tcPr>
            <w:tcW w:w="3691" w:type="pct"/>
            <w:tcBorders>
              <w:top w:val="single" w:color="auto" w:sz="4" w:space="0"/>
              <w:left w:val="single" w:color="auto" w:sz="4" w:space="0"/>
              <w:bottom w:val="single" w:color="auto" w:sz="4" w:space="0"/>
              <w:right w:val="single" w:color="auto" w:sz="4" w:space="0"/>
            </w:tcBorders>
            <w:vAlign w:val="center"/>
          </w:tcPr>
          <w:p>
            <w:pPr>
              <w:spacing w:line="360" w:lineRule="auto"/>
              <w:ind w:left="0" w:leftChars="0" w:firstLine="0" w:firstLine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lang w:val="zh-CN"/>
              </w:rPr>
              <w:t>根据用户需求偏离表的偏离情况进行评审计分，完全满足用户需求的要求得满分，每一处负偏离，扣2分；同时参照其投标文件中技术资料的内容进行对比，每发现一处投标人填写为无偏离或正偏离，但评标委员会评审认定其为负偏离的，每处扣4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val="0"/>
              <w:snapToGrid/>
              <w:spacing w:line="360" w:lineRule="exact"/>
              <w:ind w:firstLine="0" w:firstLine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val="0"/>
              <w:snapToGrid/>
              <w:spacing w:line="360" w:lineRule="exact"/>
              <w:ind w:firstLine="0" w:firstLine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rPr>
              <w:t>所投</w:t>
            </w:r>
            <w:r>
              <w:rPr>
                <w:rFonts w:hint="eastAsia" w:ascii="宋体" w:hAnsi="宋体" w:eastAsia="宋体" w:cs="宋体"/>
                <w:color w:val="auto"/>
                <w:kern w:val="2"/>
                <w:sz w:val="21"/>
                <w:szCs w:val="21"/>
                <w:lang w:val="en-US" w:eastAsia="zh-CN"/>
              </w:rPr>
              <w:t>五</w:t>
            </w:r>
            <w:r>
              <w:rPr>
                <w:rFonts w:hint="eastAsia" w:ascii="宋体" w:hAnsi="宋体" w:eastAsia="宋体" w:cs="宋体"/>
                <w:color w:val="auto"/>
                <w:kern w:val="2"/>
                <w:sz w:val="21"/>
                <w:szCs w:val="21"/>
              </w:rPr>
              <w:t>金配件品牌</w:t>
            </w:r>
          </w:p>
        </w:tc>
        <w:tc>
          <w:tcPr>
            <w:tcW w:w="3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val="0"/>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对各投标人所投</w:t>
            </w:r>
            <w:r>
              <w:rPr>
                <w:rFonts w:hint="eastAsia" w:ascii="宋体" w:hAnsi="宋体" w:eastAsia="宋体" w:cs="宋体"/>
                <w:color w:val="auto"/>
                <w:kern w:val="2"/>
                <w:sz w:val="21"/>
                <w:szCs w:val="21"/>
                <w:lang w:val="en-US" w:eastAsia="zh-CN"/>
              </w:rPr>
              <w:t>五</w:t>
            </w:r>
            <w:r>
              <w:rPr>
                <w:rFonts w:hint="eastAsia" w:ascii="宋体" w:hAnsi="宋体" w:eastAsia="宋体" w:cs="宋体"/>
                <w:color w:val="auto"/>
                <w:kern w:val="2"/>
                <w:sz w:val="21"/>
                <w:szCs w:val="21"/>
              </w:rPr>
              <w:t>金配</w:t>
            </w:r>
            <w:r>
              <w:rPr>
                <w:rFonts w:hint="eastAsia" w:ascii="宋体" w:hAnsi="宋体" w:eastAsia="宋体" w:cs="宋体"/>
                <w:color w:val="auto"/>
                <w:kern w:val="2"/>
                <w:sz w:val="21"/>
                <w:szCs w:val="21"/>
                <w:lang w:val="en-US" w:eastAsia="zh-CN"/>
              </w:rPr>
              <w:t>件</w:t>
            </w:r>
            <w:r>
              <w:rPr>
                <w:rFonts w:hint="eastAsia" w:ascii="宋体" w:hAnsi="宋体" w:eastAsia="宋体" w:cs="宋体"/>
                <w:color w:val="auto"/>
                <w:sz w:val="21"/>
                <w:szCs w:val="21"/>
                <w:lang w:val="en-US" w:eastAsia="zh-CN"/>
              </w:rPr>
              <w:t>的品牌与采购清单中五金配件推荐品牌的匹配情况进行评审：投标人所投五金配件的品牌与采购清单中五金配件推荐品牌都匹配的得满分。每有1项的投标人所投五金配件的品牌与采购清单中五金配件推荐品牌不匹配的，扣2分，扣完为止。</w:t>
            </w:r>
          </w:p>
          <w:p>
            <w:pPr>
              <w:tabs>
                <w:tab w:val="left" w:pos="134"/>
              </w:tabs>
              <w:snapToGrid w:val="0"/>
              <w:spacing w:line="360" w:lineRule="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p>
            <w:pPr>
              <w:tabs>
                <w:tab w:val="left" w:pos="134"/>
              </w:tabs>
              <w:snapToGrid w:val="0"/>
              <w:spacing w:line="360" w:lineRule="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（1）投标人应提供投标品牌表，否则不得分。</w:t>
            </w:r>
          </w:p>
          <w:p>
            <w:pPr>
              <w:tabs>
                <w:tab w:val="left" w:pos="134"/>
              </w:tabs>
              <w:snapToGrid w:val="0"/>
              <w:spacing w:line="360" w:lineRule="auto"/>
              <w:outlineLvl w:val="9"/>
              <w:rPr>
                <w:rFonts w:hint="eastAsia"/>
                <w:color w:val="auto"/>
              </w:rPr>
            </w:pPr>
            <w:r>
              <w:rPr>
                <w:rFonts w:hint="eastAsia" w:ascii="宋体" w:hAnsi="宋体" w:eastAsia="宋体" w:cs="宋体"/>
                <w:b/>
                <w:bCs/>
                <w:color w:val="auto"/>
                <w:sz w:val="21"/>
                <w:szCs w:val="21"/>
                <w:highlight w:val="none"/>
                <w:lang w:val="en-US" w:eastAsia="zh-CN"/>
              </w:rPr>
              <w:t>（2）投标人所投五金配件的投标品牌与采购清单中五金配件的推荐品牌中至少有一个品牌一致的即为匹配；若采购清单中五金配件的推荐品牌为任意品牌的，投标人所投品牌视为匹配。</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val="0"/>
              <w:snapToGrid/>
              <w:spacing w:line="360" w:lineRule="exact"/>
              <w:ind w:firstLine="0" w:firstLine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val="0"/>
              <w:snapToGrid/>
              <w:spacing w:line="360" w:lineRule="exact"/>
              <w:ind w:firstLine="0" w:firstLine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rPr>
              <w:t>所投劳保物资品牌</w:t>
            </w:r>
          </w:p>
        </w:tc>
        <w:tc>
          <w:tcPr>
            <w:tcW w:w="3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val="0"/>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对各投标人所投</w:t>
            </w:r>
            <w:r>
              <w:rPr>
                <w:rFonts w:hint="eastAsia" w:ascii="宋体" w:hAnsi="宋体" w:eastAsia="宋体" w:cs="宋体"/>
                <w:color w:val="auto"/>
                <w:kern w:val="2"/>
                <w:sz w:val="21"/>
                <w:szCs w:val="21"/>
                <w:lang w:val="en-US" w:eastAsia="zh-CN"/>
              </w:rPr>
              <w:t>劳保物资</w:t>
            </w:r>
            <w:r>
              <w:rPr>
                <w:rFonts w:hint="eastAsia" w:ascii="宋体" w:hAnsi="宋体" w:eastAsia="宋体" w:cs="宋体"/>
                <w:color w:val="auto"/>
                <w:sz w:val="21"/>
                <w:szCs w:val="21"/>
                <w:lang w:val="en-US" w:eastAsia="zh-CN"/>
              </w:rPr>
              <w:t>的品牌与采购清单中劳保物资推荐品牌的匹配情况进行评审：投标人所投劳保物资的品牌与采购清单中劳保物资推荐品牌都匹配的得满分。每有1项的投标人所投劳保物资的品牌与采购清单中劳保物资推荐品牌不匹配的，扣1分，扣完为止。</w:t>
            </w:r>
          </w:p>
          <w:p>
            <w:pPr>
              <w:keepNext w:val="0"/>
              <w:keepLines w:val="0"/>
              <w:pageBreakBefore w:val="0"/>
              <w:widowControl w:val="0"/>
              <w:numPr>
                <w:ilvl w:val="0"/>
                <w:numId w:val="0"/>
              </w:numPr>
              <w:kinsoku/>
              <w:wordWrap w:val="0"/>
              <w:overflowPunct/>
              <w:topLinePunct w:val="0"/>
              <w:autoSpaceDE w:val="0"/>
              <w:autoSpaceDN w:val="0"/>
              <w:bidi w:val="0"/>
              <w:adjustRightInd w:val="0"/>
              <w:snapToGrid/>
              <w:spacing w:line="360" w:lineRule="auto"/>
              <w:ind w:left="0" w:leftChars="0" w:firstLine="0" w:firstLineChars="0"/>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备注：</w:t>
            </w:r>
          </w:p>
          <w:p>
            <w:pPr>
              <w:tabs>
                <w:tab w:val="left" w:pos="134"/>
              </w:tabs>
              <w:snapToGrid w:val="0"/>
              <w:spacing w:line="360" w:lineRule="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（1）投标人应提供投标品牌表，否则不得分。</w:t>
            </w:r>
          </w:p>
          <w:p>
            <w:pPr>
              <w:keepNext w:val="0"/>
              <w:keepLines w:val="0"/>
              <w:pageBreakBefore w:val="0"/>
              <w:widowControl w:val="0"/>
              <w:numPr>
                <w:ilvl w:val="0"/>
                <w:numId w:val="0"/>
              </w:numPr>
              <w:kinsoku/>
              <w:wordWrap w:val="0"/>
              <w:overflowPunct/>
              <w:topLinePunct w:val="0"/>
              <w:autoSpaceDE w:val="0"/>
              <w:autoSpaceDN w:val="0"/>
              <w:bidi w:val="0"/>
              <w:adjustRightInd w:val="0"/>
              <w:snapToGrid/>
              <w:spacing w:line="360" w:lineRule="auto"/>
              <w:ind w:left="0" w:leftChars="0" w:firstLine="0" w:firstLineChars="0"/>
              <w:textAlignment w:val="auto"/>
              <w:outlineLvl w:val="9"/>
              <w:rPr>
                <w:rFonts w:hint="default" w:ascii="宋体" w:hAnsi="宋体" w:eastAsia="宋体" w:cs="宋体"/>
                <w:color w:val="auto"/>
                <w:kern w:val="0"/>
                <w:sz w:val="21"/>
                <w:szCs w:val="21"/>
                <w:highlight w:val="none"/>
                <w:lang w:val="en-US"/>
              </w:rPr>
            </w:pPr>
            <w:r>
              <w:rPr>
                <w:rFonts w:hint="eastAsia" w:ascii="宋体" w:hAnsi="宋体" w:eastAsia="宋体" w:cs="宋体"/>
                <w:b/>
                <w:bCs/>
                <w:color w:val="auto"/>
                <w:sz w:val="21"/>
                <w:szCs w:val="21"/>
                <w:highlight w:val="none"/>
                <w:lang w:val="en-US" w:eastAsia="zh-CN"/>
              </w:rPr>
              <w:t>（2）投标人所投劳保物资的投标品牌与采购清单中劳保物资的推荐品牌中至少有一个品牌一致的即为匹配；若采购清单中劳保物资的推荐品牌为任意品牌的，投标人所投品牌视为匹配。</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val="0"/>
              <w:snapToGrid/>
              <w:spacing w:line="360" w:lineRule="exact"/>
              <w:ind w:firstLine="0" w:firstLine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0" w:firstLine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rPr>
              <w:t>整体供货服务流程</w:t>
            </w:r>
          </w:p>
        </w:tc>
        <w:tc>
          <w:tcPr>
            <w:tcW w:w="3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rPr>
              <w:t>对各投标人所提供的整体供货服务流程内容是否全面、思路清晰，对本项目工作的重点、难点分析准确、透彻，对应措施科学、可操作性强，服务计划完善、统筹合理等进行横向对比，按优[5-4]分、良（4-2]分，中（2-1]分，差（1-0]分进行评审。</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0" w:firstLine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lang w:val="zh-CN"/>
              </w:rPr>
              <w:t>供货计划及进度保证措施方案</w:t>
            </w:r>
          </w:p>
        </w:tc>
        <w:tc>
          <w:tcPr>
            <w:tcW w:w="3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rPr>
              <w:t>对各投标人所提供的供货计划是否实质性满足或优于本项目需求，进度保证措施具体、可行性进行横向比较，按优[4-3]分、良（3-2]分、中（2-1]分、差（1-0]分进行评审。</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rPr>
              <w:t>售后服务质量保证和承诺</w:t>
            </w:r>
          </w:p>
        </w:tc>
        <w:tc>
          <w:tcPr>
            <w:tcW w:w="3691" w:type="pct"/>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kinsoku/>
              <w:wordWrap/>
              <w:overflowPunct/>
              <w:topLinePunct w:val="0"/>
              <w:autoSpaceDE w:val="0"/>
              <w:autoSpaceDN w:val="0"/>
              <w:bidi w:val="0"/>
              <w:adjustRightInd w:val="0"/>
              <w:snapToGrid/>
              <w:spacing w:line="360" w:lineRule="auto"/>
              <w:ind w:right="-28" w:rightChars="0" w:firstLine="0" w:firstLineChars="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 w:val="0"/>
                <w:color w:val="auto"/>
                <w:sz w:val="21"/>
                <w:szCs w:val="21"/>
              </w:rPr>
              <w:t>对各投标人的售后服务质量保证和承诺方案内容的完整性、可行性，售后服务机构的便利性、技术服务人员数量及水平，以及服务响应时间等方面进行横向对比，按优[3-2]分、良（2-1.5]分、中（1.5-1]分、差（1-0]分进行评审。</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463" w:type="dxa"/>
            <w:gridSpan w:val="3"/>
            <w:tcBorders>
              <w:top w:val="single" w:color="auto" w:sz="4" w:space="0"/>
              <w:left w:val="single" w:color="auto" w:sz="4" w:space="0"/>
              <w:right w:val="single" w:color="auto" w:sz="4" w:space="0"/>
            </w:tcBorders>
            <w:vAlign w:val="center"/>
          </w:tcPr>
          <w:p>
            <w:pPr>
              <w:snapToGrid w:val="0"/>
              <w:spacing w:line="240" w:lineRule="auto"/>
              <w:jc w:val="center"/>
              <w:outlineLvl w:val="9"/>
              <w:rPr>
                <w:rFonts w:hint="eastAsia" w:ascii="宋体" w:hAnsi="宋体" w:eastAsia="宋体" w:cs="宋体"/>
                <w:b w:val="0"/>
                <w:color w:val="auto"/>
                <w:sz w:val="21"/>
                <w:szCs w:val="21"/>
              </w:rPr>
            </w:pPr>
            <w:r>
              <w:rPr>
                <w:rFonts w:hint="eastAsia" w:ascii="宋体" w:hAnsi="宋体" w:eastAsia="宋体" w:cs="宋体"/>
                <w:b/>
                <w:color w:val="auto"/>
                <w:sz w:val="21"/>
                <w:szCs w:val="21"/>
                <w:highlight w:val="none"/>
                <w:lang w:val="en-US" w:eastAsia="zh-CN"/>
              </w:rPr>
              <w:t>技术</w:t>
            </w:r>
            <w:r>
              <w:rPr>
                <w:rFonts w:hint="eastAsia" w:ascii="宋体" w:hAnsi="宋体" w:eastAsia="宋体" w:cs="宋体"/>
                <w:b/>
                <w:color w:val="auto"/>
                <w:sz w:val="21"/>
                <w:szCs w:val="21"/>
                <w:highlight w:val="none"/>
                <w:lang w:val="zh-CN"/>
              </w:rPr>
              <w:t>总分</w:t>
            </w:r>
          </w:p>
        </w:tc>
        <w:tc>
          <w:tcPr>
            <w:tcW w:w="907" w:type="dxa"/>
            <w:tcBorders>
              <w:top w:val="single" w:color="auto" w:sz="4" w:space="0"/>
              <w:left w:val="single" w:color="auto" w:sz="4" w:space="0"/>
              <w:right w:val="single" w:color="auto" w:sz="4" w:space="0"/>
            </w:tcBorders>
            <w:vAlign w:val="center"/>
          </w:tcPr>
          <w:p>
            <w:pPr>
              <w:snapToGrid w:val="0"/>
              <w:spacing w:line="240" w:lineRule="auto"/>
              <w:jc w:val="center"/>
              <w:outlineLvl w:val="9"/>
              <w:rPr>
                <w:rFonts w:hint="eastAsia" w:ascii="宋体" w:hAnsi="宋体" w:eastAsia="宋体" w:cs="宋体"/>
                <w:color w:val="auto"/>
                <w:sz w:val="21"/>
                <w:szCs w:val="21"/>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0分</w:t>
            </w:r>
          </w:p>
        </w:tc>
      </w:tr>
      <w:bookmarkEnd w:id="917"/>
    </w:tbl>
    <w:p>
      <w:pPr>
        <w:autoSpaceDE w:val="0"/>
        <w:autoSpaceDN w:val="0"/>
        <w:adjustRightInd w:val="0"/>
        <w:spacing w:line="360" w:lineRule="auto"/>
        <w:ind w:left="420" w:leftChars="200" w:firstLine="420" w:firstLineChars="2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0" w:firstLineChars="2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pPr>
        <w:autoSpaceDE w:val="0"/>
        <w:autoSpaceDN w:val="0"/>
        <w:adjustRightInd w:val="0"/>
        <w:spacing w:line="360" w:lineRule="auto"/>
        <w:ind w:left="420" w:leftChars="200" w:firstLine="420" w:firstLineChars="200"/>
        <w:outlineLvl w:val="9"/>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pPr>
        <w:autoSpaceDE w:val="0"/>
        <w:autoSpaceDN w:val="0"/>
        <w:adjustRightInd w:val="0"/>
        <w:spacing w:line="360" w:lineRule="auto"/>
        <w:ind w:left="420" w:leftChars="200" w:firstLine="422" w:firstLineChars="200"/>
        <w:outlineLvl w:val="9"/>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1701"/>
        </w:tabs>
        <w:autoSpaceDE w:val="0"/>
        <w:autoSpaceDN w:val="0"/>
        <w:adjustRightInd w:val="0"/>
        <w:spacing w:line="360" w:lineRule="auto"/>
        <w:outlineLvl w:val="9"/>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left="480" w:firstLine="211" w:firstLineChars="100"/>
        <w:outlineLvl w:val="9"/>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left="420" w:leftChars="200" w:firstLine="420" w:firstLineChars="200"/>
        <w:outlineLvl w:val="9"/>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0" w:firstLineChars="200"/>
        <w:outlineLvl w:val="9"/>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outlineLvl w:val="9"/>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u w:val="singl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u w:val="single"/>
          <w:lang w:val="en-US" w:eastAsia="zh-CN"/>
        </w:rPr>
        <w:t>从</w:t>
      </w:r>
      <w:r>
        <w:rPr>
          <w:rFonts w:hint="eastAsia" w:ascii="宋体" w:hAnsi="宋体" w:eastAsia="宋体" w:cs="宋体"/>
          <w:b/>
          <w:color w:val="auto"/>
          <w:kern w:val="0"/>
          <w:szCs w:val="21"/>
          <w:highlight w:val="none"/>
          <w:u w:val="single"/>
          <w:lang w:val="zh-CN"/>
        </w:rPr>
        <w:t>多数的原则，获多数表决通过的投标人才有资格进入下一阶段的评审,否则将按无效投标处理</w:t>
      </w:r>
      <w:r>
        <w:rPr>
          <w:rFonts w:hint="eastAsia" w:ascii="宋体" w:hAnsi="宋体" w:eastAsia="宋体" w:cs="宋体"/>
          <w:b/>
          <w:color w:val="auto"/>
          <w:kern w:val="0"/>
          <w:szCs w:val="21"/>
          <w:highlight w:val="none"/>
          <w:lang w:val="zh-CN"/>
        </w:rPr>
        <w:t>。</w:t>
      </w:r>
    </w:p>
    <w:p>
      <w:pPr>
        <w:spacing w:line="360" w:lineRule="auto"/>
        <w:ind w:left="420" w:leftChars="200" w:firstLine="420" w:firstLineChars="200"/>
        <w:outlineLvl w:val="9"/>
        <w:rPr>
          <w:rFonts w:ascii="宋体" w:hAnsi="宋体" w:eastAsia="宋体" w:cs="宋体"/>
          <w:color w:val="auto"/>
          <w:kern w:val="0"/>
          <w:szCs w:val="21"/>
          <w:highlight w:val="none"/>
          <w:lang w:val="zh-CN"/>
        </w:rPr>
      </w:pPr>
    </w:p>
    <w:p>
      <w:pPr>
        <w:spacing w:line="360" w:lineRule="auto"/>
        <w:ind w:left="480" w:firstLine="211" w:firstLineChars="100"/>
        <w:outlineLvl w:val="9"/>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pPr>
        <w:autoSpaceDN w:val="0"/>
        <w:adjustRightInd w:val="0"/>
        <w:snapToGrid w:val="0"/>
        <w:spacing w:line="360" w:lineRule="auto"/>
        <w:ind w:left="420" w:leftChars="100" w:hanging="210" w:hangingChars="100"/>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rPr>
        <w:t>根据有效投标人的投标</w:t>
      </w:r>
      <w:r>
        <w:rPr>
          <w:rFonts w:hint="eastAsia" w:ascii="宋体" w:hAnsi="宋体" w:eastAsia="宋体" w:cs="宋体"/>
          <w:color w:val="auto"/>
          <w:kern w:val="0"/>
          <w:szCs w:val="21"/>
          <w:lang w:val="en-US" w:eastAsia="zh-CN"/>
        </w:rPr>
        <w:t>报价</w:t>
      </w:r>
      <w:r>
        <w:rPr>
          <w:rFonts w:hint="eastAsia" w:ascii="宋体" w:hAnsi="宋体" w:eastAsia="宋体" w:cs="宋体"/>
          <w:color w:val="auto"/>
          <w:kern w:val="0"/>
          <w:szCs w:val="21"/>
        </w:rPr>
        <w:t>“折扣系数”，最低投标</w:t>
      </w:r>
      <w:r>
        <w:rPr>
          <w:rFonts w:hint="eastAsia" w:ascii="宋体" w:hAnsi="宋体" w:eastAsia="宋体" w:cs="宋体"/>
          <w:color w:val="auto"/>
          <w:kern w:val="0"/>
          <w:szCs w:val="21"/>
          <w:lang w:val="en-US" w:eastAsia="zh-CN"/>
        </w:rPr>
        <w:t>报价</w:t>
      </w:r>
      <w:r>
        <w:rPr>
          <w:rFonts w:hint="eastAsia" w:ascii="宋体" w:hAnsi="宋体" w:eastAsia="宋体" w:cs="宋体"/>
          <w:color w:val="auto"/>
          <w:kern w:val="0"/>
          <w:szCs w:val="21"/>
        </w:rPr>
        <w:t>“折扣系数”作为基准</w:t>
      </w:r>
      <w:r>
        <w:rPr>
          <w:rFonts w:hint="eastAsia" w:ascii="宋体" w:hAnsi="宋体" w:eastAsia="宋体" w:cs="宋体"/>
          <w:color w:val="auto"/>
          <w:kern w:val="0"/>
          <w:szCs w:val="21"/>
          <w:lang w:val="en-US" w:eastAsia="zh-CN"/>
        </w:rPr>
        <w:t>价</w:t>
      </w:r>
      <w:r>
        <w:rPr>
          <w:rFonts w:hint="eastAsia" w:ascii="宋体" w:hAnsi="宋体" w:eastAsia="宋体" w:cs="宋体"/>
          <w:color w:val="auto"/>
          <w:kern w:val="0"/>
          <w:szCs w:val="21"/>
        </w:rPr>
        <w:t>（Y）。投标人投标</w:t>
      </w:r>
      <w:r>
        <w:rPr>
          <w:rFonts w:hint="eastAsia" w:ascii="宋体" w:hAnsi="宋体" w:eastAsia="宋体" w:cs="宋体"/>
          <w:color w:val="auto"/>
          <w:kern w:val="0"/>
          <w:szCs w:val="21"/>
          <w:lang w:val="en-US" w:eastAsia="zh-CN"/>
        </w:rPr>
        <w:t>报价</w:t>
      </w:r>
      <w:r>
        <w:rPr>
          <w:rFonts w:hint="eastAsia" w:ascii="宋体" w:hAnsi="宋体" w:eastAsia="宋体" w:cs="宋体"/>
          <w:color w:val="auto"/>
          <w:kern w:val="0"/>
          <w:szCs w:val="21"/>
        </w:rPr>
        <w:t>“折扣系数”（X）等于基准</w:t>
      </w:r>
      <w:r>
        <w:rPr>
          <w:rFonts w:hint="eastAsia" w:ascii="宋体" w:hAnsi="宋体" w:eastAsia="宋体" w:cs="宋体"/>
          <w:color w:val="auto"/>
          <w:kern w:val="0"/>
          <w:szCs w:val="21"/>
          <w:lang w:val="en-US" w:eastAsia="zh-CN"/>
        </w:rPr>
        <w:t>价</w:t>
      </w:r>
      <w:r>
        <w:rPr>
          <w:rFonts w:hint="eastAsia" w:ascii="宋体" w:hAnsi="宋体" w:eastAsia="宋体" w:cs="宋体"/>
          <w:color w:val="auto"/>
          <w:kern w:val="0"/>
          <w:szCs w:val="21"/>
        </w:rPr>
        <w:t>的得满分</w:t>
      </w:r>
      <w:r>
        <w:rPr>
          <w:rFonts w:hint="eastAsia" w:ascii="宋体" w:hAnsi="宋体" w:eastAsia="宋体" w:cs="宋体"/>
          <w:color w:val="auto"/>
          <w:kern w:val="0"/>
          <w:szCs w:val="21"/>
          <w:lang w:val="en-US" w:eastAsia="zh-CN"/>
        </w:rPr>
        <w:t>30</w:t>
      </w:r>
      <w:r>
        <w:rPr>
          <w:rFonts w:hint="eastAsia" w:ascii="宋体" w:hAnsi="宋体" w:eastAsia="宋体" w:cs="宋体"/>
          <w:color w:val="auto"/>
          <w:kern w:val="0"/>
          <w:szCs w:val="21"/>
        </w:rPr>
        <w:t>分，其他投标人的价格得分统一按照下列公式计算：</w:t>
      </w:r>
    </w:p>
    <w:p>
      <w:pPr>
        <w:autoSpaceDN w:val="0"/>
        <w:adjustRightInd w:val="0"/>
        <w:snapToGrid w:val="0"/>
        <w:spacing w:line="360" w:lineRule="auto"/>
        <w:ind w:left="420" w:leftChars="100" w:hanging="210" w:hangingChars="100"/>
        <w:outlineLvl w:val="9"/>
        <w:rPr>
          <w:rFonts w:ascii="宋体" w:hAnsi="宋体" w:eastAsia="宋体" w:cs="宋体"/>
          <w:color w:val="auto"/>
          <w:kern w:val="0"/>
          <w:szCs w:val="21"/>
          <w:highlight w:val="none"/>
        </w:rPr>
      </w:pPr>
      <w:r>
        <w:rPr>
          <w:rFonts w:hint="eastAsia" w:ascii="宋体" w:hAnsi="宋体" w:eastAsia="宋体" w:cs="宋体"/>
          <w:color w:val="auto"/>
          <w:kern w:val="0"/>
          <w:szCs w:val="21"/>
        </w:rPr>
        <w:t xml:space="preserve">    价格得分=(基准</w:t>
      </w:r>
      <w:r>
        <w:rPr>
          <w:rFonts w:hint="eastAsia" w:ascii="宋体" w:hAnsi="宋体" w:eastAsia="宋体" w:cs="宋体"/>
          <w:color w:val="auto"/>
          <w:kern w:val="0"/>
          <w:szCs w:val="21"/>
          <w:lang w:val="en-US" w:eastAsia="zh-CN"/>
        </w:rPr>
        <w:t>价</w:t>
      </w:r>
      <w:r>
        <w:rPr>
          <w:rFonts w:hint="eastAsia" w:ascii="宋体" w:hAnsi="宋体" w:eastAsia="宋体" w:cs="宋体"/>
          <w:color w:val="auto"/>
          <w:kern w:val="0"/>
          <w:szCs w:val="21"/>
        </w:rPr>
        <w:t>／投标</w:t>
      </w:r>
      <w:r>
        <w:rPr>
          <w:rFonts w:hint="eastAsia" w:ascii="宋体" w:hAnsi="宋体" w:eastAsia="宋体" w:cs="宋体"/>
          <w:color w:val="auto"/>
          <w:kern w:val="0"/>
          <w:szCs w:val="21"/>
          <w:lang w:val="en-US" w:eastAsia="zh-CN"/>
        </w:rPr>
        <w:t>报价</w:t>
      </w:r>
      <w:r>
        <w:rPr>
          <w:rFonts w:hint="eastAsia" w:ascii="宋体" w:hAnsi="宋体" w:eastAsia="宋体" w:cs="宋体"/>
          <w:color w:val="auto"/>
          <w:kern w:val="0"/>
          <w:szCs w:val="21"/>
        </w:rPr>
        <w:t>“折扣系数”)×</w:t>
      </w:r>
      <w:r>
        <w:rPr>
          <w:rFonts w:hint="eastAsia" w:ascii="宋体" w:hAnsi="宋体" w:eastAsia="宋体" w:cs="宋体"/>
          <w:color w:val="auto"/>
          <w:kern w:val="0"/>
          <w:szCs w:val="21"/>
          <w:lang w:val="en-US" w:eastAsia="zh-CN"/>
        </w:rPr>
        <w:t>30</w:t>
      </w:r>
    </w:p>
    <w:p>
      <w:pPr>
        <w:autoSpaceDN w:val="0"/>
        <w:adjustRightInd w:val="0"/>
        <w:snapToGrid w:val="0"/>
        <w:spacing w:line="360" w:lineRule="auto"/>
        <w:ind w:firstLine="210" w:firstLineChars="100"/>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pPr>
        <w:tabs>
          <w:tab w:val="left" w:pos="585"/>
        </w:tabs>
        <w:autoSpaceDE w:val="0"/>
        <w:autoSpaceDN w:val="0"/>
        <w:adjustRightInd w:val="0"/>
        <w:spacing w:line="400" w:lineRule="exact"/>
        <w:outlineLvl w:val="9"/>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400" w:lineRule="exact"/>
        <w:ind w:firstLine="848" w:firstLineChars="404"/>
        <w:outlineLvl w:val="9"/>
        <w:rPr>
          <w:rFonts w:ascii="宋体" w:hAnsi="宋体" w:eastAsia="宋体" w:cs="宋体"/>
          <w:color w:val="auto"/>
          <w:kern w:val="0"/>
          <w:szCs w:val="28"/>
          <w:highlight w:val="none"/>
          <w:lang w:val="zh-CN"/>
        </w:rPr>
      </w:pPr>
      <w:bookmarkStart w:id="918" w:name="_Toc31624_WPSOffice_Level2"/>
      <w:r>
        <w:rPr>
          <w:rFonts w:hint="eastAsia" w:ascii="宋体" w:hAnsi="宋体" w:eastAsia="宋体" w:cs="宋体"/>
          <w:color w:val="auto"/>
          <w:kern w:val="0"/>
          <w:szCs w:val="28"/>
          <w:highlight w:val="none"/>
          <w:lang w:val="zh-CN"/>
        </w:rPr>
        <w:t>评标总得分=F1＋F2＋……+Fn</w:t>
      </w:r>
      <w:bookmarkEnd w:id="918"/>
    </w:p>
    <w:p>
      <w:pPr>
        <w:widowControl/>
        <w:autoSpaceDE w:val="0"/>
        <w:autoSpaceDN w:val="0"/>
        <w:adjustRightInd w:val="0"/>
        <w:spacing w:line="400" w:lineRule="exact"/>
        <w:ind w:firstLine="840" w:firstLineChars="400"/>
        <w:jc w:val="left"/>
        <w:outlineLvl w:val="9"/>
        <w:rPr>
          <w:rFonts w:ascii="宋体" w:hAnsi="宋体" w:eastAsia="宋体" w:cs="宋体"/>
          <w:color w:val="auto"/>
          <w:kern w:val="0"/>
          <w:szCs w:val="21"/>
          <w:highlight w:val="none"/>
        </w:rPr>
      </w:pPr>
      <w:bookmarkStart w:id="919" w:name="_Toc13236_WPSOffice_Level2"/>
      <w:r>
        <w:rPr>
          <w:rFonts w:hint="eastAsia" w:ascii="宋体" w:hAnsi="宋体" w:eastAsia="宋体" w:cs="宋体"/>
          <w:color w:val="auto"/>
          <w:kern w:val="0"/>
          <w:szCs w:val="21"/>
          <w:highlight w:val="none"/>
        </w:rPr>
        <w:t>F1、F2、……Fn分别为各项评分因素的得分</w:t>
      </w:r>
      <w:bookmarkEnd w:id="919"/>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outlineLvl w:val="9"/>
        <w:rPr>
          <w:rFonts w:ascii="宋体" w:hAnsi="宋体" w:eastAsia="宋体" w:cs="宋体"/>
          <w:b/>
          <w:bCs/>
          <w:color w:val="auto"/>
          <w:sz w:val="28"/>
          <w:szCs w:val="28"/>
          <w:highlight w:val="none"/>
        </w:rPr>
      </w:pPr>
    </w:p>
    <w:p>
      <w:pPr>
        <w:autoSpaceDE w:val="0"/>
        <w:autoSpaceDN w:val="0"/>
        <w:adjustRightInd w:val="0"/>
        <w:spacing w:line="360" w:lineRule="auto"/>
        <w:jc w:val="center"/>
        <w:outlineLvl w:val="9"/>
        <w:rPr>
          <w:rFonts w:ascii="宋体" w:hAnsi="宋体" w:eastAsia="宋体" w:cs="宋体"/>
          <w:b/>
          <w:bCs/>
          <w:color w:val="auto"/>
          <w:sz w:val="28"/>
          <w:szCs w:val="28"/>
          <w:highlight w:val="none"/>
        </w:rPr>
      </w:pPr>
      <w:bookmarkStart w:id="920" w:name="_Toc518_WPSOffice_Level1"/>
      <w:r>
        <w:rPr>
          <w:rFonts w:hint="eastAsia" w:ascii="宋体" w:hAnsi="宋体" w:eastAsia="宋体" w:cs="宋体"/>
          <w:b/>
          <w:bCs/>
          <w:color w:val="auto"/>
          <w:sz w:val="28"/>
          <w:szCs w:val="28"/>
          <w:highlight w:val="none"/>
          <w:lang w:val="zh-CN"/>
        </w:rPr>
        <w:t>五、推荐中标人</w:t>
      </w:r>
      <w:bookmarkEnd w:id="920"/>
    </w:p>
    <w:p>
      <w:pPr>
        <w:autoSpaceDE w:val="0"/>
        <w:autoSpaceDN w:val="0"/>
        <w:adjustRightInd w:val="0"/>
        <w:spacing w:line="360" w:lineRule="auto"/>
        <w:ind w:left="420" w:hanging="420" w:hangingChars="200"/>
        <w:jc w:val="left"/>
        <w:outlineLvl w:val="9"/>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outlineLvl w:val="9"/>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outlineLvl w:val="9"/>
        <w:rPr>
          <w:rFonts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outlineLvl w:val="9"/>
        <w:rPr>
          <w:rFonts w:ascii="宋体" w:hAnsi="宋体" w:eastAsia="宋体" w:cs="宋体"/>
          <w:b/>
          <w:bCs/>
          <w:color w:val="auto"/>
          <w:sz w:val="28"/>
          <w:szCs w:val="28"/>
          <w:highlight w:val="none"/>
          <w:lang w:val="zh-CN"/>
        </w:rPr>
      </w:pPr>
      <w:bookmarkStart w:id="921" w:name="_Toc22724_WPSOffice_Level1"/>
      <w:r>
        <w:rPr>
          <w:rFonts w:hint="eastAsia" w:ascii="宋体" w:hAnsi="宋体" w:eastAsia="宋体" w:cs="宋体"/>
          <w:b/>
          <w:bCs/>
          <w:color w:val="auto"/>
          <w:sz w:val="28"/>
          <w:szCs w:val="28"/>
          <w:highlight w:val="none"/>
          <w:lang w:val="zh-CN"/>
        </w:rPr>
        <w:t>六、编写评标报告</w:t>
      </w:r>
      <w:bookmarkEnd w:id="921"/>
    </w:p>
    <w:p>
      <w:pPr>
        <w:autoSpaceDE w:val="0"/>
        <w:autoSpaceDN w:val="0"/>
        <w:adjustRightInd w:val="0"/>
        <w:spacing w:line="360" w:lineRule="auto"/>
        <w:ind w:left="420" w:hanging="420" w:hangingChars="200"/>
        <w:jc w:val="left"/>
        <w:outlineLvl w:val="9"/>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outlineLvl w:val="9"/>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outlineLvl w:val="9"/>
        <w:rPr>
          <w:rFonts w:ascii="宋体" w:hAnsi="宋体" w:eastAsia="宋体" w:cs="宋体"/>
          <w:b/>
          <w:bCs/>
          <w:color w:val="auto"/>
          <w:sz w:val="28"/>
          <w:szCs w:val="28"/>
          <w:highlight w:val="none"/>
          <w:lang w:val="zh-CN"/>
        </w:rPr>
      </w:pPr>
    </w:p>
    <w:p>
      <w:pPr>
        <w:autoSpaceDE w:val="0"/>
        <w:autoSpaceDN w:val="0"/>
        <w:adjustRightInd w:val="0"/>
        <w:spacing w:line="360" w:lineRule="auto"/>
        <w:jc w:val="center"/>
        <w:outlineLvl w:val="9"/>
        <w:rPr>
          <w:rFonts w:ascii="宋体" w:hAnsi="宋体" w:eastAsia="宋体" w:cs="宋体"/>
          <w:b/>
          <w:bCs/>
          <w:color w:val="auto"/>
          <w:sz w:val="30"/>
          <w:szCs w:val="30"/>
          <w:highlight w:val="none"/>
          <w:lang w:val="zh-CN"/>
        </w:rPr>
      </w:pPr>
      <w:bookmarkStart w:id="922" w:name="_Toc23773_WPSOffice_Level1"/>
      <w:r>
        <w:rPr>
          <w:rFonts w:hint="eastAsia" w:ascii="宋体" w:hAnsi="宋体" w:eastAsia="宋体" w:cs="宋体"/>
          <w:b/>
          <w:bCs/>
          <w:color w:val="auto"/>
          <w:sz w:val="28"/>
          <w:szCs w:val="28"/>
          <w:highlight w:val="none"/>
          <w:lang w:val="zh-CN"/>
        </w:rPr>
        <w:t>七、注意事项</w:t>
      </w:r>
      <w:bookmarkEnd w:id="922"/>
    </w:p>
    <w:p>
      <w:pPr>
        <w:autoSpaceDE w:val="0"/>
        <w:autoSpaceDN w:val="0"/>
        <w:adjustRightInd w:val="0"/>
        <w:spacing w:line="360" w:lineRule="auto"/>
        <w:ind w:left="420" w:hanging="420" w:hangingChars="2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outlineLvl w:val="9"/>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881"/>
    <w:bookmarkEnd w:id="897"/>
    <w:bookmarkEnd w:id="898"/>
    <w:bookmarkEnd w:id="899"/>
    <w:p>
      <w:pPr>
        <w:widowControl/>
        <w:jc w:val="left"/>
        <w:outlineLvl w:val="9"/>
        <w:rPr>
          <w:rFonts w:ascii="宋体" w:hAnsi="宋体" w:eastAsia="宋体" w:cs="宋体"/>
          <w:color w:val="auto"/>
          <w:szCs w:val="24"/>
          <w:highlight w:val="none"/>
          <w:lang w:val="zh-CN"/>
        </w:rPr>
      </w:pPr>
    </w:p>
    <w:sectPr>
      <w:pgSz w:w="12240" w:h="15840"/>
      <w:pgMar w:top="1191" w:right="1043" w:bottom="1191" w:left="1043" w:header="720" w:footer="720" w:gutter="0"/>
      <w:cols w:space="0" w:num="1"/>
      <w:titlePg/>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YjU3ZWI0MDdlMjA5MGM2NmM2YWIwZWE0NzlkZmUifQ=="/>
    <w:docVar w:name="KSO_WPS_MARK_KEY" w:val="6338a0c3-3b6d-45c8-8918-8ac77a7c5879"/>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34CC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844480"/>
    <w:rsid w:val="019B1E99"/>
    <w:rsid w:val="02FE5AC7"/>
    <w:rsid w:val="04645C5C"/>
    <w:rsid w:val="05020C55"/>
    <w:rsid w:val="05172669"/>
    <w:rsid w:val="054516BB"/>
    <w:rsid w:val="058F7720"/>
    <w:rsid w:val="05CD0844"/>
    <w:rsid w:val="061C1D8A"/>
    <w:rsid w:val="06447858"/>
    <w:rsid w:val="06A75D00"/>
    <w:rsid w:val="07DE0C70"/>
    <w:rsid w:val="07F8491F"/>
    <w:rsid w:val="081C6A60"/>
    <w:rsid w:val="08681B4E"/>
    <w:rsid w:val="08855F10"/>
    <w:rsid w:val="089E0931"/>
    <w:rsid w:val="08D3590F"/>
    <w:rsid w:val="0915058C"/>
    <w:rsid w:val="0927450F"/>
    <w:rsid w:val="09516E31"/>
    <w:rsid w:val="096714B6"/>
    <w:rsid w:val="09BF48E8"/>
    <w:rsid w:val="0A1C5EE4"/>
    <w:rsid w:val="0A9B6F5B"/>
    <w:rsid w:val="0ABD7826"/>
    <w:rsid w:val="0B8B53D4"/>
    <w:rsid w:val="0C340E12"/>
    <w:rsid w:val="0CA11DC5"/>
    <w:rsid w:val="0CF103CF"/>
    <w:rsid w:val="0D01330D"/>
    <w:rsid w:val="0DC566A4"/>
    <w:rsid w:val="0E436D81"/>
    <w:rsid w:val="0E5E4367"/>
    <w:rsid w:val="0F241091"/>
    <w:rsid w:val="10753242"/>
    <w:rsid w:val="11BE138E"/>
    <w:rsid w:val="12161F1C"/>
    <w:rsid w:val="12265263"/>
    <w:rsid w:val="130F4A87"/>
    <w:rsid w:val="135B36C0"/>
    <w:rsid w:val="14005CAE"/>
    <w:rsid w:val="14037464"/>
    <w:rsid w:val="14615A10"/>
    <w:rsid w:val="1572229C"/>
    <w:rsid w:val="157A317B"/>
    <w:rsid w:val="15C7135C"/>
    <w:rsid w:val="161177B5"/>
    <w:rsid w:val="1639260C"/>
    <w:rsid w:val="16445414"/>
    <w:rsid w:val="16F93C3E"/>
    <w:rsid w:val="17664824"/>
    <w:rsid w:val="17BE5093"/>
    <w:rsid w:val="19680D53"/>
    <w:rsid w:val="19BD329A"/>
    <w:rsid w:val="19EE61BF"/>
    <w:rsid w:val="1A460F6C"/>
    <w:rsid w:val="1A4A782D"/>
    <w:rsid w:val="1A907FA2"/>
    <w:rsid w:val="1A93020C"/>
    <w:rsid w:val="1B0940FF"/>
    <w:rsid w:val="1B133F35"/>
    <w:rsid w:val="1C632683"/>
    <w:rsid w:val="1CCD3D1C"/>
    <w:rsid w:val="1CDB7EE7"/>
    <w:rsid w:val="1D58525A"/>
    <w:rsid w:val="1E0B7894"/>
    <w:rsid w:val="1E2471AC"/>
    <w:rsid w:val="1E6C2189"/>
    <w:rsid w:val="1EB35E71"/>
    <w:rsid w:val="1EDE05B1"/>
    <w:rsid w:val="1FA14AB3"/>
    <w:rsid w:val="20167F3D"/>
    <w:rsid w:val="2063294D"/>
    <w:rsid w:val="207A1985"/>
    <w:rsid w:val="20E117F4"/>
    <w:rsid w:val="211427EC"/>
    <w:rsid w:val="21BF60EB"/>
    <w:rsid w:val="221A4A74"/>
    <w:rsid w:val="2329366E"/>
    <w:rsid w:val="23562D09"/>
    <w:rsid w:val="23A73661"/>
    <w:rsid w:val="24F45147"/>
    <w:rsid w:val="2520344C"/>
    <w:rsid w:val="264E182E"/>
    <w:rsid w:val="26BE2395"/>
    <w:rsid w:val="28104485"/>
    <w:rsid w:val="281752F4"/>
    <w:rsid w:val="286E02B3"/>
    <w:rsid w:val="28BC76C6"/>
    <w:rsid w:val="28CD7B64"/>
    <w:rsid w:val="28DA73F5"/>
    <w:rsid w:val="29132FD9"/>
    <w:rsid w:val="29250377"/>
    <w:rsid w:val="2952197F"/>
    <w:rsid w:val="296E5BE6"/>
    <w:rsid w:val="296F0D49"/>
    <w:rsid w:val="29A55857"/>
    <w:rsid w:val="2A6B1A48"/>
    <w:rsid w:val="2A71692E"/>
    <w:rsid w:val="2A981940"/>
    <w:rsid w:val="2B7F4383"/>
    <w:rsid w:val="2BC82818"/>
    <w:rsid w:val="2BEE53CC"/>
    <w:rsid w:val="2C037186"/>
    <w:rsid w:val="2C361745"/>
    <w:rsid w:val="2C85114F"/>
    <w:rsid w:val="2CBE6E97"/>
    <w:rsid w:val="2CFC2BFE"/>
    <w:rsid w:val="2D764A7E"/>
    <w:rsid w:val="2DB11966"/>
    <w:rsid w:val="2E1D6A4E"/>
    <w:rsid w:val="2E93385C"/>
    <w:rsid w:val="2F820AEC"/>
    <w:rsid w:val="2F950BEE"/>
    <w:rsid w:val="2FE41D13"/>
    <w:rsid w:val="2FFD2C39"/>
    <w:rsid w:val="305A54BE"/>
    <w:rsid w:val="30B3415B"/>
    <w:rsid w:val="30BD39F7"/>
    <w:rsid w:val="30C80289"/>
    <w:rsid w:val="30CC4571"/>
    <w:rsid w:val="31432866"/>
    <w:rsid w:val="314D028A"/>
    <w:rsid w:val="31B44D52"/>
    <w:rsid w:val="31BA62E4"/>
    <w:rsid w:val="32683D58"/>
    <w:rsid w:val="33123BF6"/>
    <w:rsid w:val="338803C7"/>
    <w:rsid w:val="346F12EE"/>
    <w:rsid w:val="34C71150"/>
    <w:rsid w:val="350772DE"/>
    <w:rsid w:val="355530AA"/>
    <w:rsid w:val="36015CEC"/>
    <w:rsid w:val="364631D7"/>
    <w:rsid w:val="366C6584"/>
    <w:rsid w:val="368928C2"/>
    <w:rsid w:val="36B24207"/>
    <w:rsid w:val="36C32811"/>
    <w:rsid w:val="389B345D"/>
    <w:rsid w:val="38F15B07"/>
    <w:rsid w:val="397A6507"/>
    <w:rsid w:val="39A33F88"/>
    <w:rsid w:val="39A634C1"/>
    <w:rsid w:val="3AF91842"/>
    <w:rsid w:val="3B0D508E"/>
    <w:rsid w:val="3B1F29B6"/>
    <w:rsid w:val="3B8E088C"/>
    <w:rsid w:val="3B9971A7"/>
    <w:rsid w:val="3BC01FB5"/>
    <w:rsid w:val="3C306E2F"/>
    <w:rsid w:val="3C8F50EE"/>
    <w:rsid w:val="3D5F6F75"/>
    <w:rsid w:val="3E157D2B"/>
    <w:rsid w:val="3E341654"/>
    <w:rsid w:val="3F5B255F"/>
    <w:rsid w:val="3FA95890"/>
    <w:rsid w:val="40233C04"/>
    <w:rsid w:val="41AC5C39"/>
    <w:rsid w:val="41B45A71"/>
    <w:rsid w:val="42981D42"/>
    <w:rsid w:val="43B43404"/>
    <w:rsid w:val="43B50E83"/>
    <w:rsid w:val="43B93E58"/>
    <w:rsid w:val="44A02DC8"/>
    <w:rsid w:val="44F60DF5"/>
    <w:rsid w:val="450E42B1"/>
    <w:rsid w:val="45726B7D"/>
    <w:rsid w:val="45D3067D"/>
    <w:rsid w:val="461C13FE"/>
    <w:rsid w:val="47712C2C"/>
    <w:rsid w:val="47E44C46"/>
    <w:rsid w:val="48963714"/>
    <w:rsid w:val="497A6F18"/>
    <w:rsid w:val="49A70F89"/>
    <w:rsid w:val="4A2D0686"/>
    <w:rsid w:val="4A4C2E4E"/>
    <w:rsid w:val="4AA979CE"/>
    <w:rsid w:val="4C567E51"/>
    <w:rsid w:val="4D0B43E1"/>
    <w:rsid w:val="4D850CA5"/>
    <w:rsid w:val="4D9A68F3"/>
    <w:rsid w:val="4DB55B25"/>
    <w:rsid w:val="4DE72E3F"/>
    <w:rsid w:val="4EE554BC"/>
    <w:rsid w:val="4F0A4599"/>
    <w:rsid w:val="4FCD1AFA"/>
    <w:rsid w:val="50461F8A"/>
    <w:rsid w:val="51D70BAC"/>
    <w:rsid w:val="52C6295D"/>
    <w:rsid w:val="52F80915"/>
    <w:rsid w:val="53362C11"/>
    <w:rsid w:val="538A319A"/>
    <w:rsid w:val="53CF5D70"/>
    <w:rsid w:val="53EC7B9C"/>
    <w:rsid w:val="541F4DCC"/>
    <w:rsid w:val="54C47921"/>
    <w:rsid w:val="566C16FF"/>
    <w:rsid w:val="568802DB"/>
    <w:rsid w:val="56B37004"/>
    <w:rsid w:val="57815DCB"/>
    <w:rsid w:val="581C7176"/>
    <w:rsid w:val="58C20FBB"/>
    <w:rsid w:val="58D6479E"/>
    <w:rsid w:val="59633BAD"/>
    <w:rsid w:val="5A1522A3"/>
    <w:rsid w:val="5A950736"/>
    <w:rsid w:val="5B164740"/>
    <w:rsid w:val="5BE12FA3"/>
    <w:rsid w:val="5D8866EC"/>
    <w:rsid w:val="5E090206"/>
    <w:rsid w:val="5E153C98"/>
    <w:rsid w:val="5E2F5A0A"/>
    <w:rsid w:val="5E696136"/>
    <w:rsid w:val="5EBF421E"/>
    <w:rsid w:val="5ECD34F0"/>
    <w:rsid w:val="5EE148A7"/>
    <w:rsid w:val="604675FB"/>
    <w:rsid w:val="60A305BA"/>
    <w:rsid w:val="60FE3819"/>
    <w:rsid w:val="612D5203"/>
    <w:rsid w:val="616F7FFA"/>
    <w:rsid w:val="61CC04B6"/>
    <w:rsid w:val="61CE2214"/>
    <w:rsid w:val="62223B4C"/>
    <w:rsid w:val="626264EA"/>
    <w:rsid w:val="62B13874"/>
    <w:rsid w:val="62D072A2"/>
    <w:rsid w:val="632308B3"/>
    <w:rsid w:val="63546E84"/>
    <w:rsid w:val="63672753"/>
    <w:rsid w:val="63A62CB0"/>
    <w:rsid w:val="64052956"/>
    <w:rsid w:val="641978DC"/>
    <w:rsid w:val="645779AB"/>
    <w:rsid w:val="65472B37"/>
    <w:rsid w:val="65685C58"/>
    <w:rsid w:val="65B012F7"/>
    <w:rsid w:val="65E62E7A"/>
    <w:rsid w:val="66275027"/>
    <w:rsid w:val="67043D29"/>
    <w:rsid w:val="67364881"/>
    <w:rsid w:val="67BB5990"/>
    <w:rsid w:val="685965F5"/>
    <w:rsid w:val="68E56C8B"/>
    <w:rsid w:val="69326694"/>
    <w:rsid w:val="69362DAC"/>
    <w:rsid w:val="69C23A30"/>
    <w:rsid w:val="6A22716C"/>
    <w:rsid w:val="6A2D329E"/>
    <w:rsid w:val="6AAD178D"/>
    <w:rsid w:val="6AE606B8"/>
    <w:rsid w:val="6AF51C28"/>
    <w:rsid w:val="6BAB49A5"/>
    <w:rsid w:val="6CC649E7"/>
    <w:rsid w:val="6D722BD2"/>
    <w:rsid w:val="6D935BD4"/>
    <w:rsid w:val="6DF022FF"/>
    <w:rsid w:val="6E183290"/>
    <w:rsid w:val="6EEA564F"/>
    <w:rsid w:val="6F2B143E"/>
    <w:rsid w:val="6F3E3023"/>
    <w:rsid w:val="6F5F71DE"/>
    <w:rsid w:val="6F6F261D"/>
    <w:rsid w:val="70DD16C4"/>
    <w:rsid w:val="71A0688C"/>
    <w:rsid w:val="71E5642B"/>
    <w:rsid w:val="72151374"/>
    <w:rsid w:val="72404862"/>
    <w:rsid w:val="724A21DE"/>
    <w:rsid w:val="72A03F09"/>
    <w:rsid w:val="731F0EFC"/>
    <w:rsid w:val="73C84461"/>
    <w:rsid w:val="743D7CF2"/>
    <w:rsid w:val="75331FA6"/>
    <w:rsid w:val="756C0933"/>
    <w:rsid w:val="767A2D19"/>
    <w:rsid w:val="76B56927"/>
    <w:rsid w:val="76CE33B8"/>
    <w:rsid w:val="76E16FFF"/>
    <w:rsid w:val="779E05C2"/>
    <w:rsid w:val="77FD7B1D"/>
    <w:rsid w:val="786B0D77"/>
    <w:rsid w:val="78714468"/>
    <w:rsid w:val="78B26CC3"/>
    <w:rsid w:val="79B73D64"/>
    <w:rsid w:val="79FF3FC3"/>
    <w:rsid w:val="7AE26A85"/>
    <w:rsid w:val="7AEA4BD1"/>
    <w:rsid w:val="7B551993"/>
    <w:rsid w:val="7B8E1948"/>
    <w:rsid w:val="7C6A15B3"/>
    <w:rsid w:val="7CC663F8"/>
    <w:rsid w:val="7CCE1516"/>
    <w:rsid w:val="7D6457E7"/>
    <w:rsid w:val="7DA01DC8"/>
    <w:rsid w:val="7E676F26"/>
    <w:rsid w:val="7EEE184F"/>
    <w:rsid w:val="7EFC59F8"/>
    <w:rsid w:val="7F0B0C63"/>
    <w:rsid w:val="7F857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customStyle="1" w:styleId="9">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2"/>
    <w:unhideWhenUsed/>
    <w:qFormat/>
    <w:uiPriority w:val="99"/>
    <w:pPr>
      <w:jc w:val="left"/>
    </w:pPr>
  </w:style>
  <w:style w:type="paragraph" w:styleId="18">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20"/>
    <w:link w:val="117"/>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First Indent"/>
    <w:basedOn w:val="19"/>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1">
    <w:name w:val="Body Text Indent"/>
    <w:basedOn w:val="1"/>
    <w:link w:val="91"/>
    <w:qFormat/>
    <w:uiPriority w:val="0"/>
    <w:pPr>
      <w:ind w:left="567" w:leftChars="270"/>
    </w:pPr>
    <w:rPr>
      <w:rFonts w:ascii="Times New Roman" w:hAnsi="Times New Roman" w:eastAsia="宋体" w:cs="Times New Roman"/>
      <w:szCs w:val="20"/>
    </w:rPr>
  </w:style>
  <w:style w:type="paragraph" w:styleId="22">
    <w:name w:val="toc 3"/>
    <w:basedOn w:val="1"/>
    <w:next w:val="1"/>
    <w:unhideWhenUsed/>
    <w:qFormat/>
    <w:uiPriority w:val="39"/>
    <w:pPr>
      <w:tabs>
        <w:tab w:val="right" w:leader="dot" w:pos="10144"/>
      </w:tabs>
      <w:ind w:left="840" w:leftChars="400"/>
    </w:pPr>
  </w:style>
  <w:style w:type="paragraph" w:styleId="23">
    <w:name w:val="Plain Text"/>
    <w:basedOn w:val="1"/>
    <w:link w:val="99"/>
    <w:qFormat/>
    <w:uiPriority w:val="0"/>
    <w:rPr>
      <w:rFonts w:ascii="宋体" w:hAnsi="Courier New" w:eastAsia="宋体"/>
    </w:rPr>
  </w:style>
  <w:style w:type="paragraph" w:styleId="24">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6">
    <w:name w:val="Balloon Text"/>
    <w:basedOn w:val="1"/>
    <w:link w:val="73"/>
    <w:qFormat/>
    <w:uiPriority w:val="0"/>
    <w:rPr>
      <w:rFonts w:ascii="Times New Roman" w:hAnsi="Times New Roman" w:eastAsia="宋体" w:cs="Times New Roman"/>
      <w:sz w:val="18"/>
      <w:szCs w:val="18"/>
    </w:rPr>
  </w:style>
  <w:style w:type="paragraph" w:styleId="27">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unhideWhenUsed/>
    <w:qFormat/>
    <w:uiPriority w:val="39"/>
  </w:style>
  <w:style w:type="paragraph" w:styleId="30">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toc 2"/>
    <w:basedOn w:val="1"/>
    <w:next w:val="1"/>
    <w:semiHidden/>
    <w:unhideWhenUsed/>
    <w:qFormat/>
    <w:uiPriority w:val="39"/>
    <w:pPr>
      <w:ind w:left="420" w:leftChars="200"/>
    </w:pPr>
  </w:style>
  <w:style w:type="paragraph" w:styleId="33">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4">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5">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6">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7">
    <w:name w:val="annotation subject"/>
    <w:basedOn w:val="17"/>
    <w:next w:val="17"/>
    <w:link w:val="109"/>
    <w:qFormat/>
    <w:uiPriority w:val="99"/>
    <w:pPr>
      <w:autoSpaceDE w:val="0"/>
      <w:autoSpaceDN w:val="0"/>
      <w:adjustRightInd w:val="0"/>
    </w:pPr>
    <w:rPr>
      <w:rFonts w:ascii="宋体" w:hAnsi="Times New Roman" w:eastAsia="宋体" w:cs="Times New Roman"/>
      <w:b/>
      <w:bCs/>
      <w:kern w:val="0"/>
      <w:sz w:val="24"/>
      <w:szCs w:val="24"/>
    </w:rPr>
  </w:style>
  <w:style w:type="table" w:styleId="39">
    <w:name w:val="Table Grid"/>
    <w:basedOn w:val="3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FollowedHyperlink"/>
    <w:unhideWhenUsed/>
    <w:qFormat/>
    <w:uiPriority w:val="99"/>
    <w:rPr>
      <w:color w:val="954F72"/>
      <w:u w:val="single"/>
    </w:rPr>
  </w:style>
  <w:style w:type="character" w:styleId="43">
    <w:name w:val="Emphasis"/>
    <w:qFormat/>
    <w:uiPriority w:val="0"/>
    <w:rPr>
      <w:i/>
      <w:iCs/>
    </w:rPr>
  </w:style>
  <w:style w:type="character" w:styleId="44">
    <w:name w:val="Hyperlink"/>
    <w:qFormat/>
    <w:uiPriority w:val="99"/>
    <w:rPr>
      <w:rFonts w:hint="default" w:ascii="Arial" w:hAnsi="Arial" w:cs="Arial"/>
      <w:color w:val="000000"/>
      <w:sz w:val="20"/>
      <w:szCs w:val="20"/>
      <w:u w:val="none"/>
    </w:rPr>
  </w:style>
  <w:style w:type="character" w:styleId="45">
    <w:name w:val="annotation reference"/>
    <w:basedOn w:val="40"/>
    <w:qFormat/>
    <w:uiPriority w:val="99"/>
    <w:rPr>
      <w:sz w:val="21"/>
      <w:szCs w:val="21"/>
    </w:rPr>
  </w:style>
  <w:style w:type="character" w:customStyle="1" w:styleId="46">
    <w:name w:val="标题 1 字符"/>
    <w:basedOn w:val="40"/>
    <w:qFormat/>
    <w:uiPriority w:val="0"/>
    <w:rPr>
      <w:b/>
      <w:bCs/>
      <w:kern w:val="44"/>
      <w:sz w:val="44"/>
      <w:szCs w:val="44"/>
    </w:rPr>
  </w:style>
  <w:style w:type="character" w:customStyle="1" w:styleId="47">
    <w:name w:val="标题 2 Char"/>
    <w:basedOn w:val="40"/>
    <w:link w:val="4"/>
    <w:qFormat/>
    <w:uiPriority w:val="0"/>
    <w:rPr>
      <w:rFonts w:ascii="宋体" w:hAnsi="Calibri" w:eastAsia="宋体" w:cs="Times New Roman"/>
      <w:kern w:val="0"/>
      <w:sz w:val="24"/>
      <w:szCs w:val="24"/>
    </w:rPr>
  </w:style>
  <w:style w:type="character" w:customStyle="1" w:styleId="48">
    <w:name w:val="标题 3 字符"/>
    <w:basedOn w:val="40"/>
    <w:qFormat/>
    <w:uiPriority w:val="0"/>
    <w:rPr>
      <w:b/>
      <w:bCs/>
      <w:sz w:val="32"/>
      <w:szCs w:val="32"/>
    </w:rPr>
  </w:style>
  <w:style w:type="character" w:customStyle="1" w:styleId="49">
    <w:name w:val="标题 4 Char1"/>
    <w:basedOn w:val="40"/>
    <w:link w:val="6"/>
    <w:qFormat/>
    <w:uiPriority w:val="9"/>
    <w:rPr>
      <w:rFonts w:ascii="Arial" w:hAnsi="Arial" w:eastAsia="黑体" w:cs="Times New Roman"/>
      <w:b/>
      <w:bCs/>
      <w:kern w:val="0"/>
      <w:sz w:val="28"/>
      <w:szCs w:val="28"/>
    </w:rPr>
  </w:style>
  <w:style w:type="character" w:customStyle="1" w:styleId="50">
    <w:name w:val="标题 5 字符"/>
    <w:basedOn w:val="40"/>
    <w:qFormat/>
    <w:uiPriority w:val="9"/>
    <w:rPr>
      <w:b/>
      <w:bCs/>
      <w:sz w:val="28"/>
      <w:szCs w:val="28"/>
    </w:rPr>
  </w:style>
  <w:style w:type="character" w:customStyle="1" w:styleId="51">
    <w:name w:val="标题 6 字符"/>
    <w:basedOn w:val="40"/>
    <w:qFormat/>
    <w:uiPriority w:val="0"/>
    <w:rPr>
      <w:rFonts w:asciiTheme="majorHAnsi" w:hAnsiTheme="majorHAnsi" w:eastAsiaTheme="majorEastAsia" w:cstheme="majorBidi"/>
      <w:b/>
      <w:bCs/>
      <w:sz w:val="24"/>
      <w:szCs w:val="24"/>
    </w:rPr>
  </w:style>
  <w:style w:type="character" w:customStyle="1" w:styleId="52">
    <w:name w:val="标题 7 Char"/>
    <w:basedOn w:val="40"/>
    <w:link w:val="10"/>
    <w:qFormat/>
    <w:uiPriority w:val="9"/>
    <w:rPr>
      <w:rFonts w:ascii="Times New Roman" w:hAnsi="Calibri" w:eastAsia="黑体" w:cs="Times New Roman"/>
      <w:b/>
      <w:bCs/>
      <w:kern w:val="0"/>
      <w:sz w:val="28"/>
      <w:szCs w:val="24"/>
    </w:rPr>
  </w:style>
  <w:style w:type="character" w:customStyle="1" w:styleId="53">
    <w:name w:val="标题 8 Char"/>
    <w:basedOn w:val="40"/>
    <w:link w:val="11"/>
    <w:qFormat/>
    <w:uiPriority w:val="9"/>
    <w:rPr>
      <w:rFonts w:ascii="Times New Roman" w:hAnsi="Calibri" w:eastAsia="黑体" w:cs="Times New Roman"/>
      <w:b/>
      <w:kern w:val="0"/>
      <w:sz w:val="28"/>
      <w:szCs w:val="24"/>
    </w:rPr>
  </w:style>
  <w:style w:type="character" w:customStyle="1" w:styleId="54">
    <w:name w:val="标题 9 Char"/>
    <w:basedOn w:val="40"/>
    <w:link w:val="12"/>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Char"/>
    <w:link w:val="36"/>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next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Char1"/>
    <w:link w:val="26"/>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Char2"/>
    <w:link w:val="27"/>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Char"/>
    <w:link w:val="14"/>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Char"/>
    <w:link w:val="34"/>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5"/>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Char1"/>
    <w:link w:val="21"/>
    <w:qFormat/>
    <w:uiPriority w:val="0"/>
    <w:rPr>
      <w:rFonts w:ascii="Times New Roman" w:hAnsi="Times New Roman" w:eastAsia="宋体" w:cs="Times New Roman"/>
      <w:szCs w:val="20"/>
    </w:rPr>
  </w:style>
  <w:style w:type="character" w:customStyle="1" w:styleId="92">
    <w:name w:val="普通(网站) Char1"/>
    <w:link w:val="35"/>
    <w:qFormat/>
    <w:locked/>
    <w:uiPriority w:val="0"/>
    <w:rPr>
      <w:rFonts w:ascii="宋体" w:hAnsi="宋体"/>
      <w:sz w:val="15"/>
      <w:szCs w:val="15"/>
    </w:rPr>
  </w:style>
  <w:style w:type="character" w:customStyle="1" w:styleId="93">
    <w:name w:val="模板正文 Char"/>
    <w:link w:val="9"/>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Char2"/>
    <w:link w:val="23"/>
    <w:qFormat/>
    <w:uiPriority w:val="0"/>
    <w:rPr>
      <w:rFonts w:ascii="宋体" w:hAnsi="Courier New" w:eastAsia="宋体"/>
    </w:rPr>
  </w:style>
  <w:style w:type="character" w:customStyle="1" w:styleId="100">
    <w:name w:val="正文文本缩进 2 Char"/>
    <w:link w:val="25"/>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4"/>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Char1"/>
    <w:link w:val="37"/>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9"/>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Char2"/>
    <w:link w:val="28"/>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Char1"/>
    <w:link w:val="7"/>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Char"/>
    <w:link w:val="8"/>
    <w:qFormat/>
    <w:uiPriority w:val="9"/>
    <w:rPr>
      <w:rFonts w:ascii="Times New Roman" w:hAnsi="Calibri" w:eastAsia="黑体" w:cs="Times New Roman"/>
      <w:b/>
      <w:bCs/>
      <w:kern w:val="0"/>
      <w:sz w:val="28"/>
      <w:szCs w:val="24"/>
    </w:rPr>
  </w:style>
  <w:style w:type="character" w:customStyle="1" w:styleId="142">
    <w:name w:val="正文文本 2 Char"/>
    <w:link w:val="33"/>
    <w:qFormat/>
    <w:uiPriority w:val="0"/>
    <w:rPr>
      <w:rFonts w:ascii="Arial" w:hAnsi="Arial" w:eastAsia="宋体" w:cs="Times New Roman"/>
      <w:color w:val="000000"/>
      <w:szCs w:val="24"/>
    </w:rPr>
  </w:style>
  <w:style w:type="character" w:customStyle="1" w:styleId="143">
    <w:name w:val="标题 3 Char"/>
    <w:link w:val="5"/>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Char1"/>
    <w:link w:val="3"/>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Char"/>
    <w:link w:val="31"/>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Char"/>
    <w:link w:val="18"/>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40"/>
    <w:semiHidden/>
    <w:qFormat/>
    <w:uiPriority w:val="99"/>
    <w:rPr>
      <w:rFonts w:hAnsi="Courier New" w:cs="Courier New" w:asciiTheme="minorEastAsia"/>
    </w:rPr>
  </w:style>
  <w:style w:type="character" w:customStyle="1" w:styleId="162">
    <w:name w:val="批注文字 Char2"/>
    <w:basedOn w:val="40"/>
    <w:link w:val="17"/>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40"/>
    <w:qFormat/>
    <w:uiPriority w:val="10"/>
    <w:rPr>
      <w:rFonts w:asciiTheme="majorHAnsi" w:hAnsiTheme="majorHAnsi" w:eastAsiaTheme="majorEastAsia" w:cstheme="majorBidi"/>
      <w:b/>
      <w:bCs/>
      <w:sz w:val="32"/>
      <w:szCs w:val="32"/>
    </w:rPr>
  </w:style>
  <w:style w:type="character" w:customStyle="1" w:styleId="165">
    <w:name w:val="正文文本缩进 字符3"/>
    <w:basedOn w:val="40"/>
    <w:semiHidden/>
    <w:qFormat/>
    <w:uiPriority w:val="99"/>
  </w:style>
  <w:style w:type="character" w:customStyle="1" w:styleId="166">
    <w:name w:val="正文文本 字符4"/>
    <w:basedOn w:val="40"/>
    <w:semiHidden/>
    <w:qFormat/>
    <w:uiPriority w:val="99"/>
  </w:style>
  <w:style w:type="character" w:customStyle="1" w:styleId="167">
    <w:name w:val="正文文本缩进 3 字符2"/>
    <w:basedOn w:val="40"/>
    <w:semiHidden/>
    <w:qFormat/>
    <w:uiPriority w:val="99"/>
    <w:rPr>
      <w:sz w:val="16"/>
      <w:szCs w:val="16"/>
    </w:rPr>
  </w:style>
  <w:style w:type="character" w:customStyle="1" w:styleId="168">
    <w:name w:val="页眉 字符2"/>
    <w:basedOn w:val="40"/>
    <w:semiHidden/>
    <w:qFormat/>
    <w:uiPriority w:val="99"/>
    <w:rPr>
      <w:sz w:val="18"/>
      <w:szCs w:val="18"/>
    </w:rPr>
  </w:style>
  <w:style w:type="character" w:customStyle="1" w:styleId="169">
    <w:name w:val="批注框文本 字符2"/>
    <w:basedOn w:val="40"/>
    <w:semiHidden/>
    <w:qFormat/>
    <w:uiPriority w:val="99"/>
    <w:rPr>
      <w:sz w:val="18"/>
      <w:szCs w:val="18"/>
    </w:rPr>
  </w:style>
  <w:style w:type="character" w:customStyle="1" w:styleId="170">
    <w:name w:val="HTML 预设格式 字符2"/>
    <w:basedOn w:val="40"/>
    <w:semiHidden/>
    <w:qFormat/>
    <w:uiPriority w:val="99"/>
    <w:rPr>
      <w:rFonts w:ascii="Courier New" w:hAnsi="Courier New" w:cs="Courier New"/>
      <w:sz w:val="20"/>
      <w:szCs w:val="20"/>
    </w:rPr>
  </w:style>
  <w:style w:type="character" w:customStyle="1" w:styleId="171">
    <w:name w:val="页脚 字符2"/>
    <w:basedOn w:val="40"/>
    <w:semiHidden/>
    <w:qFormat/>
    <w:uiPriority w:val="99"/>
    <w:rPr>
      <w:sz w:val="18"/>
      <w:szCs w:val="18"/>
    </w:rPr>
  </w:style>
  <w:style w:type="character" w:customStyle="1" w:styleId="172">
    <w:name w:val="正文文本缩进 2 字符2"/>
    <w:basedOn w:val="40"/>
    <w:semiHidden/>
    <w:qFormat/>
    <w:uiPriority w:val="99"/>
  </w:style>
  <w:style w:type="character" w:customStyle="1" w:styleId="173">
    <w:name w:val="正文文本 3 字符2"/>
    <w:basedOn w:val="40"/>
    <w:semiHidden/>
    <w:qFormat/>
    <w:uiPriority w:val="99"/>
    <w:rPr>
      <w:sz w:val="16"/>
      <w:szCs w:val="16"/>
    </w:rPr>
  </w:style>
  <w:style w:type="character" w:customStyle="1" w:styleId="174">
    <w:name w:val="正文文本 2 字符2"/>
    <w:basedOn w:val="40"/>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40"/>
    <w:semiHidden/>
    <w:qFormat/>
    <w:uiPriority w:val="99"/>
    <w:rPr>
      <w:rFonts w:ascii="Microsoft YaHei UI" w:eastAsia="Microsoft YaHei UI"/>
      <w:sz w:val="18"/>
      <w:szCs w:val="18"/>
    </w:rPr>
  </w:style>
  <w:style w:type="character" w:customStyle="1" w:styleId="178">
    <w:name w:val="日期 字符2"/>
    <w:basedOn w:val="40"/>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9"/>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20"/>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
    <w:name w:val="样式 宋体 行距: 1.5 倍行距"/>
    <w:basedOn w:val="1"/>
    <w:qFormat/>
    <w:uiPriority w:val="0"/>
    <w:pPr>
      <w:jc w:val="center"/>
    </w:pPr>
    <w:rPr>
      <w:rFonts w:ascii="Times New Roman"/>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164</Pages>
  <Words>94007</Words>
  <Characters>115466</Characters>
  <Lines>314</Lines>
  <Paragraphs>88</Paragraphs>
  <TotalTime>0</TotalTime>
  <ScaleCrop>false</ScaleCrop>
  <LinksUpToDate>false</LinksUpToDate>
  <CharactersWithSpaces>121019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penguin</cp:lastModifiedBy>
  <cp:lastPrinted>2024-03-07T12:29:00Z</cp:lastPrinted>
  <dcterms:modified xsi:type="dcterms:W3CDTF">2024-03-29T09:43:01Z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4615D21DD15D4CD78725853A0BDD70D8_13</vt:lpwstr>
  </property>
</Properties>
</file>