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outlineLvl w:val="0"/>
        <w:rPr>
          <w:rFonts w:hint="eastAsia" w:ascii="Times New Roman" w:cs="宋体"/>
          <w:b/>
          <w:bCs/>
          <w:kern w:val="2"/>
          <w:sz w:val="48"/>
          <w:szCs w:val="48"/>
        </w:rPr>
      </w:pPr>
      <w:bookmarkStart w:id="0" w:name="_Toc26199"/>
      <w:r>
        <w:rPr>
          <w:rFonts w:hint="eastAsia" w:ascii="Times New Roman" w:cs="宋体"/>
          <w:b/>
          <w:bCs/>
          <w:kern w:val="2"/>
          <w:sz w:val="48"/>
          <w:szCs w:val="48"/>
        </w:rPr>
        <w:t>东莞市水务集团有限公司</w:t>
      </w:r>
      <w:bookmarkEnd w:id="0"/>
    </w:p>
    <w:p>
      <w:pPr>
        <w:spacing w:line="360" w:lineRule="auto"/>
        <w:ind w:right="-26"/>
        <w:jc w:val="center"/>
        <w:outlineLvl w:val="0"/>
        <w:rPr>
          <w:rFonts w:hint="default" w:ascii="Times New Roman" w:cs="宋体"/>
          <w:b/>
          <w:bCs/>
          <w:kern w:val="2"/>
          <w:sz w:val="48"/>
          <w:szCs w:val="48"/>
          <w:lang w:val="en-US" w:eastAsia="zh-CN"/>
        </w:rPr>
      </w:pPr>
      <w:bookmarkStart w:id="1" w:name="_Toc17579"/>
      <w:r>
        <w:rPr>
          <w:rFonts w:hint="eastAsia" w:ascii="Times New Roman" w:cs="宋体"/>
          <w:b/>
          <w:bCs/>
          <w:kern w:val="2"/>
          <w:sz w:val="48"/>
          <w:szCs w:val="48"/>
          <w:lang w:val="en-US" w:eastAsia="zh-CN"/>
        </w:rPr>
        <w:t>可信数据库项目</w:t>
      </w:r>
      <w:bookmarkEnd w:id="1"/>
    </w:p>
    <w:p>
      <w:pPr>
        <w:pStyle w:val="20"/>
      </w:pPr>
    </w:p>
    <w:p>
      <w:pPr>
        <w:pStyle w:val="20"/>
      </w:pPr>
    </w:p>
    <w:p>
      <w:pPr>
        <w:pStyle w:val="9"/>
      </w:pPr>
    </w:p>
    <w:p>
      <w:pPr>
        <w:pStyle w:val="20"/>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20"/>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outlineLvl w:val="0"/>
        <w:rPr>
          <w:rFonts w:hAnsi="宋体" w:cs="宋体"/>
          <w:b/>
          <w:bCs/>
          <w:sz w:val="32"/>
          <w:szCs w:val="32"/>
        </w:rPr>
      </w:pPr>
      <w:bookmarkStart w:id="2" w:name="_Toc6632"/>
      <w:bookmarkStart w:id="3" w:name="_Hlk26971294"/>
      <w:r>
        <w:rPr>
          <w:rFonts w:hint="eastAsia" w:hAnsi="宋体" w:cs="宋体"/>
          <w:b/>
          <w:bCs/>
          <w:spacing w:val="28"/>
          <w:sz w:val="32"/>
          <w:szCs w:val="32"/>
        </w:rPr>
        <w:t>东莞市水务集团有限公司</w:t>
      </w:r>
      <w:bookmarkEnd w:id="2"/>
    </w:p>
    <w:bookmarkEnd w:id="3"/>
    <w:p>
      <w:pPr>
        <w:spacing w:after="156" w:line="360" w:lineRule="auto"/>
        <w:jc w:val="center"/>
        <w:rPr>
          <w:rFonts w:hAnsi="宋体" w:cs="宋体"/>
          <w:b/>
          <w:bCs/>
          <w:kern w:val="2"/>
          <w:sz w:val="32"/>
          <w:szCs w:val="32"/>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4</w:t>
      </w:r>
      <w:r>
        <w:rPr>
          <w:rFonts w:ascii="Times New Roman"/>
          <w:b/>
          <w:bCs/>
          <w:kern w:val="2"/>
          <w:sz w:val="32"/>
          <w:szCs w:val="32"/>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1</w:t>
      </w:r>
      <w:r>
        <w:rPr>
          <w:rFonts w:ascii="Times New Roman"/>
          <w:b/>
          <w:bCs/>
          <w:kern w:val="2"/>
          <w:sz w:val="32"/>
          <w:szCs w:val="32"/>
          <w:highlight w:val="none"/>
          <w:lang w:val="zh-CN"/>
        </w:rPr>
        <w:t>月</w:t>
      </w:r>
    </w:p>
    <w:sdt>
      <w:sdtPr>
        <w:rPr>
          <w:rFonts w:ascii="宋体" w:hAnsi="宋体" w:eastAsia="宋体" w:cs="Times New Roman"/>
          <w:sz w:val="21"/>
          <w:szCs w:val="24"/>
          <w:lang w:val="en-US" w:eastAsia="zh-CN" w:bidi="ar-SA"/>
        </w:rPr>
        <w:id w:val="147468915"/>
        <w15:color w:val="DBDBDB"/>
        <w:docPartObj>
          <w:docPartGallery w:val="Table of Contents"/>
          <w:docPartUnique/>
        </w:docPartObj>
      </w:sdtPr>
      <w:sdtEndPr>
        <w:rPr>
          <w:rFonts w:ascii="宋体" w:hAnsi="宋体" w:eastAsia="宋体" w:cs="宋体"/>
          <w:bCs/>
          <w:spacing w:val="28"/>
          <w:sz w:val="24"/>
          <w:szCs w:val="3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r>
            <w:rPr>
              <w:rFonts w:hAnsi="宋体" w:cs="宋体"/>
              <w:b/>
              <w:bCs/>
              <w:spacing w:val="28"/>
              <w:sz w:val="32"/>
              <w:szCs w:val="32"/>
            </w:rPr>
            <w:fldChar w:fldCharType="begin"/>
          </w:r>
          <w:r>
            <w:rPr>
              <w:rFonts w:hAnsi="宋体" w:cs="宋体"/>
              <w:b/>
              <w:bCs/>
              <w:spacing w:val="28"/>
              <w:sz w:val="32"/>
              <w:szCs w:val="32"/>
            </w:rPr>
            <w:instrText xml:space="preserve">TOC \o "1-1" \h \u </w:instrText>
          </w:r>
          <w:r>
            <w:rPr>
              <w:rFonts w:hAnsi="宋体" w:cs="宋体"/>
              <w:b/>
              <w:bCs/>
              <w:spacing w:val="28"/>
              <w:sz w:val="32"/>
              <w:szCs w:val="32"/>
            </w:rPr>
            <w:fldChar w:fldCharType="separate"/>
          </w:r>
        </w:p>
        <w:p>
          <w:pPr>
            <w:pStyle w:val="62"/>
            <w:tabs>
              <w:tab w:val="right" w:leader="dot" w:pos="8300"/>
            </w:tabs>
            <w:spacing w:line="360" w:lineRule="auto"/>
            <w:rPr>
              <w:sz w:val="28"/>
              <w:szCs w:val="28"/>
            </w:rPr>
          </w:pPr>
          <w:r>
            <w:rPr>
              <w:rFonts w:hAnsi="宋体" w:cs="宋体"/>
              <w:bCs/>
              <w:spacing w:val="28"/>
              <w:sz w:val="28"/>
              <w:szCs w:val="48"/>
            </w:rPr>
            <w:fldChar w:fldCharType="begin"/>
          </w:r>
          <w:r>
            <w:rPr>
              <w:rFonts w:hAnsi="宋体" w:cs="宋体"/>
              <w:bCs/>
              <w:spacing w:val="28"/>
              <w:sz w:val="28"/>
              <w:szCs w:val="48"/>
            </w:rPr>
            <w:instrText xml:space="preserve"> HYPERLINK \l _Toc13305 </w:instrText>
          </w:r>
          <w:r>
            <w:rPr>
              <w:rFonts w:hAnsi="宋体" w:cs="宋体"/>
              <w:bCs/>
              <w:spacing w:val="28"/>
              <w:sz w:val="28"/>
              <w:szCs w:val="48"/>
            </w:rPr>
            <w:fldChar w:fldCharType="separate"/>
          </w:r>
          <w:r>
            <w:rPr>
              <w:rFonts w:hint="eastAsia" w:hAnsi="宋体" w:cs="宋体"/>
              <w:sz w:val="28"/>
              <w:szCs w:val="48"/>
            </w:rPr>
            <w:t>第一章 询价邀请函</w:t>
          </w:r>
          <w:r>
            <w:rPr>
              <w:sz w:val="28"/>
              <w:szCs w:val="28"/>
            </w:rPr>
            <w:tab/>
          </w:r>
          <w:r>
            <w:rPr>
              <w:sz w:val="28"/>
              <w:szCs w:val="28"/>
            </w:rPr>
            <w:fldChar w:fldCharType="begin"/>
          </w:r>
          <w:r>
            <w:rPr>
              <w:sz w:val="28"/>
              <w:szCs w:val="28"/>
            </w:rPr>
            <w:instrText xml:space="preserve"> PAGEREF _Toc13305 \h </w:instrText>
          </w:r>
          <w:r>
            <w:rPr>
              <w:sz w:val="28"/>
              <w:szCs w:val="28"/>
            </w:rPr>
            <w:fldChar w:fldCharType="separate"/>
          </w:r>
          <w:r>
            <w:rPr>
              <w:sz w:val="28"/>
              <w:szCs w:val="28"/>
            </w:rPr>
            <w:t>2</w:t>
          </w:r>
          <w:r>
            <w:rPr>
              <w:sz w:val="28"/>
              <w:szCs w:val="28"/>
            </w:rPr>
            <w:fldChar w:fldCharType="end"/>
          </w:r>
          <w:r>
            <w:rPr>
              <w:rFonts w:hAnsi="宋体" w:cs="宋体"/>
              <w:bCs/>
              <w:spacing w:val="28"/>
              <w:sz w:val="28"/>
              <w:szCs w:val="48"/>
            </w:rPr>
            <w:fldChar w:fldCharType="end"/>
          </w:r>
        </w:p>
        <w:p>
          <w:pPr>
            <w:pStyle w:val="62"/>
            <w:tabs>
              <w:tab w:val="right" w:leader="dot" w:pos="8300"/>
            </w:tabs>
            <w:spacing w:line="360" w:lineRule="auto"/>
            <w:rPr>
              <w:sz w:val="28"/>
              <w:szCs w:val="28"/>
            </w:rPr>
          </w:pPr>
          <w:r>
            <w:rPr>
              <w:rFonts w:hAnsi="宋体" w:cs="宋体"/>
              <w:bCs/>
              <w:spacing w:val="28"/>
              <w:sz w:val="28"/>
              <w:szCs w:val="48"/>
            </w:rPr>
            <w:fldChar w:fldCharType="begin"/>
          </w:r>
          <w:r>
            <w:rPr>
              <w:rFonts w:hAnsi="宋体" w:cs="宋体"/>
              <w:bCs/>
              <w:spacing w:val="28"/>
              <w:sz w:val="28"/>
              <w:szCs w:val="48"/>
            </w:rPr>
            <w:instrText xml:space="preserve"> HYPERLINK \l _Toc3485 </w:instrText>
          </w:r>
          <w:r>
            <w:rPr>
              <w:rFonts w:hAnsi="宋体" w:cs="宋体"/>
              <w:bCs/>
              <w:spacing w:val="28"/>
              <w:sz w:val="28"/>
              <w:szCs w:val="48"/>
            </w:rPr>
            <w:fldChar w:fldCharType="separate"/>
          </w:r>
          <w:r>
            <w:rPr>
              <w:rFonts w:hint="eastAsia" w:hAnsi="宋体" w:cs="宋体"/>
              <w:sz w:val="28"/>
              <w:szCs w:val="48"/>
            </w:rPr>
            <w:t>第二章 用户需求</w:t>
          </w:r>
          <w:r>
            <w:rPr>
              <w:sz w:val="28"/>
              <w:szCs w:val="28"/>
            </w:rPr>
            <w:tab/>
          </w:r>
          <w:r>
            <w:rPr>
              <w:sz w:val="28"/>
              <w:szCs w:val="28"/>
            </w:rPr>
            <w:fldChar w:fldCharType="begin"/>
          </w:r>
          <w:r>
            <w:rPr>
              <w:sz w:val="28"/>
              <w:szCs w:val="28"/>
            </w:rPr>
            <w:instrText xml:space="preserve"> PAGEREF _Toc3485 \h </w:instrText>
          </w:r>
          <w:r>
            <w:rPr>
              <w:sz w:val="28"/>
              <w:szCs w:val="28"/>
            </w:rPr>
            <w:fldChar w:fldCharType="separate"/>
          </w:r>
          <w:r>
            <w:rPr>
              <w:sz w:val="28"/>
              <w:szCs w:val="28"/>
            </w:rPr>
            <w:t>4</w:t>
          </w:r>
          <w:r>
            <w:rPr>
              <w:sz w:val="28"/>
              <w:szCs w:val="28"/>
            </w:rPr>
            <w:fldChar w:fldCharType="end"/>
          </w:r>
          <w:r>
            <w:rPr>
              <w:rFonts w:hAnsi="宋体" w:cs="宋体"/>
              <w:bCs/>
              <w:spacing w:val="28"/>
              <w:sz w:val="28"/>
              <w:szCs w:val="48"/>
            </w:rPr>
            <w:fldChar w:fldCharType="end"/>
          </w:r>
        </w:p>
        <w:p>
          <w:pPr>
            <w:pStyle w:val="62"/>
            <w:tabs>
              <w:tab w:val="right" w:leader="dot" w:pos="8300"/>
            </w:tabs>
            <w:spacing w:line="360" w:lineRule="auto"/>
            <w:rPr>
              <w:sz w:val="28"/>
              <w:szCs w:val="28"/>
            </w:rPr>
          </w:pPr>
          <w:r>
            <w:rPr>
              <w:rFonts w:hAnsi="宋体" w:cs="宋体"/>
              <w:bCs/>
              <w:spacing w:val="28"/>
              <w:sz w:val="28"/>
              <w:szCs w:val="48"/>
            </w:rPr>
            <w:fldChar w:fldCharType="begin"/>
          </w:r>
          <w:r>
            <w:rPr>
              <w:rFonts w:hAnsi="宋体" w:cs="宋体"/>
              <w:bCs/>
              <w:spacing w:val="28"/>
              <w:sz w:val="28"/>
              <w:szCs w:val="48"/>
            </w:rPr>
            <w:instrText xml:space="preserve"> HYPERLINK \l _Toc20921 </w:instrText>
          </w:r>
          <w:r>
            <w:rPr>
              <w:rFonts w:hAnsi="宋体" w:cs="宋体"/>
              <w:bCs/>
              <w:spacing w:val="28"/>
              <w:sz w:val="28"/>
              <w:szCs w:val="48"/>
            </w:rPr>
            <w:fldChar w:fldCharType="separate"/>
          </w:r>
          <w:r>
            <w:rPr>
              <w:rFonts w:hint="eastAsia" w:hAnsi="宋体" w:cs="宋体"/>
              <w:sz w:val="28"/>
              <w:szCs w:val="48"/>
            </w:rPr>
            <w:t>第三章 合同条款</w:t>
          </w:r>
          <w:r>
            <w:rPr>
              <w:sz w:val="28"/>
              <w:szCs w:val="28"/>
            </w:rPr>
            <w:tab/>
          </w:r>
          <w:r>
            <w:rPr>
              <w:sz w:val="28"/>
              <w:szCs w:val="28"/>
            </w:rPr>
            <w:fldChar w:fldCharType="begin"/>
          </w:r>
          <w:r>
            <w:rPr>
              <w:sz w:val="28"/>
              <w:szCs w:val="28"/>
            </w:rPr>
            <w:instrText xml:space="preserve"> PAGEREF _Toc20921 \h </w:instrText>
          </w:r>
          <w:r>
            <w:rPr>
              <w:sz w:val="28"/>
              <w:szCs w:val="28"/>
            </w:rPr>
            <w:fldChar w:fldCharType="separate"/>
          </w:r>
          <w:r>
            <w:rPr>
              <w:sz w:val="28"/>
              <w:szCs w:val="28"/>
            </w:rPr>
            <w:t>14</w:t>
          </w:r>
          <w:r>
            <w:rPr>
              <w:sz w:val="28"/>
              <w:szCs w:val="28"/>
            </w:rPr>
            <w:fldChar w:fldCharType="end"/>
          </w:r>
          <w:r>
            <w:rPr>
              <w:rFonts w:hAnsi="宋体" w:cs="宋体"/>
              <w:bCs/>
              <w:spacing w:val="28"/>
              <w:sz w:val="28"/>
              <w:szCs w:val="48"/>
            </w:rPr>
            <w:fldChar w:fldCharType="end"/>
          </w:r>
        </w:p>
        <w:p>
          <w:pPr>
            <w:pStyle w:val="62"/>
            <w:tabs>
              <w:tab w:val="right" w:leader="dot" w:pos="8300"/>
            </w:tabs>
            <w:spacing w:line="360" w:lineRule="auto"/>
            <w:rPr>
              <w:sz w:val="28"/>
              <w:szCs w:val="28"/>
            </w:rPr>
          </w:pPr>
          <w:r>
            <w:rPr>
              <w:rFonts w:hAnsi="宋体" w:cs="宋体"/>
              <w:bCs/>
              <w:spacing w:val="28"/>
              <w:sz w:val="28"/>
              <w:szCs w:val="48"/>
            </w:rPr>
            <w:fldChar w:fldCharType="begin"/>
          </w:r>
          <w:r>
            <w:rPr>
              <w:rFonts w:hAnsi="宋体" w:cs="宋体"/>
              <w:bCs/>
              <w:spacing w:val="28"/>
              <w:sz w:val="28"/>
              <w:szCs w:val="48"/>
            </w:rPr>
            <w:instrText xml:space="preserve"> HYPERLINK \l _Toc15777 </w:instrText>
          </w:r>
          <w:r>
            <w:rPr>
              <w:rFonts w:hAnsi="宋体" w:cs="宋体"/>
              <w:bCs/>
              <w:spacing w:val="28"/>
              <w:sz w:val="28"/>
              <w:szCs w:val="48"/>
            </w:rPr>
            <w:fldChar w:fldCharType="separate"/>
          </w:r>
          <w:r>
            <w:rPr>
              <w:rFonts w:hint="eastAsia" w:hAnsi="宋体" w:cs="宋体"/>
              <w:sz w:val="28"/>
              <w:szCs w:val="48"/>
              <w:highlight w:val="none"/>
            </w:rPr>
            <w:t>第四章 报价须知</w:t>
          </w:r>
          <w:r>
            <w:rPr>
              <w:sz w:val="28"/>
              <w:szCs w:val="28"/>
            </w:rPr>
            <w:tab/>
          </w:r>
          <w:r>
            <w:rPr>
              <w:sz w:val="28"/>
              <w:szCs w:val="28"/>
            </w:rPr>
            <w:fldChar w:fldCharType="begin"/>
          </w:r>
          <w:r>
            <w:rPr>
              <w:sz w:val="28"/>
              <w:szCs w:val="28"/>
            </w:rPr>
            <w:instrText xml:space="preserve"> PAGEREF _Toc15777 \h </w:instrText>
          </w:r>
          <w:r>
            <w:rPr>
              <w:sz w:val="28"/>
              <w:szCs w:val="28"/>
            </w:rPr>
            <w:fldChar w:fldCharType="separate"/>
          </w:r>
          <w:r>
            <w:rPr>
              <w:sz w:val="28"/>
              <w:szCs w:val="28"/>
            </w:rPr>
            <w:t>29</w:t>
          </w:r>
          <w:r>
            <w:rPr>
              <w:sz w:val="28"/>
              <w:szCs w:val="28"/>
            </w:rPr>
            <w:fldChar w:fldCharType="end"/>
          </w:r>
          <w:r>
            <w:rPr>
              <w:rFonts w:hAnsi="宋体" w:cs="宋体"/>
              <w:bCs/>
              <w:spacing w:val="28"/>
              <w:sz w:val="28"/>
              <w:szCs w:val="48"/>
            </w:rPr>
            <w:fldChar w:fldCharType="end"/>
          </w:r>
        </w:p>
        <w:p>
          <w:pPr>
            <w:pStyle w:val="62"/>
            <w:tabs>
              <w:tab w:val="right" w:leader="dot" w:pos="8300"/>
            </w:tabs>
            <w:spacing w:line="360" w:lineRule="auto"/>
          </w:pPr>
          <w:r>
            <w:rPr>
              <w:rFonts w:hAnsi="宋体" w:cs="宋体"/>
              <w:bCs/>
              <w:spacing w:val="28"/>
              <w:sz w:val="28"/>
              <w:szCs w:val="48"/>
            </w:rPr>
            <w:fldChar w:fldCharType="begin"/>
          </w:r>
          <w:r>
            <w:rPr>
              <w:rFonts w:hAnsi="宋体" w:cs="宋体"/>
              <w:bCs/>
              <w:spacing w:val="28"/>
              <w:sz w:val="28"/>
              <w:szCs w:val="48"/>
            </w:rPr>
            <w:instrText xml:space="preserve"> HYPERLINK \l _Toc26066 </w:instrText>
          </w:r>
          <w:r>
            <w:rPr>
              <w:rFonts w:hAnsi="宋体" w:cs="宋体"/>
              <w:bCs/>
              <w:spacing w:val="28"/>
              <w:sz w:val="28"/>
              <w:szCs w:val="48"/>
            </w:rPr>
            <w:fldChar w:fldCharType="separate"/>
          </w:r>
          <w:r>
            <w:rPr>
              <w:rFonts w:hint="eastAsia" w:hAnsi="宋体" w:cs="宋体"/>
              <w:sz w:val="28"/>
              <w:szCs w:val="48"/>
            </w:rPr>
            <w:t>第五章 报价文件（格式）</w:t>
          </w:r>
          <w:r>
            <w:rPr>
              <w:sz w:val="28"/>
              <w:szCs w:val="28"/>
            </w:rPr>
            <w:tab/>
          </w:r>
          <w:r>
            <w:rPr>
              <w:sz w:val="28"/>
              <w:szCs w:val="28"/>
            </w:rPr>
            <w:fldChar w:fldCharType="begin"/>
          </w:r>
          <w:r>
            <w:rPr>
              <w:sz w:val="28"/>
              <w:szCs w:val="28"/>
            </w:rPr>
            <w:instrText xml:space="preserve"> PAGEREF _Toc26066 \h </w:instrText>
          </w:r>
          <w:r>
            <w:rPr>
              <w:sz w:val="28"/>
              <w:szCs w:val="28"/>
            </w:rPr>
            <w:fldChar w:fldCharType="separate"/>
          </w:r>
          <w:r>
            <w:rPr>
              <w:sz w:val="28"/>
              <w:szCs w:val="28"/>
            </w:rPr>
            <w:t>31</w:t>
          </w:r>
          <w:r>
            <w:rPr>
              <w:sz w:val="28"/>
              <w:szCs w:val="28"/>
            </w:rPr>
            <w:fldChar w:fldCharType="end"/>
          </w:r>
          <w:r>
            <w:rPr>
              <w:rFonts w:hAnsi="宋体" w:cs="宋体"/>
              <w:bCs/>
              <w:spacing w:val="28"/>
              <w:sz w:val="28"/>
              <w:szCs w:val="48"/>
            </w:rPr>
            <w:fldChar w:fldCharType="end"/>
          </w:r>
        </w:p>
        <w:p>
          <w:pPr>
            <w:spacing w:after="156" w:line="360" w:lineRule="auto"/>
            <w:jc w:val="center"/>
            <w:rPr>
              <w:rFonts w:hAnsi="宋体" w:cs="宋体"/>
              <w:b/>
              <w:bCs/>
              <w:spacing w:val="28"/>
              <w:sz w:val="32"/>
              <w:szCs w:val="32"/>
            </w:rPr>
          </w:pPr>
          <w:r>
            <w:rPr>
              <w:rFonts w:hAnsi="宋体" w:cs="宋体"/>
              <w:bCs/>
              <w:spacing w:val="28"/>
              <w:szCs w:val="32"/>
            </w:rPr>
            <w:fldChar w:fldCharType="end"/>
          </w:r>
        </w:p>
      </w:sdtContent>
    </w:sdt>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3"/>
        <w:spacing w:before="0" w:after="0"/>
        <w:jc w:val="center"/>
        <w:rPr>
          <w:rFonts w:hAnsi="宋体" w:cs="宋体"/>
          <w:b w:val="0"/>
          <w:bCs w:val="0"/>
          <w:szCs w:val="32"/>
        </w:rPr>
      </w:pPr>
      <w:bookmarkStart w:id="4" w:name="_Toc13305"/>
      <w:r>
        <w:rPr>
          <w:rFonts w:hint="eastAsia" w:hAnsi="宋体" w:cs="宋体"/>
          <w:szCs w:val="32"/>
        </w:rPr>
        <w:t>第一章 询价邀请函</w:t>
      </w:r>
      <w:bookmarkEnd w:id="4"/>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w:t>
      </w:r>
      <w:r>
        <w:rPr>
          <w:rFonts w:hint="eastAsia" w:ascii="宋体" w:hAnsi="宋体" w:eastAsia="宋体" w:cs="宋体"/>
          <w:u w:val="single"/>
          <w:lang w:val="en-US" w:eastAsia="zh-CN"/>
        </w:rPr>
        <w:t>有限公司</w:t>
      </w:r>
      <w:r>
        <w:rPr>
          <w:rFonts w:hint="eastAsia" w:ascii="宋体" w:hAnsi="宋体" w:eastAsia="宋体" w:cs="宋体"/>
          <w:u w:val="single"/>
        </w:rPr>
        <w:t>可信数据库</w:t>
      </w:r>
      <w:r>
        <w:rPr>
          <w:rFonts w:hint="eastAsia" w:ascii="宋体" w:hAnsi="宋体" w:eastAsia="宋体" w:cs="宋体"/>
          <w:u w:val="single"/>
          <w:lang w:val="en-US" w:eastAsia="zh-CN"/>
        </w:rPr>
        <w:t>项目</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w:t>
      </w:r>
      <w:r>
        <w:rPr>
          <w:rFonts w:hint="eastAsia" w:ascii="宋体" w:hAnsi="宋体" w:eastAsia="宋体" w:cs="宋体"/>
          <w:u w:val="single"/>
          <w:lang w:val="en-US" w:eastAsia="zh-CN"/>
        </w:rPr>
        <w:t>有限公司</w:t>
      </w:r>
      <w:r>
        <w:rPr>
          <w:rFonts w:hint="eastAsia" w:ascii="宋体" w:hAnsi="宋体" w:eastAsia="宋体" w:cs="宋体"/>
          <w:u w:val="single"/>
        </w:rPr>
        <w:t>可信数据库项目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w:t>
      </w:r>
      <w:r>
        <w:rPr>
          <w:rFonts w:hint="eastAsia" w:hAnsi="宋体" w:cs="宋体"/>
          <w:lang w:val="en-US" w:eastAsia="zh-CN"/>
        </w:rPr>
        <w:t>不</w:t>
      </w:r>
      <w:r>
        <w:rPr>
          <w:rFonts w:hint="eastAsia" w:ascii="宋体" w:hAnsi="宋体" w:eastAsia="宋体" w:cs="宋体"/>
        </w:rPr>
        <w:t>含税最高限价为</w:t>
      </w:r>
      <w:r>
        <w:rPr>
          <w:rFonts w:hint="eastAsia" w:ascii="宋体" w:hAnsi="宋体" w:eastAsia="宋体" w:cs="宋体"/>
          <w:lang w:val="en-US" w:eastAsia="zh-CN"/>
        </w:rPr>
        <w:t>315</w:t>
      </w:r>
      <w:r>
        <w:rPr>
          <w:rFonts w:hint="eastAsia" w:hAnsi="宋体" w:cs="宋体"/>
          <w:lang w:val="en-US" w:eastAsia="zh-CN"/>
        </w:rPr>
        <w:t>,</w:t>
      </w:r>
      <w:r>
        <w:rPr>
          <w:rFonts w:hint="eastAsia" w:ascii="宋体" w:hAnsi="宋体" w:eastAsia="宋体" w:cs="宋体"/>
          <w:lang w:val="en-US" w:eastAsia="zh-CN"/>
        </w:rPr>
        <w:t>893.68</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数据库系统建设</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w:t>
      </w:r>
      <w:r>
        <w:rPr>
          <w:rFonts w:hint="eastAsia" w:hAnsi="宋体" w:cs="宋体"/>
          <w:highlight w:val="none"/>
        </w:rPr>
        <w:t>为</w:t>
      </w:r>
      <w:r>
        <w:rPr>
          <w:rFonts w:hint="eastAsia" w:hAnsi="宋体" w:cs="宋体"/>
          <w:highlight w:val="none"/>
          <w:lang w:val="en-US" w:eastAsia="zh-CN"/>
        </w:rPr>
        <w:t>本次报价</w:t>
      </w:r>
      <w:r>
        <w:rPr>
          <w:rFonts w:hint="eastAsia" w:hAnsi="宋体" w:cs="宋体"/>
          <w:highlight w:val="none"/>
        </w:rPr>
        <w:t>数据库</w:t>
      </w:r>
      <w:r>
        <w:rPr>
          <w:rFonts w:hint="eastAsia" w:hAnsi="宋体" w:cs="宋体"/>
          <w:highlight w:val="none"/>
          <w:lang w:val="en-US" w:eastAsia="zh-CN"/>
        </w:rPr>
        <w:t>的开发商，或本次报价数据库开发商授权的经销商（代理商）；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2.2021年1月1日以来，报价人（或本次报价</w:t>
      </w:r>
      <w:r>
        <w:rPr>
          <w:rFonts w:hint="eastAsia" w:hAnsi="宋体" w:cs="宋体"/>
          <w:highlight w:val="none"/>
        </w:rPr>
        <w:t>数据库</w:t>
      </w:r>
      <w:r>
        <w:rPr>
          <w:rFonts w:hint="eastAsia" w:hAnsi="宋体" w:cs="宋体"/>
          <w:highlight w:val="none"/>
          <w:lang w:val="en-US" w:eastAsia="zh-CN"/>
        </w:rPr>
        <w:t>的开发商）完成的一个本次报价数据库的销售业绩；</w:t>
      </w:r>
    </w:p>
    <w:p>
      <w:pPr>
        <w:pStyle w:val="2"/>
        <w:spacing w:after="0"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报价人未被列入“信用中国”网站（www.creditchina.gov.cn）失信被执行人、重大税收违法失信主体、严重违法失信行为记录名单（处罚期限届满的除外）</w:t>
      </w:r>
      <w:r>
        <w:rPr>
          <w:rFonts w:hint="eastAsia" w:ascii="宋体" w:hAnsi="宋体" w:cs="宋体"/>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w:t>
      </w:r>
      <w:r>
        <w:rPr>
          <w:rFonts w:hint="eastAsia" w:hAnsi="宋体" w:cs="宋体"/>
          <w:lang w:val="en-US" w:eastAsia="zh-CN"/>
        </w:rPr>
        <w:t>不</w:t>
      </w:r>
      <w:r>
        <w:rPr>
          <w:rFonts w:hint="eastAsia" w:ascii="宋体" w:hAnsi="宋体" w:eastAsia="宋体" w:cs="宋体"/>
        </w:rPr>
        <w:t>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yellow"/>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报价文件递交截止时间：</w:t>
      </w:r>
      <w:bookmarkStart w:id="5"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5"/>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、报价文件递交地点：</w:t>
      </w:r>
      <w:r>
        <w:rPr>
          <w:rFonts w:hint="eastAsia" w:ascii="宋体" w:hAnsi="宋体" w:eastAsia="宋体" w:cs="宋体"/>
          <w:color w:val="000000" w:themeColor="text1"/>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、开封地点：</w:t>
      </w:r>
      <w:r>
        <w:rPr>
          <w:rFonts w:hint="eastAsia" w:ascii="宋体" w:hAnsi="宋体" w:eastAsia="宋体" w:cs="宋体"/>
          <w:color w:val="000000" w:themeColor="text1"/>
          <w:lang w:val="en-US" w:eastAsia="zh-CN"/>
          <w14:textFill>
            <w14:solidFill>
              <w14:schemeClr w14:val="tx1"/>
            </w14:solidFill>
          </w14:textFill>
        </w:rPr>
        <w:t>东莞市水务集团有限公司会议室</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bookmarkStart w:id="6" w:name="_Hlk27138405"/>
      <w:r>
        <w:rPr>
          <w:rFonts w:hint="eastAsia" w:ascii="宋体" w:hAnsi="宋体" w:eastAsia="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陈</w:t>
      </w:r>
      <w:r>
        <w:rPr>
          <w:rFonts w:hint="eastAsia" w:ascii="宋体" w:hAnsi="宋体" w:eastAsia="宋体" w:cs="宋体"/>
          <w:color w:val="000000" w:themeColor="text1"/>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广东省东莞市东城街道育华路1号</w:t>
      </w:r>
    </w:p>
    <w:bookmarkEnd w:id="6"/>
    <w:p>
      <w:pPr>
        <w:spacing w:line="360" w:lineRule="auto"/>
        <w:jc w:val="right"/>
        <w:outlineLvl w:val="0"/>
        <w:rPr>
          <w:rFonts w:hint="eastAsia" w:ascii="宋体" w:hAnsi="宋体" w:eastAsia="宋体" w:cs="宋体"/>
          <w:color w:val="000000" w:themeColor="text1"/>
          <w14:textFill>
            <w14:solidFill>
              <w14:schemeClr w14:val="tx1"/>
            </w14:solidFill>
          </w14:textFill>
        </w:rPr>
      </w:pPr>
      <w:bookmarkStart w:id="7" w:name="_Toc6428"/>
      <w:bookmarkStart w:id="8" w:name="_Hlk27138410"/>
    </w:p>
    <w:p>
      <w:pPr>
        <w:spacing w:line="360" w:lineRule="auto"/>
        <w:jc w:val="right"/>
        <w:outlineLvl w:val="0"/>
        <w:rPr>
          <w:rFonts w:hint="eastAsia" w:ascii="宋体" w:hAnsi="宋体" w:eastAsia="宋体" w:cs="宋体"/>
          <w:color w:val="000000" w:themeColor="text1"/>
          <w14:textFill>
            <w14:solidFill>
              <w14:schemeClr w14:val="tx1"/>
            </w14:solidFill>
          </w14:textFill>
        </w:rPr>
      </w:pPr>
    </w:p>
    <w:p>
      <w:pPr>
        <w:spacing w:line="360" w:lineRule="auto"/>
        <w:jc w:val="right"/>
        <w:outlineLvl w:val="0"/>
        <w:rPr>
          <w:rFonts w:hint="eastAsia" w:ascii="宋体" w:hAnsi="宋体" w:eastAsia="宋体" w:cs="宋体"/>
          <w:color w:val="000000" w:themeColor="text1"/>
          <w14:textFill>
            <w14:solidFill>
              <w14:schemeClr w14:val="tx1"/>
            </w14:solidFill>
          </w14:textFill>
        </w:rPr>
      </w:pPr>
    </w:p>
    <w:p>
      <w:pPr>
        <w:spacing w:line="360" w:lineRule="auto"/>
        <w:jc w:val="right"/>
        <w:outlineLvl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东莞市水务集团有限公司</w:t>
      </w:r>
      <w:bookmarkEnd w:id="7"/>
    </w:p>
    <w:p>
      <w:pPr>
        <w:wordWrap w:val="0"/>
        <w:spacing w:line="360" w:lineRule="auto"/>
        <w:jc w:val="right"/>
        <w:rPr>
          <w:rFonts w:hAnsi="宋体" w:cs="宋体"/>
          <w:highlight w:val="none"/>
        </w:rPr>
      </w:pPr>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日      </w:t>
      </w:r>
      <w:bookmarkEnd w:id="8"/>
    </w:p>
    <w:p>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pPr>
        <w:pStyle w:val="3"/>
        <w:spacing w:before="0" w:after="0"/>
        <w:jc w:val="center"/>
        <w:rPr>
          <w:rFonts w:hAnsi="宋体" w:cs="宋体"/>
          <w:szCs w:val="32"/>
        </w:rPr>
      </w:pPr>
      <w:bookmarkStart w:id="9" w:name="_Toc3485"/>
      <w:r>
        <w:rPr>
          <w:rFonts w:hint="eastAsia" w:hAnsi="宋体" w:cs="宋体"/>
          <w:szCs w:val="32"/>
        </w:rPr>
        <w:t>第二章 用户需求</w:t>
      </w:r>
      <w:bookmarkEnd w:id="9"/>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0" w:name="_Toc19079"/>
      <w:bookmarkStart w:id="11" w:name="_Toc18400038"/>
      <w:bookmarkStart w:id="12" w:name="_Toc17879972"/>
      <w:bookmarkStart w:id="13" w:name="_Toc447044476"/>
      <w:bookmarkStart w:id="14" w:name="_Toc447044600"/>
      <w:bookmarkStart w:id="15" w:name="_Toc447045087"/>
      <w:r>
        <w:rPr>
          <w:rFonts w:hint="eastAsia" w:ascii="宋体" w:hAnsi="宋体" w:eastAsia="宋体" w:cs="宋体"/>
          <w:b/>
          <w:bCs/>
          <w:color w:val="000000"/>
          <w:kern w:val="2"/>
          <w:sz w:val="24"/>
          <w:szCs w:val="24"/>
          <w:lang w:val="en-US" w:eastAsia="zh-CN" w:bidi="ar-SA"/>
        </w:rPr>
        <w:t>一、</w:t>
      </w:r>
      <w:bookmarkStart w:id="16" w:name="_Toc19289"/>
      <w:bookmarkStart w:id="17" w:name="_Toc21462"/>
      <w:bookmarkStart w:id="18" w:name="_Toc15058"/>
      <w:bookmarkStart w:id="19" w:name="_Toc533"/>
      <w:bookmarkStart w:id="20" w:name="_Toc21319"/>
      <w:r>
        <w:rPr>
          <w:rFonts w:hint="eastAsia" w:ascii="宋体" w:hAnsi="宋体" w:eastAsia="宋体" w:cs="宋体"/>
          <w:b/>
          <w:bCs/>
          <w:color w:val="000000"/>
          <w:kern w:val="2"/>
          <w:sz w:val="24"/>
          <w:szCs w:val="24"/>
          <w:lang w:val="en-US" w:eastAsia="zh-CN" w:bidi="ar-SA"/>
        </w:rPr>
        <w:t>项目</w:t>
      </w:r>
      <w:bookmarkEnd w:id="16"/>
      <w:r>
        <w:rPr>
          <w:rFonts w:hint="eastAsia" w:ascii="宋体" w:hAnsi="宋体" w:eastAsia="宋体" w:cs="宋体"/>
          <w:b/>
          <w:bCs/>
          <w:color w:val="000000"/>
          <w:kern w:val="2"/>
          <w:sz w:val="24"/>
          <w:szCs w:val="24"/>
          <w:lang w:val="en-US" w:eastAsia="zh-CN" w:bidi="ar-SA"/>
        </w:rPr>
        <w:t>基础信息</w:t>
      </w:r>
      <w:bookmarkEnd w:id="10"/>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项目名称：东莞市水务集团有限公司可信数据库项目</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项目性质：</w:t>
      </w:r>
      <w:r>
        <w:rPr>
          <w:rFonts w:hint="eastAsia" w:hAnsi="宋体" w:cs="宋体"/>
          <w:color w:val="000000"/>
          <w:kern w:val="2"/>
          <w:sz w:val="24"/>
          <w:szCs w:val="24"/>
          <w:lang w:val="en-US" w:eastAsia="zh-CN" w:bidi="ar-SA"/>
        </w:rPr>
        <w:t>数据库系统建设</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lang w:val="en-US" w:eastAsia="zh-CN"/>
        </w:rPr>
        <w:t>项目估算金额：</w:t>
      </w:r>
      <w:r>
        <w:rPr>
          <w:rFonts w:hint="eastAsia" w:hAnsi="宋体" w:cs="宋体"/>
          <w:lang w:val="en-US" w:eastAsia="zh-CN"/>
        </w:rPr>
        <w:t>不</w:t>
      </w:r>
      <w:r>
        <w:rPr>
          <w:rFonts w:hint="eastAsia" w:ascii="宋体" w:hAnsi="宋体" w:eastAsia="宋体" w:cs="宋体"/>
        </w:rPr>
        <w:t>含税最高限价为</w:t>
      </w:r>
      <w:r>
        <w:rPr>
          <w:rFonts w:hint="eastAsia" w:ascii="宋体" w:hAnsi="宋体" w:eastAsia="宋体" w:cs="宋体"/>
          <w:lang w:val="en-US" w:eastAsia="zh-CN"/>
        </w:rPr>
        <w:t>315,893.68</w:t>
      </w:r>
      <w:r>
        <w:rPr>
          <w:rFonts w:hint="eastAsia" w:ascii="宋体" w:hAnsi="宋体" w:eastAsia="宋体" w:cs="宋体"/>
        </w:rPr>
        <w:t>元</w:t>
      </w:r>
      <w:r>
        <w:rPr>
          <w:rFonts w:hint="eastAsia" w:ascii="宋体" w:hAnsi="宋体" w:eastAsia="宋体" w:cs="宋体"/>
          <w:color w:val="000000"/>
          <w:kern w:val="2"/>
          <w:sz w:val="24"/>
          <w:szCs w:val="24"/>
          <w:lang w:val="en-US" w:eastAsia="zh-CN" w:bidi="ar-SA"/>
        </w:rPr>
        <w:t>。</w:t>
      </w:r>
    </w:p>
    <w:bookmarkEnd w:id="11"/>
    <w:bookmarkEnd w:id="12"/>
    <w:p>
      <w:pPr>
        <w:pStyle w:val="3"/>
        <w:numPr>
          <w:ilvl w:val="0"/>
          <w:numId w:val="0"/>
        </w:numPr>
        <w:spacing w:before="0" w:after="0" w:line="360" w:lineRule="auto"/>
        <w:ind w:leftChars="0" w:firstLine="482" w:firstLineChars="200"/>
        <w:rPr>
          <w:rFonts w:hint="eastAsia" w:ascii="宋体" w:hAnsi="宋体" w:eastAsia="宋体" w:cs="宋体"/>
          <w:b/>
          <w:bCs w:val="0"/>
          <w:sz w:val="24"/>
          <w:szCs w:val="24"/>
          <w:lang w:val="en-US" w:eastAsia="zh-CN"/>
        </w:rPr>
      </w:pPr>
      <w:bookmarkStart w:id="21" w:name="_Toc17306"/>
      <w:bookmarkStart w:id="22" w:name="_Toc12968"/>
      <w:bookmarkStart w:id="23" w:name="_Toc7246"/>
      <w:bookmarkStart w:id="24" w:name="_Toc8751"/>
      <w:bookmarkStart w:id="25" w:name="_Toc29220"/>
      <w:bookmarkStart w:id="26" w:name="_Toc7109"/>
      <w:r>
        <w:rPr>
          <w:rFonts w:hint="eastAsia" w:hAnsi="宋体" w:cs="宋体"/>
          <w:b/>
          <w:bCs w:val="0"/>
          <w:sz w:val="24"/>
          <w:szCs w:val="24"/>
          <w:lang w:val="en-US" w:eastAsia="zh-CN"/>
        </w:rPr>
        <w:t>二</w:t>
      </w:r>
      <w:r>
        <w:rPr>
          <w:rFonts w:hint="eastAsia" w:ascii="宋体" w:hAnsi="宋体" w:eastAsia="宋体" w:cs="宋体"/>
          <w:b/>
          <w:bCs w:val="0"/>
          <w:sz w:val="24"/>
          <w:szCs w:val="24"/>
          <w:lang w:val="en-US" w:eastAsia="zh-CN"/>
        </w:rPr>
        <w:t>、项目建设目标</w:t>
      </w:r>
      <w:bookmarkEnd w:id="21"/>
      <w:bookmarkEnd w:id="22"/>
      <w:bookmarkEnd w:id="23"/>
      <w:bookmarkEnd w:id="24"/>
      <w:bookmarkEnd w:id="25"/>
      <w:bookmarkEnd w:id="26"/>
    </w:p>
    <w:p>
      <w:pPr>
        <w:tabs>
          <w:tab w:val="right" w:pos="9120"/>
        </w:tabs>
        <w:spacing w:line="360" w:lineRule="auto"/>
        <w:ind w:right="38"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在集团数据中心部署统一安全可控的数据库</w:t>
      </w:r>
      <w:r>
        <w:rPr>
          <w:rFonts w:hint="eastAsia" w:ascii="宋体" w:hAnsi="宋体" w:eastAsia="宋体" w:cs="宋体"/>
          <w:b/>
          <w:bCs/>
          <w:sz w:val="24"/>
          <w:szCs w:val="24"/>
          <w:lang w:eastAsia="zh-CN"/>
        </w:rPr>
        <w:t>。</w:t>
      </w:r>
      <w:r>
        <w:rPr>
          <w:rFonts w:hint="eastAsia" w:ascii="宋体" w:hAnsi="宋体" w:eastAsia="宋体" w:cs="宋体"/>
          <w:sz w:val="24"/>
          <w:szCs w:val="24"/>
        </w:rPr>
        <w:t>提供多样数据库服务，利用数据库集群和自动化备份机制，有效提升数据库性能和可靠性。</w:t>
      </w:r>
      <w:r>
        <w:rPr>
          <w:rFonts w:hint="eastAsia" w:ascii="宋体" w:hAnsi="宋体" w:eastAsia="宋体" w:cs="宋体"/>
          <w:sz w:val="24"/>
          <w:szCs w:val="24"/>
          <w:lang w:val="en-US" w:eastAsia="zh-CN"/>
        </w:rPr>
        <w:t>可供现有系统数据库迁移及新增系统使用</w:t>
      </w:r>
      <w:r>
        <w:rPr>
          <w:rFonts w:hint="eastAsia" w:ascii="宋体" w:hAnsi="宋体" w:eastAsia="宋体" w:cs="宋体"/>
          <w:sz w:val="24"/>
          <w:szCs w:val="24"/>
        </w:rPr>
        <w:t>。</w:t>
      </w:r>
    </w:p>
    <w:p>
      <w:pPr>
        <w:tabs>
          <w:tab w:val="right" w:pos="9120"/>
        </w:tabs>
        <w:spacing w:line="360" w:lineRule="auto"/>
        <w:ind w:right="38"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hAnsi="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提高数据库服务器配置</w:t>
      </w:r>
      <w:r>
        <w:rPr>
          <w:rFonts w:hint="eastAsia" w:ascii="宋体" w:hAnsi="宋体" w:eastAsia="宋体" w:cs="宋体"/>
          <w:sz w:val="24"/>
          <w:szCs w:val="24"/>
          <w:lang w:val="en-US" w:eastAsia="zh-CN"/>
        </w:rPr>
        <w:t>。在现有服务器设备基础上对数据库服务器内存硬盘扩容，可根据不同情况数据规模场景下，优化数据库服务器性能，并根据数据规模的大小灵活配置软硬件环境，对未达标的系统功能模块与数据库间接口性能调优，以保证未来仍能具有良好的性能表现。</w:t>
      </w:r>
    </w:p>
    <w:p>
      <w:pPr>
        <w:pStyle w:val="3"/>
        <w:numPr>
          <w:ilvl w:val="0"/>
          <w:numId w:val="0"/>
        </w:numPr>
        <w:spacing w:before="0" w:after="0" w:line="360" w:lineRule="auto"/>
        <w:ind w:leftChars="0" w:firstLine="482" w:firstLineChars="200"/>
        <w:rPr>
          <w:rFonts w:hint="eastAsia" w:ascii="宋体" w:hAnsi="宋体" w:eastAsia="宋体" w:cs="宋体"/>
          <w:b/>
          <w:bCs w:val="0"/>
          <w:sz w:val="24"/>
          <w:szCs w:val="24"/>
        </w:rPr>
      </w:pPr>
      <w:bookmarkStart w:id="27" w:name="_Toc5948"/>
      <w:bookmarkStart w:id="28" w:name="_Toc4298"/>
      <w:bookmarkStart w:id="29" w:name="_Toc30097"/>
      <w:bookmarkStart w:id="30" w:name="_Toc22264"/>
      <w:bookmarkStart w:id="31" w:name="_Toc27183"/>
      <w:bookmarkStart w:id="32" w:name="_Toc6132"/>
      <w:r>
        <w:rPr>
          <w:rFonts w:hint="eastAsia" w:hAnsi="宋体" w:cs="宋体"/>
          <w:b/>
          <w:bCs w:val="0"/>
          <w:sz w:val="24"/>
          <w:szCs w:val="24"/>
          <w:lang w:val="en-US" w:eastAsia="zh-CN"/>
        </w:rPr>
        <w:t>三</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项目建设</w:t>
      </w:r>
      <w:r>
        <w:rPr>
          <w:rFonts w:hint="eastAsia" w:ascii="宋体" w:hAnsi="宋体" w:eastAsia="宋体" w:cs="宋体"/>
          <w:b/>
          <w:bCs w:val="0"/>
          <w:sz w:val="24"/>
          <w:szCs w:val="24"/>
          <w:lang w:val="en-US" w:eastAsia="zh-CN"/>
        </w:rPr>
        <w:t>明细及要求</w:t>
      </w:r>
      <w:bookmarkEnd w:id="27"/>
      <w:bookmarkEnd w:id="28"/>
      <w:bookmarkEnd w:id="29"/>
      <w:bookmarkEnd w:id="30"/>
      <w:bookmarkEnd w:id="31"/>
      <w:bookmarkEnd w:id="32"/>
    </w:p>
    <w:p>
      <w:pPr>
        <w:pStyle w:val="4"/>
        <w:numPr>
          <w:ilvl w:val="1"/>
          <w:numId w:val="0"/>
        </w:numPr>
        <w:spacing w:line="360" w:lineRule="auto"/>
        <w:ind w:left="0" w:leftChars="0" w:firstLine="482" w:firstLineChars="200"/>
        <w:rPr>
          <w:rFonts w:hint="eastAsia" w:ascii="宋体" w:hAnsi="宋体" w:eastAsia="宋体" w:cs="宋体"/>
          <w:b/>
          <w:bCs/>
          <w:sz w:val="24"/>
          <w:szCs w:val="24"/>
        </w:rPr>
      </w:pPr>
      <w:bookmarkStart w:id="33" w:name="_Toc22435"/>
      <w:bookmarkStart w:id="34" w:name="_Toc3660"/>
      <w:bookmarkStart w:id="35" w:name="_Toc7864"/>
      <w:bookmarkStart w:id="36" w:name="_Toc1173"/>
      <w:bookmarkStart w:id="37" w:name="_Toc13947"/>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项目建设清单明细</w:t>
      </w:r>
      <w:bookmarkEnd w:id="33"/>
      <w:bookmarkEnd w:id="34"/>
      <w:bookmarkEnd w:id="35"/>
      <w:bookmarkEnd w:id="36"/>
      <w:bookmarkEnd w:id="37"/>
    </w:p>
    <w:tbl>
      <w:tblPr>
        <w:tblStyle w:val="2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3"/>
        <w:gridCol w:w="1215"/>
        <w:gridCol w:w="1133"/>
        <w:gridCol w:w="1399"/>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56"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893" w:type="dxa"/>
            <w:shd w:val="clear" w:color="auto" w:fill="F1F1F1" w:themeFill="background1" w:themeFillShade="F2"/>
            <w:vAlign w:val="center"/>
          </w:tcPr>
          <w:p>
            <w:pPr>
              <w:tabs>
                <w:tab w:val="right" w:pos="9120"/>
              </w:tabs>
              <w:spacing w:line="360" w:lineRule="auto"/>
              <w:ind w:right="38"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参数</w:t>
            </w:r>
          </w:p>
        </w:tc>
        <w:tc>
          <w:tcPr>
            <w:tcW w:w="1215"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33"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不含税</w:t>
            </w:r>
          </w:p>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c>
          <w:tcPr>
            <w:tcW w:w="1399"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不含税</w:t>
            </w:r>
          </w:p>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小计（元）</w:t>
            </w:r>
          </w:p>
        </w:tc>
        <w:tc>
          <w:tcPr>
            <w:tcW w:w="2424" w:type="dxa"/>
            <w:shd w:val="clear" w:color="auto" w:fill="F1F1F1" w:themeFill="background1" w:themeFillShade="F2"/>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rPr>
            </w:pPr>
            <w:r>
              <w:rPr>
                <w:rFonts w:hint="eastAsia" w:ascii="宋体" w:hAnsi="宋体" w:eastAsia="宋体" w:cs="宋体"/>
                <w:sz w:val="24"/>
                <w:szCs w:val="24"/>
              </w:rPr>
              <w:t>关系型数据库（包含集群及自动化备份）</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c>
          <w:tcPr>
            <w:tcW w:w="1215"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rPr>
              <w:t>2套</w:t>
            </w:r>
          </w:p>
        </w:tc>
        <w:tc>
          <w:tcPr>
            <w:tcW w:w="1133"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140265.49</w:t>
            </w:r>
          </w:p>
        </w:tc>
        <w:tc>
          <w:tcPr>
            <w:tcW w:w="1399"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280530.97</w:t>
            </w:r>
          </w:p>
        </w:tc>
        <w:tc>
          <w:tcPr>
            <w:tcW w:w="2424" w:type="dxa"/>
            <w:vAlign w:val="center"/>
          </w:tcPr>
          <w:p>
            <w:pPr>
              <w:tabs>
                <w:tab w:val="right" w:pos="9120"/>
              </w:tabs>
              <w:spacing w:line="360" w:lineRule="auto"/>
              <w:ind w:right="3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永久授权</w:t>
            </w:r>
            <w:r>
              <w:rPr>
                <w:rFonts w:hint="eastAsia" w:ascii="宋体" w:hAnsi="宋体" w:eastAsia="宋体" w:cs="宋体"/>
                <w:sz w:val="24"/>
                <w:szCs w:val="24"/>
              </w:rPr>
              <w:t>，包含一年基础运维服务</w:t>
            </w:r>
            <w:r>
              <w:rPr>
                <w:rFonts w:hint="eastAsia" w:ascii="宋体" w:hAnsi="宋体" w:eastAsia="宋体" w:cs="宋体"/>
                <w:sz w:val="24"/>
                <w:szCs w:val="24"/>
                <w:lang w:val="en-US" w:eastAsia="zh-CN"/>
              </w:rPr>
              <w:t>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内存</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DDR4 2666 32G</w:t>
            </w:r>
          </w:p>
        </w:tc>
        <w:tc>
          <w:tcPr>
            <w:tcW w:w="1215"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3*16</w:t>
            </w:r>
            <w:r>
              <w:rPr>
                <w:rFonts w:hint="eastAsia" w:hAnsi="宋体" w:cs="宋体"/>
                <w:sz w:val="24"/>
                <w:szCs w:val="24"/>
                <w:lang w:val="en-US" w:eastAsia="zh-CN"/>
              </w:rPr>
              <w:t xml:space="preserve"> </w:t>
            </w:r>
            <w:r>
              <w:rPr>
                <w:rFonts w:hint="eastAsia" w:ascii="宋体" w:hAnsi="宋体" w:eastAsia="宋体" w:cs="宋体"/>
                <w:sz w:val="24"/>
                <w:szCs w:val="24"/>
                <w:lang w:val="en-US" w:eastAsia="zh-CN"/>
              </w:rPr>
              <w:t>条</w:t>
            </w:r>
          </w:p>
        </w:tc>
        <w:tc>
          <w:tcPr>
            <w:tcW w:w="1133"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380.53</w:t>
            </w:r>
          </w:p>
        </w:tc>
        <w:tc>
          <w:tcPr>
            <w:tcW w:w="1399"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18265.44</w:t>
            </w:r>
          </w:p>
        </w:tc>
        <w:tc>
          <w:tcPr>
            <w:tcW w:w="2424" w:type="dxa"/>
            <w:vMerge w:val="restart"/>
            <w:vAlign w:val="center"/>
          </w:tcPr>
          <w:p>
            <w:pPr>
              <w:spacing w:line="240" w:lineRule="auto"/>
              <w:ind w:right="0"/>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应</w:t>
            </w:r>
            <w:r>
              <w:rPr>
                <w:rFonts w:hint="eastAsia" w:ascii="宋体" w:hAnsi="宋体" w:eastAsia="宋体" w:cs="宋体"/>
                <w:sz w:val="24"/>
                <w:szCs w:val="24"/>
                <w:highlight w:val="none"/>
                <w:lang w:val="en-US" w:eastAsia="zh-CN"/>
              </w:rPr>
              <w:t>适配在用服务器设备型号：深信服</w:t>
            </w:r>
          </w:p>
          <w:p>
            <w:pPr>
              <w:spacing w:line="240" w:lineRule="auto"/>
              <w:ind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硬盘SSD</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960GB</w:t>
            </w:r>
          </w:p>
        </w:tc>
        <w:tc>
          <w:tcPr>
            <w:tcW w:w="1215"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个</w:t>
            </w:r>
          </w:p>
        </w:tc>
        <w:tc>
          <w:tcPr>
            <w:tcW w:w="1133"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619.47</w:t>
            </w:r>
          </w:p>
        </w:tc>
        <w:tc>
          <w:tcPr>
            <w:tcW w:w="1399"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1858.41</w:t>
            </w:r>
          </w:p>
        </w:tc>
        <w:tc>
          <w:tcPr>
            <w:tcW w:w="2424" w:type="dxa"/>
            <w:vMerge w:val="continue"/>
            <w:vAlign w:val="center"/>
          </w:tcPr>
          <w:p>
            <w:pPr>
              <w:tabs>
                <w:tab w:val="right" w:pos="9120"/>
              </w:tabs>
              <w:spacing w:line="360" w:lineRule="auto"/>
              <w:ind w:right="38"/>
              <w:rPr>
                <w:rFonts w:hint="eastAsia"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56"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硬盘HDD</w:t>
            </w:r>
          </w:p>
        </w:tc>
        <w:tc>
          <w:tcPr>
            <w:tcW w:w="893" w:type="dxa"/>
            <w:vAlign w:val="center"/>
          </w:tcPr>
          <w:p>
            <w:pPr>
              <w:tabs>
                <w:tab w:val="right" w:pos="9120"/>
              </w:tabs>
              <w:spacing w:line="360" w:lineRule="auto"/>
              <w:ind w:right="38"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6TB</w:t>
            </w:r>
          </w:p>
        </w:tc>
        <w:tc>
          <w:tcPr>
            <w:tcW w:w="1215"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 个</w:t>
            </w:r>
          </w:p>
        </w:tc>
        <w:tc>
          <w:tcPr>
            <w:tcW w:w="1133"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725.66</w:t>
            </w:r>
          </w:p>
        </w:tc>
        <w:tc>
          <w:tcPr>
            <w:tcW w:w="1399" w:type="dxa"/>
            <w:vAlign w:val="center"/>
          </w:tcPr>
          <w:p>
            <w:pPr>
              <w:tabs>
                <w:tab w:val="right" w:pos="9120"/>
              </w:tabs>
              <w:spacing w:line="360" w:lineRule="auto"/>
              <w:ind w:right="3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15238.86</w:t>
            </w:r>
          </w:p>
        </w:tc>
        <w:tc>
          <w:tcPr>
            <w:tcW w:w="2424" w:type="dxa"/>
            <w:vMerge w:val="continue"/>
            <w:vAlign w:val="center"/>
          </w:tcPr>
          <w:p>
            <w:pPr>
              <w:tabs>
                <w:tab w:val="right" w:pos="9120"/>
              </w:tabs>
              <w:spacing w:line="360" w:lineRule="auto"/>
              <w:ind w:right="38"/>
              <w:rPr>
                <w:rFonts w:hint="eastAsia" w:ascii="宋体" w:hAnsi="宋体" w:eastAsia="宋体" w:cs="宋体"/>
                <w:sz w:val="24"/>
                <w:szCs w:val="24"/>
                <w:highlight w:val="none"/>
                <w:lang w:val="en-US" w:eastAsia="zh-CN"/>
              </w:rPr>
            </w:pPr>
          </w:p>
        </w:tc>
      </w:tr>
    </w:tbl>
    <w:p>
      <w:pPr>
        <w:pStyle w:val="4"/>
        <w:numPr>
          <w:ilvl w:val="-1"/>
          <w:numId w:val="0"/>
        </w:numPr>
        <w:spacing w:line="360" w:lineRule="auto"/>
        <w:ind w:firstLine="480" w:firstLineChars="200"/>
        <w:rPr>
          <w:rFonts w:hint="eastAsia" w:ascii="宋体" w:hAnsi="宋体" w:eastAsia="宋体" w:cs="宋体"/>
          <w:sz w:val="24"/>
          <w:szCs w:val="24"/>
          <w:lang w:val="en-US" w:eastAsia="zh-CN"/>
        </w:rPr>
      </w:pPr>
      <w:bookmarkStart w:id="38" w:name="_Toc14395"/>
      <w:bookmarkStart w:id="39" w:name="_Toc18141"/>
      <w:bookmarkStart w:id="40" w:name="_Toc15695"/>
      <w:bookmarkStart w:id="41" w:name="_Toc21790"/>
      <w:bookmarkStart w:id="42" w:name="_Toc31420"/>
      <w:r>
        <w:rPr>
          <w:rFonts w:hint="eastAsia" w:ascii="宋体" w:hAnsi="宋体" w:eastAsia="宋体" w:cs="宋体"/>
          <w:sz w:val="24"/>
          <w:szCs w:val="24"/>
          <w:lang w:val="en-US" w:eastAsia="zh-CN"/>
        </w:rPr>
        <w:t>工期：自合同签订之日起30日内按项目清单完成安装调试。</w:t>
      </w:r>
    </w:p>
    <w:p>
      <w:pPr>
        <w:pStyle w:val="4"/>
        <w:numPr>
          <w:ilvl w:val="1"/>
          <w:numId w:val="0"/>
        </w:numPr>
        <w:spacing w:line="36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项目建设</w:t>
      </w:r>
      <w:bookmarkEnd w:id="38"/>
      <w:r>
        <w:rPr>
          <w:rFonts w:hint="eastAsia" w:ascii="宋体" w:hAnsi="宋体" w:eastAsia="宋体" w:cs="宋体"/>
          <w:b/>
          <w:bCs/>
          <w:sz w:val="24"/>
          <w:szCs w:val="24"/>
        </w:rPr>
        <w:t>要求</w:t>
      </w:r>
      <w:bookmarkEnd w:id="39"/>
      <w:bookmarkEnd w:id="40"/>
      <w:bookmarkEnd w:id="41"/>
      <w:bookmarkEnd w:id="42"/>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可用性要求</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达到数据库事务ACID标准，实时强一致性。</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支持全栈解决方案。支持X86、C86、ARM</w:t>
      </w:r>
      <w:r>
        <w:rPr>
          <w:rFonts w:hint="eastAsia" w:hAnsi="宋体" w:cs="宋体"/>
          <w:sz w:val="24"/>
          <w:szCs w:val="24"/>
          <w:lang w:val="en-US" w:eastAsia="zh-CN"/>
        </w:rPr>
        <w:t>等</w:t>
      </w:r>
      <w:r>
        <w:rPr>
          <w:rFonts w:hint="eastAsia" w:ascii="宋体" w:hAnsi="宋体" w:eastAsia="宋体" w:cs="宋体"/>
          <w:sz w:val="24"/>
          <w:szCs w:val="24"/>
        </w:rPr>
        <w:t>CPU架构。兼容国际主流操作系统，支持麒麟、统信、红帽、Centos等其它常用主流操作系统。</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一个数据库能创建多个实例</w:t>
      </w:r>
      <w:r>
        <w:rPr>
          <w:rFonts w:hint="eastAsia" w:ascii="宋体" w:hAnsi="宋体" w:eastAsia="宋体" w:cs="宋体"/>
          <w:sz w:val="24"/>
          <w:szCs w:val="24"/>
        </w:rPr>
        <w:t>，所有功能包括部署不依赖管控平台。</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为保障数据迁移和数据一致性，产品有配套的异构数据同步软件和数据比对工具，支持异构数据库同步，支持同构、</w:t>
      </w:r>
      <w:r>
        <w:rPr>
          <w:rFonts w:hint="eastAsia" w:ascii="宋体" w:hAnsi="宋体" w:eastAsia="宋体" w:cs="宋体"/>
          <w:sz w:val="24"/>
          <w:szCs w:val="24"/>
          <w:lang w:val="en-US" w:eastAsia="zh-CN"/>
        </w:rPr>
        <w:t>异</w:t>
      </w:r>
      <w:r>
        <w:rPr>
          <w:rFonts w:hint="eastAsia" w:ascii="宋体" w:hAnsi="宋体" w:eastAsia="宋体" w:cs="宋体"/>
          <w:sz w:val="24"/>
          <w:szCs w:val="24"/>
        </w:rPr>
        <w:t>构数据库对象并行比对，支持差异结果的双向同步处理。提供数据库同品牌异构数据同步软件和数据比对工具著作权证书</w:t>
      </w:r>
      <w:r>
        <w:rPr>
          <w:rFonts w:hint="eastAsia" w:hAnsi="宋体" w:cs="宋体"/>
          <w:sz w:val="24"/>
          <w:szCs w:val="24"/>
          <w:lang w:val="en-US" w:eastAsia="zh-CN"/>
        </w:rPr>
        <w:t>复印件</w:t>
      </w:r>
      <w:r>
        <w:rPr>
          <w:rFonts w:hint="eastAsia" w:ascii="宋体" w:hAnsi="宋体" w:eastAsia="宋体" w:cs="宋体"/>
          <w:sz w:val="24"/>
          <w:szCs w:val="24"/>
        </w:rPr>
        <w:t>。</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支持表空间级数据加密功能，支持同一表空间存在多表情况下部分表进行加密功能，支持日志加密，提供CNAS（中国合格评定国家认可委员会）认</w:t>
      </w:r>
      <w:r>
        <w:rPr>
          <w:rFonts w:hint="eastAsia" w:hAnsi="宋体" w:cs="宋体"/>
          <w:sz w:val="24"/>
          <w:szCs w:val="24"/>
          <w:lang w:val="en-US" w:eastAsia="zh-CN"/>
        </w:rPr>
        <w:t>定</w:t>
      </w:r>
      <w:r>
        <w:rPr>
          <w:rFonts w:hint="eastAsia" w:ascii="宋体" w:hAnsi="宋体" w:eastAsia="宋体" w:cs="宋体"/>
          <w:sz w:val="24"/>
          <w:szCs w:val="24"/>
        </w:rPr>
        <w:t>的权威机构出具的测试报告复印件。</w:t>
      </w:r>
    </w:p>
    <w:p>
      <w:pPr>
        <w:numPr>
          <w:ilvl w:val="0"/>
          <w:numId w:val="2"/>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数据库的集群功能</w:t>
      </w:r>
      <w:r>
        <w:rPr>
          <w:rFonts w:hint="eastAsia" w:ascii="宋体" w:hAnsi="宋体" w:eastAsia="宋体" w:cs="宋体"/>
          <w:sz w:val="24"/>
          <w:szCs w:val="24"/>
          <w:lang w:val="en-US" w:eastAsia="zh-CN"/>
        </w:rPr>
        <w:t>需为统一品牌产品</w:t>
      </w:r>
      <w:r>
        <w:rPr>
          <w:rFonts w:hint="eastAsia" w:ascii="宋体" w:hAnsi="宋体" w:eastAsia="宋体" w:cs="宋体"/>
          <w:sz w:val="24"/>
          <w:szCs w:val="24"/>
        </w:rPr>
        <w:t>，无需单独购买和安装单独的集群软件实现集群功能。</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功能要求</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具备监控运维及可视化分析功能，支持分析数据库的全局状态、连接信息、会话信息、检查点状态、临时文件状态、封锁信息、执行的查询、最慢查询。</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兼容Oracle、MYSQL、POSTGREPSQL等常用数据库迁移，与致远、用友的系统有对接合作案例，提供成功对接案例或产品兼容性认证证明</w:t>
      </w:r>
      <w:r>
        <w:rPr>
          <w:rFonts w:hint="eastAsia" w:hAnsi="宋体" w:cs="宋体"/>
          <w:sz w:val="24"/>
          <w:szCs w:val="24"/>
          <w:lang w:val="en-US" w:eastAsia="zh-CN"/>
        </w:rPr>
        <w:t>复印件</w:t>
      </w:r>
      <w:r>
        <w:rPr>
          <w:rFonts w:hint="eastAsia" w:ascii="宋体" w:hAnsi="宋体" w:eastAsia="宋体" w:cs="宋体"/>
          <w:sz w:val="24"/>
          <w:szCs w:val="24"/>
        </w:rPr>
        <w:t>。</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支持从日志文件离线修复文件坏块或表；主备集群支持基于备机的主机数据坏块修复，当主机数据块损坏时，可以自动从备机复制对应数据块对损坏的主机数据块进行实时修复。</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系统支持集群功能，同构数据库之间的数据同步，能支持在线扩缩容。</w:t>
      </w:r>
      <w:r>
        <w:rPr>
          <w:rFonts w:hint="eastAsia" w:ascii="宋体" w:hAnsi="宋体" w:eastAsia="宋体" w:cs="宋体"/>
          <w:sz w:val="24"/>
          <w:szCs w:val="24"/>
          <w:lang w:val="en-US" w:eastAsia="zh-CN"/>
        </w:rPr>
        <w:t>支持</w:t>
      </w:r>
      <w:r>
        <w:rPr>
          <w:rFonts w:hint="eastAsia" w:ascii="宋体" w:hAnsi="宋体" w:eastAsia="宋体" w:cs="宋体"/>
          <w:sz w:val="24"/>
          <w:szCs w:val="24"/>
        </w:rPr>
        <w:t>读写分离集群实现自动分离功能</w:t>
      </w:r>
      <w:r>
        <w:rPr>
          <w:rFonts w:hint="eastAsia" w:ascii="宋体" w:hAnsi="宋体" w:eastAsia="宋体" w:cs="宋体"/>
          <w:sz w:val="24"/>
          <w:szCs w:val="24"/>
          <w:lang w:eastAsia="zh-CN"/>
        </w:rPr>
        <w:t>，</w:t>
      </w:r>
      <w:r>
        <w:rPr>
          <w:rFonts w:hint="eastAsia" w:ascii="宋体" w:hAnsi="宋体" w:eastAsia="宋体" w:cs="宋体"/>
          <w:sz w:val="24"/>
          <w:szCs w:val="24"/>
        </w:rPr>
        <w:t>支持并发控制，读写无冲突，集群可实现在线增加数据库节点，增加的节点会被集群识别，进行日志同步</w:t>
      </w:r>
      <w:r>
        <w:rPr>
          <w:rFonts w:hint="eastAsia" w:ascii="宋体" w:hAnsi="宋体" w:eastAsia="宋体" w:cs="宋体"/>
          <w:sz w:val="24"/>
          <w:szCs w:val="24"/>
          <w:highlight w:val="none"/>
        </w:rPr>
        <w:t>。</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提供集群监控管理工具，可以显示集群节点信息，包括集群模式、状态、锁、节点状态、会话情况，以及单个服务器的监控指标详细数据等。</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支持负载均衡，对于可以分散到备机的SQL，按照备机节点的负载情况等按照均衡的策略分发到备节点，提高查询性能。</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提供数据库管理功能，可进行本地和远程联机开发和管理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lang w:eastAsia="zh-CN"/>
        </w:rPr>
        <w:t>提供在线检查和离线检查，数据库文件、数据文件、事务日志、控制文件、数据字典等文件的完整性检查，</w:t>
      </w:r>
      <w:r>
        <w:rPr>
          <w:rFonts w:hint="eastAsia" w:ascii="宋体" w:hAnsi="宋体" w:eastAsia="宋体" w:cs="宋体"/>
          <w:sz w:val="24"/>
          <w:szCs w:val="24"/>
        </w:rPr>
        <w:t>CPU、内存、磁盘等信息的检查。</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提供配套迁移工具，支持无侵入业务应用实现Oracle应用的SQL采集、迁移评估和转换。测评后并生成迁移报告。</w:t>
      </w:r>
    </w:p>
    <w:p>
      <w:pPr>
        <w:numPr>
          <w:ilvl w:val="0"/>
          <w:numId w:val="3"/>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提供在线和离线备份，支持容灾备份和恢复功能，支持完全备份、增量备份、差异备份、远程备份；支持备份点恢复、时间点恢复、完全恢复；支持单向、双向、级联、多对多的同步/异步数据复制功能；能保证数据处理的一致性和准确性，避免业务数据产生逻辑性错误。</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性能要求</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highlight w:val="none"/>
        </w:rPr>
        <w:t>并发数不设限制。</w:t>
      </w:r>
      <w:r>
        <w:rPr>
          <w:rFonts w:hint="eastAsia" w:ascii="宋体" w:hAnsi="宋体" w:eastAsia="宋体" w:cs="宋体"/>
          <w:sz w:val="24"/>
          <w:szCs w:val="24"/>
          <w:lang w:val="en-US" w:eastAsia="zh-CN"/>
        </w:rPr>
        <w:t>需</w:t>
      </w:r>
      <w:r>
        <w:rPr>
          <w:rFonts w:hint="eastAsia" w:ascii="宋体" w:hAnsi="宋体" w:eastAsia="宋体" w:cs="宋体"/>
          <w:sz w:val="24"/>
          <w:szCs w:val="24"/>
        </w:rPr>
        <w:t>持续测试1小时</w:t>
      </w:r>
      <w:r>
        <w:rPr>
          <w:rFonts w:hint="eastAsia" w:ascii="宋体" w:hAnsi="宋体" w:eastAsia="宋体" w:cs="宋体"/>
          <w:sz w:val="24"/>
          <w:szCs w:val="24"/>
          <w:lang w:eastAsia="zh-CN"/>
        </w:rPr>
        <w:t>1</w:t>
      </w:r>
      <w:r>
        <w:rPr>
          <w:rFonts w:hint="eastAsia" w:ascii="宋体" w:hAnsi="宋体" w:eastAsia="宋体" w:cs="宋体"/>
          <w:sz w:val="24"/>
          <w:szCs w:val="24"/>
        </w:rPr>
        <w:t>万以上用户在线并发访问，测试期间没有失败的请求，平均响应时间在200ms以内，且数据库服务器资源表现正常，无明显性能瓶颈</w:t>
      </w:r>
      <w:r>
        <w:rPr>
          <w:rFonts w:hint="eastAsia" w:ascii="宋体" w:hAnsi="宋体" w:eastAsia="宋体" w:cs="宋体"/>
          <w:sz w:val="24"/>
          <w:szCs w:val="24"/>
          <w:lang w:eastAsia="zh-CN"/>
        </w:rPr>
        <w:t>。</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hAnsi="宋体" w:cs="宋体"/>
        </w:rPr>
        <w:t>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w:t>
      </w:r>
      <w:r>
        <w:rPr>
          <w:rFonts w:hint="eastAsia" w:ascii="宋体" w:hAnsi="宋体" w:eastAsia="宋体" w:cs="宋体"/>
          <w:sz w:val="24"/>
          <w:szCs w:val="24"/>
        </w:rPr>
        <w:t>。报告支持文本和网页两种形式，支持中文</w:t>
      </w:r>
      <w:r>
        <w:rPr>
          <w:rFonts w:hint="eastAsia" w:hAnsi="宋体" w:cs="宋体"/>
          <w:sz w:val="24"/>
          <w:szCs w:val="24"/>
          <w:lang w:eastAsia="zh-CN"/>
        </w:rPr>
        <w:t>，</w:t>
      </w:r>
      <w:r>
        <w:rPr>
          <w:rFonts w:hint="eastAsia" w:ascii="宋体" w:hAnsi="宋体" w:eastAsia="宋体" w:cs="宋体"/>
          <w:sz w:val="24"/>
          <w:szCs w:val="24"/>
        </w:rPr>
        <w:t>支持自动采集和保存数据</w:t>
      </w:r>
      <w:r>
        <w:rPr>
          <w:rFonts w:hint="eastAsia" w:hAnsi="宋体" w:cs="宋体"/>
          <w:sz w:val="24"/>
          <w:szCs w:val="24"/>
          <w:lang w:eastAsia="zh-CN"/>
        </w:rPr>
        <w:t>，提供CNAS（中国合格评定国家认可委员会）认</w:t>
      </w:r>
      <w:r>
        <w:rPr>
          <w:rFonts w:hint="eastAsia" w:hAnsi="宋体" w:cs="宋体"/>
          <w:sz w:val="24"/>
          <w:szCs w:val="24"/>
          <w:lang w:val="en-US" w:eastAsia="zh-CN"/>
        </w:rPr>
        <w:t>定</w:t>
      </w:r>
      <w:r>
        <w:rPr>
          <w:rFonts w:hint="eastAsia" w:hAnsi="宋体" w:cs="宋体"/>
          <w:sz w:val="24"/>
          <w:szCs w:val="24"/>
          <w:lang w:eastAsia="zh-CN"/>
        </w:rPr>
        <w:t>的权威机构出具的测试报告复印件</w:t>
      </w:r>
      <w:r>
        <w:rPr>
          <w:rFonts w:hint="eastAsia" w:hAnsi="宋体" w:cs="宋体"/>
          <w:sz w:val="24"/>
          <w:szCs w:val="24"/>
          <w:lang w:val="en-US" w:eastAsia="zh-CN"/>
        </w:rPr>
        <w:t>。</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在遇到故障自动切换、失败节点自动加入等突发状况切换数据库时，需做到数据零丢失。</w:t>
      </w:r>
    </w:p>
    <w:p>
      <w:pPr>
        <w:numPr>
          <w:ilvl w:val="0"/>
          <w:numId w:val="4"/>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兼容多种数据库开发接口和开发平台，并提供多种开发接口及技术框架，包括但不限于：ODBC、JDBC、OLE DB、eclipse。</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安全要求</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支持创建多种不同类型的权限账号和角色，例如安全管理员</w:t>
      </w:r>
      <w:r>
        <w:rPr>
          <w:rFonts w:hint="eastAsia" w:ascii="宋体" w:hAnsi="宋体" w:eastAsia="宋体" w:cs="宋体"/>
          <w:sz w:val="24"/>
          <w:szCs w:val="24"/>
          <w:lang w:eastAsia="zh-CN"/>
        </w:rPr>
        <w:t>、</w:t>
      </w:r>
      <w:r>
        <w:rPr>
          <w:rFonts w:hint="eastAsia" w:ascii="宋体" w:hAnsi="宋体" w:eastAsia="宋体" w:cs="宋体"/>
          <w:sz w:val="24"/>
          <w:szCs w:val="24"/>
        </w:rPr>
        <w:t>审计管理员，数据管理员等。每个账号角色拥有不同的权限。安全员、审计员不能访问业务数据，数据管理员和普通用户不能访问安全员、审计员的规则表，安全员和审计员不能访问彼此的规则表。安全员配置安全相关的策略，审计员配置相关的规则。</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支持时间点恢复功能：当发生数据文件故障时，数据库支持基于时间点的恢复。对于节点故障、进程故障、网络故障有一定的可靠性故障处理，确保RTO&lt;30S，RPO=0。</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支持数据库审计功能，至少包含用户登录注销、数据库启停、数据库对象增删改等。</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支持针对表的具体列做访问控制，安全员可以配置列级访问控制策略。</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支持行级访问控制，不同角色可以设置不同权限，对同一张表有不同行的访问权限。</w:t>
      </w:r>
    </w:p>
    <w:p>
      <w:pPr>
        <w:numPr>
          <w:ilvl w:val="0"/>
          <w:numId w:val="5"/>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支持对数据进行脱敏查看，根据安全管理员设置的安全规则或者安全策略，用户可以访问而且只能访问自己被授权的资源，未授权信息展现为脱敏后结果。安全员配置脱敏规则，数据访问者无感知。</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运行维护要求</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该项目需提供一年原厂商标准售后服务。</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安装与实施服务。软件到货后进行安装、规划、调试、测试、优化、升级等工作。</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常规维保服务。包括保障软件正常运行、保障采购人业务稳定的一切服务。在维保期内出现软件缺陷问题，如</w:t>
      </w:r>
      <w:r>
        <w:rPr>
          <w:rFonts w:hint="eastAsia" w:ascii="宋体" w:hAnsi="宋体" w:eastAsia="宋体" w:cs="宋体"/>
          <w:sz w:val="24"/>
          <w:szCs w:val="24"/>
          <w:lang w:val="en-US" w:eastAsia="zh-CN"/>
        </w:rPr>
        <w:t>采购人</w:t>
      </w:r>
      <w:r>
        <w:rPr>
          <w:rFonts w:hint="eastAsia" w:ascii="宋体" w:hAnsi="宋体" w:eastAsia="宋体" w:cs="宋体"/>
          <w:sz w:val="24"/>
          <w:szCs w:val="24"/>
        </w:rPr>
        <w:t>无法自行完成缺陷修复，</w:t>
      </w:r>
      <w:r>
        <w:rPr>
          <w:rFonts w:hint="eastAsia" w:ascii="宋体" w:hAnsi="宋体" w:eastAsia="宋体" w:cs="宋体"/>
          <w:sz w:val="24"/>
          <w:szCs w:val="24"/>
          <w:lang w:eastAsia="zh-CN"/>
        </w:rPr>
        <w:t>供应商</w:t>
      </w:r>
      <w:r>
        <w:rPr>
          <w:rFonts w:hint="eastAsia" w:ascii="宋体" w:hAnsi="宋体" w:eastAsia="宋体" w:cs="宋体"/>
          <w:sz w:val="24"/>
          <w:szCs w:val="24"/>
        </w:rPr>
        <w:t>需到现场支持缺陷修复。</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巡检服务。提供每年4次现场巡检服务，具体巡检时间由采购人确定。巡检须派经验丰富的原厂工程师进行预防性检查维护，对配置进行检查，分析系统告警信息并提出整改方案，按采购人要求出具巡检报告、整改方案等文档并负责整改实施。</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升级服务。针对产品缺陷或根据采购人要求为软件免费升级和补丁更新，保证用户能够及时获得相关服务和技术文档的更新。技术文档包括</w:t>
      </w:r>
      <w:r>
        <w:rPr>
          <w:rFonts w:hint="eastAsia" w:ascii="宋体" w:hAnsi="宋体" w:eastAsia="宋体" w:cs="宋体"/>
          <w:sz w:val="24"/>
          <w:szCs w:val="24"/>
          <w:lang w:val="en-US" w:eastAsia="zh-CN"/>
        </w:rPr>
        <w:t>但不限于数据库安装部署手册、</w:t>
      </w:r>
      <w:r>
        <w:rPr>
          <w:rFonts w:hint="eastAsia" w:ascii="宋体" w:hAnsi="宋体" w:eastAsia="宋体" w:cs="宋体"/>
          <w:sz w:val="24"/>
          <w:szCs w:val="24"/>
        </w:rPr>
        <w:t>操作手册、产品说明、系统架构、应急处理等。如产品出现重大缺陷时，须主动告知采购人升级或应对措施。</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培训服务。提供每年2次线上或线下培训服务，包括但不限于数据库使用培训、权限分配培训、数据库备份培训。</w:t>
      </w:r>
    </w:p>
    <w:p>
      <w:pPr>
        <w:numPr>
          <w:ilvl w:val="0"/>
          <w:numId w:val="6"/>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重要节假日（五一、国庆、中秋、春节等）和重要时期（网络攻防演练等）提供专业技术人员保障和协助的服务，协助采购人防守、加固、溯源和分析等工作。</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迁移服务要求</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该项目需提供OA系统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财务及供应链系统</w:t>
      </w:r>
      <w:r>
        <w:rPr>
          <w:rFonts w:hint="eastAsia" w:ascii="宋体" w:hAnsi="宋体" w:eastAsia="宋体" w:cs="宋体"/>
          <w:sz w:val="24"/>
          <w:szCs w:val="24"/>
        </w:rPr>
        <w:t>迁移支援服务，包括但不限于原数据库数据迁移及与系统厂商配合对接。</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供应商需根据采购人迁移系统现状提供优选的数据库迁移建议服务，出具数据库系统迁移方案，</w:t>
      </w:r>
      <w:r>
        <w:rPr>
          <w:rFonts w:hint="eastAsia" w:ascii="宋体" w:hAnsi="宋体" w:eastAsia="宋体" w:cs="宋体"/>
          <w:sz w:val="24"/>
          <w:szCs w:val="24"/>
          <w:highlight w:val="none"/>
        </w:rPr>
        <w:t>需要提供驻场实施服务</w:t>
      </w:r>
      <w:r>
        <w:rPr>
          <w:rFonts w:hint="eastAsia" w:ascii="宋体" w:hAnsi="宋体" w:eastAsia="宋体" w:cs="宋体"/>
          <w:sz w:val="24"/>
          <w:szCs w:val="24"/>
        </w:rPr>
        <w:t>。</w:t>
      </w:r>
    </w:p>
    <w:p>
      <w:pPr>
        <w:numPr>
          <w:ilvl w:val="0"/>
          <w:numId w:val="7"/>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迁移后需满足最少3次的数据库系统测试且测试可用性达98%后，方可正式上线运行使用。</w:t>
      </w:r>
    </w:p>
    <w:p>
      <w:pPr>
        <w:pStyle w:val="5"/>
        <w:spacing w:before="0"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7.硬件要求</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供应商提供的硬件产品应为在用服务器原厂硬件并提供上门安装服务，如安装后无法适配服务器，供应商需重新提供货物及安装服务。</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货物自收到货起提供一年保修期，</w:t>
      </w:r>
      <w:r>
        <w:rPr>
          <w:rFonts w:hint="eastAsia" w:ascii="宋体" w:hAnsi="宋体" w:eastAsia="宋体" w:cs="宋体"/>
          <w:sz w:val="24"/>
          <w:szCs w:val="24"/>
        </w:rPr>
        <w:t>货物质量出现问题，</w:t>
      </w:r>
      <w:r>
        <w:rPr>
          <w:rFonts w:hint="eastAsia" w:ascii="宋体" w:hAnsi="宋体" w:eastAsia="宋体" w:cs="宋体"/>
          <w:sz w:val="24"/>
          <w:szCs w:val="24"/>
          <w:lang w:eastAsia="zh-CN"/>
        </w:rPr>
        <w:t>供应商</w:t>
      </w:r>
      <w:r>
        <w:rPr>
          <w:rFonts w:hint="eastAsia" w:ascii="宋体" w:hAnsi="宋体" w:eastAsia="宋体" w:cs="宋体"/>
          <w:sz w:val="24"/>
          <w:szCs w:val="24"/>
        </w:rPr>
        <w:t>应负责三包(包修、换、包</w:t>
      </w:r>
      <w:r>
        <w:rPr>
          <w:rFonts w:hint="eastAsia" w:hAnsi="宋体" w:cs="宋体"/>
          <w:sz w:val="24"/>
          <w:szCs w:val="24"/>
          <w:lang w:val="en-US" w:eastAsia="zh-CN"/>
        </w:rPr>
        <w:t>退</w:t>
      </w:r>
      <w:r>
        <w:rPr>
          <w:rFonts w:hint="eastAsia" w:ascii="宋体" w:hAnsi="宋体" w:eastAsia="宋体" w:cs="宋体"/>
          <w:sz w:val="24"/>
          <w:szCs w:val="24"/>
        </w:rPr>
        <w:t>)，费用由</w:t>
      </w:r>
      <w:r>
        <w:rPr>
          <w:rFonts w:hint="eastAsia" w:ascii="宋体" w:hAnsi="宋体" w:eastAsia="宋体" w:cs="宋体"/>
          <w:sz w:val="24"/>
          <w:szCs w:val="24"/>
          <w:lang w:eastAsia="zh-CN"/>
        </w:rPr>
        <w:t>供应商</w:t>
      </w:r>
      <w:r>
        <w:rPr>
          <w:rFonts w:hint="eastAsia" w:ascii="宋体" w:hAnsi="宋体" w:eastAsia="宋体" w:cs="宋体"/>
          <w:sz w:val="24"/>
          <w:szCs w:val="24"/>
        </w:rPr>
        <w:t>负责。</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须提供全新的货物(含零部件、配件等)，表面无划伤、无碰撞痕迹，且权属清楚，保证</w:t>
      </w:r>
      <w:r>
        <w:rPr>
          <w:rFonts w:hint="eastAsia" w:ascii="宋体" w:hAnsi="宋体" w:eastAsia="宋体" w:cs="宋体"/>
          <w:sz w:val="24"/>
          <w:szCs w:val="24"/>
          <w:lang w:val="en-US" w:eastAsia="zh-CN"/>
        </w:rPr>
        <w:t>提供的</w:t>
      </w:r>
      <w:r>
        <w:rPr>
          <w:rFonts w:hint="eastAsia" w:ascii="宋体" w:hAnsi="宋体" w:eastAsia="宋体" w:cs="宋体"/>
          <w:sz w:val="24"/>
          <w:szCs w:val="24"/>
        </w:rPr>
        <w:t>所有货物都是原厂产品，符合</w:t>
      </w:r>
      <w:r>
        <w:rPr>
          <w:rFonts w:hint="eastAsia" w:ascii="宋体" w:hAnsi="宋体" w:eastAsia="宋体" w:cs="宋体"/>
          <w:sz w:val="24"/>
          <w:szCs w:val="24"/>
          <w:lang w:val="en-US" w:eastAsia="zh-CN"/>
        </w:rPr>
        <w:t>国家</w:t>
      </w:r>
      <w:r>
        <w:rPr>
          <w:rFonts w:hint="eastAsia" w:ascii="宋体" w:hAnsi="宋体" w:eastAsia="宋体" w:cs="宋体"/>
          <w:sz w:val="24"/>
          <w:szCs w:val="24"/>
        </w:rPr>
        <w:t>规定的质量、规格和性能要求，有原厂包装，附有</w:t>
      </w:r>
      <w:r>
        <w:rPr>
          <w:rFonts w:hint="eastAsia" w:ascii="宋体" w:hAnsi="宋体" w:eastAsia="宋体" w:cs="宋体"/>
          <w:sz w:val="24"/>
          <w:szCs w:val="24"/>
          <w:lang w:val="en-US" w:eastAsia="zh-CN"/>
        </w:rPr>
        <w:t>深信服厂家出具的服务器原厂硬件证明</w:t>
      </w:r>
      <w:r>
        <w:rPr>
          <w:rFonts w:hint="eastAsia" w:hAnsi="宋体" w:cs="宋体"/>
          <w:sz w:val="24"/>
          <w:szCs w:val="24"/>
          <w:lang w:val="en-US" w:eastAsia="zh-CN"/>
        </w:rPr>
        <w:t>或原厂售后服务承诺</w:t>
      </w:r>
      <w:r>
        <w:rPr>
          <w:rFonts w:hint="eastAsia" w:ascii="宋体" w:hAnsi="宋体" w:eastAsia="宋体" w:cs="宋体"/>
          <w:sz w:val="24"/>
          <w:szCs w:val="24"/>
        </w:rPr>
        <w:t>等。</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货物必须符合或优于国家(行业)标准，以及本项目质量要求和技术指标。</w:t>
      </w:r>
    </w:p>
    <w:p>
      <w:pPr>
        <w:numPr>
          <w:ilvl w:val="0"/>
          <w:numId w:val="8"/>
        </w:numPr>
        <w:autoSpaceDE w:val="0"/>
        <w:autoSpaceDN w:val="0"/>
        <w:adjustRightInd w:val="0"/>
        <w:spacing w:line="360" w:lineRule="auto"/>
        <w:ind w:left="0" w:leftChars="0" w:firstLine="454" w:firstLineChars="0"/>
        <w:jc w:val="left"/>
        <w:rPr>
          <w:rFonts w:hint="eastAsia" w:ascii="宋体" w:hAnsi="宋体" w:eastAsia="宋体" w:cs="宋体"/>
          <w:sz w:val="24"/>
          <w:szCs w:val="24"/>
        </w:rPr>
      </w:pPr>
      <w:r>
        <w:rPr>
          <w:rFonts w:hint="eastAsia" w:ascii="宋体" w:hAnsi="宋体" w:eastAsia="宋体" w:cs="宋体"/>
          <w:sz w:val="24"/>
          <w:szCs w:val="24"/>
        </w:rPr>
        <w:t>货到现场后由于</w:t>
      </w:r>
      <w:r>
        <w:rPr>
          <w:rFonts w:hint="eastAsia" w:ascii="宋体" w:hAnsi="宋体" w:eastAsia="宋体" w:cs="宋体"/>
          <w:sz w:val="24"/>
          <w:szCs w:val="24"/>
          <w:lang w:val="en-US" w:eastAsia="zh-CN"/>
        </w:rPr>
        <w:t>采购人</w:t>
      </w:r>
      <w:r>
        <w:rPr>
          <w:rFonts w:hint="eastAsia" w:ascii="宋体" w:hAnsi="宋体" w:eastAsia="宋体" w:cs="宋体"/>
          <w:sz w:val="24"/>
          <w:szCs w:val="24"/>
        </w:rPr>
        <w:t>保管不当造成的质量问题，</w:t>
      </w:r>
      <w:r>
        <w:rPr>
          <w:rFonts w:hint="eastAsia" w:ascii="宋体" w:hAnsi="宋体" w:eastAsia="宋体" w:cs="宋体"/>
          <w:sz w:val="24"/>
          <w:szCs w:val="24"/>
          <w:lang w:eastAsia="zh-CN"/>
        </w:rPr>
        <w:t>供应商</w:t>
      </w:r>
      <w:r>
        <w:rPr>
          <w:rFonts w:hint="eastAsia" w:ascii="宋体" w:hAnsi="宋体" w:eastAsia="宋体" w:cs="宋体"/>
          <w:sz w:val="24"/>
          <w:szCs w:val="24"/>
        </w:rPr>
        <w:t>亦应负责修理，但费用由</w:t>
      </w:r>
      <w:r>
        <w:rPr>
          <w:rFonts w:hint="eastAsia" w:ascii="宋体" w:hAnsi="宋体" w:eastAsia="宋体" w:cs="宋体"/>
          <w:sz w:val="24"/>
          <w:szCs w:val="24"/>
          <w:lang w:val="en-US" w:eastAsia="zh-CN"/>
        </w:rPr>
        <w:t>采购人</w:t>
      </w:r>
      <w:r>
        <w:rPr>
          <w:rFonts w:hint="eastAsia" w:ascii="宋体" w:hAnsi="宋体" w:eastAsia="宋体" w:cs="宋体"/>
          <w:sz w:val="24"/>
          <w:szCs w:val="24"/>
        </w:rPr>
        <w:t>负担。</w:t>
      </w:r>
    </w:p>
    <w:p>
      <w:pPr>
        <w:pStyle w:val="3"/>
        <w:numPr>
          <w:ilvl w:val="0"/>
          <w:numId w:val="0"/>
        </w:numPr>
        <w:spacing w:before="0" w:after="0" w:line="360" w:lineRule="auto"/>
        <w:ind w:leftChars="0" w:firstLine="482" w:firstLineChars="200"/>
        <w:rPr>
          <w:rFonts w:hint="eastAsia" w:ascii="宋体" w:hAnsi="宋体" w:eastAsia="宋体" w:cs="宋体"/>
          <w:b/>
          <w:bCs w:val="0"/>
          <w:sz w:val="24"/>
          <w:szCs w:val="24"/>
        </w:rPr>
      </w:pPr>
      <w:bookmarkStart w:id="43" w:name="_Toc27493"/>
      <w:bookmarkStart w:id="44" w:name="_Toc12396"/>
      <w:bookmarkStart w:id="45" w:name="_Toc19925"/>
      <w:bookmarkStart w:id="46" w:name="_Toc14177"/>
      <w:bookmarkStart w:id="47" w:name="_Toc8067"/>
      <w:bookmarkStart w:id="48" w:name="_Toc28940"/>
      <w:r>
        <w:rPr>
          <w:rFonts w:hint="eastAsia" w:hAnsi="宋体" w:cs="宋体"/>
          <w:b/>
          <w:bCs w:val="0"/>
          <w:sz w:val="24"/>
          <w:szCs w:val="24"/>
          <w:lang w:val="en-US" w:eastAsia="zh-CN"/>
        </w:rPr>
        <w:t>四</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项目实施</w:t>
      </w:r>
      <w:bookmarkEnd w:id="43"/>
      <w:r>
        <w:rPr>
          <w:rFonts w:hint="eastAsia" w:ascii="宋体" w:hAnsi="宋体" w:eastAsia="宋体" w:cs="宋体"/>
          <w:b/>
          <w:bCs w:val="0"/>
          <w:sz w:val="24"/>
          <w:szCs w:val="24"/>
          <w:lang w:val="en-US" w:eastAsia="zh-CN"/>
        </w:rPr>
        <w:t>设计</w:t>
      </w:r>
      <w:bookmarkEnd w:id="44"/>
      <w:bookmarkEnd w:id="45"/>
      <w:bookmarkEnd w:id="46"/>
      <w:bookmarkEnd w:id="47"/>
      <w:bookmarkEnd w:id="48"/>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数据库建设</w:t>
      </w:r>
      <w:r>
        <w:rPr>
          <w:rFonts w:hint="eastAsia" w:ascii="宋体" w:hAnsi="宋体" w:eastAsia="宋体" w:cs="宋体"/>
          <w:sz w:val="24"/>
          <w:szCs w:val="24"/>
        </w:rPr>
        <w:t>需实现一主一从。利用读写分离集群实现自动分离功能，通过读写事务在主库执行，读事务在从库执行，减轻主机的负载。增加备机节点资源，提供负载均衡能力，全面支撑系统的可靠性、可用性、安全性、扩展性等方面，实现方式如下图所示：</w:t>
      </w:r>
    </w:p>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962400" cy="2784475"/>
            <wp:effectExtent l="0" t="0" r="0"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rcRect l="47862" t="47490" r="8696" b="9955"/>
                    <a:stretch>
                      <a:fillRect/>
                    </a:stretch>
                  </pic:blipFill>
                  <pic:spPr>
                    <a:xfrm>
                      <a:off x="0" y="0"/>
                      <a:ext cx="3962400" cy="2784475"/>
                    </a:xfrm>
                    <a:prstGeom prst="rect">
                      <a:avLst/>
                    </a:prstGeom>
                    <a:noFill/>
                    <a:ln>
                      <a:noFill/>
                    </a:ln>
                  </pic:spPr>
                </pic:pic>
              </a:graphicData>
            </a:graphic>
          </wp:inline>
        </w:drawing>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可靠性：为业务系统解决数据计算存储的问题，避免因各种故障（包括：系统损坏、主机硬件故障、数据破坏、文件丢失、宕机等）造成的数据丢失或不可用，并提供可靠的灾难恢复、数据保护等功能。</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可用性：可配置多个实时备机冗余，支持秒级的故障快速切换。统一对系统中的资源进行调度，以达到故障转移的目的。当系统中的一个节点出现故障时，系统会启用另一个节点接管系统资源继续为应用提供服务。</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安全性：读写分离集群可让主机和备机采用非共享存储，数据库存在多个冗余备份，可以避免单点故障（软件和硬件）可能导致的数据丢失。</w:t>
      </w:r>
    </w:p>
    <w:p>
      <w:pPr>
        <w:autoSpaceDE w:val="0"/>
        <w:autoSpaceDN w:val="0"/>
        <w:adjustRightInd w:val="0"/>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扩展性：数据库具备强大的性能和扩展性，可实现在线增加节点。随着读操作的比例越高，总体性能随节点数增加而线性提升。</w:t>
      </w:r>
    </w:p>
    <w:p>
      <w:pPr>
        <w:pStyle w:val="3"/>
        <w:numPr>
          <w:ilvl w:val="0"/>
          <w:numId w:val="0"/>
        </w:numPr>
        <w:spacing w:before="0" w:after="0" w:line="360" w:lineRule="auto"/>
        <w:ind w:firstLine="482" w:firstLineChars="200"/>
        <w:rPr>
          <w:rFonts w:hint="eastAsia" w:ascii="宋体" w:hAnsi="宋体" w:eastAsia="宋体" w:cs="宋体"/>
          <w:b/>
          <w:bCs w:val="0"/>
          <w:sz w:val="24"/>
          <w:szCs w:val="24"/>
          <w:lang w:val="en-US" w:eastAsia="zh-CN"/>
        </w:rPr>
      </w:pPr>
      <w:bookmarkStart w:id="49" w:name="_Toc435"/>
      <w:bookmarkStart w:id="50" w:name="_Toc11089"/>
      <w:r>
        <w:rPr>
          <w:rFonts w:hint="eastAsia" w:hAnsi="宋体" w:cs="宋体"/>
          <w:b/>
          <w:bCs w:val="0"/>
          <w:kern w:val="44"/>
          <w:sz w:val="24"/>
          <w:szCs w:val="24"/>
          <w:lang w:val="en-US" w:eastAsia="zh-CN" w:bidi="ar-SA"/>
        </w:rPr>
        <w:t>五</w:t>
      </w:r>
      <w:r>
        <w:rPr>
          <w:rFonts w:hint="eastAsia" w:ascii="宋体" w:hAnsi="宋体" w:eastAsia="宋体" w:cs="宋体"/>
          <w:b/>
          <w:bCs w:val="0"/>
          <w:kern w:val="44"/>
          <w:sz w:val="24"/>
          <w:szCs w:val="24"/>
          <w:lang w:val="en-US" w:eastAsia="zh-CN" w:bidi="ar-SA"/>
        </w:rPr>
        <w:t>、</w:t>
      </w:r>
      <w:r>
        <w:rPr>
          <w:rFonts w:hint="eastAsia" w:ascii="宋体" w:hAnsi="宋体" w:eastAsia="宋体" w:cs="宋体"/>
          <w:b/>
          <w:bCs w:val="0"/>
          <w:sz w:val="24"/>
          <w:szCs w:val="24"/>
          <w:lang w:val="en-US" w:eastAsia="zh-CN"/>
        </w:rPr>
        <w:t>验收要求</w:t>
      </w:r>
      <w:bookmarkEnd w:id="49"/>
      <w:bookmarkEnd w:id="50"/>
    </w:p>
    <w:p>
      <w:pPr>
        <w:pStyle w:val="4"/>
        <w:numPr>
          <w:ilvl w:val="-1"/>
          <w:numId w:val="0"/>
        </w:numPr>
        <w:spacing w:line="360" w:lineRule="auto"/>
        <w:ind w:firstLine="482" w:firstLineChars="200"/>
        <w:outlineLvl w:val="1"/>
        <w:rPr>
          <w:rFonts w:hint="eastAsia" w:ascii="宋体" w:hAnsi="宋体" w:eastAsia="宋体" w:cs="宋体"/>
          <w:b/>
          <w:bCs/>
          <w:kern w:val="2"/>
          <w:sz w:val="24"/>
          <w:szCs w:val="24"/>
          <w:lang w:val="en-US" w:eastAsia="zh-CN"/>
        </w:rPr>
      </w:pPr>
      <w:bookmarkStart w:id="51" w:name="_Toc2503"/>
      <w:r>
        <w:rPr>
          <w:rFonts w:hint="eastAsia" w:ascii="宋体" w:hAnsi="宋体" w:eastAsia="宋体" w:cs="宋体"/>
          <w:b/>
          <w:bCs/>
          <w:kern w:val="2"/>
          <w:sz w:val="24"/>
          <w:szCs w:val="24"/>
          <w:lang w:val="en-US" w:eastAsia="zh-CN"/>
        </w:rPr>
        <w:t>（一）软件验收</w:t>
      </w:r>
      <w:bookmarkEnd w:id="51"/>
    </w:p>
    <w:p>
      <w:pPr>
        <w:numPr>
          <w:ilvl w:val="-1"/>
          <w:numId w:val="0"/>
        </w:numPr>
        <w:autoSpaceDE w:val="0"/>
        <w:autoSpaceDN w:val="0"/>
        <w:adjustRightInd w:val="0"/>
        <w:spacing w:line="360" w:lineRule="auto"/>
        <w:ind w:firstLine="480" w:firstLineChars="200"/>
        <w:jc w:val="left"/>
        <w:rPr>
          <w:rFonts w:hint="eastAsia" w:ascii="宋体" w:hAnsi="宋体" w:eastAsia="宋体" w:cs="宋体"/>
          <w:b w:val="0"/>
          <w:bCs w:val="0"/>
          <w:kern w:val="2"/>
          <w:sz w:val="24"/>
          <w:szCs w:val="24"/>
          <w:lang w:val="en-US" w:eastAsia="zh-CN"/>
        </w:rPr>
      </w:pPr>
      <w:r>
        <w:rPr>
          <w:rFonts w:hint="eastAsia" w:ascii="宋体" w:hAnsi="宋体" w:eastAsia="宋体" w:cs="宋体"/>
          <w:b w:val="0"/>
          <w:kern w:val="2"/>
          <w:sz w:val="24"/>
          <w:szCs w:val="24"/>
          <w:lang w:val="en-US" w:eastAsia="zh-CN"/>
        </w:rPr>
        <w:t>1.</w:t>
      </w:r>
      <w:r>
        <w:rPr>
          <w:rFonts w:hint="eastAsia" w:ascii="宋体" w:hAnsi="宋体" w:eastAsia="宋体" w:cs="宋体"/>
          <w:b w:val="0"/>
          <w:kern w:val="2"/>
          <w:sz w:val="24"/>
          <w:szCs w:val="24"/>
        </w:rPr>
        <w:t>完成关系型数据库系统搭建及数据迁移后系统试运行</w:t>
      </w:r>
      <w:r>
        <w:rPr>
          <w:rFonts w:hint="eastAsia" w:ascii="宋体" w:hAnsi="宋体" w:eastAsia="宋体" w:cs="宋体"/>
          <w:b w:val="0"/>
          <w:kern w:val="2"/>
          <w:sz w:val="24"/>
          <w:szCs w:val="24"/>
          <w:lang w:val="en-US" w:eastAsia="zh-CN"/>
        </w:rPr>
        <w:t>正常</w:t>
      </w:r>
      <w:r>
        <w:rPr>
          <w:rFonts w:hint="eastAsia" w:ascii="宋体" w:hAnsi="宋体" w:eastAsia="宋体" w:cs="宋体"/>
          <w:b w:val="0"/>
          <w:kern w:val="2"/>
          <w:sz w:val="24"/>
          <w:szCs w:val="24"/>
        </w:rPr>
        <w:t>，</w:t>
      </w:r>
      <w:r>
        <w:rPr>
          <w:rFonts w:hint="eastAsia" w:ascii="宋体" w:hAnsi="宋体" w:eastAsia="宋体" w:cs="宋体"/>
          <w:b w:val="0"/>
          <w:kern w:val="2"/>
          <w:sz w:val="24"/>
          <w:szCs w:val="24"/>
          <w:lang w:val="en-US" w:eastAsia="zh-CN"/>
        </w:rPr>
        <w:t>供应商</w:t>
      </w:r>
      <w:r>
        <w:rPr>
          <w:rFonts w:hint="eastAsia" w:ascii="宋体" w:hAnsi="宋体" w:eastAsia="宋体" w:cs="宋体"/>
          <w:b w:val="0"/>
          <w:kern w:val="2"/>
          <w:sz w:val="24"/>
          <w:szCs w:val="24"/>
        </w:rPr>
        <w:t>可以申请项目验收。期间故障或系统缺陷问题需由</w:t>
      </w:r>
      <w:r>
        <w:rPr>
          <w:rFonts w:hint="eastAsia" w:ascii="宋体" w:hAnsi="宋体" w:eastAsia="宋体" w:cs="宋体"/>
          <w:b w:val="0"/>
          <w:kern w:val="2"/>
          <w:sz w:val="24"/>
          <w:szCs w:val="24"/>
          <w:lang w:val="en-US" w:eastAsia="zh-CN"/>
        </w:rPr>
        <w:t>供应商</w:t>
      </w:r>
      <w:r>
        <w:rPr>
          <w:rFonts w:hint="eastAsia" w:ascii="宋体" w:hAnsi="宋体" w:eastAsia="宋体" w:cs="宋体"/>
          <w:b w:val="0"/>
          <w:kern w:val="2"/>
          <w:sz w:val="24"/>
          <w:szCs w:val="24"/>
        </w:rPr>
        <w:t>全部得到解决</w:t>
      </w:r>
      <w:r>
        <w:rPr>
          <w:rFonts w:hint="eastAsia" w:ascii="宋体" w:hAnsi="宋体" w:eastAsia="宋体" w:cs="宋体"/>
          <w:b w:val="0"/>
          <w:kern w:val="2"/>
          <w:sz w:val="24"/>
          <w:szCs w:val="24"/>
          <w:lang w:eastAsia="zh-CN"/>
        </w:rPr>
        <w:t>。</w:t>
      </w:r>
    </w:p>
    <w:p>
      <w:pPr>
        <w:spacing w:line="360" w:lineRule="auto"/>
        <w:ind w:firstLine="480" w:firstLineChars="200"/>
        <w:outlineLvl w:val="9"/>
        <w:rPr>
          <w:rFonts w:hint="eastAsia" w:ascii="宋体" w:hAnsi="宋体" w:eastAsia="宋体" w:cs="宋体"/>
          <w:b w:val="0"/>
          <w:kern w:val="2"/>
          <w:sz w:val="24"/>
          <w:szCs w:val="24"/>
          <w:lang w:eastAsia="zh-CN"/>
        </w:rPr>
      </w:pPr>
      <w:r>
        <w:rPr>
          <w:rFonts w:hint="eastAsia" w:ascii="宋体" w:hAnsi="宋体" w:eastAsia="宋体" w:cs="宋体"/>
          <w:b w:val="0"/>
          <w:kern w:val="2"/>
          <w:sz w:val="24"/>
          <w:szCs w:val="24"/>
          <w:lang w:val="en-US" w:eastAsia="zh-CN"/>
        </w:rPr>
        <w:t>2.</w:t>
      </w:r>
      <w:r>
        <w:rPr>
          <w:rFonts w:hint="eastAsia" w:ascii="宋体" w:hAnsi="宋体" w:eastAsia="宋体" w:cs="宋体"/>
          <w:b w:val="0"/>
          <w:kern w:val="2"/>
          <w:sz w:val="24"/>
          <w:szCs w:val="24"/>
        </w:rPr>
        <w:t>以</w:t>
      </w:r>
      <w:r>
        <w:rPr>
          <w:rFonts w:hint="eastAsia" w:ascii="宋体" w:hAnsi="宋体" w:eastAsia="宋体" w:cs="宋体"/>
          <w:b w:val="0"/>
          <w:kern w:val="2"/>
          <w:sz w:val="24"/>
          <w:szCs w:val="24"/>
          <w:lang w:val="en-US" w:eastAsia="zh-CN"/>
        </w:rPr>
        <w:t>双方约定</w:t>
      </w:r>
      <w:r>
        <w:rPr>
          <w:rFonts w:hint="eastAsia" w:ascii="宋体" w:hAnsi="宋体" w:eastAsia="宋体" w:cs="宋体"/>
          <w:b w:val="0"/>
          <w:kern w:val="2"/>
          <w:sz w:val="24"/>
          <w:szCs w:val="24"/>
        </w:rPr>
        <w:t>相关条款、用户需求书、响应文件的技术文件、报价文件、需求变更确认书等提及的各类文件以及在开发过程中双方确认的最终变更标准为最终验收标准</w:t>
      </w:r>
      <w:r>
        <w:rPr>
          <w:rFonts w:hint="eastAsia" w:ascii="宋体" w:hAnsi="宋体" w:eastAsia="宋体" w:cs="宋体"/>
          <w:b w:val="0"/>
          <w:kern w:val="2"/>
          <w:sz w:val="24"/>
          <w:szCs w:val="24"/>
          <w:lang w:eastAsia="zh-CN"/>
        </w:rPr>
        <w:t>。</w:t>
      </w:r>
    </w:p>
    <w:p>
      <w:pPr>
        <w:pStyle w:val="2"/>
        <w:spacing w:line="360" w:lineRule="auto"/>
        <w:ind w:firstLine="480" w:firstLineChars="200"/>
        <w:rPr>
          <w:rFonts w:hint="eastAsia" w:ascii="宋体" w:hAnsi="宋体" w:cs="宋体"/>
          <w:kern w:val="2"/>
          <w:lang w:val="en-US" w:eastAsia="zh-CN"/>
        </w:rPr>
      </w:pPr>
      <w:r>
        <w:rPr>
          <w:rFonts w:hint="eastAsia" w:ascii="宋体" w:hAnsi="宋体" w:cs="宋体"/>
          <w:b w:val="0"/>
          <w:kern w:val="2"/>
          <w:sz w:val="24"/>
          <w:szCs w:val="24"/>
          <w:lang w:val="en-US" w:eastAsia="zh-CN"/>
        </w:rPr>
        <w:t>3.</w:t>
      </w:r>
      <w:r>
        <w:rPr>
          <w:rFonts w:hint="eastAsia" w:ascii="宋体" w:hAnsi="宋体" w:cs="宋体"/>
          <w:kern w:val="2"/>
        </w:rPr>
        <w:t>本项目数据库产品应当符合国家《数据库政府采购需求标准（2023年版）》的基本功能要求和安全要求，并通过中国信息安全测评中心或国家保密科技测评中心网站查看产品测评结果</w:t>
      </w:r>
      <w:r>
        <w:rPr>
          <w:rFonts w:hint="eastAsia" w:ascii="宋体" w:hAnsi="宋体" w:cs="宋体"/>
          <w:b w:val="0"/>
          <w:kern w:val="2"/>
          <w:sz w:val="24"/>
          <w:szCs w:val="24"/>
          <w:lang w:val="en-US" w:eastAsia="zh-CN"/>
        </w:rPr>
        <w:t>。</w:t>
      </w:r>
    </w:p>
    <w:p>
      <w:pPr>
        <w:pStyle w:val="3"/>
        <w:numPr>
          <w:ilvl w:val="-1"/>
          <w:numId w:val="0"/>
        </w:numPr>
        <w:spacing w:before="0" w:after="0" w:line="360" w:lineRule="auto"/>
        <w:ind w:firstLine="482" w:firstLineChars="200"/>
        <w:rPr>
          <w:rFonts w:hint="eastAsia" w:ascii="宋体" w:hAnsi="宋体" w:eastAsia="宋体" w:cs="宋体"/>
          <w:b/>
          <w:bCs/>
          <w:kern w:val="2"/>
          <w:sz w:val="24"/>
          <w:szCs w:val="24"/>
          <w:lang w:val="en-US" w:eastAsia="zh-CN"/>
        </w:rPr>
      </w:pPr>
      <w:bookmarkStart w:id="52" w:name="_Toc28371"/>
      <w:bookmarkStart w:id="53" w:name="_Toc17668"/>
      <w:r>
        <w:rPr>
          <w:rFonts w:hint="eastAsia" w:ascii="宋体" w:hAnsi="宋体" w:eastAsia="宋体" w:cs="宋体"/>
          <w:b/>
          <w:bCs/>
          <w:kern w:val="2"/>
          <w:sz w:val="24"/>
          <w:szCs w:val="24"/>
          <w:lang w:val="en-US" w:eastAsia="zh-CN"/>
        </w:rPr>
        <w:t>（二）硬件验收</w:t>
      </w:r>
      <w:bookmarkEnd w:id="52"/>
      <w:bookmarkEnd w:id="53"/>
    </w:p>
    <w:p>
      <w:pPr>
        <w:numPr>
          <w:ilvl w:val="0"/>
          <w:numId w:val="0"/>
        </w:numPr>
        <w:spacing w:after="0" w:line="360" w:lineRule="auto"/>
        <w:ind w:firstLine="480" w:firstLineChars="200"/>
        <w:rPr>
          <w:rFonts w:hint="eastAsia"/>
          <w:lang w:val="en-US" w:eastAsia="zh-CN"/>
        </w:rPr>
      </w:pPr>
      <w:r>
        <w:rPr>
          <w:rFonts w:hint="eastAsia" w:ascii="宋体" w:hAnsi="宋体" w:eastAsia="宋体" w:cs="宋体"/>
          <w:kern w:val="2"/>
          <w:sz w:val="24"/>
          <w:szCs w:val="24"/>
          <w:lang w:val="en-US" w:eastAsia="zh-CN" w:bidi="ar-SA"/>
        </w:rPr>
        <w:t>1.货物运抵交货地点现场3个工作日内，双方共同验货。双方按照本合同中约定的质量要求，对货物的品牌、型号规格、数量、外观质量、资料</w:t>
      </w:r>
      <w:r>
        <w:rPr>
          <w:rFonts w:hint="eastAsia" w:hAnsi="宋体" w:cs="宋体"/>
          <w:kern w:val="2"/>
          <w:sz w:val="24"/>
          <w:szCs w:val="24"/>
          <w:lang w:val="en-US" w:eastAsia="zh-CN" w:bidi="ar-SA"/>
        </w:rPr>
        <w:t>及在用服务器设备的原厂</w:t>
      </w:r>
      <w:r>
        <w:rPr>
          <w:rFonts w:hint="eastAsia" w:hAnsi="宋体" w:cs="宋体"/>
          <w:kern w:val="2"/>
        </w:rPr>
        <w:t>硬件证明或原厂售后服务承诺</w:t>
      </w:r>
      <w:r>
        <w:rPr>
          <w:rFonts w:hint="eastAsia" w:hAnsi="宋体" w:cs="宋体"/>
          <w:kern w:val="2"/>
          <w:lang w:val="en-US" w:eastAsia="zh-CN"/>
        </w:rPr>
        <w:t>等</w:t>
      </w:r>
      <w:r>
        <w:rPr>
          <w:rFonts w:hint="eastAsia" w:ascii="宋体" w:hAnsi="宋体" w:eastAsia="宋体" w:cs="宋体"/>
          <w:kern w:val="2"/>
          <w:sz w:val="24"/>
          <w:szCs w:val="24"/>
          <w:lang w:val="en-US" w:eastAsia="zh-CN" w:bidi="ar-SA"/>
        </w:rPr>
        <w:t>进行全面的检验，验收标准：型号、规格、数量、质量与双方约定的要求一致、资料齐全。</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after="0"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如发现货物的品牌、产地、型号规格、结构、数量、外观质量、资料与双方约定的要求不符，或货物短缺、质次、损坏等问题，采购人有权拒绝收货及拒绝付款，供应商应在采购人规定的时间内无条件为采购人免费更换、补齐或无条件退货。由此产生的制造、维修、运费及保险等费用均应由供应商负担。</w:t>
      </w:r>
    </w:p>
    <w:p>
      <w:pPr>
        <w:numPr>
          <w:ilvl w:val="-1"/>
          <w:numId w:val="0"/>
        </w:numPr>
        <w:autoSpaceDE w:val="0"/>
        <w:autoSpaceDN w:val="0"/>
        <w:adjustRightInd w:val="0"/>
        <w:spacing w:after="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3.由于非采购人原因而引起货物的修理或更换的时间，如供应商在交货期前完成修理或更换并按合同约定时间交货的，则不视为逾期交货，否则将视为供应商逾期交货。</w:t>
      </w:r>
    </w:p>
    <w:p>
      <w:pPr>
        <w:pStyle w:val="2"/>
        <w:spacing w:line="360" w:lineRule="auto"/>
        <w:ind w:firstLine="482" w:firstLineChars="200"/>
        <w:outlineLvl w:val="0"/>
        <w:rPr>
          <w:rFonts w:hint="eastAsia" w:ascii="宋体" w:hAnsi="宋体" w:eastAsia="宋体" w:cs="宋体"/>
          <w:b/>
          <w:bCs/>
          <w:kern w:val="2"/>
          <w:sz w:val="24"/>
          <w:szCs w:val="24"/>
          <w:lang w:val="en-US" w:eastAsia="zh-CN" w:bidi="ar-SA"/>
        </w:rPr>
      </w:pPr>
      <w:bookmarkStart w:id="54" w:name="_Toc852"/>
      <w:bookmarkStart w:id="55" w:name="_Toc776"/>
      <w:r>
        <w:rPr>
          <w:rFonts w:hint="eastAsia" w:ascii="宋体" w:hAnsi="宋体" w:eastAsia="宋体" w:cs="宋体"/>
          <w:b/>
          <w:bCs/>
          <w:kern w:val="2"/>
          <w:sz w:val="24"/>
          <w:szCs w:val="24"/>
          <w:lang w:val="en-US" w:eastAsia="zh-CN" w:bidi="ar-SA"/>
        </w:rPr>
        <w:t>（三）最终验收</w:t>
      </w:r>
      <w:bookmarkEnd w:id="54"/>
      <w:bookmarkEnd w:id="55"/>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指派专人对货物进行安装调试完毕，按约定内容向</w:t>
      </w:r>
      <w:r>
        <w:rPr>
          <w:rFonts w:hint="eastAsia" w:ascii="宋体" w:hAnsi="宋体" w:eastAsia="宋体" w:cs="宋体"/>
          <w:sz w:val="24"/>
          <w:szCs w:val="24"/>
          <w:lang w:eastAsia="zh-CN"/>
        </w:rPr>
        <w:t>采购人</w:t>
      </w:r>
      <w:r>
        <w:rPr>
          <w:rFonts w:hint="eastAsia" w:ascii="宋体" w:hAnsi="宋体" w:eastAsia="宋体" w:cs="宋体"/>
          <w:sz w:val="24"/>
          <w:szCs w:val="24"/>
        </w:rPr>
        <w:t>交付，且提供系统调试报告、安装、使用手册后，</w:t>
      </w:r>
      <w:r>
        <w:rPr>
          <w:rFonts w:hint="eastAsia" w:ascii="宋体" w:hAnsi="宋体" w:eastAsia="宋体" w:cs="宋体"/>
          <w:sz w:val="24"/>
          <w:szCs w:val="24"/>
          <w:lang w:eastAsia="zh-CN"/>
        </w:rPr>
        <w:t>采购人</w:t>
      </w:r>
      <w:r>
        <w:rPr>
          <w:rFonts w:hint="eastAsia" w:ascii="宋体" w:hAnsi="宋体" w:eastAsia="宋体" w:cs="宋体"/>
          <w:sz w:val="24"/>
          <w:szCs w:val="24"/>
        </w:rPr>
        <w:t>组织相关人员对本项目进行最终验收。</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经</w:t>
      </w:r>
      <w:r>
        <w:rPr>
          <w:rFonts w:hint="eastAsia" w:ascii="宋体" w:hAnsi="宋体" w:eastAsia="宋体" w:cs="宋体"/>
          <w:sz w:val="24"/>
          <w:szCs w:val="24"/>
          <w:lang w:eastAsia="zh-CN"/>
        </w:rPr>
        <w:t>采购人</w:t>
      </w:r>
      <w:r>
        <w:rPr>
          <w:rFonts w:hint="eastAsia" w:ascii="宋体" w:hAnsi="宋体" w:eastAsia="宋体" w:cs="宋体"/>
          <w:sz w:val="24"/>
          <w:szCs w:val="24"/>
        </w:rPr>
        <w:t>验收合格的，</w:t>
      </w:r>
      <w:r>
        <w:rPr>
          <w:rFonts w:hint="eastAsia" w:ascii="宋体" w:hAnsi="宋体" w:eastAsia="宋体" w:cs="宋体"/>
          <w:sz w:val="24"/>
          <w:szCs w:val="24"/>
          <w:lang w:eastAsia="zh-CN"/>
        </w:rPr>
        <w:t>供应商</w:t>
      </w:r>
      <w:r>
        <w:rPr>
          <w:rFonts w:hint="eastAsia" w:ascii="宋体" w:hAnsi="宋体" w:eastAsia="宋体" w:cs="宋体"/>
          <w:sz w:val="24"/>
          <w:szCs w:val="24"/>
        </w:rPr>
        <w:t>向</w:t>
      </w:r>
      <w:r>
        <w:rPr>
          <w:rFonts w:hint="eastAsia" w:ascii="宋体" w:hAnsi="宋体" w:eastAsia="宋体" w:cs="宋体"/>
          <w:sz w:val="24"/>
          <w:szCs w:val="24"/>
          <w:lang w:eastAsia="zh-CN"/>
        </w:rPr>
        <w:t>采购人</w:t>
      </w:r>
      <w:r>
        <w:rPr>
          <w:rFonts w:hint="eastAsia" w:ascii="宋体" w:hAnsi="宋体" w:eastAsia="宋体" w:cs="宋体"/>
          <w:sz w:val="24"/>
          <w:szCs w:val="24"/>
        </w:rPr>
        <w:t>移交生产厂家出厂有关货物说明文件等所有资料文档，由</w:t>
      </w:r>
      <w:r>
        <w:rPr>
          <w:rFonts w:hint="eastAsia" w:ascii="宋体" w:hAnsi="宋体" w:eastAsia="宋体" w:cs="宋体"/>
          <w:sz w:val="24"/>
          <w:szCs w:val="24"/>
          <w:lang w:eastAsia="zh-CN"/>
        </w:rPr>
        <w:t>采购人</w:t>
      </w:r>
      <w:r>
        <w:rPr>
          <w:rFonts w:hint="eastAsia" w:ascii="宋体" w:hAnsi="宋体" w:eastAsia="宋体" w:cs="宋体"/>
          <w:sz w:val="24"/>
          <w:szCs w:val="24"/>
        </w:rPr>
        <w:t>出具最终书面验收报告。</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最终验收应在双方共同参加下进行，货物经验收应符合以下全部要求: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1</w:t>
      </w:r>
      <w:r>
        <w:rPr>
          <w:rFonts w:hint="eastAsia" w:hAnsi="宋体" w:cs="宋体"/>
          <w:sz w:val="24"/>
          <w:szCs w:val="24"/>
          <w:lang w:eastAsia="zh-CN"/>
        </w:rPr>
        <w:t>）</w:t>
      </w:r>
      <w:r>
        <w:rPr>
          <w:rFonts w:hint="eastAsia" w:ascii="宋体" w:hAnsi="宋体" w:eastAsia="宋体" w:cs="宋体"/>
          <w:sz w:val="24"/>
          <w:szCs w:val="24"/>
        </w:rPr>
        <w:t>符合国家相关法律法规以及规范的要求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ascii="宋体" w:hAnsi="宋体" w:eastAsia="宋体" w:cs="宋体"/>
          <w:sz w:val="24"/>
          <w:szCs w:val="24"/>
        </w:rPr>
        <w:t>符合本合同及询价文件的约定及要求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3</w:t>
      </w:r>
      <w:r>
        <w:rPr>
          <w:rFonts w:hint="eastAsia" w:hAnsi="宋体" w:cs="宋体"/>
          <w:sz w:val="24"/>
          <w:szCs w:val="24"/>
          <w:lang w:eastAsia="zh-CN"/>
        </w:rPr>
        <w:t>）</w:t>
      </w:r>
      <w:r>
        <w:rPr>
          <w:rFonts w:hint="eastAsia" w:ascii="宋体" w:hAnsi="宋体" w:eastAsia="宋体" w:cs="宋体"/>
          <w:sz w:val="24"/>
          <w:szCs w:val="24"/>
        </w:rPr>
        <w:t>符合</w:t>
      </w:r>
      <w:r>
        <w:rPr>
          <w:rFonts w:hint="eastAsia" w:ascii="宋体" w:hAnsi="宋体" w:eastAsia="宋体" w:cs="宋体"/>
          <w:sz w:val="24"/>
          <w:szCs w:val="24"/>
          <w:lang w:eastAsia="zh-CN"/>
        </w:rPr>
        <w:t>供应商</w:t>
      </w:r>
      <w:r>
        <w:rPr>
          <w:rFonts w:hint="eastAsia" w:ascii="宋体" w:hAnsi="宋体" w:eastAsia="宋体" w:cs="宋体"/>
          <w:sz w:val="24"/>
          <w:szCs w:val="24"/>
        </w:rPr>
        <w:t>所提交的货物资料文档的规定及要求;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ascii="宋体" w:hAnsi="宋体" w:eastAsia="宋体" w:cs="宋体"/>
          <w:sz w:val="24"/>
          <w:szCs w:val="24"/>
        </w:rPr>
        <w:t>符合双方其他关于货物及安装的约定及要求</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val="en-US" w:eastAsia="zh-CN"/>
        </w:rPr>
        <w:t>4.</w:t>
      </w:r>
      <w:r>
        <w:rPr>
          <w:rFonts w:hint="eastAsia" w:ascii="宋体" w:hAnsi="宋体" w:eastAsia="宋体" w:cs="宋体"/>
          <w:sz w:val="24"/>
          <w:szCs w:val="24"/>
          <w:lang w:eastAsia="zh-CN"/>
        </w:rPr>
        <w:t>供应商</w:t>
      </w:r>
      <w:r>
        <w:rPr>
          <w:rFonts w:hint="eastAsia" w:ascii="宋体" w:hAnsi="宋体" w:eastAsia="宋体" w:cs="宋体"/>
          <w:sz w:val="24"/>
          <w:szCs w:val="24"/>
        </w:rPr>
        <w:t>需提供完整测试报告，记录所有的安装调试结果和问题，包括测试数据、测试记录、异常情况和解决方法等。</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采购人</w:t>
      </w:r>
      <w:r>
        <w:rPr>
          <w:rFonts w:hint="eastAsia" w:ascii="宋体" w:hAnsi="宋体" w:eastAsia="宋体" w:cs="宋体"/>
          <w:sz w:val="24"/>
          <w:szCs w:val="24"/>
        </w:rPr>
        <w:t>在进行任何一次验收时发现货物不符合相关要求的，可拒绝收货或要求</w:t>
      </w:r>
      <w:r>
        <w:rPr>
          <w:rFonts w:hint="eastAsia" w:ascii="宋体" w:hAnsi="宋体" w:eastAsia="宋体" w:cs="宋体"/>
          <w:sz w:val="24"/>
          <w:szCs w:val="24"/>
          <w:lang w:eastAsia="zh-CN"/>
        </w:rPr>
        <w:t>供应商</w:t>
      </w:r>
      <w:r>
        <w:rPr>
          <w:rFonts w:hint="eastAsia" w:ascii="宋体" w:hAnsi="宋体" w:eastAsia="宋体" w:cs="宋体"/>
          <w:sz w:val="24"/>
          <w:szCs w:val="24"/>
        </w:rPr>
        <w:t>承担更换或退货责任。</w:t>
      </w:r>
      <w:r>
        <w:rPr>
          <w:rFonts w:hint="eastAsia" w:ascii="宋体" w:hAnsi="宋体" w:eastAsia="宋体" w:cs="宋体"/>
          <w:sz w:val="24"/>
          <w:szCs w:val="24"/>
          <w:lang w:eastAsia="zh-CN"/>
        </w:rPr>
        <w:t>供应商</w:t>
      </w:r>
      <w:r>
        <w:rPr>
          <w:rFonts w:hint="eastAsia" w:ascii="宋体" w:hAnsi="宋体" w:eastAsia="宋体" w:cs="宋体"/>
          <w:sz w:val="24"/>
          <w:szCs w:val="24"/>
        </w:rPr>
        <w:t>应将该等货物在 1 日内自行运回，</w:t>
      </w:r>
      <w:r>
        <w:rPr>
          <w:rFonts w:hint="eastAsia" w:ascii="宋体" w:hAnsi="宋体" w:eastAsia="宋体" w:cs="宋体"/>
          <w:sz w:val="24"/>
          <w:szCs w:val="24"/>
          <w:lang w:eastAsia="zh-CN"/>
        </w:rPr>
        <w:t>采购人</w:t>
      </w:r>
      <w:r>
        <w:rPr>
          <w:rFonts w:hint="eastAsia" w:ascii="宋体" w:hAnsi="宋体" w:eastAsia="宋体" w:cs="宋体"/>
          <w:sz w:val="24"/>
          <w:szCs w:val="24"/>
        </w:rPr>
        <w:t>不承担因验收造成的货物损耗且不对货物承担保管责任，由此产生的费用及风险由</w:t>
      </w:r>
      <w:r>
        <w:rPr>
          <w:rFonts w:hint="eastAsia" w:ascii="宋体" w:hAnsi="宋体" w:eastAsia="宋体" w:cs="宋体"/>
          <w:sz w:val="24"/>
          <w:szCs w:val="24"/>
          <w:lang w:eastAsia="zh-CN"/>
        </w:rPr>
        <w:t>供应商</w:t>
      </w:r>
      <w:r>
        <w:rPr>
          <w:rFonts w:hint="eastAsia" w:ascii="宋体" w:hAnsi="宋体" w:eastAsia="宋体" w:cs="宋体"/>
          <w:sz w:val="24"/>
          <w:szCs w:val="24"/>
        </w:rPr>
        <w:t>承担;若</w:t>
      </w:r>
      <w:r>
        <w:rPr>
          <w:rFonts w:hint="eastAsia" w:ascii="宋体" w:hAnsi="宋体" w:eastAsia="宋体" w:cs="宋体"/>
          <w:sz w:val="24"/>
          <w:szCs w:val="24"/>
          <w:lang w:eastAsia="zh-CN"/>
        </w:rPr>
        <w:t>采购人</w:t>
      </w:r>
      <w:r>
        <w:rPr>
          <w:rFonts w:hint="eastAsia" w:ascii="宋体" w:hAnsi="宋体" w:eastAsia="宋体" w:cs="宋体"/>
          <w:sz w:val="24"/>
          <w:szCs w:val="24"/>
        </w:rPr>
        <w:t>发现安装不符合相关要求的，可要求</w:t>
      </w:r>
      <w:r>
        <w:rPr>
          <w:rFonts w:hint="eastAsia" w:ascii="宋体" w:hAnsi="宋体" w:eastAsia="宋体" w:cs="宋体"/>
          <w:sz w:val="24"/>
          <w:szCs w:val="24"/>
          <w:lang w:eastAsia="zh-CN"/>
        </w:rPr>
        <w:t>供应商</w:t>
      </w:r>
      <w:r>
        <w:rPr>
          <w:rFonts w:hint="eastAsia" w:ascii="宋体" w:hAnsi="宋体" w:eastAsia="宋体" w:cs="宋体"/>
          <w:sz w:val="24"/>
          <w:szCs w:val="24"/>
        </w:rPr>
        <w:t>返工，由此产生的所有费用由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采购人</w:t>
      </w:r>
      <w:r>
        <w:rPr>
          <w:rFonts w:hint="eastAsia" w:ascii="宋体" w:hAnsi="宋体" w:eastAsia="宋体" w:cs="宋体"/>
          <w:sz w:val="24"/>
          <w:szCs w:val="24"/>
        </w:rPr>
        <w:t>根据本条约定对货物所做出的验收，仅作为起算付款及质保期之用不视为双方对于货物质量的最终认定。货物经</w:t>
      </w:r>
      <w:r>
        <w:rPr>
          <w:rFonts w:hint="eastAsia" w:ascii="宋体" w:hAnsi="宋体" w:eastAsia="宋体" w:cs="宋体"/>
          <w:sz w:val="24"/>
          <w:szCs w:val="24"/>
          <w:lang w:eastAsia="zh-CN"/>
        </w:rPr>
        <w:t>采购人</w:t>
      </w:r>
      <w:r>
        <w:rPr>
          <w:rFonts w:hint="eastAsia" w:ascii="宋体" w:hAnsi="宋体" w:eastAsia="宋体" w:cs="宋体"/>
          <w:sz w:val="24"/>
          <w:szCs w:val="24"/>
        </w:rPr>
        <w:t>最终验收合格后，</w:t>
      </w:r>
      <w:r>
        <w:rPr>
          <w:rFonts w:hint="eastAsia" w:ascii="宋体" w:hAnsi="宋体" w:eastAsia="宋体" w:cs="宋体"/>
          <w:sz w:val="24"/>
          <w:szCs w:val="24"/>
          <w:lang w:eastAsia="zh-CN"/>
        </w:rPr>
        <w:t>供应商</w:t>
      </w:r>
      <w:r>
        <w:rPr>
          <w:rFonts w:hint="eastAsia" w:ascii="宋体" w:hAnsi="宋体" w:eastAsia="宋体" w:cs="宋体"/>
          <w:sz w:val="24"/>
          <w:szCs w:val="24"/>
        </w:rPr>
        <w:t>仍应在质保期内对产品质量承担保证责任。</w:t>
      </w:r>
    </w:p>
    <w:p>
      <w:pPr>
        <w:numPr>
          <w:ilvl w:val="-1"/>
          <w:numId w:val="0"/>
        </w:numPr>
        <w:autoSpaceDE w:val="0"/>
        <w:autoSpaceDN w:val="0"/>
        <w:adjustRightInd w:val="0"/>
        <w:spacing w:line="360" w:lineRule="auto"/>
        <w:ind w:firstLine="480" w:firstLineChars="200"/>
        <w:jc w:val="left"/>
        <w:rPr>
          <w:rFonts w:hint="eastAsia" w:ascii="宋体" w:hAnsi="宋体" w:eastAsia="宋体" w:cs="宋体"/>
          <w:b w:val="0"/>
          <w:bCs w:val="0"/>
          <w:sz w:val="24"/>
          <w:szCs w:val="24"/>
          <w:lang w:val="en-US" w:eastAsia="zh-CN"/>
        </w:rPr>
      </w:pPr>
      <w:r>
        <w:rPr>
          <w:rFonts w:hint="eastAsia"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验收过程中，如对检验记录不能取得一致意见时，一方可委托货物交付地有资质权威的第三方检验机构联合进行检验。检验结果具有约束力，检验费用由责任方负担</w:t>
      </w:r>
      <w:r>
        <w:rPr>
          <w:rFonts w:hint="eastAsia" w:ascii="宋体" w:hAnsi="宋体" w:eastAsia="宋体" w:cs="宋体"/>
          <w:sz w:val="24"/>
          <w:szCs w:val="24"/>
          <w:lang w:eastAsia="zh-CN"/>
        </w:rPr>
        <w:t>。</w:t>
      </w:r>
    </w:p>
    <w:p>
      <w:pPr>
        <w:pStyle w:val="3"/>
        <w:numPr>
          <w:ilvl w:val="0"/>
          <w:numId w:val="0"/>
        </w:numPr>
        <w:spacing w:before="0" w:after="0" w:line="360" w:lineRule="auto"/>
        <w:ind w:firstLine="482" w:firstLineChars="200"/>
        <w:rPr>
          <w:rFonts w:hint="eastAsia" w:ascii="宋体" w:hAnsi="宋体" w:eastAsia="宋体" w:cs="宋体"/>
          <w:b/>
          <w:bCs w:val="0"/>
          <w:sz w:val="24"/>
          <w:szCs w:val="24"/>
          <w:lang w:val="en-US" w:eastAsia="zh-CN"/>
        </w:rPr>
      </w:pPr>
      <w:bookmarkStart w:id="56" w:name="_Toc18729"/>
      <w:bookmarkStart w:id="57" w:name="_Toc30972"/>
      <w:r>
        <w:rPr>
          <w:rFonts w:hint="eastAsia" w:hAnsi="宋体" w:cs="宋体"/>
          <w:b/>
          <w:bCs w:val="0"/>
          <w:sz w:val="24"/>
          <w:szCs w:val="24"/>
          <w:lang w:val="en-US" w:eastAsia="zh-CN"/>
        </w:rPr>
        <w:t>六</w:t>
      </w:r>
      <w:r>
        <w:rPr>
          <w:rFonts w:hint="eastAsia" w:ascii="宋体" w:hAnsi="宋体" w:eastAsia="宋体" w:cs="宋体"/>
          <w:b/>
          <w:bCs w:val="0"/>
          <w:sz w:val="24"/>
          <w:szCs w:val="24"/>
          <w:lang w:val="en-US" w:eastAsia="zh-CN"/>
        </w:rPr>
        <w:t>、付费方式及报价要求</w:t>
      </w:r>
      <w:bookmarkEnd w:id="56"/>
      <w:bookmarkEnd w:id="57"/>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sz w:val="24"/>
          <w:szCs w:val="24"/>
          <w:lang w:val="en-US" w:eastAsia="zh-CN"/>
        </w:rPr>
      </w:pPr>
      <w:bookmarkStart w:id="58" w:name="_Toc17454"/>
      <w:r>
        <w:rPr>
          <w:rFonts w:hint="eastAsia" w:ascii="宋体" w:hAnsi="宋体" w:eastAsia="宋体" w:cs="宋体"/>
          <w:b/>
          <w:bCs/>
          <w:sz w:val="24"/>
          <w:szCs w:val="24"/>
          <w:lang w:val="en-US" w:eastAsia="zh-CN"/>
        </w:rPr>
        <w:t>（一）付费方式</w:t>
      </w:r>
      <w:bookmarkEnd w:id="58"/>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第一次支付：签订合同后5个工作日内</w:t>
      </w:r>
      <w:r>
        <w:rPr>
          <w:rFonts w:hint="eastAsia" w:ascii="宋体" w:hAnsi="宋体" w:eastAsia="宋体" w:cs="宋体"/>
          <w:sz w:val="24"/>
          <w:szCs w:val="24"/>
          <w:lang w:eastAsia="zh-CN"/>
        </w:rPr>
        <w:t>供应商</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要求提交请款报告及等额、合法、有效的增值税专用发票，</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在收到前述材料并确认无误后15个工作日内向</w:t>
      </w:r>
      <w:r>
        <w:rPr>
          <w:rFonts w:hint="eastAsia" w:ascii="宋体" w:hAnsi="宋体" w:eastAsia="宋体" w:cs="宋体"/>
          <w:sz w:val="24"/>
          <w:szCs w:val="24"/>
          <w:lang w:eastAsia="zh-CN"/>
        </w:rPr>
        <w:t>供应商</w:t>
      </w:r>
      <w:r>
        <w:rPr>
          <w:rFonts w:hint="eastAsia" w:ascii="宋体" w:hAnsi="宋体" w:eastAsia="宋体" w:cs="宋体"/>
          <w:sz w:val="24"/>
          <w:szCs w:val="24"/>
        </w:rPr>
        <w:t>支付关系型数据库分项含税合同价款的30%。</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第二次支付项目终验合格后5个工作日内，</w:t>
      </w:r>
      <w:r>
        <w:rPr>
          <w:rFonts w:hint="eastAsia" w:ascii="宋体" w:hAnsi="宋体" w:eastAsia="宋体" w:cs="宋体"/>
          <w:sz w:val="24"/>
          <w:szCs w:val="24"/>
          <w:lang w:eastAsia="zh-CN"/>
        </w:rPr>
        <w:t>供应商</w:t>
      </w:r>
      <w:r>
        <w:rPr>
          <w:rFonts w:hint="eastAsia" w:ascii="宋体" w:hAnsi="宋体" w:eastAsia="宋体" w:cs="宋体"/>
          <w:sz w:val="24"/>
          <w:szCs w:val="24"/>
        </w:rPr>
        <w:t>按</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要求提交请款报告及等额、合法、有效的增值税专用发票，</w:t>
      </w:r>
      <w:r>
        <w:rPr>
          <w:rFonts w:hint="eastAsia" w:ascii="宋体" w:hAnsi="宋体" w:eastAsia="宋体" w:cs="宋体"/>
          <w:sz w:val="24"/>
          <w:szCs w:val="24"/>
          <w:lang w:val="en-US" w:eastAsia="zh-CN"/>
        </w:rPr>
        <w:t>采购人</w:t>
      </w:r>
      <w:r>
        <w:rPr>
          <w:rFonts w:hint="eastAsia" w:ascii="宋体" w:hAnsi="宋体" w:eastAsia="宋体" w:cs="宋体"/>
          <w:sz w:val="24"/>
          <w:szCs w:val="24"/>
        </w:rPr>
        <w:t>在收到前述材料并确认无误后15个工作日内向</w:t>
      </w:r>
      <w:r>
        <w:rPr>
          <w:rFonts w:hint="eastAsia" w:ascii="宋体" w:hAnsi="宋体" w:eastAsia="宋体" w:cs="宋体"/>
          <w:sz w:val="24"/>
          <w:szCs w:val="24"/>
          <w:lang w:eastAsia="zh-CN"/>
        </w:rPr>
        <w:t>供应商</w:t>
      </w:r>
      <w:r>
        <w:rPr>
          <w:rFonts w:hint="eastAsia" w:ascii="宋体" w:hAnsi="宋体" w:eastAsia="宋体" w:cs="宋体"/>
          <w:sz w:val="24"/>
          <w:szCs w:val="24"/>
        </w:rPr>
        <w:t>支付该分项含税合同价款70%。</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3.供应商</w:t>
      </w:r>
      <w:r>
        <w:rPr>
          <w:rFonts w:hint="eastAsia" w:ascii="宋体" w:hAnsi="宋体" w:eastAsia="宋体" w:cs="宋体"/>
          <w:sz w:val="24"/>
          <w:szCs w:val="24"/>
        </w:rPr>
        <w:t>逾期提交前述请款材料的，</w:t>
      </w:r>
      <w:r>
        <w:rPr>
          <w:rFonts w:hint="eastAsia" w:ascii="宋体" w:hAnsi="宋体" w:eastAsia="宋体" w:cs="宋体"/>
          <w:sz w:val="24"/>
          <w:szCs w:val="24"/>
          <w:lang w:val="en-US" w:eastAsia="zh-CN"/>
        </w:rPr>
        <w:t>采购</w:t>
      </w:r>
      <w:r>
        <w:rPr>
          <w:rFonts w:hint="eastAsia" w:ascii="宋体" w:hAnsi="宋体" w:eastAsia="宋体" w:cs="宋体"/>
          <w:sz w:val="24"/>
          <w:szCs w:val="24"/>
        </w:rPr>
        <w:t>人有权顺延支付相应款项而不承担任何违约责任，且</w:t>
      </w:r>
      <w:r>
        <w:rPr>
          <w:rFonts w:hint="eastAsia" w:ascii="宋体" w:hAnsi="宋体" w:eastAsia="宋体" w:cs="宋体"/>
          <w:sz w:val="24"/>
          <w:szCs w:val="24"/>
          <w:lang w:val="en-US" w:eastAsia="zh-CN"/>
        </w:rPr>
        <w:t>供应商</w:t>
      </w:r>
      <w:r>
        <w:rPr>
          <w:rFonts w:hint="eastAsia" w:ascii="宋体" w:hAnsi="宋体" w:eastAsia="宋体" w:cs="宋体"/>
          <w:sz w:val="24"/>
          <w:szCs w:val="24"/>
        </w:rPr>
        <w:t>不得以此为由迟延履行或拒绝履行合同义务</w:t>
      </w:r>
      <w:r>
        <w:rPr>
          <w:rFonts w:hint="eastAsia" w:ascii="宋体" w:hAnsi="宋体" w:eastAsia="宋体" w:cs="宋体"/>
          <w:sz w:val="24"/>
          <w:szCs w:val="24"/>
          <w:lang w:eastAsia="zh-CN"/>
        </w:rPr>
        <w:t>。</w:t>
      </w:r>
    </w:p>
    <w:p>
      <w:pPr>
        <w:numPr>
          <w:ilvl w:val="-1"/>
          <w:numId w:val="0"/>
        </w:numPr>
        <w:tabs>
          <w:tab w:val="right" w:pos="9120"/>
        </w:tabs>
        <w:autoSpaceDE/>
        <w:autoSpaceDN/>
        <w:adjustRightInd/>
        <w:spacing w:line="360" w:lineRule="auto"/>
        <w:ind w:right="38" w:firstLine="482" w:firstLineChars="200"/>
        <w:jc w:val="left"/>
        <w:outlineLvl w:val="1"/>
        <w:rPr>
          <w:rFonts w:hint="eastAsia" w:ascii="宋体" w:hAnsi="宋体" w:eastAsia="宋体" w:cs="宋体"/>
          <w:b/>
          <w:bCs/>
          <w:sz w:val="24"/>
          <w:szCs w:val="24"/>
          <w:lang w:val="en-US" w:eastAsia="zh-CN"/>
        </w:rPr>
      </w:pPr>
      <w:bookmarkStart w:id="59" w:name="_Toc25669"/>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报价要求</w:t>
      </w:r>
      <w:bookmarkEnd w:id="59"/>
    </w:p>
    <w:p>
      <w:pPr>
        <w:numPr>
          <w:ilvl w:val="-1"/>
          <w:numId w:val="0"/>
        </w:numPr>
        <w:autoSpaceDE w:val="0"/>
        <w:autoSpaceDN w:val="0"/>
        <w:adjustRightInd w:val="0"/>
        <w:spacing w:line="360" w:lineRule="auto"/>
        <w:ind w:left="0" w:firstLine="480" w:firstLineChars="200"/>
        <w:jc w:val="left"/>
        <w:rPr>
          <w:rFonts w:hint="default" w:ascii="宋体" w:hAnsi="宋体" w:eastAsia="宋体" w:cs="宋体"/>
          <w:sz w:val="24"/>
          <w:szCs w:val="24"/>
          <w:lang w:val="en-US" w:eastAsia="zh-CN"/>
        </w:rPr>
      </w:pPr>
      <w:r>
        <w:rPr>
          <w:rFonts w:hint="eastAsia" w:hAnsi="宋体" w:cs="宋体"/>
          <w:sz w:val="24"/>
          <w:szCs w:val="24"/>
          <w:lang w:val="en-US" w:eastAsia="zh-CN"/>
        </w:rPr>
        <w:t>1.资质要求</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rPr>
      </w:pPr>
      <w:r>
        <w:rPr>
          <w:rFonts w:hint="eastAsia" w:hAnsi="宋体" w:cs="宋体"/>
          <w:sz w:val="24"/>
          <w:szCs w:val="24"/>
          <w:lang w:val="en-US" w:eastAsia="zh-CN"/>
        </w:rPr>
        <w:t>（</w:t>
      </w:r>
      <w:r>
        <w:rPr>
          <w:rFonts w:hint="eastAsia" w:ascii="宋体" w:hAnsi="宋体" w:eastAsia="宋体" w:cs="宋体"/>
          <w:sz w:val="24"/>
          <w:szCs w:val="24"/>
          <w:lang w:val="en-US" w:eastAsia="zh-CN"/>
        </w:rPr>
        <w:t>1</w:t>
      </w:r>
      <w:r>
        <w:rPr>
          <w:rFonts w:hint="eastAsia" w:hAnsi="宋体" w:cs="宋体"/>
          <w:sz w:val="24"/>
          <w:szCs w:val="24"/>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具备中华人民共和国境内注册的有合法经营资格的国内独立法人，具有独立承担民事责任的能力（提供相关证明材料加盖公章）。如“</w:t>
      </w:r>
      <w:r>
        <w:rPr>
          <w:rFonts w:hint="eastAsia" w:ascii="宋体" w:hAnsi="宋体" w:eastAsia="宋体" w:cs="宋体"/>
          <w:sz w:val="24"/>
          <w:szCs w:val="24"/>
          <w:lang w:val="en-US" w:eastAsia="zh-CN"/>
        </w:rPr>
        <w:t>多</w:t>
      </w:r>
      <w:r>
        <w:rPr>
          <w:rFonts w:hint="eastAsia" w:ascii="宋体" w:hAnsi="宋体" w:eastAsia="宋体" w:cs="宋体"/>
          <w:sz w:val="24"/>
          <w:szCs w:val="24"/>
        </w:rPr>
        <w:t>证合一”的营业执照。</w:t>
      </w:r>
    </w:p>
    <w:p>
      <w:pPr>
        <w:numPr>
          <w:ilvl w:val="0"/>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val="en-US" w:eastAsia="zh-CN"/>
        </w:rPr>
        <w:t>（</w:t>
      </w:r>
      <w:r>
        <w:rPr>
          <w:rFonts w:hint="eastAsia" w:ascii="宋体" w:hAnsi="宋体" w:eastAsia="宋体" w:cs="宋体"/>
          <w:sz w:val="24"/>
          <w:szCs w:val="24"/>
          <w:lang w:val="en-US" w:eastAsia="zh-CN"/>
        </w:rPr>
        <w:t>2</w:t>
      </w:r>
      <w:r>
        <w:rPr>
          <w:rFonts w:hint="eastAsia" w:hAnsi="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应为所销售</w:t>
      </w:r>
      <w:r>
        <w:rPr>
          <w:rFonts w:hint="eastAsia" w:ascii="宋体" w:hAnsi="宋体" w:eastAsia="宋体" w:cs="宋体"/>
          <w:sz w:val="24"/>
          <w:szCs w:val="24"/>
          <w:lang w:val="en-US" w:eastAsia="zh-CN"/>
        </w:rPr>
        <w:t>数据库</w:t>
      </w:r>
      <w:r>
        <w:rPr>
          <w:rFonts w:hint="eastAsia" w:ascii="宋体" w:hAnsi="宋体" w:eastAsia="宋体" w:cs="宋体"/>
          <w:sz w:val="24"/>
          <w:szCs w:val="24"/>
        </w:rPr>
        <w:t>品牌的</w:t>
      </w:r>
      <w:r>
        <w:rPr>
          <w:rFonts w:hint="eastAsia" w:ascii="宋体" w:hAnsi="宋体" w:eastAsia="宋体" w:cs="宋体"/>
          <w:sz w:val="24"/>
          <w:szCs w:val="24"/>
          <w:lang w:val="en-US" w:eastAsia="zh-CN"/>
        </w:rPr>
        <w:t>原</w:t>
      </w:r>
      <w:r>
        <w:rPr>
          <w:rFonts w:hint="eastAsia" w:hAnsi="宋体" w:cs="宋体"/>
          <w:sz w:val="24"/>
          <w:szCs w:val="24"/>
          <w:lang w:val="en-US" w:eastAsia="zh-CN"/>
        </w:rPr>
        <w:t>开发</w:t>
      </w:r>
      <w:r>
        <w:rPr>
          <w:rFonts w:hint="eastAsia" w:ascii="宋体" w:hAnsi="宋体" w:eastAsia="宋体" w:cs="宋体"/>
          <w:sz w:val="24"/>
          <w:szCs w:val="24"/>
        </w:rPr>
        <w:t>商或</w:t>
      </w:r>
      <w:r>
        <w:rPr>
          <w:rFonts w:hint="eastAsia" w:ascii="宋体" w:hAnsi="宋体" w:eastAsia="宋体" w:cs="宋体"/>
          <w:sz w:val="24"/>
          <w:szCs w:val="24"/>
          <w:lang w:val="en-US" w:eastAsia="zh-CN"/>
        </w:rPr>
        <w:t>其</w:t>
      </w:r>
      <w:r>
        <w:rPr>
          <w:rFonts w:hint="eastAsia" w:ascii="宋体" w:hAnsi="宋体" w:eastAsia="宋体" w:cs="宋体"/>
          <w:sz w:val="24"/>
          <w:szCs w:val="24"/>
        </w:rPr>
        <w:t>授权经销商，</w:t>
      </w:r>
      <w:r>
        <w:rPr>
          <w:rFonts w:hint="eastAsia" w:ascii="宋体" w:hAnsi="宋体" w:eastAsia="宋体" w:cs="宋体"/>
          <w:sz w:val="24"/>
          <w:szCs w:val="24"/>
          <w:lang w:val="en-US" w:eastAsia="zh-CN"/>
        </w:rPr>
        <w:t>若供应商为所销售品牌授权经销商，</w:t>
      </w:r>
      <w:r>
        <w:rPr>
          <w:rFonts w:hint="eastAsia" w:ascii="宋体" w:hAnsi="宋体" w:eastAsia="宋体" w:cs="宋体"/>
          <w:sz w:val="24"/>
          <w:szCs w:val="24"/>
        </w:rPr>
        <w:t>须提供所报价</w:t>
      </w:r>
      <w:r>
        <w:rPr>
          <w:rFonts w:hint="eastAsia" w:ascii="宋体" w:hAnsi="宋体" w:eastAsia="宋体" w:cs="宋体"/>
          <w:sz w:val="24"/>
          <w:szCs w:val="24"/>
          <w:lang w:val="en-US" w:eastAsia="zh-CN"/>
        </w:rPr>
        <w:t>数据库</w:t>
      </w:r>
      <w:r>
        <w:rPr>
          <w:rFonts w:hint="eastAsia" w:ascii="宋体" w:hAnsi="宋体" w:eastAsia="宋体" w:cs="宋体"/>
          <w:sz w:val="24"/>
          <w:szCs w:val="24"/>
        </w:rPr>
        <w:t>品牌的项目授权证明或代理资质证明。</w:t>
      </w:r>
    </w:p>
    <w:p>
      <w:pPr>
        <w:pStyle w:val="2"/>
        <w:spacing w:line="360" w:lineRule="auto"/>
        <w:ind w:firstLine="480" w:firstLineChars="200"/>
        <w:rPr>
          <w:rFonts w:hint="eastAsia"/>
          <w:lang w:val="en-US" w:eastAsia="zh-CN"/>
        </w:rPr>
      </w:pPr>
      <w:r>
        <w:rPr>
          <w:rFonts w:hint="eastAsia" w:ascii="宋体" w:hAnsi="宋体" w:cs="宋体"/>
          <w:lang w:val="en-US" w:eastAsia="zh-CN"/>
        </w:rPr>
        <w:t>（3）报价人（或本次报价数据库的开发商）完成的一个本次报价数据库的销售业绩；</w:t>
      </w:r>
    </w:p>
    <w:p>
      <w:pPr>
        <w:pStyle w:val="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（4）报价人未被列入“信用中国”网站（www.creditchina.gov.cn）失信被执行人、重大税收违法失信主体、严重违法失信行为记录名单（处罚期限届满的除外）。</w:t>
      </w:r>
    </w:p>
    <w:p>
      <w:pPr>
        <w:pStyle w:val="2"/>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2.其他要求</w:t>
      </w:r>
    </w:p>
    <w:p>
      <w:pPr>
        <w:pStyle w:val="2"/>
        <w:spacing w:line="360" w:lineRule="auto"/>
        <w:ind w:firstLine="480" w:firstLineChars="200"/>
        <w:rPr>
          <w:rFonts w:hint="eastAsia" w:hAnsi="宋体" w:cs="宋体"/>
          <w:color w:val="000000" w:themeColor="text1"/>
          <w:lang w:val="en-US" w:eastAsia="zh-CN"/>
          <w14:textFill>
            <w14:solidFill>
              <w14:schemeClr w14:val="tx1"/>
            </w14:solidFill>
          </w14:textFill>
        </w:rPr>
      </w:pPr>
      <w:r>
        <w:rPr>
          <w:rFonts w:hint="eastAsia" w:ascii="宋体" w:hAnsi="宋体" w:cs="宋体"/>
          <w:sz w:val="24"/>
          <w:szCs w:val="24"/>
          <w:lang w:val="en-US" w:eastAsia="zh-CN"/>
        </w:rPr>
        <w:t>（1）</w:t>
      </w:r>
      <w:r>
        <w:rPr>
          <w:rFonts w:hint="eastAsia" w:hAnsi="宋体" w:cs="宋体"/>
          <w:color w:val="000000" w:themeColor="text1"/>
          <w:lang w:val="en-US" w:eastAsia="zh-CN"/>
          <w14:textFill>
            <w14:solidFill>
              <w14:schemeClr w14:val="tx1"/>
            </w14:solidFill>
          </w14:textFill>
        </w:rPr>
        <w:t>提供所报价数据库产品异构数据同步软件和数据比对工具的著作权证书复印件；</w:t>
      </w:r>
    </w:p>
    <w:p>
      <w:pPr>
        <w:pStyle w:val="2"/>
        <w:spacing w:line="360" w:lineRule="auto"/>
        <w:ind w:firstLine="480" w:firstLineChars="200"/>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（2）支持表空间级数据加密功能，支持同一表空间存在多表情况下部分表进行加密功能，支持日志加密，提供CNAS（中国合格评定国家认可委员会）认定的权威机构出具的测试报告复印件；</w:t>
      </w:r>
    </w:p>
    <w:p>
      <w:pPr>
        <w:pStyle w:val="2"/>
        <w:spacing w:line="360" w:lineRule="auto"/>
        <w:ind w:firstLine="480" w:firstLineChars="200"/>
        <w:rPr>
          <w:rFonts w:hint="default"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（3）数据库品牌与致远、用友的系统有对接合作案例，提供成功对接案例或产品兼容性证明复印件；</w:t>
      </w:r>
    </w:p>
    <w:p>
      <w:pPr>
        <w:pStyle w:val="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报告支持文本和网页两种形式，支持中文，支持自动采集和保存数据，提供CNAS（中国合格评定国家认可委员会）认定的权威机构出具的测试报告复印件；</w:t>
      </w:r>
    </w:p>
    <w:p>
      <w:pPr>
        <w:pStyle w:val="2"/>
        <w:spacing w:line="360" w:lineRule="auto"/>
        <w:ind w:firstLine="480" w:firstLineChars="200"/>
        <w:rPr>
          <w:rFonts w:hint="default"/>
          <w:lang w:val="en-US"/>
        </w:rPr>
      </w:pPr>
      <w:r>
        <w:rPr>
          <w:rFonts w:hint="eastAsia" w:ascii="宋体" w:hAnsi="宋体" w:cs="宋体"/>
          <w:sz w:val="24"/>
          <w:szCs w:val="24"/>
          <w:lang w:val="en-US" w:eastAsia="zh-CN"/>
        </w:rPr>
        <w:t>（5）供应商提供的数据库产品需通过由公安部或国家网络与信息系统安全产品质检监督检验中心认证与审核，达到国家安全四级或EAL4+级或以上认证，提供盖章的相关测试机构测试报告复印件；</w:t>
      </w:r>
    </w:p>
    <w:p>
      <w:pPr>
        <w:numPr>
          <w:ilvl w:val="-1"/>
          <w:numId w:val="0"/>
        </w:numPr>
        <w:autoSpaceDE w:val="0"/>
        <w:autoSpaceDN w:val="0"/>
        <w:adjustRightInd w:val="0"/>
        <w:spacing w:line="360" w:lineRule="auto"/>
        <w:ind w:right="0" w:firstLine="480" w:firstLineChars="200"/>
        <w:jc w:val="left"/>
        <w:rPr>
          <w:rFonts w:hint="eastAsia" w:ascii="宋体" w:hAnsi="宋体" w:eastAsia="宋体" w:cs="宋体"/>
          <w:sz w:val="24"/>
          <w:szCs w:val="24"/>
          <w:lang w:eastAsia="zh-CN"/>
        </w:rPr>
      </w:pPr>
      <w:r>
        <w:rPr>
          <w:rFonts w:hint="eastAsia" w:hAnsi="宋体" w:cs="宋体"/>
          <w:sz w:val="24"/>
          <w:szCs w:val="24"/>
          <w:lang w:val="en-US" w:eastAsia="zh-CN"/>
        </w:rPr>
        <w:t>（6）</w:t>
      </w:r>
      <w:r>
        <w:rPr>
          <w:rFonts w:hint="eastAsia" w:ascii="宋体" w:hAnsi="宋体" w:eastAsia="宋体" w:cs="宋体"/>
          <w:sz w:val="24"/>
          <w:szCs w:val="24"/>
        </w:rPr>
        <w:t>本项目报价金额采用的币种为人民币，以其他货币标价的将予以拒绝</w:t>
      </w:r>
      <w:r>
        <w:rPr>
          <w:rFonts w:hint="eastAsia" w:hAnsi="宋体" w:cs="宋体"/>
          <w:sz w:val="24"/>
          <w:szCs w:val="24"/>
          <w:lang w:eastAsia="zh-CN"/>
        </w:rPr>
        <w:t>；</w:t>
      </w:r>
    </w:p>
    <w:p>
      <w:pPr>
        <w:numPr>
          <w:ilvl w:val="-1"/>
          <w:numId w:val="0"/>
        </w:num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val="en-US" w:eastAsia="zh-CN"/>
        </w:rPr>
        <w:t>（7）</w:t>
      </w:r>
      <w:r>
        <w:rPr>
          <w:rFonts w:hint="eastAsia" w:ascii="宋体" w:hAnsi="宋体" w:eastAsia="宋体" w:cs="宋体"/>
          <w:sz w:val="24"/>
          <w:szCs w:val="24"/>
          <w:lang w:val="en-US" w:eastAsia="zh-CN"/>
        </w:rPr>
        <w:t>报价</w:t>
      </w:r>
      <w:r>
        <w:rPr>
          <w:rFonts w:hint="eastAsia" w:ascii="宋体" w:hAnsi="宋体" w:eastAsia="宋体" w:cs="宋体"/>
          <w:sz w:val="24"/>
          <w:szCs w:val="24"/>
        </w:rPr>
        <w:t>人</w:t>
      </w:r>
      <w:r>
        <w:rPr>
          <w:rFonts w:hint="eastAsia" w:ascii="宋体" w:hAnsi="宋体" w:eastAsia="宋体" w:cs="宋体"/>
          <w:sz w:val="24"/>
          <w:szCs w:val="24"/>
          <w:lang w:val="en-US" w:eastAsia="zh-CN"/>
        </w:rPr>
        <w:t>供应商</w:t>
      </w:r>
      <w:r>
        <w:rPr>
          <w:rFonts w:hint="eastAsia" w:ascii="宋体" w:hAnsi="宋体" w:eastAsia="宋体" w:cs="宋体"/>
          <w:sz w:val="24"/>
          <w:szCs w:val="24"/>
        </w:rPr>
        <w:t>所报价格包括但不限于权利许可费、产品费、安装费、技术支持、指导与培训费、软件升级费、利润等一切完成并履行项目工作内容的全部费用，不随国家政策或法规、标准、市场因素及采购数量的变化而调整</w:t>
      </w:r>
      <w:r>
        <w:rPr>
          <w:rFonts w:hint="eastAsia" w:hAnsi="宋体" w:cs="宋体"/>
          <w:sz w:val="24"/>
          <w:szCs w:val="24"/>
          <w:lang w:eastAsia="zh-CN"/>
        </w:rPr>
        <w:t>；</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（8）</w:t>
      </w:r>
      <w:r>
        <w:rPr>
          <w:rFonts w:hint="eastAsia" w:ascii="宋体" w:hAnsi="宋体" w:eastAsia="宋体" w:cs="宋体"/>
          <w:sz w:val="24"/>
          <w:szCs w:val="24"/>
          <w:highlight w:val="none"/>
        </w:rPr>
        <w:t>实施技术服务（安装部署、适配调优、数据库迁移和上线、活动保障、运行维护等）人员须为</w:t>
      </w:r>
      <w:r>
        <w:rPr>
          <w:rFonts w:hint="eastAsia" w:ascii="宋体" w:hAnsi="宋体" w:eastAsia="宋体" w:cs="宋体"/>
          <w:sz w:val="24"/>
          <w:szCs w:val="24"/>
          <w:highlight w:val="none"/>
          <w:lang w:val="en-US" w:eastAsia="zh-CN"/>
        </w:rPr>
        <w:t>供应商或生产厂商</w:t>
      </w:r>
      <w:r>
        <w:rPr>
          <w:rFonts w:hint="eastAsia" w:ascii="宋体" w:hAnsi="宋体" w:eastAsia="宋体" w:cs="宋体"/>
          <w:sz w:val="24"/>
          <w:szCs w:val="24"/>
          <w:highlight w:val="none"/>
        </w:rPr>
        <w:t>正式员工</w:t>
      </w:r>
      <w:r>
        <w:rPr>
          <w:rFonts w:hint="eastAsia" w:hAnsi="宋体" w:cs="宋体"/>
          <w:sz w:val="24"/>
          <w:szCs w:val="24"/>
          <w:highlight w:val="none"/>
          <w:lang w:eastAsia="zh-CN"/>
        </w:rPr>
        <w:t>；</w:t>
      </w:r>
    </w:p>
    <w:p>
      <w:pPr>
        <w:numPr>
          <w:ilvl w:val="-1"/>
          <w:numId w:val="0"/>
        </w:numPr>
        <w:autoSpaceDE w:val="0"/>
        <w:autoSpaceDN w:val="0"/>
        <w:adjustRightInd w:val="0"/>
        <w:spacing w:line="360" w:lineRule="auto"/>
        <w:ind w:left="0" w:firstLine="480" w:firstLineChars="200"/>
        <w:jc w:val="left"/>
        <w:rPr>
          <w:rFonts w:hint="eastAsia" w:ascii="宋体" w:hAnsi="宋体" w:eastAsia="宋体" w:cs="宋体"/>
          <w:sz w:val="24"/>
          <w:szCs w:val="24"/>
          <w:highlight w:val="none"/>
          <w:lang w:val="en-US"/>
        </w:rPr>
      </w:pPr>
      <w:r>
        <w:rPr>
          <w:rFonts w:hint="eastAsia" w:hAnsi="宋体" w:cs="宋体"/>
          <w:sz w:val="24"/>
          <w:szCs w:val="24"/>
          <w:highlight w:val="none"/>
          <w:lang w:val="en-US" w:eastAsia="zh-CN"/>
        </w:rPr>
        <w:t>（9）</w:t>
      </w:r>
      <w:r>
        <w:rPr>
          <w:rFonts w:hint="eastAsia" w:ascii="宋体" w:hAnsi="宋体" w:eastAsia="宋体" w:cs="宋体"/>
          <w:sz w:val="24"/>
          <w:szCs w:val="24"/>
          <w:highlight w:val="none"/>
          <w:lang w:val="en-US" w:eastAsia="zh-CN"/>
        </w:rPr>
        <w:t>供应商提交报价单同时须附上所报价产品的产品资料，以便采购人查找相关信息。</w:t>
      </w:r>
    </w:p>
    <w:p>
      <w:pPr>
        <w:pStyle w:val="20"/>
        <w:rPr>
          <w:rFonts w:hint="eastAsia" w:ascii="宋体" w:hAnsi="宋体" w:eastAsia="宋体" w:cs="宋体"/>
          <w:sz w:val="24"/>
          <w:szCs w:val="24"/>
        </w:rPr>
      </w:pPr>
    </w:p>
    <w:p>
      <w:pPr>
        <w:pStyle w:val="20"/>
        <w:rPr>
          <w:rFonts w:hint="eastAsia" w:ascii="宋体" w:hAnsi="宋体" w:eastAsia="宋体" w:cs="宋体"/>
          <w:sz w:val="24"/>
          <w:szCs w:val="24"/>
        </w:rPr>
      </w:pPr>
    </w:p>
    <w:p>
      <w:pPr>
        <w:pStyle w:val="2"/>
        <w:rPr>
          <w:rFonts w:hint="eastAsia"/>
        </w:rPr>
        <w:sectPr>
          <w:pgSz w:w="11906" w:h="16838"/>
          <w:pgMar w:top="1440" w:right="1800" w:bottom="1440" w:left="1800" w:header="851" w:footer="992" w:gutter="0"/>
          <w:pgNumType w:fmt="decimal"/>
          <w:cols w:space="425" w:num="1"/>
          <w:docGrid w:type="lines" w:linePitch="312" w:charSpace="0"/>
        </w:sectPr>
      </w:pPr>
    </w:p>
    <w:bookmarkEnd w:id="13"/>
    <w:bookmarkEnd w:id="14"/>
    <w:bookmarkEnd w:id="15"/>
    <w:p>
      <w:pPr>
        <w:pStyle w:val="3"/>
        <w:spacing w:before="0" w:after="0"/>
        <w:jc w:val="center"/>
        <w:rPr>
          <w:rFonts w:hAnsi="宋体" w:cs="宋体"/>
          <w:szCs w:val="32"/>
        </w:rPr>
      </w:pPr>
      <w:bookmarkStart w:id="60" w:name="_Toc20921"/>
      <w:bookmarkStart w:id="61" w:name="_Toc27990830"/>
      <w:r>
        <w:rPr>
          <w:rFonts w:hint="eastAsia" w:hAnsi="宋体" w:cs="宋体"/>
          <w:szCs w:val="32"/>
        </w:rPr>
        <w:t>第三章 合同条款</w:t>
      </w:r>
      <w:bookmarkEnd w:id="60"/>
      <w:bookmarkEnd w:id="61"/>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eastAsia="zh-CN"/>
        </w:rPr>
        <w:t>东莞市水务集团</w:t>
      </w:r>
      <w:r>
        <w:rPr>
          <w:rFonts w:hint="eastAsia" w:ascii="楷体_GB2312" w:hAnsi="楷体_GB2312" w:eastAsia="楷体_GB2312" w:cs="楷体_GB2312"/>
          <w:b/>
          <w:bCs/>
          <w:color w:val="333333"/>
          <w:kern w:val="2"/>
          <w:sz w:val="36"/>
          <w:szCs w:val="36"/>
          <w:shd w:val="clear" w:color="auto" w:fill="FFFFFF"/>
          <w:lang w:val="en-US" w:eastAsia="zh-CN"/>
        </w:rPr>
        <w:t>有限公司</w:t>
      </w:r>
      <w:r>
        <w:rPr>
          <w:rFonts w:hint="eastAsia" w:ascii="楷体_GB2312" w:hAnsi="楷体_GB2312" w:eastAsia="楷体_GB2312" w:cs="楷体_GB2312"/>
          <w:b/>
          <w:bCs/>
          <w:color w:val="333333"/>
          <w:kern w:val="2"/>
          <w:sz w:val="36"/>
          <w:szCs w:val="36"/>
          <w:shd w:val="clear" w:color="auto" w:fill="FFFFFF"/>
          <w:lang w:eastAsia="zh-CN"/>
        </w:rPr>
        <w:t>可信数据库项目</w:t>
      </w:r>
      <w:r>
        <w:rPr>
          <w:rFonts w:hint="eastAsia" w:ascii="楷体_GB2312" w:hAnsi="楷体_GB2312" w:eastAsia="楷体_GB2312" w:cs="楷体_GB2312"/>
          <w:b/>
          <w:bCs/>
          <w:kern w:val="0"/>
          <w:sz w:val="36"/>
          <w:szCs w:val="36"/>
        </w:rPr>
        <w:t>合同</w:t>
      </w:r>
    </w:p>
    <w:p>
      <w:pPr>
        <w:autoSpaceDE/>
        <w:autoSpaceDN/>
        <w:adjustRightInd w:val="0"/>
        <w:snapToGrid w:val="0"/>
        <w:spacing w:line="360" w:lineRule="auto"/>
        <w:jc w:val="both"/>
        <w:rPr>
          <w:rFonts w:ascii="Times New Roman" w:hAnsi="Times New Roman"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pStyle w:val="2"/>
        <w:rPr>
          <w:rFonts w:hint="eastAsia"/>
        </w:rPr>
      </w:pPr>
    </w:p>
    <w:p>
      <w:pPr>
        <w:rPr>
          <w:rFonts w:hint="eastAsia"/>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项目名称：东莞市水务集团</w:t>
      </w:r>
      <w:r>
        <w:rPr>
          <w:rFonts w:hint="eastAsia" w:ascii="Times New Roman" w:hAnsi="Times New Roman" w:eastAsia="楷体_GB2312" w:cs="楷体_GB2312"/>
          <w:kern w:val="2"/>
          <w:sz w:val="28"/>
          <w:szCs w:val="28"/>
          <w:lang w:val="en-US" w:eastAsia="zh-CN"/>
        </w:rPr>
        <w:t>有限公司</w:t>
      </w:r>
      <w:r>
        <w:rPr>
          <w:rFonts w:hint="eastAsia" w:ascii="Times New Roman" w:hAnsi="Times New Roman" w:eastAsia="楷体_GB2312" w:cs="楷体_GB2312"/>
          <w:kern w:val="2"/>
          <w:sz w:val="28"/>
          <w:szCs w:val="28"/>
        </w:rPr>
        <w:t>可信数据库项目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pStyle w:val="2"/>
        <w:rPr>
          <w:rFonts w:hint="eastAsia"/>
          <w:lang w:val="en-US" w:eastAsia="zh-CN"/>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pStyle w:val="2"/>
        <w:rPr>
          <w:rFonts w:hint="eastAsia"/>
          <w:lang w:val="en-US" w:eastAsia="zh-CN"/>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签订地点：东莞市</w:t>
      </w:r>
      <w:r>
        <w:rPr>
          <w:rFonts w:hint="eastAsia" w:ascii="Times New Roman" w:hAnsi="Times New Roman" w:eastAsia="楷体_GB2312" w:cs="楷体_GB2312"/>
          <w:kern w:val="2"/>
          <w:sz w:val="28"/>
          <w:szCs w:val="28"/>
          <w:lang w:val="en-US" w:eastAsia="zh-CN"/>
        </w:rPr>
        <w:t>东</w:t>
      </w:r>
      <w:r>
        <w:rPr>
          <w:rFonts w:hint="eastAsia" w:ascii="Times New Roman" w:hAnsi="Times New Roman" w:eastAsia="楷体_GB2312" w:cs="楷体_GB2312"/>
          <w:kern w:val="2"/>
          <w:sz w:val="28"/>
          <w:szCs w:val="28"/>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签订日期：</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年</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月</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日</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autoSpaceDE/>
        <w:autoSpaceDN/>
        <w:adjustRightInd w:val="0"/>
        <w:snapToGrid w:val="0"/>
        <w:spacing w:line="360" w:lineRule="auto"/>
        <w:ind w:firstLine="0" w:firstLineChars="0"/>
        <w:jc w:val="both"/>
        <w:outlineLvl w:val="9"/>
        <w:rPr>
          <w:rFonts w:hint="eastAsia" w:ascii="Times New Roman" w:hAnsi="Times New Roman" w:eastAsia="宋体" w:cs="宋体"/>
          <w:kern w:val="2"/>
          <w:sz w:val="24"/>
          <w:u w:val="single"/>
        </w:rPr>
      </w:pPr>
      <w:r>
        <w:rPr>
          <w:rFonts w:hint="eastAsia" w:ascii="Times New Roman" w:hAnsi="Times New Roman" w:eastAsia="宋体" w:cs="宋体"/>
          <w:kern w:val="2"/>
          <w:sz w:val="24"/>
        </w:rPr>
        <w:t>甲方（委托方）：</w:t>
      </w:r>
      <w:r>
        <w:rPr>
          <w:rFonts w:hint="eastAsia" w:ascii="Times New Roman" w:hAnsi="Times New Roman" w:eastAsia="宋体" w:cs="宋体"/>
          <w:kern w:val="2"/>
          <w:sz w:val="24"/>
          <w:u w:val="single"/>
        </w:rPr>
        <w:t xml:space="preserve">东莞市水务集团有限公司 </w:t>
      </w:r>
      <w:r>
        <w:rPr>
          <w:rFonts w:hint="eastAsia" w:ascii="Times New Roman" w:hAnsi="Times New Roman" w:eastAsia="宋体" w:cs="宋体"/>
          <w:kern w:val="2"/>
          <w:sz w:val="24"/>
          <w:u w:val="single"/>
          <w:lang w:val="en-US" w:eastAsia="zh-CN"/>
        </w:rPr>
        <w:t xml:space="preserve">  </w:t>
      </w:r>
      <w:r>
        <w:rPr>
          <w:rFonts w:hint="eastAsia" w:ascii="Times New Roman" w:hAnsi="Times New Roman"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lang w:val="en-US" w:eastAsia="zh-CN"/>
        </w:rPr>
      </w:pPr>
      <w:r>
        <w:rPr>
          <w:rFonts w:hint="eastAsia" w:ascii="Times New Roman" w:hAnsi="Times New Roman" w:eastAsia="宋体" w:cs="宋体"/>
          <w:kern w:val="2"/>
          <w:sz w:val="24"/>
        </w:rPr>
        <w:t>乙方（受托方）：</w:t>
      </w:r>
      <w:r>
        <w:rPr>
          <w:rFonts w:hint="eastAsia" w:ascii="Times New Roman" w:cs="宋体"/>
          <w:kern w:val="2"/>
          <w:sz w:val="24"/>
          <w:u w:val="single"/>
          <w:lang w:val="en-US" w:eastAsia="zh-CN"/>
        </w:rPr>
        <w:t xml:space="preserve">                       </w:t>
      </w:r>
      <w:r>
        <w:rPr>
          <w:rFonts w:hint="eastAsia" w:ascii="Times New Roman" w:hAnsi="Times New Roman" w:eastAsia="宋体" w:cs="宋体"/>
          <w:kern w:val="2"/>
          <w:sz w:val="24"/>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kern w:val="2"/>
          <w:sz w:val="24"/>
          <w:szCs w:val="24"/>
        </w:rPr>
        <w:t>《中华人民共和国民法典》</w:t>
      </w:r>
      <w:r>
        <w:rPr>
          <w:rFonts w:hint="eastAsia" w:ascii="宋体" w:hAnsi="宋体" w:eastAsia="宋体" w:cs="宋体"/>
          <w:kern w:val="2"/>
          <w:sz w:val="24"/>
          <w:szCs w:val="24"/>
          <w:lang w:val="en-US" w:eastAsia="zh-CN"/>
        </w:rPr>
        <w:t>及国家相关法律</w:t>
      </w:r>
      <w:r>
        <w:rPr>
          <w:rFonts w:hint="eastAsia" w:ascii="宋体" w:hAnsi="宋体" w:eastAsia="宋体" w:cs="宋体"/>
          <w:kern w:val="2"/>
          <w:sz w:val="24"/>
          <w:szCs w:val="24"/>
        </w:rPr>
        <w:t>规定，</w:t>
      </w:r>
      <w:r>
        <w:rPr>
          <w:rFonts w:hint="eastAsia" w:ascii="宋体" w:hAnsi="宋体" w:eastAsia="宋体" w:cs="宋体"/>
          <w:kern w:val="2"/>
          <w:sz w:val="24"/>
          <w:szCs w:val="24"/>
          <w:lang w:val="en-US" w:eastAsia="zh-CN"/>
        </w:rPr>
        <w:t>甲方委托乙方开展东莞市水务集团有限公司可信数据库项目</w:t>
      </w:r>
      <w:r>
        <w:rPr>
          <w:rFonts w:hint="eastAsia" w:hAnsi="宋体" w:cs="宋体"/>
          <w:kern w:val="2"/>
          <w:sz w:val="24"/>
          <w:szCs w:val="24"/>
          <w:lang w:val="en-US" w:eastAsia="zh-CN"/>
        </w:rPr>
        <w:t>建设</w:t>
      </w:r>
      <w:r>
        <w:rPr>
          <w:rFonts w:hint="eastAsia" w:ascii="宋体" w:hAnsi="宋体" w:eastAsia="宋体" w:cs="宋体"/>
          <w:kern w:val="2"/>
          <w:sz w:val="24"/>
          <w:szCs w:val="24"/>
          <w:lang w:val="en-US" w:eastAsia="zh-CN"/>
        </w:rPr>
        <w:t>工作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经</w:t>
      </w:r>
      <w:r>
        <w:rPr>
          <w:rFonts w:hint="eastAsia" w:ascii="宋体" w:hAnsi="宋体" w:eastAsia="宋体" w:cs="宋体"/>
          <w:kern w:val="2"/>
          <w:sz w:val="24"/>
          <w:szCs w:val="24"/>
          <w:lang w:val="en-US" w:eastAsia="zh-CN"/>
        </w:rPr>
        <w:t>甲、乙双方协商</w:t>
      </w:r>
      <w:r>
        <w:rPr>
          <w:rFonts w:hint="eastAsia" w:ascii="宋体" w:hAnsi="宋体" w:eastAsia="宋体" w:cs="宋体"/>
          <w:kern w:val="2"/>
          <w:sz w:val="24"/>
          <w:szCs w:val="24"/>
        </w:rPr>
        <w:t>一致，签订本合同。</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jc w:val="both"/>
        <w:textAlignment w:val="auto"/>
        <w:rPr>
          <w:rFonts w:hint="eastAsia"/>
          <w:b/>
          <w:bCs/>
          <w:lang w:val="en-US" w:eastAsia="zh-CN"/>
        </w:rPr>
      </w:pPr>
      <w:r>
        <w:rPr>
          <w:rFonts w:hint="eastAsia" w:ascii="宋体" w:hAnsi="Times New Roman" w:eastAsia="宋体" w:cs="Times New Roman"/>
          <w:b/>
          <w:bCs/>
          <w:sz w:val="24"/>
          <w:szCs w:val="24"/>
          <w:lang w:val="en-US" w:eastAsia="zh-CN" w:bidi="ar-SA"/>
        </w:rPr>
        <w:t>第一条</w:t>
      </w:r>
      <w:r>
        <w:rPr>
          <w:rFonts w:hint="eastAsia" w:cs="Times New Roman"/>
          <w:b/>
          <w:bCs/>
          <w:sz w:val="24"/>
          <w:szCs w:val="24"/>
          <w:lang w:val="en-US" w:eastAsia="zh-CN" w:bidi="ar-SA"/>
        </w:rPr>
        <w:t xml:space="preserve"> </w:t>
      </w:r>
      <w:r>
        <w:rPr>
          <w:rFonts w:hint="eastAsia" w:ascii="宋体" w:hAnsi="宋体" w:eastAsia="宋体" w:cs="宋体"/>
          <w:b/>
          <w:bCs/>
          <w:kern w:val="2"/>
          <w:sz w:val="24"/>
          <w:szCs w:val="24"/>
          <w:lang w:val="en-US" w:eastAsia="zh-CN"/>
        </w:rPr>
        <w:t>采购清单及总价</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甲方向乙方采购相关软、硬件及配套服务，不含税总价为</w:t>
      </w:r>
      <w:r>
        <w:rPr>
          <w:rFonts w:hint="eastAsia" w:hAnsi="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元（人民币大写</w:t>
      </w:r>
      <w:r>
        <w:rPr>
          <w:rFonts w:hint="eastAsia" w:hAnsi="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）,税率</w:t>
      </w:r>
      <w:r>
        <w:rPr>
          <w:rFonts w:hint="eastAsia" w:hAnsi="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，即含税总价</w:t>
      </w:r>
      <w:r>
        <w:rPr>
          <w:rFonts w:hint="eastAsia" w:hAnsi="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元（人民币大写</w:t>
      </w:r>
      <w:r>
        <w:rPr>
          <w:rFonts w:hint="eastAsia" w:hAnsi="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）。合同采购清单如下：</w:t>
      </w:r>
    </w:p>
    <w:p>
      <w:pPr>
        <w:pStyle w:val="2"/>
        <w:rPr>
          <w:rFonts w:hint="eastAsia"/>
          <w:lang w:val="en-US" w:eastAsia="zh-CN"/>
        </w:rPr>
      </w:pPr>
    </w:p>
    <w:tbl>
      <w:tblPr>
        <w:tblStyle w:val="2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946"/>
        <w:gridCol w:w="1095"/>
        <w:gridCol w:w="1210"/>
        <w:gridCol w:w="1264"/>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62"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产品名称</w:t>
            </w:r>
          </w:p>
        </w:tc>
        <w:tc>
          <w:tcPr>
            <w:tcW w:w="946"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参数</w:t>
            </w:r>
          </w:p>
        </w:tc>
        <w:tc>
          <w:tcPr>
            <w:tcW w:w="1095"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数量</w:t>
            </w:r>
          </w:p>
        </w:tc>
        <w:tc>
          <w:tcPr>
            <w:tcW w:w="1210"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不含税</w:t>
            </w:r>
          </w:p>
          <w:p>
            <w:pPr>
              <w:pStyle w:val="2"/>
              <w:jc w:val="center"/>
              <w:rPr>
                <w:rFonts w:hint="eastAsia"/>
                <w:lang w:val="en-US" w:eastAsia="zh-CN"/>
              </w:rPr>
            </w:pPr>
            <w:r>
              <w:rPr>
                <w:rFonts w:hint="eastAsia"/>
                <w:lang w:val="en-US" w:eastAsia="zh-CN"/>
              </w:rPr>
              <w:t>单价（元）</w:t>
            </w:r>
          </w:p>
        </w:tc>
        <w:tc>
          <w:tcPr>
            <w:tcW w:w="1264"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不含税</w:t>
            </w:r>
          </w:p>
          <w:p>
            <w:pPr>
              <w:pStyle w:val="2"/>
              <w:jc w:val="center"/>
              <w:rPr>
                <w:rFonts w:hint="eastAsia"/>
                <w:lang w:val="en-US" w:eastAsia="zh-CN"/>
              </w:rPr>
            </w:pPr>
            <w:r>
              <w:rPr>
                <w:rFonts w:hint="eastAsia"/>
                <w:lang w:val="en-US" w:eastAsia="zh-CN"/>
              </w:rPr>
              <w:t>小计（元）</w:t>
            </w:r>
          </w:p>
        </w:tc>
        <w:tc>
          <w:tcPr>
            <w:tcW w:w="2643" w:type="dxa"/>
            <w:shd w:val="clear" w:color="auto" w:fill="F1F1F1" w:themeFill="background1" w:themeFillShade="F2"/>
            <w:vAlign w:val="center"/>
          </w:tcPr>
          <w:p>
            <w:pPr>
              <w:pStyle w:val="2"/>
              <w:jc w:val="center"/>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62" w:type="dxa"/>
            <w:vAlign w:val="center"/>
          </w:tcPr>
          <w:p>
            <w:pPr>
              <w:pStyle w:val="2"/>
              <w:jc w:val="center"/>
              <w:rPr>
                <w:rFonts w:hint="eastAsia"/>
                <w:lang w:val="en-US" w:eastAsia="zh-CN"/>
              </w:rPr>
            </w:pPr>
            <w:r>
              <w:rPr>
                <w:rFonts w:hint="eastAsia"/>
                <w:lang w:val="en-US" w:eastAsia="zh-CN"/>
              </w:rPr>
              <w:t>关系型数据库（包含集群及自动化备份）</w:t>
            </w:r>
          </w:p>
        </w:tc>
        <w:tc>
          <w:tcPr>
            <w:tcW w:w="946" w:type="dxa"/>
            <w:vAlign w:val="center"/>
          </w:tcPr>
          <w:p>
            <w:pPr>
              <w:pStyle w:val="2"/>
              <w:jc w:val="center"/>
              <w:rPr>
                <w:rFonts w:hint="eastAsia"/>
                <w:lang w:val="en-US" w:eastAsia="zh-CN"/>
              </w:rPr>
            </w:pPr>
            <w:r>
              <w:rPr>
                <w:rFonts w:hint="eastAsia"/>
                <w:lang w:val="en-US" w:eastAsia="zh-CN"/>
              </w:rPr>
              <w:t>/</w:t>
            </w:r>
          </w:p>
        </w:tc>
        <w:tc>
          <w:tcPr>
            <w:tcW w:w="1095" w:type="dxa"/>
            <w:vAlign w:val="center"/>
          </w:tcPr>
          <w:p>
            <w:pPr>
              <w:pStyle w:val="2"/>
              <w:jc w:val="center"/>
              <w:rPr>
                <w:rFonts w:hint="eastAsia"/>
                <w:lang w:val="en-US" w:eastAsia="zh-CN"/>
              </w:rPr>
            </w:pPr>
            <w:r>
              <w:rPr>
                <w:rFonts w:hint="eastAsia"/>
                <w:lang w:val="en-US" w:eastAsia="zh-CN"/>
              </w:rPr>
              <w:t>2套</w:t>
            </w:r>
          </w:p>
        </w:tc>
        <w:tc>
          <w:tcPr>
            <w:tcW w:w="1210" w:type="dxa"/>
            <w:vAlign w:val="center"/>
          </w:tcPr>
          <w:p>
            <w:pPr>
              <w:pStyle w:val="2"/>
              <w:jc w:val="center"/>
              <w:rPr>
                <w:rFonts w:hint="eastAsia"/>
                <w:lang w:val="en-US" w:eastAsia="zh-CN"/>
              </w:rPr>
            </w:pPr>
          </w:p>
        </w:tc>
        <w:tc>
          <w:tcPr>
            <w:tcW w:w="1264" w:type="dxa"/>
            <w:vAlign w:val="center"/>
          </w:tcPr>
          <w:p>
            <w:pPr>
              <w:pStyle w:val="2"/>
              <w:jc w:val="center"/>
              <w:rPr>
                <w:rFonts w:hint="eastAsia"/>
                <w:lang w:val="en-US" w:eastAsia="zh-CN"/>
              </w:rPr>
            </w:pPr>
          </w:p>
        </w:tc>
        <w:tc>
          <w:tcPr>
            <w:tcW w:w="2643" w:type="dxa"/>
            <w:vAlign w:val="center"/>
          </w:tcPr>
          <w:p>
            <w:pPr>
              <w:pStyle w:val="2"/>
              <w:rPr>
                <w:rFonts w:hint="eastAsia"/>
                <w:lang w:val="en-US" w:eastAsia="zh-CN"/>
              </w:rPr>
            </w:pPr>
            <w:r>
              <w:rPr>
                <w:rFonts w:hint="eastAsia"/>
                <w:lang w:val="en-US" w:eastAsia="zh-CN"/>
              </w:rPr>
              <w:t>永久授权，包含一年基础运维服务及数据库迁移服务，按节点授权，不限实例数。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Align w:val="center"/>
          </w:tcPr>
          <w:p>
            <w:pPr>
              <w:pStyle w:val="2"/>
              <w:jc w:val="center"/>
              <w:rPr>
                <w:rFonts w:hint="eastAsia"/>
                <w:lang w:val="en-US" w:eastAsia="zh-CN"/>
              </w:rPr>
            </w:pPr>
            <w:r>
              <w:rPr>
                <w:rFonts w:hint="eastAsia"/>
                <w:lang w:val="en-US" w:eastAsia="zh-CN"/>
              </w:rPr>
              <w:t>内存</w:t>
            </w:r>
          </w:p>
        </w:tc>
        <w:tc>
          <w:tcPr>
            <w:tcW w:w="946" w:type="dxa"/>
            <w:vAlign w:val="center"/>
          </w:tcPr>
          <w:p>
            <w:pPr>
              <w:pStyle w:val="2"/>
              <w:jc w:val="center"/>
              <w:rPr>
                <w:rFonts w:hint="eastAsia"/>
                <w:lang w:val="en-US" w:eastAsia="zh-CN"/>
              </w:rPr>
            </w:pPr>
            <w:r>
              <w:rPr>
                <w:rFonts w:hint="eastAsia"/>
                <w:lang w:val="en-US" w:eastAsia="zh-CN"/>
              </w:rPr>
              <w:t>DDR4 2666 32G</w:t>
            </w:r>
          </w:p>
        </w:tc>
        <w:tc>
          <w:tcPr>
            <w:tcW w:w="1095" w:type="dxa"/>
            <w:vAlign w:val="center"/>
          </w:tcPr>
          <w:p>
            <w:pPr>
              <w:pStyle w:val="2"/>
              <w:jc w:val="center"/>
              <w:rPr>
                <w:rFonts w:hint="eastAsia"/>
                <w:lang w:val="en-US" w:eastAsia="zh-CN"/>
              </w:rPr>
            </w:pPr>
            <w:r>
              <w:rPr>
                <w:rFonts w:hint="eastAsia"/>
                <w:lang w:val="en-US" w:eastAsia="zh-CN"/>
              </w:rPr>
              <w:t>3*16条</w:t>
            </w:r>
          </w:p>
        </w:tc>
        <w:tc>
          <w:tcPr>
            <w:tcW w:w="1210" w:type="dxa"/>
            <w:vAlign w:val="center"/>
          </w:tcPr>
          <w:p>
            <w:pPr>
              <w:pStyle w:val="2"/>
              <w:jc w:val="center"/>
              <w:rPr>
                <w:rFonts w:hint="eastAsia"/>
                <w:lang w:val="en-US" w:eastAsia="zh-CN"/>
              </w:rPr>
            </w:pPr>
          </w:p>
        </w:tc>
        <w:tc>
          <w:tcPr>
            <w:tcW w:w="1264" w:type="dxa"/>
            <w:vAlign w:val="center"/>
          </w:tcPr>
          <w:p>
            <w:pPr>
              <w:pStyle w:val="2"/>
              <w:jc w:val="center"/>
              <w:rPr>
                <w:rFonts w:hint="eastAsia"/>
                <w:lang w:val="en-US" w:eastAsia="zh-CN"/>
              </w:rPr>
            </w:pPr>
          </w:p>
        </w:tc>
        <w:tc>
          <w:tcPr>
            <w:tcW w:w="2643" w:type="dxa"/>
            <w:vMerge w:val="restart"/>
            <w:vAlign w:val="center"/>
          </w:tcPr>
          <w:p>
            <w:pPr>
              <w:pStyle w:val="2"/>
              <w:rPr>
                <w:rFonts w:hint="eastAsia"/>
                <w:lang w:val="en-US" w:eastAsia="zh-CN"/>
              </w:rPr>
            </w:pPr>
            <w:r>
              <w:rPr>
                <w:rFonts w:hint="eastAsia"/>
                <w:lang w:val="en-US" w:eastAsia="zh-CN"/>
              </w:rPr>
              <w:t>应适配在用服务器设备型号：深信服</w:t>
            </w:r>
          </w:p>
          <w:p>
            <w:pPr>
              <w:pStyle w:val="2"/>
              <w:rPr>
                <w:rFonts w:hint="eastAsia"/>
                <w:lang w:val="en-US" w:eastAsia="zh-CN"/>
              </w:rPr>
            </w:pPr>
            <w:r>
              <w:rPr>
                <w:rFonts w:hint="eastAsia"/>
                <w:lang w:val="en-US" w:eastAsia="zh-CN"/>
              </w:rPr>
              <w:t>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Align w:val="center"/>
          </w:tcPr>
          <w:p>
            <w:pPr>
              <w:pStyle w:val="2"/>
              <w:jc w:val="center"/>
              <w:rPr>
                <w:rFonts w:hint="eastAsia"/>
                <w:lang w:val="en-US" w:eastAsia="zh-CN"/>
              </w:rPr>
            </w:pPr>
            <w:r>
              <w:rPr>
                <w:rFonts w:hint="eastAsia"/>
                <w:lang w:val="en-US" w:eastAsia="zh-CN"/>
              </w:rPr>
              <w:t>硬盘SSD</w:t>
            </w:r>
          </w:p>
        </w:tc>
        <w:tc>
          <w:tcPr>
            <w:tcW w:w="946" w:type="dxa"/>
            <w:vAlign w:val="center"/>
          </w:tcPr>
          <w:p>
            <w:pPr>
              <w:pStyle w:val="2"/>
              <w:jc w:val="center"/>
              <w:rPr>
                <w:rFonts w:hint="eastAsia"/>
                <w:lang w:val="en-US" w:eastAsia="zh-CN"/>
              </w:rPr>
            </w:pPr>
            <w:r>
              <w:rPr>
                <w:rFonts w:hint="eastAsia"/>
                <w:lang w:val="en-US" w:eastAsia="zh-CN"/>
              </w:rPr>
              <w:t>960GB</w:t>
            </w:r>
          </w:p>
        </w:tc>
        <w:tc>
          <w:tcPr>
            <w:tcW w:w="1095" w:type="dxa"/>
            <w:vAlign w:val="center"/>
          </w:tcPr>
          <w:p>
            <w:pPr>
              <w:pStyle w:val="2"/>
              <w:jc w:val="center"/>
              <w:rPr>
                <w:rFonts w:hint="eastAsia"/>
                <w:lang w:val="en-US" w:eastAsia="zh-CN"/>
              </w:rPr>
            </w:pPr>
            <w:r>
              <w:rPr>
                <w:rFonts w:hint="eastAsia"/>
                <w:lang w:val="en-US" w:eastAsia="zh-CN"/>
              </w:rPr>
              <w:t>3*1个</w:t>
            </w:r>
          </w:p>
        </w:tc>
        <w:tc>
          <w:tcPr>
            <w:tcW w:w="1210" w:type="dxa"/>
            <w:vAlign w:val="center"/>
          </w:tcPr>
          <w:p>
            <w:pPr>
              <w:pStyle w:val="2"/>
              <w:jc w:val="center"/>
              <w:rPr>
                <w:rFonts w:hint="eastAsia"/>
                <w:lang w:val="en-US" w:eastAsia="zh-CN"/>
              </w:rPr>
            </w:pPr>
          </w:p>
        </w:tc>
        <w:tc>
          <w:tcPr>
            <w:tcW w:w="1264" w:type="dxa"/>
            <w:vAlign w:val="center"/>
          </w:tcPr>
          <w:p>
            <w:pPr>
              <w:pStyle w:val="2"/>
              <w:jc w:val="center"/>
              <w:rPr>
                <w:rFonts w:hint="eastAsia"/>
                <w:lang w:val="en-US" w:eastAsia="zh-CN"/>
              </w:rPr>
            </w:pPr>
          </w:p>
        </w:tc>
        <w:tc>
          <w:tcPr>
            <w:tcW w:w="2643" w:type="dxa"/>
            <w:vMerge w:val="continue"/>
            <w:vAlign w:val="center"/>
          </w:tcPr>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2" w:type="dxa"/>
            <w:vAlign w:val="center"/>
          </w:tcPr>
          <w:p>
            <w:pPr>
              <w:pStyle w:val="2"/>
              <w:jc w:val="center"/>
              <w:rPr>
                <w:rFonts w:hint="eastAsia"/>
                <w:lang w:val="en-US" w:eastAsia="zh-CN"/>
              </w:rPr>
            </w:pPr>
            <w:r>
              <w:rPr>
                <w:rFonts w:hint="eastAsia"/>
                <w:lang w:val="en-US" w:eastAsia="zh-CN"/>
              </w:rPr>
              <w:t>硬盘HDD</w:t>
            </w:r>
          </w:p>
        </w:tc>
        <w:tc>
          <w:tcPr>
            <w:tcW w:w="946" w:type="dxa"/>
            <w:vAlign w:val="center"/>
          </w:tcPr>
          <w:p>
            <w:pPr>
              <w:pStyle w:val="2"/>
              <w:jc w:val="center"/>
              <w:rPr>
                <w:rFonts w:hint="eastAsia"/>
                <w:lang w:val="en-US" w:eastAsia="zh-CN"/>
              </w:rPr>
            </w:pPr>
            <w:r>
              <w:rPr>
                <w:rFonts w:hint="eastAsia"/>
                <w:lang w:val="en-US" w:eastAsia="zh-CN"/>
              </w:rPr>
              <w:t>6TB</w:t>
            </w:r>
          </w:p>
        </w:tc>
        <w:tc>
          <w:tcPr>
            <w:tcW w:w="1095" w:type="dxa"/>
            <w:vAlign w:val="center"/>
          </w:tcPr>
          <w:p>
            <w:pPr>
              <w:pStyle w:val="2"/>
              <w:jc w:val="center"/>
              <w:rPr>
                <w:rFonts w:hint="eastAsia"/>
                <w:lang w:val="en-US" w:eastAsia="zh-CN"/>
              </w:rPr>
            </w:pPr>
            <w:r>
              <w:rPr>
                <w:rFonts w:hint="eastAsia"/>
                <w:lang w:val="en-US" w:eastAsia="zh-CN"/>
              </w:rPr>
              <w:t>3*7个</w:t>
            </w:r>
          </w:p>
        </w:tc>
        <w:tc>
          <w:tcPr>
            <w:tcW w:w="1210" w:type="dxa"/>
            <w:vAlign w:val="center"/>
          </w:tcPr>
          <w:p>
            <w:pPr>
              <w:pStyle w:val="2"/>
              <w:jc w:val="center"/>
              <w:rPr>
                <w:rFonts w:hint="eastAsia"/>
                <w:lang w:val="en-US" w:eastAsia="zh-CN"/>
              </w:rPr>
            </w:pPr>
          </w:p>
        </w:tc>
        <w:tc>
          <w:tcPr>
            <w:tcW w:w="1264" w:type="dxa"/>
            <w:vAlign w:val="center"/>
          </w:tcPr>
          <w:p>
            <w:pPr>
              <w:pStyle w:val="2"/>
              <w:jc w:val="center"/>
              <w:rPr>
                <w:rFonts w:hint="eastAsia"/>
                <w:lang w:val="en-US" w:eastAsia="zh-CN"/>
              </w:rPr>
            </w:pPr>
          </w:p>
        </w:tc>
        <w:tc>
          <w:tcPr>
            <w:tcW w:w="2643" w:type="dxa"/>
            <w:vMerge w:val="continue"/>
            <w:vAlign w:val="center"/>
          </w:tcPr>
          <w:p>
            <w:pPr>
              <w:pStyle w:val="2"/>
              <w:rPr>
                <w:rFonts w:hint="eastAsia"/>
                <w:lang w:val="en-US" w:eastAsia="zh-CN"/>
              </w:rPr>
            </w:pPr>
          </w:p>
        </w:tc>
      </w:tr>
    </w:tbl>
    <w:p>
      <w:pPr>
        <w:pStyle w:val="2"/>
        <w:rPr>
          <w:rFonts w:hint="eastAsia"/>
          <w:lang w:val="en-US" w:eastAsia="zh-CN"/>
        </w:rPr>
      </w:pP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hAnsi="宋体" w:cs="宋体"/>
          <w:b/>
          <w:bCs/>
          <w:kern w:val="2"/>
          <w:sz w:val="24"/>
          <w:szCs w:val="24"/>
          <w:lang w:val="en-US" w:eastAsia="zh-CN" w:bidi="ar-SA"/>
        </w:rPr>
        <w:t>第二条 质量</w:t>
      </w:r>
      <w:r>
        <w:rPr>
          <w:rFonts w:hint="eastAsia" w:ascii="宋体" w:hAnsi="宋体" w:eastAsia="宋体" w:cs="宋体"/>
          <w:b/>
          <w:bCs/>
          <w:kern w:val="2"/>
          <w:sz w:val="24"/>
          <w:szCs w:val="24"/>
          <w:lang w:val="en-US" w:eastAsia="zh-CN" w:bidi="ar-SA"/>
        </w:rPr>
        <w:t>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1.提供的软件、硬件产品及其载体必须是原装正版、全新的、未使用过的产品。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2.提供的软件、硬件产品及其载体均必须符合国家相关产品法律、法规、管理办法的等相关要求，已按国家、地方有关行政主管部门办理登记和备案，并在交货时提供相关登记备案凭证。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3.软件、硬件产品均须明确其名称、版本号、软件著作权人、软件产品登记号、软件生产单位及单位地址、生产日期等信息。</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4.软件、硬件产品应配有完备的中文说明书、使用手册等说明文件，并应在产品上或说明文件中，</w:t>
      </w:r>
      <w:r>
        <w:rPr>
          <w:rFonts w:hint="eastAsia" w:hAnsi="宋体" w:cs="宋体"/>
          <w:kern w:val="2"/>
          <w:sz w:val="24"/>
          <w:szCs w:val="24"/>
          <w:lang w:val="en-US" w:eastAsia="zh-CN" w:bidi="ar-SA"/>
        </w:rPr>
        <w:t>又</w:t>
      </w:r>
      <w:r>
        <w:rPr>
          <w:rFonts w:hint="eastAsia" w:ascii="宋体" w:hAnsi="宋体" w:eastAsia="宋体" w:cs="宋体"/>
          <w:kern w:val="2"/>
          <w:sz w:val="24"/>
          <w:szCs w:val="24"/>
          <w:lang w:val="en-US" w:eastAsia="zh-CN" w:bidi="ar-SA"/>
        </w:rPr>
        <w:t>或</w:t>
      </w:r>
      <w:r>
        <w:rPr>
          <w:rFonts w:hint="eastAsia" w:hAnsi="宋体" w:cs="宋体"/>
          <w:kern w:val="2"/>
          <w:sz w:val="24"/>
          <w:szCs w:val="24"/>
          <w:lang w:val="en-US" w:eastAsia="zh-CN" w:bidi="ar-SA"/>
        </w:rPr>
        <w:t>是</w:t>
      </w:r>
      <w:r>
        <w:rPr>
          <w:rFonts w:hint="eastAsia" w:ascii="宋体" w:hAnsi="宋体" w:eastAsia="宋体" w:cs="宋体"/>
          <w:kern w:val="2"/>
          <w:sz w:val="24"/>
          <w:szCs w:val="24"/>
          <w:lang w:val="en-US" w:eastAsia="zh-CN" w:bidi="ar-SA"/>
        </w:rPr>
        <w:t>书面形式的其他文件中，注明提供技术服务的单位、内容和方式。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5.软件、硬件部署与调试，按需求书、响应文件内的所有功能测试正常，并出具测试报告则为部署完成。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必须保证对其提供的货物享有合法及完整的权利，并保证货物不侵犯任何第三方的知识产权以及其他权益。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w:t>
      </w:r>
      <w:r>
        <w:rPr>
          <w:rFonts w:hint="eastAsia" w:hAnsi="宋体" w:cs="宋体"/>
          <w:b/>
          <w:bCs/>
          <w:kern w:val="2"/>
          <w:sz w:val="24"/>
          <w:szCs w:val="24"/>
          <w:lang w:val="en-US" w:eastAsia="zh-CN"/>
        </w:rPr>
        <w:t>三</w:t>
      </w:r>
      <w:r>
        <w:rPr>
          <w:rFonts w:hint="eastAsia" w:ascii="宋体" w:hAnsi="宋体" w:eastAsia="宋体" w:cs="宋体"/>
          <w:b/>
          <w:bCs/>
          <w:kern w:val="2"/>
          <w:sz w:val="24"/>
          <w:szCs w:val="24"/>
          <w:lang w:val="en-US" w:eastAsia="zh-CN"/>
        </w:rPr>
        <w:t>条 交货及安装调试</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1.</w:t>
      </w:r>
      <w:r>
        <w:rPr>
          <w:rFonts w:hint="eastAsia" w:ascii="宋体" w:hAnsi="宋体" w:eastAsia="宋体" w:cs="宋体"/>
          <w:kern w:val="2"/>
          <w:sz w:val="24"/>
          <w:szCs w:val="24"/>
          <w:lang w:val="en-US" w:eastAsia="zh-CN" w:bidi="ar-SA"/>
        </w:rPr>
        <w:t>自合同签订后</w:t>
      </w:r>
      <w:r>
        <w:rPr>
          <w:rFonts w:hint="eastAsia" w:ascii="宋体" w:hAnsi="宋体" w:eastAsia="宋体" w:cs="宋体"/>
          <w:kern w:val="2"/>
          <w:sz w:val="24"/>
          <w:szCs w:val="24"/>
          <w:u w:val="single"/>
          <w:lang w:val="en-US" w:eastAsia="zh-CN" w:bidi="ar-SA"/>
        </w:rPr>
        <w:t>30</w:t>
      </w:r>
      <w:r>
        <w:rPr>
          <w:rFonts w:hint="eastAsia" w:ascii="宋体" w:hAnsi="宋体" w:eastAsia="宋体" w:cs="宋体"/>
          <w:kern w:val="2"/>
          <w:sz w:val="24"/>
          <w:szCs w:val="24"/>
          <w:lang w:val="en-US" w:eastAsia="zh-CN" w:bidi="ar-SA"/>
        </w:rPr>
        <w:t>个工作日内，乙方</w:t>
      </w:r>
      <w:r>
        <w:rPr>
          <w:rFonts w:hint="eastAsia" w:hAnsi="宋体" w:cs="宋体"/>
          <w:kern w:val="2"/>
          <w:sz w:val="24"/>
          <w:szCs w:val="24"/>
          <w:lang w:val="en-US" w:eastAsia="zh-CN" w:bidi="ar-SA"/>
        </w:rPr>
        <w:t>应当按项目建设清单及项目建设要求完成安装调试</w:t>
      </w:r>
      <w:r>
        <w:rPr>
          <w:rFonts w:hint="eastAsia" w:ascii="宋体" w:hAnsi="宋体" w:eastAsia="宋体" w:cs="宋体"/>
          <w:kern w:val="2"/>
          <w:sz w:val="24"/>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交货地点：东莞市虎门镇东引路10号。</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安装调试：交货后乙方负责完成安装、部署与调试。</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风险承担：货物相关运输、装卸、保险、关税（进口货物）等费用已包含在产品单价中。乙方对任何甲方不予接收的存在缺损或不符合技术文件规定的货物或附件，应立即运走，予以更换。在货物运输、移交给甲方前发生的货物毁损、灭失等所有相关风险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第</w:t>
      </w:r>
      <w:r>
        <w:rPr>
          <w:rFonts w:hint="eastAsia"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条 验收</w:t>
      </w:r>
    </w:p>
    <w:p>
      <w:pPr>
        <w:keepNext w:val="0"/>
        <w:keepLines w:val="0"/>
        <w:pageBreakBefore w:val="0"/>
        <w:widowControl w:val="0"/>
        <w:numPr>
          <w:ilvl w:val="0"/>
          <w:numId w:val="0"/>
        </w:numPr>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（一）软件验收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1.完成关系型数据库系统搭建及数据迁移后数据库系统试运行正常，</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可以申请项目验收。期间故障或系统缺陷问题需由</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全部得到解决。</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2.以双方约定相关条款、用户需求书、响应文件的技术文件、报价文件、需求变更确认书等提及的各类文件以及在开发过程中双方确认的最终变更标准为最终验收标准。</w:t>
      </w:r>
    </w:p>
    <w:p>
      <w:pPr>
        <w:keepNext w:val="0"/>
        <w:keepLines w:val="0"/>
        <w:pageBreakBefore w:val="0"/>
        <w:widowControl w:val="0"/>
        <w:numPr>
          <w:ilvl w:val="0"/>
          <w:numId w:val="0"/>
        </w:numPr>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（二）硬件验收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运抵交货地点现场3个工作日内，双方共同验货。双方按照本合同中约定的质量要求，对货物的品牌、型号规格、数量、外观质量、资料进行全面的检验，验收标准：型号、规格、数量、质量与双方约定的要求一致、资料齐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2.如发现货物的品牌、产地、型号规格、结构、数量、外观质量、资料与双方约定的要求不符，或货物短缺、质次、损坏等问题，</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有权拒绝收货及拒绝付款，</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应在</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规定的时间内无条件为</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免费更换、补齐或无条件退货。由此产生的制造、维修、运费及保险等费用均应由</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负担。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3.由于非</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原因而引起货物的修理或更换的时间，如</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在交货期前完成修理或更换并按合同约定时间交货的，则不视为逾期交货，否则将视为</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逾期交货。</w:t>
      </w:r>
    </w:p>
    <w:p>
      <w:pPr>
        <w:keepNext w:val="0"/>
        <w:keepLines w:val="0"/>
        <w:pageBreakBefore w:val="0"/>
        <w:widowControl w:val="0"/>
        <w:numPr>
          <w:ilvl w:val="0"/>
          <w:numId w:val="0"/>
        </w:numPr>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（三）最终验收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指派专人对货物进行安装调试完毕，按约定内容向</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交付，且提供系统调试报告、安装、使用手册后，</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组织相关人员对本项目进行最终验收。</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2.经</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验收合格的，</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向</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移交生产厂家有关货物说明文件等所有资料文档，由</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出具最终书面验收报告。</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3.最终验收应在双方共同参加下进行，货物经验收应符合以下全部要求: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　符合国家相关法律法规以及规范的要求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　符合本合同及询价文件的约定及要求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　符合</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所提交的货物资料文档的规定及要求;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　符合双方其他关于货物及安装的约定及要求</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4.乙方</w:t>
      </w:r>
      <w:r>
        <w:rPr>
          <w:rFonts w:hint="eastAsia" w:ascii="宋体" w:hAnsi="宋体" w:eastAsia="宋体" w:cs="宋体"/>
          <w:kern w:val="2"/>
          <w:sz w:val="24"/>
          <w:szCs w:val="24"/>
          <w:lang w:val="en-US" w:eastAsia="zh-CN" w:bidi="ar-SA"/>
        </w:rPr>
        <w:t>需提供完整测试报告，记录所有的安装调试结果和问题，包括测试数据、测试记录、异常情况和解决方法等。</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在进行任何一次验收时发现货物不符合相关要求的，可拒绝收货或要求</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承担更换或退货责任。</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应将该等货物在 1 日内自行运回，</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不承担因验收造成的货物损耗且不对货物承担保管责任，由此产生的费用及风险由</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承担;若</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发现安装不符合相关要求的，可要求</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返工，由此产生的所有费用由</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自行承担。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6</w:t>
      </w:r>
      <w:r>
        <w:rPr>
          <w:rFonts w:hint="eastAsia" w:ascii="宋体" w:hAnsi="宋体" w:eastAsia="宋体" w:cs="宋体"/>
          <w:kern w:val="2"/>
          <w:sz w:val="24"/>
          <w:szCs w:val="24"/>
          <w:lang w:val="en-US" w:eastAsia="zh-CN" w:bidi="ar-SA"/>
        </w:rPr>
        <w:t>.</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根据本条约定对货物所做出的验收，仅作为起算付款及质保期之用不视为双方对于货物质量的最终认定。货物经</w:t>
      </w:r>
      <w:r>
        <w:rPr>
          <w:rFonts w:hint="eastAsia" w:hAnsi="宋体" w:cs="宋体"/>
          <w:kern w:val="2"/>
          <w:sz w:val="24"/>
          <w:szCs w:val="24"/>
          <w:lang w:val="en-US" w:eastAsia="zh-CN" w:bidi="ar-SA"/>
        </w:rPr>
        <w:t>甲方</w:t>
      </w:r>
      <w:r>
        <w:rPr>
          <w:rFonts w:hint="eastAsia" w:ascii="宋体" w:hAnsi="宋体" w:eastAsia="宋体" w:cs="宋体"/>
          <w:kern w:val="2"/>
          <w:sz w:val="24"/>
          <w:szCs w:val="24"/>
          <w:lang w:val="en-US" w:eastAsia="zh-CN" w:bidi="ar-SA"/>
        </w:rPr>
        <w:t>最终验收合格后，</w:t>
      </w:r>
      <w:r>
        <w:rPr>
          <w:rFonts w:hint="eastAsia" w:hAnsi="宋体" w:cs="宋体"/>
          <w:kern w:val="2"/>
          <w:sz w:val="24"/>
          <w:szCs w:val="24"/>
          <w:lang w:val="en-US" w:eastAsia="zh-CN" w:bidi="ar-SA"/>
        </w:rPr>
        <w:t>乙方</w:t>
      </w:r>
      <w:r>
        <w:rPr>
          <w:rFonts w:hint="eastAsia" w:ascii="宋体" w:hAnsi="宋体" w:eastAsia="宋体" w:cs="宋体"/>
          <w:kern w:val="2"/>
          <w:sz w:val="24"/>
          <w:szCs w:val="24"/>
          <w:lang w:val="en-US" w:eastAsia="zh-CN" w:bidi="ar-SA"/>
        </w:rPr>
        <w:t>仍应在质保期内对产品质量承担保证责任。</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7</w:t>
      </w:r>
      <w:r>
        <w:rPr>
          <w:rFonts w:hint="eastAsia" w:ascii="宋体" w:hAnsi="宋体" w:eastAsia="宋体" w:cs="宋体"/>
          <w:kern w:val="2"/>
          <w:sz w:val="24"/>
          <w:szCs w:val="24"/>
          <w:lang w:val="en-US" w:eastAsia="zh-CN" w:bidi="ar-SA"/>
        </w:rPr>
        <w:t>.验收过程中，如对检验记录不能取得一致意见时，一方可委托货物交付地有资质权威的第三方检验机构联合进行检验。检验结果具有约束力，若检验结论显示货物质量不符合约定，则检验费用以及货物在甲方保管期间产生的费用均由乙方承担，同时乙方还应承担违约责任。若检验结论显示货物质量服务约定，则检验费用由买方自行承担。</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default"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 xml:space="preserve">第五条 </w:t>
      </w:r>
      <w:r>
        <w:rPr>
          <w:rFonts w:hint="eastAsia" w:hAnsi="宋体" w:cs="宋体"/>
          <w:b/>
          <w:bCs/>
          <w:kern w:val="2"/>
          <w:sz w:val="24"/>
          <w:szCs w:val="24"/>
          <w:lang w:val="en-US" w:eastAsia="zh-CN"/>
        </w:rPr>
        <w:t>付款方式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1.合同总价包括了甲方购买本合同项下货物及其服务所支付的全部价款，包括但不限于：</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1）项目实施过程中所有货物及其配备的附件的采购、制造、检验检测、试验、送货、安装、包装费、运费、装卸费、货物保险、人工费、通讯费、现场仓储等费用。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2）供货货物及其工艺所有制造方、使用方应支付的对专有技术、专利权和版权、设计或其他知识产权而需要向其他方支付的版税。</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3）日常技术指导，免费的质保服务，包括但不限于免费现场质量问题处理或更换无效产品。</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4）货物验收合格前发生的安全事故所产生的一切费用。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5）合理利润、税费等。</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6）法律法规、商业公认由乙方承担的其他直接及间接费用。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lang w:val="en-US" w:eastAsia="zh-CN"/>
        </w:rPr>
      </w:pPr>
      <w:r>
        <w:rPr>
          <w:rFonts w:hint="eastAsia" w:hAnsi="宋体" w:cs="宋体"/>
          <w:kern w:val="2"/>
          <w:sz w:val="24"/>
          <w:szCs w:val="24"/>
          <w:lang w:val="en-US" w:eastAsia="zh-CN" w:bidi="ar-SA"/>
        </w:rPr>
        <w:t>2.未经甲方书面确认，乙方无权另行收取其它任何费用。</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lang w:val="en-US" w:eastAsia="zh-CN" w:bidi="ar-SA"/>
        </w:rPr>
      </w:pPr>
      <w:r>
        <w:rPr>
          <w:rFonts w:hint="eastAsia" w:hAnsi="宋体" w:cs="宋体"/>
          <w:kern w:val="2"/>
          <w:sz w:val="24"/>
          <w:szCs w:val="24"/>
          <w:lang w:val="en-US" w:eastAsia="zh-CN" w:bidi="ar-SA"/>
        </w:rPr>
        <w:t>3.付款方式</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第一次支付：签订合同后5个工作日内乙方按甲方要求提交请款报告及等额、合法、有效的增值税专用发票，甲方在收到前述材料并确认无误后15个工作日内向乙方支付关系型数据库分项含税合同价款的30%。</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第二次支付：项目终验合格后5个工作日内，乙方按甲方要求提交请款报告及等额、合法、有效的增值税专用发票，甲方在收到前述材料并确认无误后15个工作日内向乙方支付该分项含税合同价款70%。</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乙方逾期提交前述请款材料的，甲方有权顺延支付相应款项而不承担任何违约责任，且乙方不得以此为由迟延履行或拒绝履行合同义务。</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hAnsi="宋体" w:cs="宋体"/>
          <w:b/>
          <w:bCs/>
          <w:kern w:val="2"/>
          <w:sz w:val="24"/>
          <w:szCs w:val="24"/>
          <w:lang w:val="en-US" w:eastAsia="zh-CN" w:bidi="ar-SA"/>
        </w:rPr>
      </w:pPr>
      <w:r>
        <w:rPr>
          <w:rFonts w:hint="eastAsia" w:hAnsi="宋体" w:cs="宋体"/>
          <w:b/>
          <w:bCs/>
          <w:kern w:val="2"/>
          <w:sz w:val="24"/>
          <w:szCs w:val="24"/>
          <w:lang w:val="en-US" w:eastAsia="zh-CN" w:bidi="ar-SA"/>
        </w:rPr>
        <w:t>第六条售后服务</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lang w:val="en-US" w:eastAsia="zh-CN" w:bidi="ar-SA"/>
        </w:rPr>
      </w:pPr>
      <w:r>
        <w:rPr>
          <w:rFonts w:hint="default" w:hAnsi="宋体" w:cs="宋体"/>
          <w:kern w:val="2"/>
          <w:sz w:val="24"/>
          <w:szCs w:val="24"/>
          <w:lang w:val="en-US" w:eastAsia="zh-CN" w:bidi="ar-SA"/>
        </w:rPr>
        <w:t>1</w:t>
      </w:r>
      <w:r>
        <w:rPr>
          <w:rFonts w:hint="eastAsia" w:hAnsi="宋体" w:cs="宋体"/>
          <w:kern w:val="2"/>
          <w:sz w:val="24"/>
          <w:szCs w:val="24"/>
          <w:lang w:val="en-US" w:eastAsia="zh-CN" w:bidi="ar-SA"/>
        </w:rPr>
        <w:t>.乙方对供货清单中内存、硬盘硬件货物提供质保期为发票开具日期起3年的原厂质保，数据库提供1年基础运维服务及数据库迁移服务</w:t>
      </w:r>
      <w:r>
        <w:rPr>
          <w:rFonts w:hint="default" w:hAnsi="宋体" w:cs="宋体"/>
          <w:kern w:val="2"/>
          <w:sz w:val="24"/>
          <w:szCs w:val="24"/>
          <w:lang w:val="en-US" w:eastAsia="zh-CN" w:bidi="ar-SA"/>
        </w:rPr>
        <w:t>。质保期内，甲方如发现货物的质量、规格、性能等不符合要求的，或发现货物由于任何原因存在隐藏缺陷、工艺问题或使用不良的材料的，或出现其他质量问题的，乙方应在接到甲方指示后无条件在三个工作日内进行维修、更换或退货。更换后的货物的质量保证期从更换完成且获得甲方验收合格之日重新计算。</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lang w:val="en-US" w:eastAsia="zh-CN" w:bidi="ar-SA"/>
        </w:rPr>
      </w:pPr>
      <w:r>
        <w:rPr>
          <w:rFonts w:hint="default" w:hAnsi="宋体" w:cs="宋体"/>
          <w:kern w:val="2"/>
          <w:sz w:val="24"/>
          <w:szCs w:val="24"/>
          <w:lang w:val="en-US" w:eastAsia="zh-CN" w:bidi="ar-SA"/>
        </w:rPr>
        <w:t>2</w:t>
      </w:r>
      <w:r>
        <w:rPr>
          <w:rFonts w:hint="eastAsia" w:hAnsi="宋体" w:cs="宋体"/>
          <w:kern w:val="2"/>
          <w:sz w:val="24"/>
          <w:szCs w:val="24"/>
          <w:lang w:val="en-US" w:eastAsia="zh-CN" w:bidi="ar-SA"/>
        </w:rPr>
        <w:t>.</w:t>
      </w:r>
      <w:r>
        <w:rPr>
          <w:rFonts w:hint="default" w:hAnsi="宋体" w:cs="宋体"/>
          <w:kern w:val="2"/>
          <w:sz w:val="24"/>
          <w:szCs w:val="24"/>
          <w:lang w:val="en-US" w:eastAsia="zh-CN" w:bidi="ar-SA"/>
        </w:rPr>
        <w:t>质保期内甲方在使用货物时所遇技术问题，乙方应按甲方要求及时向甲方无偿提供技术指导服务，甲方认为远程指导无法解决的，乙方需安排技术人员到场协助处理，收到甲方现场处理要求后，乙方应在3小时内到达现场。</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hAnsi="宋体" w:cs="宋体"/>
          <w:kern w:val="2"/>
          <w:sz w:val="24"/>
          <w:szCs w:val="24"/>
          <w:lang w:val="en-US" w:eastAsia="zh-CN" w:bidi="ar-SA"/>
        </w:rPr>
      </w:pPr>
      <w:r>
        <w:rPr>
          <w:rFonts w:hint="default" w:hAnsi="宋体" w:cs="宋体"/>
          <w:kern w:val="2"/>
          <w:sz w:val="24"/>
          <w:szCs w:val="24"/>
          <w:lang w:val="en-US" w:eastAsia="zh-CN" w:bidi="ar-SA"/>
        </w:rPr>
        <w:t>3</w:t>
      </w:r>
      <w:r>
        <w:rPr>
          <w:rFonts w:hint="eastAsia" w:hAnsi="宋体" w:cs="宋体"/>
          <w:kern w:val="2"/>
          <w:sz w:val="24"/>
          <w:szCs w:val="24"/>
          <w:lang w:val="en-US" w:eastAsia="zh-CN" w:bidi="ar-SA"/>
        </w:rPr>
        <w:t>.</w:t>
      </w:r>
      <w:r>
        <w:rPr>
          <w:rFonts w:hint="default" w:hAnsi="宋体" w:cs="宋体"/>
          <w:kern w:val="2"/>
          <w:sz w:val="24"/>
          <w:szCs w:val="24"/>
          <w:lang w:val="en-US" w:eastAsia="zh-CN" w:bidi="ar-SA"/>
        </w:rPr>
        <w:t>乙方未按上述要求提供售后服务的，甲方有权委托其他第三方提供相关服务，因此产生的费用全部由乙方承担。</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default"/>
          <w:lang w:val="en-US" w:eastAsia="zh-CN"/>
        </w:rPr>
      </w:pPr>
      <w:r>
        <w:rPr>
          <w:rFonts w:hint="default" w:hAnsi="宋体" w:cs="宋体"/>
          <w:kern w:val="2"/>
          <w:sz w:val="24"/>
          <w:szCs w:val="24"/>
          <w:lang w:val="en-US" w:eastAsia="zh-CN" w:bidi="ar-SA"/>
        </w:rPr>
        <w:t>4</w:t>
      </w:r>
      <w:r>
        <w:rPr>
          <w:rFonts w:hint="eastAsia" w:hAnsi="宋体" w:cs="宋体"/>
          <w:kern w:val="2"/>
          <w:sz w:val="24"/>
          <w:szCs w:val="24"/>
          <w:lang w:val="en-US" w:eastAsia="zh-CN" w:bidi="ar-SA"/>
        </w:rPr>
        <w:t>.</w:t>
      </w:r>
      <w:r>
        <w:rPr>
          <w:rFonts w:hint="default" w:hAnsi="宋体" w:cs="宋体"/>
          <w:kern w:val="2"/>
          <w:sz w:val="24"/>
          <w:szCs w:val="24"/>
          <w:lang w:val="en-US" w:eastAsia="zh-CN" w:bidi="ar-SA"/>
        </w:rPr>
        <w:t>若甲方需延长质保期或新增许可数量，经双方协商一致可以通过补充协议或合同另行约定。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w:t>
      </w:r>
      <w:r>
        <w:rPr>
          <w:rFonts w:hint="eastAsia" w:hAnsi="宋体" w:cs="宋体"/>
          <w:b/>
          <w:bCs/>
          <w:kern w:val="2"/>
          <w:sz w:val="24"/>
          <w:szCs w:val="24"/>
          <w:lang w:val="en-US" w:eastAsia="zh-CN"/>
        </w:rPr>
        <w:t>七</w:t>
      </w:r>
      <w:r>
        <w:rPr>
          <w:rFonts w:hint="eastAsia" w:ascii="宋体" w:hAnsi="宋体" w:eastAsia="宋体" w:cs="宋体"/>
          <w:b/>
          <w:bCs/>
          <w:kern w:val="2"/>
          <w:sz w:val="24"/>
          <w:szCs w:val="24"/>
          <w:lang w:val="en-US" w:eastAsia="zh-CN"/>
        </w:rPr>
        <w:t>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违反本合同约定，违约方应当按照《中华人民共和国民法典》有关条款的规定承担违约责任。</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因货物验收（检验）不合格、或货物在使用过程中出现质量问题，或甲方对货物（包括但不限于其规格、数量、质量、品牌等与合同不符）有异议的，乙方应根据甲方要求予以更换相应合同货物，在甲方发出通知后乙方必须加急（3个工作日送达）将符合甲方要求的货物送交甲方，乙方应自行承担由此产生的运费并赔偿甲方因货物质量问题所遭受的所有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乙方未在约定的时间内完成交货的，每逾期1日，应按合同总价的千分之一向甲方支付违约金。乙方逾期超过10日的，甲方有权单方解除本合同，乙方除支付前述逾期违约金外，还应额外按合同价的百分之三向甲方支付违约金。加急供货时，乙方未在3个工作日内完成交货的，每逾期6个小时，应按合同总价的千分之一向甲方支付违约金，乙方逾期超过24小时的，甲方有权单方解除本合同，乙方除支付前述逾期违约金外，还应额外按合同总价的百分之三向甲方支付违约金。如因乙方的迟延履行给甲方造成损失的，乙方应当足额赔偿。</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乙方所交货物（包括但不限于品种、型号、规格、质量）不符合合同约定的，甲方有权拒收，并要求乙方予以退货，同时乙方应自行承担由此产生的运费并向甲方支付合同总价的百分之一的违约金，甲方因此遭受损失的，甲方有权要求乙方赔偿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乙方未按约定履行售后服务义务的，甲方有权要求乙方限期内改正并符合合同要求，如逾期仍未符合要求的，甲方有权要求乙方支付合同总价的百分之十的违约金，并有权委托其他第三方提供相关服务，因此产生的费用全部由乙方承担。</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因甲方原因，甲方逾期付款的，每逾期1日，应按合同总价的千分之一向乙方支付违约金。甲方无故拒绝接受符合合同约定产品的（包括甲方中途退货），视为甲方单方违约，应赔偿乙方因此造成的直接损失。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甲方根据本合同的约定要求退货，或因本合同被解除或提前终止而需要退货的，乙方在收到甲方发出退货通知后24小时内无条件将退货货物运回，并自退货之日起2个工作日内返还甲方已全部支付的货款及其税额，并承担因此产生的全部费用。</w:t>
      </w:r>
    </w:p>
    <w:p>
      <w:pPr>
        <w:pStyle w:val="2"/>
        <w:ind w:firstLine="482" w:firstLineChars="200"/>
        <w:rPr>
          <w:rFonts w:hint="eastAsia"/>
          <w:b/>
          <w:bCs/>
          <w:lang w:val="en-US" w:eastAsia="zh-CN"/>
        </w:rPr>
      </w:pPr>
      <w:r>
        <w:rPr>
          <w:rFonts w:hint="eastAsia"/>
          <w:b/>
          <w:bCs/>
          <w:lang w:val="en-US" w:eastAsia="zh-CN"/>
        </w:rPr>
        <w:t>第八条 不可抗力</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lang w:val="en-US" w:eastAsia="zh-CN"/>
        </w:rPr>
      </w:pPr>
      <w:r>
        <w:rPr>
          <w:rFonts w:hint="eastAsia" w:ascii="宋体" w:hAnsi="宋体" w:eastAsia="宋体" w:cs="宋体"/>
          <w:kern w:val="2"/>
          <w:sz w:val="24"/>
          <w:szCs w:val="24"/>
          <w:lang w:val="en-US" w:eastAsia="zh-CN" w:bidi="ar-SA"/>
        </w:rPr>
        <w:t>由于地震、台风、水灾、战争以及其他不能预见并且对其发生和后果不能防止或避免的不可抗力事故，致使直接影响本合同的履行或不能按约定的条件履行时，遇有上述不可抗力事故的一方，应立即将事故情况以电话、电子邮件或其他有效方式通知对方，并应在3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pStyle w:val="2"/>
        <w:ind w:firstLine="482" w:firstLineChars="200"/>
        <w:rPr>
          <w:rFonts w:hint="eastAsia"/>
          <w:b/>
          <w:bCs/>
          <w:lang w:val="en-US" w:eastAsia="zh-CN"/>
        </w:rPr>
      </w:pPr>
      <w:r>
        <w:rPr>
          <w:rFonts w:hint="eastAsia"/>
          <w:b/>
          <w:bCs/>
          <w:lang w:val="en-US" w:eastAsia="zh-CN"/>
        </w:rPr>
        <w:t>第九条 知识产权</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的报价应包括所有应支付的对专利权和版权、设计或其他知识产权而需要向其他方支付的专利技术使用费和版税。乙方必须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及版权相关规定，给甲方造成的一切损失由乙方承担赔偿责任（包括但不限于甲方聘请的律师费、调查取证费、诉讼费、交通费等全部费用）。</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w:t>
      </w:r>
      <w:r>
        <w:rPr>
          <w:rFonts w:hint="eastAsia" w:hAnsi="宋体" w:cs="宋体"/>
          <w:b/>
          <w:bCs/>
          <w:kern w:val="2"/>
          <w:sz w:val="24"/>
          <w:szCs w:val="24"/>
          <w:lang w:val="en-US" w:eastAsia="zh-CN"/>
        </w:rPr>
        <w:t>十</w:t>
      </w:r>
      <w:r>
        <w:rPr>
          <w:rFonts w:hint="eastAsia" w:ascii="宋体" w:hAnsi="宋体" w:eastAsia="宋体" w:cs="宋体"/>
          <w:b/>
          <w:bCs/>
          <w:kern w:val="2"/>
          <w:sz w:val="24"/>
          <w:szCs w:val="24"/>
          <w:lang w:val="en-US" w:eastAsia="zh-CN"/>
        </w:rPr>
        <w:t>条 争议解决办法</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双方因本合同发生争议的，可协商解决。协商不成的，任何一方可向甲方所在地有管辖权的人民法院提起诉讼。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乙方确认：本合同中列明的乙方“地址”为有效的收件地址，甲方对乙方的相关通知、函件等可通过特快专递方式送达至该地址。甲方通过特快专递方式向乙方“地址”发出相关通知、函件等3个自然日后，即视为有效送达。乙方更换地址的，应该1个自然日内书面告知甲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3.</w:t>
      </w:r>
      <w:r>
        <w:rPr>
          <w:rFonts w:hint="eastAsia" w:ascii="宋体" w:hAnsi="宋体" w:eastAsia="宋体" w:cs="宋体"/>
          <w:kern w:val="2"/>
          <w:sz w:val="24"/>
          <w:szCs w:val="24"/>
          <w:lang w:val="en-US" w:eastAsia="zh-CN"/>
        </w:rPr>
        <w:t>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4</w:t>
      </w:r>
      <w:r>
        <w:rPr>
          <w:rFonts w:hint="eastAsia" w:ascii="宋体" w:hAnsi="宋体" w:eastAsia="宋体" w:cs="宋体"/>
          <w:kern w:val="2"/>
          <w:sz w:val="24"/>
          <w:szCs w:val="24"/>
          <w:lang w:val="en-US" w:eastAsia="zh-CN"/>
        </w:rPr>
        <w:t>．本合同书未尽事宜，由甲乙双方根据执行需要，另行签订补充协议约定。补充协议作为合同的附件，具有同等法律效力。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5</w:t>
      </w:r>
      <w:r>
        <w:rPr>
          <w:rFonts w:hint="eastAsia" w:ascii="宋体" w:hAnsi="宋体" w:eastAsia="宋体" w:cs="宋体"/>
          <w:kern w:val="2"/>
          <w:sz w:val="24"/>
          <w:szCs w:val="24"/>
          <w:lang w:val="en-US" w:eastAsia="zh-CN"/>
        </w:rPr>
        <w:t>．未经甲方书面同意，本合同不得以任何形式转委托或转包、分包。乙方应对未经甲方书面同意或追认的转委托行为承担违约责任，按合同总价的【</w:t>
      </w:r>
      <w:r>
        <w:rPr>
          <w:rFonts w:hint="default" w:ascii="Times New Roman" w:hAnsi="Times New Roman" w:cs="Times New Roman"/>
          <w:kern w:val="2"/>
          <w:sz w:val="24"/>
          <w:szCs w:val="24"/>
          <w:lang w:val="en-US" w:eastAsia="zh-CN"/>
        </w:rPr>
        <w:t>30%</w:t>
      </w:r>
      <w:r>
        <w:rPr>
          <w:rFonts w:hint="eastAsia" w:ascii="宋体" w:hAnsi="宋体" w:eastAsia="宋体" w:cs="宋体"/>
          <w:kern w:val="2"/>
          <w:sz w:val="24"/>
          <w:szCs w:val="24"/>
          <w:lang w:val="en-US" w:eastAsia="zh-CN"/>
        </w:rPr>
        <w:t>】向甲方支付违约金，甲方有权因此解除合同；若甲方因此遭受损失的，乙方还应当足额赔偿。</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6</w:t>
      </w:r>
      <w:r>
        <w:rPr>
          <w:rFonts w:hint="eastAsia" w:ascii="宋体" w:hAnsi="宋体" w:eastAsia="宋体" w:cs="宋体"/>
          <w:kern w:val="2"/>
          <w:sz w:val="24"/>
          <w:szCs w:val="24"/>
          <w:lang w:val="en-US" w:eastAsia="zh-CN"/>
        </w:rPr>
        <w:t>．本合同自双方签字盖章后生效，一式肆份，各份合同均具有同等法律效力，甲方贰份，乙方贰份。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7</w:t>
      </w:r>
      <w:r>
        <w:rPr>
          <w:rFonts w:hint="eastAsia" w:ascii="宋体" w:hAnsi="宋体" w:eastAsia="宋体" w:cs="宋体"/>
          <w:kern w:val="2"/>
          <w:sz w:val="24"/>
          <w:szCs w:val="24"/>
          <w:lang w:val="en-US" w:eastAsia="zh-CN" w:bidi="ar-SA"/>
        </w:rPr>
        <w:t>．本合同附件是本合同不可分割内容，与本合同同时生效，同具法律效力。合同条款与附件、采购文件、报价文件等其他文件不一致的，以有利于甲方的约定／解释为准。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autoSpaceDE/>
        <w:autoSpaceDN/>
        <w:spacing w:line="360" w:lineRule="auto"/>
        <w:ind w:firstLine="480" w:firstLineChars="200"/>
        <w:rPr>
          <w:rFonts w:hint="default" w:eastAsia="宋体"/>
          <w:lang w:val="en-US" w:eastAsia="zh-CN"/>
        </w:rPr>
      </w:pPr>
      <w:r>
        <w:rPr>
          <w:rFonts w:hint="eastAsia" w:ascii="宋体" w:hAnsi="宋体" w:cs="宋体"/>
          <w:sz w:val="24"/>
          <w:lang w:val="en-US" w:eastAsia="zh-CN"/>
        </w:rPr>
        <w:t>4.</w:t>
      </w:r>
      <w:r>
        <w:rPr>
          <w:rFonts w:hint="eastAsia" w:hAnsi="宋体" w:cs="宋体"/>
          <w:lang w:val="en-US" w:eastAsia="zh-CN"/>
        </w:rPr>
        <w:t>阳光合作告知函</w:t>
      </w: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pStyle w:val="2"/>
        <w:jc w:val="center"/>
        <w:rPr>
          <w:rFonts w:hint="eastAsia" w:ascii="宋体" w:hAnsi="宋体" w:cs="宋体"/>
          <w:kern w:val="2"/>
          <w:lang w:val="en-US" w:eastAsia="zh-CN"/>
        </w:rPr>
      </w:pPr>
    </w:p>
    <w:tbl>
      <w:tblPr>
        <w:tblStyle w:val="21"/>
        <w:tblW w:w="8522" w:type="dxa"/>
        <w:tblInd w:w="0" w:type="dxa"/>
        <w:tblLayout w:type="fixed"/>
        <w:tblCellMar>
          <w:top w:w="0" w:type="dxa"/>
          <w:left w:w="108" w:type="dxa"/>
          <w:bottom w:w="0" w:type="dxa"/>
          <w:right w:w="108" w:type="dxa"/>
        </w:tblCellMar>
      </w:tblPr>
      <w:tblGrid>
        <w:gridCol w:w="4500"/>
        <w:gridCol w:w="4022"/>
      </w:tblGrid>
      <w:tr>
        <w:tblPrEx>
          <w:tblCellMar>
            <w:top w:w="0" w:type="dxa"/>
            <w:left w:w="108" w:type="dxa"/>
            <w:bottom w:w="0" w:type="dxa"/>
            <w:right w:w="108" w:type="dxa"/>
          </w:tblCellMar>
        </w:tblPrEx>
        <w:tc>
          <w:tcPr>
            <w:tcW w:w="450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2"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eastAsia="zh-CN"/>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50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pStyle w:val="60"/>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60"/>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6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1"/>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1"/>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spacing w:line="580" w:lineRule="exact"/>
        <w:jc w:val="center"/>
        <w:rPr>
          <w:rFonts w:hint="default" w:ascii="Times New Roman" w:hAnsi="Times New Roman" w:eastAsia="仿宋_GB2312" w:cs="Times New Roman"/>
          <w:b/>
          <w:bCs/>
          <w:sz w:val="32"/>
          <w:szCs w:val="32"/>
        </w:rPr>
      </w:pPr>
      <w:r>
        <w:rPr>
          <w:rFonts w:hint="eastAsia" w:ascii="宋体" w:hAnsi="宋体" w:eastAsia="宋体" w:cs="宋体"/>
          <w:b/>
          <w:bCs w:val="0"/>
          <w:color w:val="000000"/>
          <w:sz w:val="32"/>
          <w:szCs w:val="32"/>
        </w:rPr>
        <w:t>阳光合作告知函</w:t>
      </w:r>
    </w:p>
    <w:p>
      <w:pPr>
        <w:spacing w:line="560" w:lineRule="exact"/>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b w:val="0"/>
          <w:bCs w:val="0"/>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63"/>
        <w:snapToGrid w:val="0"/>
        <w:spacing w:line="580" w:lineRule="exact"/>
        <w:ind w:firstLine="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lang w:val="en-US" w:eastAsia="zh-CN"/>
        </w:rPr>
        <w:t>我集团</w:t>
      </w:r>
      <w:r>
        <w:rPr>
          <w:rFonts w:hint="eastAsia" w:ascii="宋体" w:hAnsi="宋体" w:eastAsia="宋体" w:cs="宋体"/>
          <w:sz w:val="24"/>
          <w:szCs w:val="24"/>
        </w:rPr>
        <w:t>人员廉洁从业，规范和鼓励诚信交易行为，防止腐败和商业贿赂发生，推动双方建立阳光合作关系，现将我方推行阳光合作的相关管理规定函告如下：</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一、我方负责对本单位有关人员进行阳光合作教育和管理。</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二、我方人员有责任向贵方介绍本单位有关阳光合作的相关规定。</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三、我方人员应本着诚实守信、公平公开、平等互利原则开展交易合作，遵守国家相关法律法规。</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四、我方人员应廉洁从业，自觉抵制商业贿赂及不正当交易行为，在交易业务中涉及本人、亲属或其他相关人员时，应主动提请回避。</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五、在业务合作过程中，我方人员不得有以下违法违规行为：</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（一）合作过程中通过各种方式向贵方索贿、行贿，或为亲属、其他相关人员索取其他协助或服务； </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lang w:eastAsia="zh-CN"/>
        </w:rPr>
        <w:t>“</w:t>
      </w:r>
      <w:r>
        <w:rPr>
          <w:rFonts w:hint="eastAsia" w:ascii="宋体" w:hAnsi="宋体" w:eastAsia="宋体" w:cs="宋体"/>
          <w:sz w:val="24"/>
          <w:szCs w:val="24"/>
        </w:rPr>
        <w:t>财物</w:t>
      </w:r>
      <w:r>
        <w:rPr>
          <w:rFonts w:hint="eastAsia" w:ascii="宋体" w:hAnsi="宋体" w:eastAsia="宋体" w:cs="宋体"/>
          <w:sz w:val="24"/>
          <w:szCs w:val="24"/>
          <w:lang w:eastAsia="zh-CN"/>
        </w:rPr>
        <w:t>”</w:t>
      </w:r>
      <w:r>
        <w:rPr>
          <w:rFonts w:hint="eastAsia" w:ascii="宋体" w:hAnsi="宋体" w:eastAsia="宋体" w:cs="宋体"/>
          <w:sz w:val="24"/>
          <w:szCs w:val="24"/>
        </w:rPr>
        <w:t>），不得参加贵方提供的旅游或其他可能影响职务廉洁的活动；</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（三）擅自截留、挪用或侵占贵方财物； </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（四）以各种形式参与民间借贷，帮助贵方过桥借贷； </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（五）参与黄、赌、毒等违法犯罪活动；</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（六）其他违反国家法律法规和违反廉洁从业的行为。 </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六、在业务合作期间，我方有权通过回访等方式监督阳光合作执行情况。贵方及贵方人员发现我方任何人员任何形式的行贿、索贿、受贿或其他违反阳光合作的行为，可及时向我方举报。</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七、烦请贵方及贵方人员在投诉举报时，积极配合我方的相关调查工作，并提供联系方式等，便于我方纪检监察机构联系与调查核实。我方承诺对贵方的投诉举报人进行保密。</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八、贵方投诉举报的情况，经查证属实，我方将视情节轻重和影响恶劣程度对相关人员进行内部处理</w:t>
      </w:r>
      <w:r>
        <w:rPr>
          <w:rFonts w:hint="eastAsia" w:ascii="宋体" w:hAnsi="宋体" w:eastAsia="宋体" w:cs="宋体"/>
          <w:sz w:val="24"/>
          <w:szCs w:val="24"/>
          <w:lang w:eastAsia="zh-CN"/>
        </w:rPr>
        <w:t>；</w:t>
      </w:r>
      <w:r>
        <w:rPr>
          <w:rFonts w:hint="eastAsia" w:ascii="宋体" w:hAnsi="宋体" w:eastAsia="宋体" w:cs="宋体"/>
          <w:sz w:val="24"/>
          <w:szCs w:val="24"/>
        </w:rPr>
        <w:t>构成犯罪的，依法移送司法机关处置，并将调查结果及时向贵方反馈。</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九、如贵方经办人员或其他相关人员主动诱使我方人员作出本告知函第五点列明的违法违规行为的，我方有权终止双方的合作，由此造成的损失由贵方承担。</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十、我方对如实举报和严格遵守阳光合作精神的合作方，在同等条件下给予后续合作的优先权。</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w:t>
      </w:r>
      <w:bookmarkStart w:id="62" w:name="OLE_LINK1"/>
      <w:r>
        <w:rPr>
          <w:rFonts w:hint="eastAsia" w:ascii="宋体" w:hAnsi="宋体" w:eastAsia="宋体" w:cs="宋体"/>
          <w:sz w:val="24"/>
          <w:szCs w:val="24"/>
        </w:rPr>
        <w:t>其他</w:t>
      </w:r>
    </w:p>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（一）本告知函所言“其他相关人员”是指经办人以外的与合作项目有直接或间接利益关系的人员，包括但不仅限于项目经办人的亲友。</w:t>
      </w:r>
    </w:p>
    <w:bookmarkEnd w:id="62"/>
    <w:p>
      <w:pPr>
        <w:pStyle w:val="63"/>
        <w:snapToGrid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（二）我方常设投诉举报受理部门及联系方式： </w:t>
      </w:r>
    </w:p>
    <w:p>
      <w:pPr>
        <w:pStyle w:val="63"/>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1.投诉举报受理部门：</w:t>
      </w:r>
      <w:r>
        <w:rPr>
          <w:rFonts w:hint="eastAsia" w:ascii="宋体" w:hAnsi="宋体" w:eastAsia="宋体" w:cs="宋体"/>
          <w:sz w:val="24"/>
          <w:szCs w:val="24"/>
          <w:lang w:val="en-US" w:eastAsia="zh-CN"/>
        </w:rPr>
        <w:t>东莞市水务集团有限公司</w:t>
      </w:r>
      <w:r>
        <w:rPr>
          <w:rFonts w:hint="eastAsia" w:ascii="宋体" w:hAnsi="宋体" w:eastAsia="宋体" w:cs="宋体"/>
          <w:sz w:val="24"/>
          <w:szCs w:val="24"/>
        </w:rPr>
        <w:t>纪检监察部；</w:t>
      </w:r>
    </w:p>
    <w:p>
      <w:pPr>
        <w:pStyle w:val="63"/>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.投诉举报电话：</w:t>
      </w:r>
      <w:r>
        <w:rPr>
          <w:rFonts w:hint="eastAsia" w:ascii="宋体" w:hAnsi="宋体" w:eastAsia="宋体" w:cs="宋体"/>
          <w:sz w:val="24"/>
          <w:szCs w:val="24"/>
        </w:rPr>
        <w:t>0769–28823293（</w:t>
      </w:r>
      <w:r>
        <w:rPr>
          <w:rFonts w:hint="eastAsia" w:ascii="宋体" w:hAnsi="宋体" w:eastAsia="宋体" w:cs="宋体"/>
          <w:sz w:val="24"/>
          <w:szCs w:val="24"/>
          <w:lang w:val="en-US" w:eastAsia="zh-CN"/>
        </w:rPr>
        <w:t>星期</w:t>
      </w:r>
      <w:r>
        <w:rPr>
          <w:rFonts w:hint="eastAsia" w:ascii="宋体" w:hAnsi="宋体" w:eastAsia="宋体" w:cs="宋体"/>
          <w:sz w:val="24"/>
          <w:szCs w:val="24"/>
        </w:rPr>
        <w:t>一至</w:t>
      </w:r>
      <w:r>
        <w:rPr>
          <w:rFonts w:hint="eastAsia" w:ascii="宋体" w:hAnsi="宋体" w:eastAsia="宋体" w:cs="宋体"/>
          <w:sz w:val="24"/>
          <w:szCs w:val="24"/>
          <w:lang w:val="en-US" w:eastAsia="zh-CN"/>
        </w:rPr>
        <w:t>星期</w:t>
      </w:r>
      <w:r>
        <w:rPr>
          <w:rFonts w:hint="eastAsia" w:ascii="宋体" w:hAnsi="宋体" w:eastAsia="宋体" w:cs="宋体"/>
          <w:sz w:val="24"/>
          <w:szCs w:val="24"/>
        </w:rPr>
        <w:t>五：</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pPr>
        <w:pStyle w:val="63"/>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.联系地址：</w:t>
      </w:r>
      <w:r>
        <w:rPr>
          <w:rFonts w:hint="eastAsia" w:ascii="宋体" w:hAnsi="宋体" w:eastAsia="宋体" w:cs="宋体"/>
          <w:sz w:val="24"/>
          <w:szCs w:val="24"/>
        </w:rPr>
        <w:t>东莞市东城街道育华路1号；</w:t>
      </w:r>
    </w:p>
    <w:p>
      <w:pPr>
        <w:pStyle w:val="63"/>
        <w:snapToGrid w:val="0"/>
        <w:spacing w:line="5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.邮编：</w:t>
      </w:r>
      <w:r>
        <w:rPr>
          <w:rFonts w:hint="eastAsia" w:ascii="宋体" w:hAnsi="宋体" w:eastAsia="宋体" w:cs="宋体"/>
          <w:sz w:val="24"/>
          <w:szCs w:val="24"/>
        </w:rPr>
        <w:t>523000。</w:t>
      </w:r>
    </w:p>
    <w:p>
      <w:pPr>
        <w:pStyle w:val="63"/>
        <w:snapToGrid w:val="0"/>
        <w:spacing w:line="5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让我们共同为建立健康、公平的商业秩序和实现双赢而努力</w:t>
      </w:r>
      <w:r>
        <w:rPr>
          <w:rFonts w:hint="eastAsia" w:ascii="宋体" w:hAnsi="宋体" w:eastAsia="宋体" w:cs="宋体"/>
          <w:sz w:val="24"/>
          <w:szCs w:val="24"/>
          <w:lang w:val="en-US" w:eastAsia="zh-CN"/>
        </w:rPr>
        <w:t>。</w:t>
      </w:r>
    </w:p>
    <w:p>
      <w:pPr>
        <w:pStyle w:val="63"/>
        <w:snapToGrid w:val="0"/>
        <w:spacing w:line="5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特此致函</w:t>
      </w:r>
      <w:r>
        <w:rPr>
          <w:rFonts w:hint="eastAsia" w:ascii="宋体" w:hAnsi="宋体" w:eastAsia="宋体" w:cs="宋体"/>
          <w:sz w:val="24"/>
          <w:szCs w:val="24"/>
          <w:lang w:eastAsia="zh-CN"/>
        </w:rPr>
        <w:t>。</w:t>
      </w:r>
    </w:p>
    <w:p>
      <w:pPr>
        <w:pStyle w:val="63"/>
        <w:snapToGrid w:val="0"/>
        <w:spacing w:line="580" w:lineRule="exact"/>
        <w:ind w:left="0" w:leftChars="0" w:firstLine="0" w:firstLineChars="0"/>
        <w:rPr>
          <w:rFonts w:hint="eastAsia" w:ascii="宋体" w:hAnsi="宋体" w:eastAsia="宋体" w:cs="宋体"/>
          <w:sz w:val="24"/>
          <w:szCs w:val="24"/>
        </w:rPr>
      </w:pPr>
    </w:p>
    <w:p>
      <w:pPr>
        <w:pStyle w:val="63"/>
        <w:wordWrap w:val="0"/>
        <w:snapToGrid w:val="0"/>
        <w:spacing w:line="580" w:lineRule="exact"/>
        <w:ind w:firstLine="0"/>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东莞市水务集团有限公司</w:t>
      </w:r>
    </w:p>
    <w:p>
      <w:pPr>
        <w:pStyle w:val="63"/>
        <w:snapToGrid w:val="0"/>
        <w:spacing w:line="580" w:lineRule="exact"/>
        <w:ind w:firstLine="3900" w:firstLineChars="1625"/>
        <w:jc w:val="both"/>
        <w:rPr>
          <w:rFonts w:hint="eastAsia"/>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bookmarkStart w:id="63" w:name="现场签证通知单"/>
      <w:bookmarkEnd w:id="63"/>
      <w:bookmarkStart w:id="64" w:name="设计变更通知单"/>
      <w:bookmarkEnd w:id="64"/>
    </w:p>
    <w:p>
      <w:pPr>
        <w:pStyle w:val="63"/>
        <w:snapToGrid w:val="0"/>
        <w:spacing w:line="580" w:lineRule="exact"/>
        <w:ind w:firstLine="0"/>
        <w:jc w:val="center"/>
        <w:rPr>
          <w:rFonts w:ascii="Times New Roman" w:hAnsi="Times New Roman" w:eastAsia="黑体"/>
          <w:sz w:val="32"/>
          <w:szCs w:val="32"/>
          <w:lang w:val="zh-CN"/>
        </w:rPr>
      </w:pPr>
      <w:bookmarkStart w:id="65" w:name="_Toc15777"/>
      <w:r>
        <w:rPr>
          <w:rFonts w:hint="eastAsia" w:ascii="Times New Roman" w:hAnsi="Times New Roman" w:eastAsia="黑体"/>
          <w:sz w:val="32"/>
          <w:szCs w:val="32"/>
          <w:lang w:val="zh-CN"/>
        </w:rPr>
        <w:t>阳光合作告知函回执</w:t>
      </w:r>
    </w:p>
    <w:p>
      <w:pPr>
        <w:pStyle w:val="63"/>
        <w:snapToGrid w:val="0"/>
        <w:spacing w:line="580" w:lineRule="exact"/>
        <w:ind w:firstLine="0"/>
        <w:jc w:val="center"/>
        <w:rPr>
          <w:rFonts w:hint="eastAsia" w:ascii="宋体" w:hAnsi="宋体" w:eastAsia="宋体" w:cs="宋体"/>
          <w:sz w:val="24"/>
          <w:szCs w:val="24"/>
        </w:rPr>
      </w:pPr>
      <w:r>
        <w:rPr>
          <w:rFonts w:hint="eastAsia" w:ascii="宋体" w:hAnsi="宋体" w:eastAsia="宋体" w:cs="宋体"/>
          <w:sz w:val="24"/>
          <w:szCs w:val="24"/>
        </w:rPr>
        <w:t xml:space="preserve">                            </w:t>
      </w:r>
    </w:p>
    <w:p>
      <w:pPr>
        <w:pStyle w:val="63"/>
        <w:snapToGrid w:val="0"/>
        <w:spacing w:line="580" w:lineRule="exact"/>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编号：</w:t>
      </w:r>
      <w:r>
        <w:rPr>
          <w:rFonts w:hint="eastAsia" w:ascii="宋体" w:hAnsi="宋体" w:eastAsia="宋体" w:cs="宋体"/>
          <w:sz w:val="24"/>
          <w:szCs w:val="24"/>
          <w:lang w:val="en-US" w:eastAsia="zh-CN"/>
        </w:rPr>
        <w:t xml:space="preserve">   </w:t>
      </w:r>
    </w:p>
    <w:p>
      <w:pPr>
        <w:pStyle w:val="63"/>
        <w:snapToGrid w:val="0"/>
        <w:spacing w:line="580" w:lineRule="exact"/>
        <w:ind w:firstLine="0"/>
        <w:jc w:val="center"/>
        <w:rPr>
          <w:rFonts w:hint="eastAsia" w:ascii="宋体" w:hAnsi="宋体" w:eastAsia="宋体" w:cs="宋体"/>
          <w:sz w:val="24"/>
          <w:szCs w:val="24"/>
          <w:lang w:val="zh-CN"/>
        </w:rPr>
      </w:pPr>
    </w:p>
    <w:p>
      <w:pPr>
        <w:autoSpaceDE w:val="0"/>
        <w:autoSpaceDN w:val="0"/>
        <w:adjustRightInd w:val="0"/>
        <w:spacing w:line="580" w:lineRule="exact"/>
        <w:ind w:firstLine="600" w:firstLineChars="250"/>
        <w:jc w:val="left"/>
        <w:rPr>
          <w:rFonts w:hint="eastAsia" w:ascii="宋体" w:hAnsi="宋体" w:eastAsia="宋体" w:cs="宋体"/>
          <w:kern w:val="0"/>
          <w:sz w:val="24"/>
          <w:szCs w:val="24"/>
          <w:lang w:val="zh-CN"/>
        </w:rPr>
      </w:pPr>
      <w:r>
        <w:rPr>
          <w:rFonts w:hint="eastAsia" w:ascii="宋体" w:hAnsi="宋体" w:eastAsia="宋体" w:cs="宋体"/>
          <w:sz w:val="24"/>
          <w:szCs w:val="24"/>
          <w:lang w:val="zh-CN"/>
        </w:rPr>
        <w:t>我单位于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日收到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公司</w:t>
      </w:r>
      <w:r>
        <w:rPr>
          <w:rFonts w:hint="eastAsia" w:ascii="宋体" w:hAnsi="宋体" w:eastAsia="宋体" w:cs="宋体"/>
          <w:sz w:val="24"/>
          <w:szCs w:val="24"/>
          <w:lang w:val="zh-CN"/>
        </w:rPr>
        <w:t>的《阳光合作告知</w:t>
      </w:r>
      <w:r>
        <w:rPr>
          <w:rFonts w:hint="eastAsia" w:ascii="宋体" w:hAnsi="宋体" w:eastAsia="宋体" w:cs="宋体"/>
          <w:kern w:val="0"/>
          <w:sz w:val="24"/>
          <w:szCs w:val="24"/>
          <w:lang w:val="zh-CN"/>
        </w:rPr>
        <w:t>函</w:t>
      </w:r>
      <w:r>
        <w:rPr>
          <w:rFonts w:hint="eastAsia" w:ascii="宋体" w:hAnsi="宋体" w:eastAsia="宋体" w:cs="宋体"/>
          <w:sz w:val="24"/>
          <w:szCs w:val="24"/>
          <w:lang w:val="zh-CN"/>
        </w:rPr>
        <w:t>》</w:t>
      </w:r>
      <w:r>
        <w:rPr>
          <w:rFonts w:hint="eastAsia" w:ascii="宋体" w:hAnsi="宋体" w:eastAsia="宋体" w:cs="宋体"/>
          <w:kern w:val="0"/>
          <w:sz w:val="24"/>
          <w:szCs w:val="24"/>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sz w:val="24"/>
          <w:szCs w:val="24"/>
          <w:lang w:val="zh-CN"/>
        </w:rPr>
      </w:pPr>
    </w:p>
    <w:p>
      <w:pPr>
        <w:autoSpaceDE w:val="0"/>
        <w:autoSpaceDN w:val="0"/>
        <w:adjustRightInd w:val="0"/>
        <w:snapToGrid w:val="0"/>
        <w:spacing w:line="58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公司</w:t>
      </w:r>
      <w:r>
        <w:rPr>
          <w:rFonts w:hint="eastAsia" w:ascii="宋体" w:hAnsi="宋体" w:eastAsia="宋体" w:cs="宋体"/>
          <w:sz w:val="24"/>
          <w:szCs w:val="24"/>
          <w:lang w:val="zh-CN"/>
        </w:rPr>
        <w:t>（盖章）</w:t>
      </w:r>
    </w:p>
    <w:p>
      <w:pPr>
        <w:autoSpaceDE w:val="0"/>
        <w:autoSpaceDN w:val="0"/>
        <w:adjustRightInd w:val="0"/>
        <w:snapToGrid w:val="0"/>
        <w:spacing w:line="580" w:lineRule="exact"/>
        <w:jc w:val="left"/>
        <w:rPr>
          <w:rFonts w:hint="eastAsia" w:ascii="宋体" w:hAnsi="宋体" w:eastAsia="宋体" w:cs="宋体"/>
          <w:sz w:val="24"/>
          <w:szCs w:val="24"/>
          <w:lang w:val="zh-CN"/>
        </w:rPr>
      </w:pPr>
    </w:p>
    <w:p>
      <w:pPr>
        <w:autoSpaceDE w:val="0"/>
        <w:autoSpaceDN w:val="0"/>
        <w:adjustRightInd w:val="0"/>
        <w:snapToGrid w:val="0"/>
        <w:spacing w:line="580" w:lineRule="exact"/>
        <w:ind w:right="1280" w:firstLine="5280" w:firstLineChars="2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wordWrap w:val="0"/>
        <w:autoSpaceDE w:val="0"/>
        <w:autoSpaceDN w:val="0"/>
        <w:adjustRightInd w:val="0"/>
        <w:snapToGrid w:val="0"/>
        <w:spacing w:line="58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580" w:lineRule="exact"/>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3"/>
        <w:spacing w:before="0" w:after="0"/>
        <w:jc w:val="cente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rPr>
          <w:rFonts w:hint="eastAsia" w:hAnsi="宋体" w:cs="宋体"/>
          <w:szCs w:val="32"/>
          <w:highlight w:val="none"/>
        </w:rPr>
      </w:pPr>
    </w:p>
    <w:p>
      <w:pPr>
        <w:pStyle w:val="3"/>
        <w:spacing w:before="0" w:after="0"/>
        <w:jc w:val="center"/>
        <w:rPr>
          <w:rFonts w:hAnsi="宋体" w:cs="宋体"/>
          <w:szCs w:val="32"/>
          <w:highlight w:val="none"/>
        </w:rPr>
      </w:pPr>
      <w:r>
        <w:rPr>
          <w:rFonts w:hint="eastAsia" w:hAnsi="宋体" w:cs="宋体"/>
          <w:szCs w:val="32"/>
          <w:highlight w:val="none"/>
        </w:rPr>
        <w:t>第四章 报价须知</w:t>
      </w:r>
      <w:bookmarkEnd w:id="65"/>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4.营业执照；</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5.资质证书；</w:t>
      </w:r>
    </w:p>
    <w:p>
      <w:pPr>
        <w:spacing w:line="360" w:lineRule="auto"/>
        <w:ind w:firstLine="424" w:firstLineChars="177"/>
        <w:rPr>
          <w:rFonts w:hint="eastAsia" w:hAnsi="宋体" w:eastAsia="宋体" w:cs="宋体"/>
          <w:color w:val="000000" w:themeColor="text1"/>
          <w:lang w:eastAsia="zh-CN"/>
          <w14:textFill>
            <w14:solidFill>
              <w14:schemeClr w14:val="tx1"/>
            </w14:solidFill>
          </w14:textFill>
        </w:rPr>
      </w:pPr>
      <w:r>
        <w:rPr>
          <w:rFonts w:hint="eastAsia" w:hAnsi="宋体" w:cs="宋体"/>
          <w:color w:val="000000" w:themeColor="text1"/>
          <w14:textFill>
            <w14:solidFill>
              <w14:schemeClr w14:val="tx1"/>
            </w14:solidFill>
          </w14:textFill>
        </w:rPr>
        <w:t>6.</w:t>
      </w:r>
      <w:r>
        <w:rPr>
          <w:rFonts w:hint="eastAsia" w:hAnsi="宋体" w:cs="宋体"/>
          <w:color w:val="000000" w:themeColor="text1"/>
          <w:lang w:val="en-US" w:eastAsia="zh-CN"/>
          <w14:textFill>
            <w14:solidFill>
              <w14:schemeClr w14:val="tx1"/>
            </w14:solidFill>
          </w14:textFill>
        </w:rPr>
        <w:t>2021年1月1日以来，报价人（或本次报价</w:t>
      </w:r>
      <w:r>
        <w:rPr>
          <w:rFonts w:hint="eastAsia" w:hAnsi="宋体" w:cs="宋体"/>
          <w:color w:val="000000" w:themeColor="text1"/>
          <w14:textFill>
            <w14:solidFill>
              <w14:schemeClr w14:val="tx1"/>
            </w14:solidFill>
          </w14:textFill>
        </w:rPr>
        <w:t>数据库</w:t>
      </w:r>
      <w:r>
        <w:rPr>
          <w:rFonts w:hint="eastAsia" w:hAnsi="宋体" w:cs="宋体"/>
          <w:color w:val="000000" w:themeColor="text1"/>
          <w:lang w:val="en-US" w:eastAsia="zh-CN"/>
          <w14:textFill>
            <w14:solidFill>
              <w14:schemeClr w14:val="tx1"/>
            </w14:solidFill>
          </w14:textFill>
        </w:rPr>
        <w:t>的开发商）完成的一个本次报价数据库的销售业绩</w:t>
      </w:r>
      <w:r>
        <w:rPr>
          <w:rFonts w:hint="eastAsia" w:hAnsi="宋体" w:cs="宋体"/>
          <w:color w:val="000000" w:themeColor="text1"/>
          <w:lang w:eastAsia="zh-CN"/>
          <w14:textFill>
            <w14:solidFill>
              <w14:schemeClr w14:val="tx1"/>
            </w14:solidFill>
          </w14:textFill>
        </w:rPr>
        <w:t>；</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7.提供所报价数据库产品异构数据同步软件和数据比对工具的计算机软件著作权登记证书复印件</w:t>
      </w:r>
      <w:r>
        <w:rPr>
          <w:rFonts w:hint="eastAsia" w:hAnsi="宋体" w:cs="宋体"/>
          <w:color w:val="000000" w:themeColor="text1"/>
          <w14:textFill>
            <w14:solidFill>
              <w14:schemeClr w14:val="tx1"/>
            </w14:solidFill>
          </w14:textFill>
        </w:rPr>
        <w:t>；</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8.支持表空间级数据加密功能，支持同一表空间存在多表情况下部分表进行加密功能，支持日志加密，提供CNAS（中国合格评定国家认可委员会）认定的权威机构出具的测试报告复印件；</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9.报价人所报价的数据库品牌与致远、用友的系统有对接合作案例，提供成功对接案例或产品兼容性证明复印件；</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10.支持类Oracle AWR DIFF报告，支持超过5个大项，细分指标项超过40个，报告支持文本和网页两种形式，支持中文，支持自动采集和保存数据，提供CNAS（中国合格评定国家认可委员会）认定的权威机构出具的测试报告复印件；</w:t>
      </w:r>
    </w:p>
    <w:p>
      <w:pPr>
        <w:spacing w:line="360" w:lineRule="auto"/>
        <w:ind w:firstLine="424" w:firstLineChars="177"/>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11.提供的数据库产品需通过公安部或国家网络与信息系统安全产品质检监督检验中心认证与审核，达到国家安全四级或EAL4+级或以上认证，并提供相关证件复印件；</w:t>
      </w:r>
    </w:p>
    <w:p>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12.信用中国网站截图；</w:t>
      </w:r>
    </w:p>
    <w:p>
      <w:pPr>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13</w:t>
      </w:r>
      <w:r>
        <w:rPr>
          <w:rFonts w:hint="eastAsia" w:ascii="宋体" w:hAnsi="宋体" w:cs="宋体"/>
          <w:color w:val="000000" w:themeColor="text1"/>
          <w14:textFill>
            <w14:solidFill>
              <w14:schemeClr w14:val="tx1"/>
            </w14:solidFill>
          </w14:textFill>
        </w:rPr>
        <w:t>.报价人认为有必要提供的资料。</w:t>
      </w:r>
    </w:p>
    <w:p>
      <w:pPr>
        <w:pStyle w:val="20"/>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b w:val="0"/>
          <w:bCs w:val="0"/>
        </w:rPr>
        <w:t>1</w:t>
      </w:r>
      <w:r>
        <w:rPr>
          <w:rFonts w:hint="eastAsia" w:hAnsi="宋体" w:cs="宋体"/>
          <w:b w:val="0"/>
          <w:bCs w:val="0"/>
        </w:rPr>
        <w:t>.</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b w:val="0"/>
          <w:bCs w:val="0"/>
        </w:rPr>
        <w:t>2.</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int="eastAsia" w:hAnsi="宋体" w:cs="宋体"/>
          <w:b/>
          <w:bCs/>
        </w:rPr>
      </w:pPr>
      <w:r>
        <w:rPr>
          <w:rFonts w:hint="eastAsia" w:ascii="Times New Roman" w:cs="宋体"/>
          <w:b w:val="0"/>
          <w:bCs w:val="0"/>
        </w:rPr>
        <w:t>3</w:t>
      </w:r>
      <w:r>
        <w:rPr>
          <w:rFonts w:hint="eastAsia" w:hAnsi="宋体" w:cs="宋体"/>
          <w:b w:val="0"/>
          <w:bCs w:val="0"/>
        </w:rPr>
        <w:t>.</w:t>
      </w:r>
      <w:r>
        <w:rPr>
          <w:rFonts w:hint="eastAsia" w:hAnsi="宋体" w:cs="宋体"/>
          <w:b/>
          <w:bCs/>
        </w:rPr>
        <w:t>密封好的报价文件，应于询价邀请函中规定的截止时间前递交到采购人指定的递交地点，否则视为放弃参与本项目。</w:t>
      </w:r>
    </w:p>
    <w:p>
      <w:pPr>
        <w:pStyle w:val="9"/>
        <w:rPr>
          <w:rFonts w:hint="eastAsia"/>
        </w:rPr>
      </w:pPr>
    </w:p>
    <w:p>
      <w:pPr>
        <w:pStyle w:val="9"/>
      </w:pPr>
    </w:p>
    <w:p>
      <w:pPr>
        <w:spacing w:line="360" w:lineRule="auto"/>
        <w:rPr>
          <w:rFonts w:hAnsi="宋体" w:cs="宋体"/>
        </w:rPr>
      </w:pPr>
    </w:p>
    <w:p>
      <w:pPr>
        <w:spacing w:line="360" w:lineRule="auto"/>
        <w:rPr>
          <w:rFonts w:hint="eastAsia"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1.不</w:t>
      </w:r>
      <w:r>
        <w:rPr>
          <w:rFonts w:hint="eastAsia" w:ascii="Times New Roman" w:cs="宋体"/>
          <w:b/>
          <w:bCs/>
        </w:rPr>
        <w:t>含税总报价不得高于本项目</w:t>
      </w:r>
      <w:r>
        <w:rPr>
          <w:rFonts w:hint="eastAsia" w:ascii="Times New Roman" w:cs="宋体"/>
          <w:b/>
          <w:bCs/>
          <w:lang w:val="en-US" w:eastAsia="zh-CN"/>
        </w:rPr>
        <w:t>不</w:t>
      </w:r>
      <w:r>
        <w:rPr>
          <w:rFonts w:hint="eastAsia" w:ascii="Times New Roman" w:cs="宋体"/>
          <w:b/>
          <w:bCs/>
        </w:rPr>
        <w:t>含税最高限价，否则视为无效报价</w:t>
      </w:r>
      <w:r>
        <w:rPr>
          <w:rFonts w:hint="eastAsia" w:ascii="Times New Roman" w:cs="宋体"/>
          <w:b/>
          <w:bCs/>
          <w:lang w:eastAsia="zh-CN"/>
        </w:rPr>
        <w:t>；</w:t>
      </w:r>
    </w:p>
    <w:p>
      <w:pPr>
        <w:spacing w:line="360" w:lineRule="auto"/>
        <w:ind w:firstLine="426" w:firstLineChars="177"/>
        <w:rPr>
          <w:rFonts w:hint="default"/>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26" w:firstLineChars="177"/>
        <w:rPr>
          <w:rFonts w:hint="default" w:ascii="Times New Roman" w:cs="宋体"/>
          <w:b/>
          <w:bCs/>
          <w:lang w:val="en-US" w:eastAsia="zh-CN"/>
        </w:rPr>
      </w:pPr>
      <w:r>
        <w:rPr>
          <w:rFonts w:hint="eastAsia" w:ascii="Times New Roman" w:cs="宋体"/>
          <w:b/>
          <w:bCs/>
          <w:lang w:val="en-US" w:eastAsia="zh-CN"/>
        </w:rPr>
        <w:t>3.报价人未按报价文件格式提供相应材料的，按无效报价处理；</w:t>
      </w:r>
    </w:p>
    <w:p>
      <w:pPr>
        <w:spacing w:line="360" w:lineRule="auto"/>
        <w:ind w:firstLine="426" w:firstLineChars="177"/>
        <w:rPr>
          <w:rFonts w:hint="eastAsia" w:ascii="Times New Roman" w:hAnsi="Times New Roman" w:cs="宋体"/>
          <w:b/>
          <w:bCs/>
        </w:rPr>
      </w:pPr>
      <w:r>
        <w:rPr>
          <w:rFonts w:hint="eastAsia" w:ascii="Times New Roman" w:cs="宋体"/>
          <w:b/>
          <w:bCs/>
          <w:lang w:val="en-US" w:eastAsia="zh-CN"/>
        </w:rPr>
        <w:t>4.</w:t>
      </w:r>
      <w:r>
        <w:rPr>
          <w:rFonts w:hint="eastAsia" w:ascii="Times New Roman"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3"/>
        <w:spacing w:before="0" w:after="0"/>
        <w:jc w:val="center"/>
        <w:rPr>
          <w:rFonts w:hAnsi="宋体" w:cs="宋体"/>
          <w:szCs w:val="32"/>
        </w:rPr>
      </w:pPr>
      <w:bookmarkStart w:id="66" w:name="_Toc26066"/>
      <w:r>
        <w:rPr>
          <w:rFonts w:hint="eastAsia" w:hAnsi="宋体" w:cs="宋体"/>
          <w:szCs w:val="32"/>
        </w:rPr>
        <w:t>第五章 报价文件（格式）</w:t>
      </w:r>
      <w:bookmarkEnd w:id="66"/>
    </w:p>
    <w:p>
      <w:pPr>
        <w:spacing w:line="360" w:lineRule="auto"/>
        <w:rPr>
          <w:rFonts w:ascii="Times New Roman"/>
          <w:b/>
          <w:color w:val="000000"/>
          <w:sz w:val="28"/>
          <w:szCs w:val="28"/>
        </w:rPr>
      </w:pPr>
      <w:r>
        <w:rPr>
          <w:rFonts w:ascii="Times New Roman"/>
          <w:b/>
          <w:color w:val="000000"/>
          <w:sz w:val="28"/>
          <w:szCs w:val="28"/>
        </w:rPr>
        <w:t>1.报价表</w:t>
      </w:r>
    </w:p>
    <w:tbl>
      <w:tblPr>
        <w:tblStyle w:val="21"/>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551"/>
        <w:gridCol w:w="644"/>
        <w:gridCol w:w="933"/>
        <w:gridCol w:w="1102"/>
        <w:gridCol w:w="1194"/>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94" w:type="dxa"/>
            <w:shd w:val="clear" w:color="auto" w:fill="auto"/>
            <w:vAlign w:val="center"/>
          </w:tcPr>
          <w:p>
            <w:pPr>
              <w:pStyle w:val="11"/>
              <w:jc w:val="center"/>
              <w:rPr>
                <w:rFonts w:hAnsi="宋体" w:cs="宋体"/>
                <w:color w:val="000000"/>
                <w:sz w:val="24"/>
                <w:szCs w:val="28"/>
              </w:rPr>
            </w:pPr>
            <w:r>
              <w:rPr>
                <w:rFonts w:hint="eastAsia" w:hAnsi="宋体" w:cs="宋体"/>
                <w:color w:val="000000"/>
                <w:sz w:val="24"/>
                <w:szCs w:val="28"/>
              </w:rPr>
              <w:t>项目名称</w:t>
            </w:r>
          </w:p>
        </w:tc>
        <w:tc>
          <w:tcPr>
            <w:tcW w:w="8071" w:type="dxa"/>
            <w:gridSpan w:val="6"/>
            <w:shd w:val="clear" w:color="auto" w:fill="auto"/>
            <w:vAlign w:val="center"/>
          </w:tcPr>
          <w:p>
            <w:pPr>
              <w:autoSpaceDE/>
              <w:autoSpaceDN/>
              <w:adjustRightInd/>
              <w:jc w:val="center"/>
              <w:rPr>
                <w:rFonts w:hAnsi="宋体" w:cs="宋体"/>
                <w:color w:val="000000"/>
                <w:szCs w:val="28"/>
              </w:rPr>
            </w:pPr>
            <w:r>
              <w:rPr>
                <w:rFonts w:hint="eastAsia" w:ascii="宋体" w:hAnsi="宋体" w:eastAsia="宋体" w:cs="宋体"/>
                <w:u w:val="none"/>
              </w:rPr>
              <w:t>东莞市水务集团</w:t>
            </w:r>
            <w:r>
              <w:rPr>
                <w:rFonts w:hint="eastAsia" w:ascii="宋体" w:hAnsi="宋体" w:eastAsia="宋体" w:cs="宋体"/>
                <w:u w:val="none"/>
                <w:lang w:val="en-US" w:eastAsia="zh-CN"/>
              </w:rPr>
              <w:t>有限公司</w:t>
            </w:r>
            <w:r>
              <w:rPr>
                <w:rFonts w:hint="eastAsia" w:ascii="宋体" w:hAnsi="宋体" w:eastAsia="宋体" w:cs="宋体"/>
                <w:u w:val="none"/>
              </w:rPr>
              <w:t>可信数据库项目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94" w:type="dxa"/>
            <w:vMerge w:val="restart"/>
            <w:shd w:val="clear" w:color="auto" w:fill="auto"/>
            <w:vAlign w:val="center"/>
          </w:tcPr>
          <w:p>
            <w:pPr>
              <w:pStyle w:val="11"/>
              <w:jc w:val="center"/>
              <w:rPr>
                <w:rFonts w:hint="eastAsia" w:hAnsi="宋体" w:cs="宋体"/>
                <w:color w:val="000000"/>
                <w:sz w:val="24"/>
                <w:szCs w:val="28"/>
              </w:rPr>
            </w:pPr>
            <w:r>
              <w:rPr>
                <w:rFonts w:hint="eastAsia" w:hAnsi="宋体" w:cs="宋体"/>
                <w:color w:val="000000"/>
                <w:sz w:val="24"/>
                <w:szCs w:val="28"/>
                <w:lang w:val="en-US" w:eastAsia="zh-CN"/>
              </w:rPr>
              <w:t>报价清单</w:t>
            </w:r>
          </w:p>
        </w:tc>
        <w:tc>
          <w:tcPr>
            <w:tcW w:w="1551" w:type="dxa"/>
            <w:shd w:val="clear" w:color="auto" w:fill="auto"/>
            <w:vAlign w:val="center"/>
          </w:tcPr>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产品名称</w:t>
            </w:r>
          </w:p>
        </w:tc>
        <w:tc>
          <w:tcPr>
            <w:tcW w:w="644" w:type="dxa"/>
            <w:shd w:val="clear" w:color="auto" w:fill="auto"/>
            <w:vAlign w:val="center"/>
          </w:tcPr>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参数</w:t>
            </w:r>
          </w:p>
        </w:tc>
        <w:tc>
          <w:tcPr>
            <w:tcW w:w="933" w:type="dxa"/>
            <w:shd w:val="clear" w:color="auto" w:fill="auto"/>
            <w:vAlign w:val="center"/>
          </w:tcPr>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数量</w:t>
            </w:r>
          </w:p>
        </w:tc>
        <w:tc>
          <w:tcPr>
            <w:tcW w:w="1102" w:type="dxa"/>
            <w:shd w:val="clear" w:color="auto" w:fill="auto"/>
            <w:vAlign w:val="center"/>
          </w:tcPr>
          <w:p>
            <w:pPr>
              <w:pStyle w:val="2"/>
              <w:jc w:val="center"/>
              <w:rPr>
                <w:rFonts w:hint="eastAsia"/>
                <w:sz w:val="21"/>
                <w:szCs w:val="21"/>
                <w:lang w:val="en-US" w:eastAsia="zh-CN"/>
              </w:rPr>
            </w:pPr>
            <w:r>
              <w:rPr>
                <w:rFonts w:hint="eastAsia"/>
                <w:sz w:val="21"/>
                <w:szCs w:val="21"/>
                <w:lang w:val="en-US" w:eastAsia="zh-CN"/>
              </w:rPr>
              <w:t>不含税</w:t>
            </w:r>
          </w:p>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单价（元）</w:t>
            </w:r>
          </w:p>
        </w:tc>
        <w:tc>
          <w:tcPr>
            <w:tcW w:w="1194" w:type="dxa"/>
            <w:shd w:val="clear" w:color="auto" w:fill="auto"/>
            <w:vAlign w:val="center"/>
          </w:tcPr>
          <w:p>
            <w:pPr>
              <w:pStyle w:val="2"/>
              <w:jc w:val="center"/>
              <w:rPr>
                <w:rFonts w:hint="eastAsia"/>
                <w:sz w:val="21"/>
                <w:szCs w:val="21"/>
                <w:lang w:val="en-US" w:eastAsia="zh-CN"/>
              </w:rPr>
            </w:pPr>
            <w:r>
              <w:rPr>
                <w:rFonts w:hint="eastAsia"/>
                <w:sz w:val="21"/>
                <w:szCs w:val="21"/>
                <w:lang w:val="en-US" w:eastAsia="zh-CN"/>
              </w:rPr>
              <w:t>不含税</w:t>
            </w:r>
          </w:p>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小计（元）</w:t>
            </w:r>
          </w:p>
        </w:tc>
        <w:tc>
          <w:tcPr>
            <w:tcW w:w="2647" w:type="dxa"/>
            <w:shd w:val="clear" w:color="auto" w:fill="auto"/>
            <w:vAlign w:val="center"/>
          </w:tcPr>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94" w:type="dxa"/>
            <w:vMerge w:val="continue"/>
            <w:shd w:val="clear" w:color="auto" w:fill="auto"/>
            <w:vAlign w:val="center"/>
          </w:tcPr>
          <w:p>
            <w:pPr>
              <w:autoSpaceDE/>
              <w:autoSpaceDN/>
              <w:adjustRightInd/>
              <w:jc w:val="cente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关系型数据库（包含集群及自动化备份）</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2套</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永久授权，包含一年基础运维服务及数据库迁移服务，按节点授权，不限实例数。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94" w:type="dxa"/>
            <w:vMerge w:val="continue"/>
            <w:shd w:val="clear" w:color="auto" w:fill="auto"/>
            <w:vAlign w:val="center"/>
          </w:tcPr>
          <w:p>
            <w:pPr>
              <w:autoSpaceDE/>
              <w:autoSpaceDN/>
              <w:adjustRightInd/>
              <w:jc w:val="left"/>
              <w:rPr>
                <w:rFonts w:hint="eastAsia" w:ascii="宋体" w:hAnsi="宋体" w:eastAsia="宋体" w:cs="宋体"/>
                <w:u w:val="none"/>
              </w:rPr>
            </w:pPr>
          </w:p>
        </w:tc>
        <w:tc>
          <w:tcPr>
            <w:tcW w:w="1551" w:type="dxa"/>
            <w:shd w:val="clear" w:color="auto" w:fill="auto"/>
            <w:vAlign w:val="center"/>
          </w:tcPr>
          <w:p>
            <w:pPr>
              <w:pStyle w:val="2"/>
              <w:jc w:val="center"/>
              <w:rPr>
                <w:rFonts w:hint="eastAsia" w:ascii="Times New Roman" w:hAnsi="Times New Roman" w:eastAsia="宋体" w:cs="Times New Roman"/>
                <w:sz w:val="21"/>
                <w:szCs w:val="21"/>
                <w:lang w:val="en-US" w:eastAsia="zh-CN" w:bidi="ar-SA"/>
              </w:rPr>
            </w:pPr>
            <w:r>
              <w:rPr>
                <w:rFonts w:hint="eastAsia"/>
                <w:sz w:val="21"/>
                <w:szCs w:val="21"/>
                <w:lang w:val="en-US" w:eastAsia="zh-CN"/>
              </w:rPr>
              <w:t>内存</w:t>
            </w:r>
          </w:p>
        </w:tc>
        <w:tc>
          <w:tcPr>
            <w:tcW w:w="644" w:type="dxa"/>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DDR4 2666 32G</w:t>
            </w:r>
          </w:p>
        </w:tc>
        <w:tc>
          <w:tcPr>
            <w:tcW w:w="933" w:type="dxa"/>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3*16条</w:t>
            </w:r>
          </w:p>
        </w:tc>
        <w:tc>
          <w:tcPr>
            <w:tcW w:w="1102" w:type="dxa"/>
            <w:shd w:val="clear" w:color="auto" w:fill="auto"/>
            <w:vAlign w:val="center"/>
          </w:tcPr>
          <w:p>
            <w:pPr>
              <w:pStyle w:val="11"/>
              <w:jc w:val="left"/>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left"/>
              <w:rPr>
                <w:rFonts w:hint="eastAsia" w:hAnsi="宋体" w:cs="宋体"/>
                <w:color w:val="000000"/>
                <w:sz w:val="21"/>
                <w:szCs w:val="21"/>
                <w:highlight w:val="none"/>
                <w:lang w:val="en-US" w:eastAsia="zh-CN"/>
              </w:rPr>
            </w:pPr>
          </w:p>
        </w:tc>
        <w:tc>
          <w:tcPr>
            <w:tcW w:w="2647" w:type="dxa"/>
            <w:vMerge w:val="restart"/>
            <w:shd w:val="clear" w:color="auto" w:fill="auto"/>
            <w:vAlign w:val="center"/>
          </w:tcPr>
          <w:p>
            <w:pPr>
              <w:pStyle w:val="11"/>
              <w:jc w:val="left"/>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应适配在用服务器设备型号：深信服aServer-W2105P aCloud一体机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4" w:type="dxa"/>
            <w:vMerge w:val="continue"/>
            <w:shd w:val="clear" w:color="auto" w:fill="auto"/>
            <w:vAlign w:val="center"/>
          </w:tcPr>
          <w:p>
            <w:pPr>
              <w:autoSpaceDE/>
              <w:autoSpaceDN/>
              <w:adjustRightInd/>
              <w:jc w:val="center"/>
              <w:rPr>
                <w:rFonts w:hint="eastAsia" w:ascii="宋体" w:hAnsi="宋体" w:eastAsia="宋体" w:cs="宋体"/>
                <w:u w:val="none"/>
              </w:rP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硬盘SSD</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960GB</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3*1个</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vMerge w:val="continue"/>
            <w:shd w:val="clear" w:color="auto" w:fill="auto"/>
            <w:vAlign w:val="center"/>
          </w:tcPr>
          <w:p>
            <w:pPr>
              <w:pStyle w:val="11"/>
              <w:jc w:val="center"/>
              <w:rPr>
                <w:rFonts w:hint="eastAsia" w:hAnsi="宋体" w:cs="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94" w:type="dxa"/>
            <w:vMerge w:val="continue"/>
            <w:shd w:val="clear" w:color="auto" w:fill="auto"/>
            <w:vAlign w:val="center"/>
          </w:tcPr>
          <w:p>
            <w:pPr>
              <w:autoSpaceDE/>
              <w:autoSpaceDN/>
              <w:adjustRightInd/>
              <w:jc w:val="center"/>
              <w:rPr>
                <w:rFonts w:hint="eastAsia" w:ascii="宋体" w:hAnsi="宋体" w:eastAsia="宋体" w:cs="宋体"/>
                <w:u w:val="none"/>
              </w:rPr>
            </w:pPr>
          </w:p>
        </w:tc>
        <w:tc>
          <w:tcPr>
            <w:tcW w:w="1551"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硬盘HDD</w:t>
            </w:r>
          </w:p>
        </w:tc>
        <w:tc>
          <w:tcPr>
            <w:tcW w:w="644"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6TB</w:t>
            </w:r>
          </w:p>
        </w:tc>
        <w:tc>
          <w:tcPr>
            <w:tcW w:w="933" w:type="dxa"/>
            <w:shd w:val="clear" w:color="auto" w:fill="auto"/>
            <w:vAlign w:val="center"/>
          </w:tcPr>
          <w:p>
            <w:pPr>
              <w:pStyle w:val="11"/>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3*7个</w:t>
            </w:r>
          </w:p>
        </w:tc>
        <w:tc>
          <w:tcPr>
            <w:tcW w:w="1102"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1194" w:type="dxa"/>
            <w:shd w:val="clear" w:color="auto" w:fill="auto"/>
            <w:vAlign w:val="center"/>
          </w:tcPr>
          <w:p>
            <w:pPr>
              <w:pStyle w:val="11"/>
              <w:jc w:val="center"/>
              <w:rPr>
                <w:rFonts w:hint="eastAsia" w:hAnsi="宋体" w:cs="宋体"/>
                <w:color w:val="000000"/>
                <w:sz w:val="21"/>
                <w:szCs w:val="21"/>
                <w:highlight w:val="none"/>
                <w:lang w:val="en-US" w:eastAsia="zh-CN"/>
              </w:rPr>
            </w:pPr>
          </w:p>
        </w:tc>
        <w:tc>
          <w:tcPr>
            <w:tcW w:w="2647" w:type="dxa"/>
            <w:vMerge w:val="continue"/>
            <w:shd w:val="clear" w:color="auto" w:fill="auto"/>
            <w:vAlign w:val="center"/>
          </w:tcPr>
          <w:p>
            <w:pPr>
              <w:pStyle w:val="11"/>
              <w:jc w:val="center"/>
              <w:rPr>
                <w:rFonts w:hint="eastAsia" w:hAnsi="宋体" w:cs="宋体"/>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lang w:val="en-US" w:eastAsia="zh-CN"/>
              </w:rPr>
              <w:t>总</w:t>
            </w:r>
            <w:r>
              <w:rPr>
                <w:rFonts w:hint="eastAsia" w:hAnsi="宋体" w:cs="宋体"/>
                <w:color w:val="000000"/>
                <w:sz w:val="24"/>
                <w:szCs w:val="28"/>
                <w:highlight w:val="none"/>
              </w:rPr>
              <w:t>报价</w:t>
            </w:r>
          </w:p>
          <w:p>
            <w:pPr>
              <w:pStyle w:val="11"/>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8071" w:type="dxa"/>
            <w:gridSpan w:val="6"/>
            <w:shd w:val="clear" w:color="auto" w:fill="auto"/>
            <w:vAlign w:val="center"/>
          </w:tcPr>
          <w:p>
            <w:pPr>
              <w:pStyle w:val="11"/>
              <w:spacing w:line="36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p>
          <w:p>
            <w:pPr>
              <w:pStyle w:val="11"/>
              <w:spacing w:line="36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94" w:type="dxa"/>
            <w:shd w:val="clear" w:color="auto" w:fill="auto"/>
            <w:vAlign w:val="center"/>
          </w:tcPr>
          <w:p>
            <w:pPr>
              <w:pStyle w:val="11"/>
              <w:jc w:val="center"/>
              <w:rPr>
                <w:rFonts w:hAnsi="宋体" w:cs="宋体"/>
                <w:color w:val="000000"/>
                <w:sz w:val="24"/>
                <w:szCs w:val="28"/>
                <w:u w:val="single"/>
              </w:rPr>
            </w:pPr>
            <w:r>
              <w:rPr>
                <w:rFonts w:hint="eastAsia" w:hAnsi="宋体" w:cs="宋体"/>
                <w:color w:val="000000"/>
                <w:sz w:val="24"/>
                <w:szCs w:val="28"/>
              </w:rPr>
              <w:t>完成时间</w:t>
            </w:r>
          </w:p>
        </w:tc>
        <w:tc>
          <w:tcPr>
            <w:tcW w:w="8071" w:type="dxa"/>
            <w:gridSpan w:val="6"/>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8071" w:type="dxa"/>
            <w:gridSpan w:val="6"/>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194" w:type="dxa"/>
            <w:shd w:val="clear" w:color="auto" w:fill="auto"/>
            <w:vAlign w:val="center"/>
          </w:tcPr>
          <w:p>
            <w:pPr>
              <w:pStyle w:val="11"/>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8071" w:type="dxa"/>
            <w:gridSpan w:val="6"/>
            <w:shd w:val="clear" w:color="auto" w:fill="auto"/>
            <w:vAlign w:val="center"/>
          </w:tcPr>
          <w:p>
            <w:pPr>
              <w:autoSpaceDE/>
              <w:autoSpaceDN/>
              <w:adjustRightInd/>
              <w:jc w:val="center"/>
              <w:rPr>
                <w:rFonts w:hint="default" w:hAnsi="宋体" w:eastAsia="宋体" w:cs="宋体"/>
                <w:szCs w:val="28"/>
                <w:highlight w:val="none"/>
                <w:lang w:val="en-US" w:eastAsia="zh-CN"/>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194" w:type="dxa"/>
            <w:shd w:val="clear" w:color="auto" w:fill="auto"/>
            <w:vAlign w:val="center"/>
          </w:tcPr>
          <w:p>
            <w:pPr>
              <w:pStyle w:val="11"/>
              <w:jc w:val="center"/>
              <w:rPr>
                <w:rFonts w:hAnsi="宋体" w:cs="宋体"/>
                <w:color w:val="000000"/>
                <w:sz w:val="24"/>
                <w:szCs w:val="24"/>
              </w:rPr>
            </w:pPr>
            <w:r>
              <w:rPr>
                <w:rFonts w:hint="eastAsia" w:hAnsi="宋体" w:cs="宋体"/>
                <w:color w:val="000000"/>
                <w:sz w:val="24"/>
                <w:szCs w:val="24"/>
              </w:rPr>
              <w:t>备注</w:t>
            </w:r>
          </w:p>
        </w:tc>
        <w:tc>
          <w:tcPr>
            <w:tcW w:w="8071" w:type="dxa"/>
            <w:gridSpan w:val="6"/>
            <w:shd w:val="clear" w:color="auto" w:fill="auto"/>
            <w:vAlign w:val="center"/>
          </w:tcPr>
          <w:p>
            <w:pPr>
              <w:numPr>
                <w:ilvl w:val="0"/>
                <w:numId w:val="9"/>
              </w:numPr>
              <w:autoSpaceDE/>
              <w:autoSpaceDN/>
              <w:adjustRightInd/>
              <w:jc w:val="both"/>
              <w:rPr>
                <w:rFonts w:ascii="Times New Roman"/>
                <w:b/>
                <w:bCs/>
                <w:highlight w:val="none"/>
              </w:rPr>
            </w:pPr>
            <w:r>
              <w:rPr>
                <w:rFonts w:ascii="Times New Roman"/>
                <w:b/>
                <w:bCs/>
                <w:highlight w:val="none"/>
              </w:rPr>
              <w:t>本次所报价格为不含销项税额，包含</w:t>
            </w:r>
            <w:r>
              <w:rPr>
                <w:rFonts w:hint="eastAsia" w:ascii="Times New Roman"/>
                <w:b/>
                <w:bCs/>
                <w:highlight w:val="none"/>
              </w:rPr>
              <w:t>供应</w:t>
            </w:r>
            <w:r>
              <w:rPr>
                <w:rFonts w:ascii="Times New Roman"/>
                <w:b/>
                <w:bCs/>
                <w:highlight w:val="none"/>
              </w:rPr>
              <w:t>商销项税额以外的税费及完成本项目所需的全部费用。</w:t>
            </w:r>
          </w:p>
          <w:p>
            <w:pPr>
              <w:numPr>
                <w:ilvl w:val="0"/>
                <w:numId w:val="9"/>
              </w:numPr>
              <w:autoSpaceDE/>
              <w:autoSpaceDN/>
              <w:adjustRightInd/>
              <w:jc w:val="both"/>
              <w:rPr>
                <w:rFonts w:ascii="Times New Roman"/>
                <w:b/>
                <w:bCs/>
              </w:rPr>
            </w:pPr>
            <w:r>
              <w:rPr>
                <w:rFonts w:hint="eastAsia" w:ascii="Times New Roman"/>
                <w:b/>
                <w:bCs/>
                <w:lang w:val="en-US" w:eastAsia="zh-CN"/>
              </w:rPr>
              <w:t>不</w:t>
            </w:r>
            <w:r>
              <w:rPr>
                <w:rFonts w:ascii="Times New Roman"/>
                <w:b/>
                <w:bCs/>
              </w:rPr>
              <w:t>含税总报价不得高于本项目</w:t>
            </w:r>
            <w:r>
              <w:rPr>
                <w:rFonts w:hint="eastAsia" w:ascii="Times New Roman"/>
                <w:b/>
                <w:bCs/>
                <w:lang w:val="en-US" w:eastAsia="zh-CN"/>
              </w:rPr>
              <w:t>不</w:t>
            </w:r>
            <w:r>
              <w:rPr>
                <w:rFonts w:ascii="Times New Roman"/>
                <w:b/>
                <w:bCs/>
              </w:rPr>
              <w:t>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Times New Roman" w:hAnsi="Times New Roman" w:eastAsia="宋体" w:cs="Times New Roman"/>
                <w:b/>
                <w:bCs/>
                <w:lang w:val="en-US" w:eastAsia="zh-CN"/>
              </w:rPr>
              <w:t>315,893.68</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11"/>
        <w:spacing w:line="240" w:lineRule="auto"/>
        <w:rPr>
          <w:rFonts w:hAnsi="宋体" w:cs="宋体"/>
          <w:color w:val="000000"/>
          <w:sz w:val="24"/>
          <w:szCs w:val="24"/>
        </w:rPr>
      </w:pPr>
    </w:p>
    <w:p>
      <w:pPr>
        <w:pStyle w:val="11"/>
        <w:spacing w:line="360" w:lineRule="auto"/>
        <w:rPr>
          <w:rFonts w:hAnsi="宋体" w:cs="宋体"/>
          <w:color w:val="000000"/>
          <w:sz w:val="24"/>
          <w:szCs w:val="28"/>
        </w:rPr>
      </w:pPr>
      <w:r>
        <w:rPr>
          <w:rFonts w:hint="eastAsia" w:hAnsi="宋体" w:cs="宋体"/>
          <w:color w:val="000000"/>
          <w:sz w:val="24"/>
          <w:szCs w:val="28"/>
        </w:rPr>
        <w:t>联系人：                          联系电话：</w:t>
      </w:r>
    </w:p>
    <w:p>
      <w:pPr>
        <w:pStyle w:val="11"/>
        <w:rPr>
          <w:rFonts w:hint="eastAsia" w:hAnsi="宋体" w:cs="宋体"/>
          <w:color w:val="000000"/>
          <w:sz w:val="24"/>
          <w:szCs w:val="28"/>
        </w:rPr>
      </w:pPr>
      <w:r>
        <w:rPr>
          <w:rFonts w:hint="eastAsia" w:hAnsi="宋体" w:cs="宋体"/>
          <w:color w:val="000000"/>
          <w:sz w:val="24"/>
          <w:szCs w:val="28"/>
        </w:rPr>
        <w:t>联系地址：</w:t>
      </w:r>
    </w:p>
    <w:p>
      <w:pPr>
        <w:pStyle w:val="11"/>
        <w:rPr>
          <w:rFonts w:hint="eastAsia" w:hAnsi="宋体" w:cs="宋体"/>
          <w:color w:val="000000"/>
          <w:sz w:val="24"/>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numPr>
          <w:ilvl w:val="-1"/>
          <w:numId w:val="0"/>
        </w:numPr>
        <w:spacing w:line="360" w:lineRule="auto"/>
        <w:jc w:val="right"/>
        <w:rPr>
          <w:rFonts w:ascii="Times New Roman" w:hAnsi="Times New Roman" w:eastAsia="宋体" w:cs="Times New Roman"/>
          <w:b/>
          <w:color w:val="000000"/>
          <w:sz w:val="28"/>
          <w:szCs w:val="28"/>
          <w:lang w:val="en-US" w:eastAsia="zh-CN" w:bidi="ar-SA"/>
        </w:rPr>
      </w:pPr>
      <w:r>
        <w:rPr>
          <w:rFonts w:hint="eastAsia" w:hAnsi="宋体" w:cs="宋体"/>
          <w:color w:val="000000"/>
          <w:kern w:val="2"/>
          <w:szCs w:val="28"/>
          <w:lang w:val="zh-CN"/>
        </w:rPr>
        <w:t>日期：   年    月   日</w:t>
      </w: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67" w:name="_Hlk26973180"/>
      <w:r>
        <w:rPr>
          <w:rFonts w:hint="eastAsia" w:hAnsi="宋体" w:cs="宋体"/>
          <w:b/>
          <w:color w:val="000000"/>
          <w:sz w:val="28"/>
          <w:szCs w:val="28"/>
          <w:lang w:val="zh-CN"/>
        </w:rPr>
        <w:t>用户需求偏离表</w:t>
      </w:r>
    </w:p>
    <w:bookmarkEnd w:id="67"/>
    <w:tbl>
      <w:tblPr>
        <w:tblStyle w:val="2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10"/>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10"/>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10"/>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10"/>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ascii="Times New Roman"/>
          <w:color w:val="000000"/>
          <w:kern w:val="2"/>
          <w:sz w:val="21"/>
          <w:lang w:val="zh-CN"/>
        </w:rPr>
      </w:pP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68" w:name="_Toc513226437"/>
      <w:bookmarkStart w:id="69" w:name="_Toc534701786"/>
      <w:bookmarkStart w:id="70" w:name="_Toc534278252"/>
    </w:p>
    <w:p>
      <w:pPr>
        <w:spacing w:line="360" w:lineRule="auto"/>
        <w:ind w:firstLine="420" w:firstLineChars="200"/>
        <w:rPr>
          <w:rFonts w:hAnsi="宋体" w:cs="宋体"/>
          <w:color w:val="000000"/>
          <w:sz w:val="21"/>
          <w:szCs w:val="21"/>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11"/>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11"/>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11"/>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11"/>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pStyle w:val="2"/>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20"/>
        <w:ind w:left="0" w:leftChars="0" w:firstLine="0" w:firstLineChars="0"/>
      </w:pPr>
    </w:p>
    <w:p>
      <w:r>
        <w:br w:type="page"/>
      </w:r>
    </w:p>
    <w:p>
      <w:pPr>
        <w:numPr>
          <w:ilvl w:val="-1"/>
          <w:numId w:val="0"/>
        </w:numPr>
        <w:spacing w:line="360" w:lineRule="auto"/>
        <w:rPr>
          <w:rFonts w:hint="eastAsia" w:ascii="Times New Roman"/>
          <w:b/>
          <w:sz w:val="28"/>
          <w:szCs w:val="28"/>
          <w:lang w:eastAsia="zh-CN"/>
        </w:rPr>
      </w:pPr>
      <w:r>
        <w:rPr>
          <w:rFonts w:hint="eastAsia" w:ascii="Times New Roman" w:cs="Times New Roman"/>
          <w:b/>
          <w:sz w:val="28"/>
          <w:szCs w:val="28"/>
          <w:lang w:val="en-US" w:eastAsia="zh-CN" w:bidi="ar-SA"/>
        </w:rPr>
        <w:t>5.资质证书（报价人为本次报价数据库的开发商，或本次报价数据库开发商授权的经销商（代理商）</w:t>
      </w:r>
      <w:r>
        <w:rPr>
          <w:rFonts w:hint="eastAsia" w:ascii="Times New Roman" w:hAnsi="Times New Roman" w:eastAsia="宋体" w:cs="Times New Roman"/>
          <w:b/>
          <w:sz w:val="28"/>
          <w:szCs w:val="28"/>
          <w:lang w:val="en-US" w:eastAsia="zh-CN" w:bidi="ar-SA"/>
        </w:rPr>
        <w:t>）</w:t>
      </w:r>
    </w:p>
    <w:p>
      <w:pPr>
        <w:numPr>
          <w:ilvl w:val="0"/>
          <w:numId w:val="0"/>
        </w:numPr>
        <w:spacing w:line="360" w:lineRule="auto"/>
        <w:jc w:val="both"/>
        <w:rPr>
          <w:rFonts w:hint="eastAsia" w:ascii="宋体" w:hAnsi="宋体"/>
          <w:b/>
          <w:color w:val="auto"/>
          <w:sz w:val="24"/>
          <w:highlight w:val="none"/>
        </w:rPr>
      </w:pPr>
    </w:p>
    <w:p>
      <w:pPr>
        <w:numPr>
          <w:ilvl w:val="0"/>
          <w:numId w:val="0"/>
        </w:numPr>
        <w:spacing w:line="360" w:lineRule="auto"/>
        <w:ind w:left="0" w:leftChars="0" w:firstLine="482" w:firstLineChars="200"/>
        <w:jc w:val="both"/>
        <w:rPr>
          <w:rFonts w:ascii="宋体" w:hAnsi="宋体"/>
          <w:b/>
          <w:color w:val="auto"/>
          <w:sz w:val="24"/>
          <w:highlight w:val="none"/>
        </w:rPr>
      </w:pPr>
      <w:r>
        <w:rPr>
          <w:rFonts w:hint="eastAsia" w:ascii="宋体" w:hAnsi="宋体"/>
          <w:b/>
          <w:color w:val="auto"/>
          <w:sz w:val="24"/>
          <w:highlight w:val="none"/>
          <w:lang w:val="en-US" w:eastAsia="zh-CN"/>
        </w:rPr>
        <w:t xml:space="preserve">5.1 </w:t>
      </w:r>
      <w:r>
        <w:rPr>
          <w:rFonts w:hint="eastAsia" w:hAnsi="宋体"/>
          <w:b/>
          <w:color w:val="auto"/>
          <w:sz w:val="24"/>
          <w:highlight w:val="none"/>
          <w:lang w:val="en-US" w:eastAsia="zh-CN"/>
        </w:rPr>
        <w:t>报价人为</w:t>
      </w:r>
      <w:r>
        <w:rPr>
          <w:rFonts w:hint="eastAsia" w:ascii="宋体" w:hAnsi="宋体"/>
          <w:b/>
          <w:color w:val="auto"/>
          <w:sz w:val="24"/>
          <w:highlight w:val="none"/>
          <w:lang w:val="en-US" w:eastAsia="zh-CN"/>
        </w:rPr>
        <w:t>数据库开发商</w:t>
      </w:r>
      <w:r>
        <w:rPr>
          <w:rFonts w:hint="eastAsia" w:hAnsi="宋体"/>
          <w:b/>
          <w:color w:val="auto"/>
          <w:sz w:val="24"/>
          <w:highlight w:val="none"/>
          <w:lang w:val="en-US" w:eastAsia="zh-CN"/>
        </w:rPr>
        <w:t>的，须提供</w:t>
      </w:r>
      <w:r>
        <w:rPr>
          <w:rFonts w:hint="eastAsia" w:ascii="宋体" w:hAnsi="宋体"/>
          <w:b/>
          <w:color w:val="auto"/>
          <w:sz w:val="24"/>
          <w:highlight w:val="none"/>
          <w:lang w:val="en-US" w:eastAsia="zh-CN"/>
        </w:rPr>
        <w:t>计算机软件著作权登记证</w:t>
      </w:r>
    </w:p>
    <w:p>
      <w:pPr>
        <w:snapToGrid w:val="0"/>
        <w:spacing w:line="360" w:lineRule="auto"/>
        <w:ind w:firstLine="2760" w:firstLineChars="1150"/>
        <w:rPr>
          <w:rFonts w:hint="eastAsia" w:ascii="宋体" w:hAnsi="宋体"/>
          <w:color w:val="auto"/>
          <w:szCs w:val="21"/>
          <w:highlight w:val="none"/>
        </w:rPr>
      </w:pPr>
      <w:r>
        <w:rPr>
          <w:rFonts w:hint="eastAsia" w:ascii="宋体" w:hAnsi="宋体"/>
          <w:color w:val="auto"/>
          <w:szCs w:val="21"/>
          <w:highlight w:val="none"/>
        </w:rPr>
        <w:t xml:space="preserve"> </w:t>
      </w:r>
    </w:p>
    <w:p>
      <w:pPr>
        <w:pStyle w:val="20"/>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firstLine="422" w:firstLineChars="20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pStyle w:val="20"/>
        <w:adjustRightInd/>
        <w:spacing w:line="360" w:lineRule="auto"/>
        <w:ind w:left="0" w:leftChars="0" w:firstLine="0" w:firstLineChars="0"/>
        <w:rPr>
          <w:rFonts w:hint="eastAsia"/>
          <w:b/>
          <w:color w:val="000000"/>
          <w:szCs w:val="21"/>
          <w:highlight w:val="none"/>
          <w:lang w:eastAsia="zh-CN"/>
        </w:rPr>
      </w:pPr>
    </w:p>
    <w:p>
      <w:pPr>
        <w:numPr>
          <w:ilvl w:val="0"/>
          <w:numId w:val="0"/>
        </w:numPr>
        <w:autoSpaceDE w:val="0"/>
        <w:autoSpaceDN w:val="0"/>
        <w:adjustRightInd w:val="0"/>
        <w:spacing w:line="360" w:lineRule="auto"/>
        <w:ind w:firstLine="482" w:firstLineChars="200"/>
        <w:jc w:val="left"/>
        <w:rPr>
          <w:rFonts w:hint="default"/>
          <w:b/>
          <w:color w:val="000000"/>
          <w:szCs w:val="21"/>
          <w:highlight w:val="none"/>
          <w:lang w:val="en-US" w:eastAsia="zh-CN"/>
        </w:rPr>
      </w:pPr>
      <w:r>
        <w:rPr>
          <w:rFonts w:hint="eastAsia" w:ascii="宋体" w:hAnsi="宋体" w:eastAsia="宋体" w:cs="Times New Roman"/>
          <w:b/>
          <w:color w:val="auto"/>
          <w:sz w:val="24"/>
          <w:highlight w:val="none"/>
          <w:lang w:val="en-US" w:eastAsia="zh-CN"/>
        </w:rPr>
        <w:t>5.2 报价</w:t>
      </w:r>
      <w:r>
        <w:rPr>
          <w:rFonts w:hint="eastAsia" w:hAnsi="宋体" w:cs="Times New Roman"/>
          <w:b/>
          <w:color w:val="auto"/>
          <w:sz w:val="24"/>
          <w:highlight w:val="none"/>
          <w:lang w:val="en-US" w:eastAsia="zh-CN"/>
        </w:rPr>
        <w:t>人为</w:t>
      </w:r>
      <w:r>
        <w:rPr>
          <w:rFonts w:hint="eastAsia" w:ascii="宋体" w:hAnsi="宋体" w:eastAsia="宋体" w:cs="Times New Roman"/>
          <w:b/>
          <w:color w:val="auto"/>
          <w:sz w:val="24"/>
          <w:highlight w:val="none"/>
          <w:lang w:val="en-US" w:eastAsia="zh-CN"/>
        </w:rPr>
        <w:t>数据库开发商授权的经销商（代理商）</w:t>
      </w:r>
      <w:r>
        <w:rPr>
          <w:rFonts w:hint="eastAsia" w:hAnsi="宋体" w:cs="Times New Roman"/>
          <w:b/>
          <w:color w:val="auto"/>
          <w:sz w:val="24"/>
          <w:highlight w:val="none"/>
          <w:lang w:val="en-US" w:eastAsia="zh-CN"/>
        </w:rPr>
        <w:t>的，</w:t>
      </w:r>
      <w:r>
        <w:rPr>
          <w:rFonts w:hint="eastAsia" w:ascii="宋体" w:hAnsi="宋体" w:eastAsia="宋体" w:cs="Times New Roman"/>
          <w:b/>
          <w:color w:val="auto"/>
          <w:sz w:val="24"/>
          <w:highlight w:val="none"/>
          <w:lang w:val="en-US" w:eastAsia="zh-CN"/>
        </w:rPr>
        <w:t>须提供数据库开发商的计算机软件著作权登记证</w:t>
      </w:r>
      <w:r>
        <w:rPr>
          <w:rFonts w:hint="eastAsia" w:hAnsi="宋体" w:cs="Times New Roman"/>
          <w:b/>
          <w:color w:val="auto"/>
          <w:sz w:val="24"/>
          <w:highlight w:val="none"/>
          <w:lang w:val="en-US" w:eastAsia="zh-CN"/>
        </w:rPr>
        <w:t>，</w:t>
      </w:r>
      <w:r>
        <w:rPr>
          <w:rFonts w:hint="eastAsia" w:ascii="宋体" w:hAnsi="宋体" w:eastAsia="宋体" w:cs="Times New Roman"/>
          <w:b/>
          <w:color w:val="auto"/>
          <w:sz w:val="24"/>
          <w:highlight w:val="none"/>
          <w:lang w:val="en-US" w:eastAsia="zh-CN"/>
        </w:rPr>
        <w:t>项目授权证明或代理资质证明</w:t>
      </w:r>
    </w:p>
    <w:p>
      <w:pPr>
        <w:pStyle w:val="20"/>
        <w:adjustRightInd/>
        <w:spacing w:line="360" w:lineRule="auto"/>
        <w:ind w:firstLine="422" w:firstLineChars="200"/>
        <w:rPr>
          <w:rFonts w:hint="eastAsia"/>
          <w:b/>
          <w:color w:val="000000"/>
          <w:szCs w:val="21"/>
          <w:highlight w:val="none"/>
          <w:lang w:eastAsia="zh-CN"/>
        </w:rPr>
      </w:pP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68"/>
    <w:bookmarkEnd w:id="69"/>
    <w:bookmarkEnd w:id="70"/>
    <w:p>
      <w:pPr>
        <w:numPr>
          <w:ilvl w:val="0"/>
          <w:numId w:val="0"/>
        </w:numPr>
        <w:spacing w:line="360" w:lineRule="auto"/>
        <w:rPr>
          <w:rFonts w:hint="default" w:ascii="Times New Roman" w:cs="Times New Roman"/>
          <w:b/>
          <w:sz w:val="28"/>
          <w:szCs w:val="28"/>
          <w:highlight w:val="none"/>
          <w:lang w:val="en-US" w:eastAsia="zh-CN" w:bidi="ar-SA"/>
        </w:rPr>
      </w:pPr>
      <w:r>
        <w:rPr>
          <w:rFonts w:hint="eastAsia" w:ascii="Times New Roman" w:cs="Times New Roman"/>
          <w:b/>
          <w:sz w:val="28"/>
          <w:szCs w:val="28"/>
          <w:highlight w:val="none"/>
          <w:lang w:val="en-US" w:eastAsia="zh-CN" w:bidi="ar-SA"/>
        </w:rPr>
        <w:t>6</w:t>
      </w:r>
      <w:r>
        <w:rPr>
          <w:rFonts w:hint="default" w:ascii="Times New Roman" w:cs="Times New Roman"/>
          <w:b/>
          <w:bCs w:val="0"/>
          <w:sz w:val="28"/>
          <w:szCs w:val="28"/>
          <w:highlight w:val="none"/>
          <w:lang w:val="en-US" w:eastAsia="zh-CN" w:bidi="ar-SA"/>
        </w:rPr>
        <w:t>.2021年1月1日以来，报价人（或本次报价数据库的开发商）完成的一个本次报价数据库的销售业绩（需提供合同要点：包括签约时间、项目名称、关键服务内容、合同金额、双方盖章等关键页，若合同无法反映上述要点，合同买方出具的书面补充情况说明文件（加盖买方公章））</w:t>
      </w:r>
    </w:p>
    <w:p>
      <w:pPr>
        <w:numPr>
          <w:ilvl w:val="0"/>
          <w:numId w:val="0"/>
        </w:numPr>
        <w:spacing w:line="360" w:lineRule="auto"/>
        <w:rPr>
          <w:rFonts w:hint="default" w:ascii="Times New Roman" w:cs="Times New Roman"/>
          <w:b/>
          <w:sz w:val="28"/>
          <w:szCs w:val="28"/>
          <w:highlight w:val="yellow"/>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rPr>
          <w:rFonts w:hint="eastAsia"/>
          <w:lang w:val="en-US" w:eastAsia="zh-CN"/>
        </w:rPr>
      </w:pP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7.提供所报价数据库产品异构数据同步软件和数据比对工具的著作权证书复印件（提供</w:t>
      </w:r>
      <w:bookmarkStart w:id="71" w:name="_GoBack"/>
      <w:bookmarkEnd w:id="71"/>
      <w:r>
        <w:rPr>
          <w:rFonts w:hint="eastAsia" w:ascii="Times New Roman" w:cs="Times New Roman"/>
          <w:b/>
          <w:sz w:val="28"/>
          <w:szCs w:val="28"/>
          <w:lang w:val="en-US" w:eastAsia="zh-CN" w:bidi="ar-SA"/>
        </w:rPr>
        <w:t>国家版权局出具的计算机软件著作权登记证）</w:t>
      </w: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numPr>
          <w:ilvl w:val="0"/>
          <w:numId w:val="0"/>
        </w:numPr>
        <w:spacing w:line="360" w:lineRule="auto"/>
        <w:rPr>
          <w:rFonts w:hint="default" w:ascii="Times New Roman" w:cs="Times New Roman"/>
          <w:b/>
          <w:sz w:val="28"/>
          <w:szCs w:val="28"/>
          <w:lang w:val="en-US" w:eastAsia="zh-CN" w:bidi="ar-SA"/>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numPr>
          <w:ilvl w:val="0"/>
          <w:numId w:val="0"/>
        </w:numPr>
        <w:spacing w:line="360" w:lineRule="auto"/>
        <w:rPr>
          <w:rFonts w:hint="eastAsia" w:ascii="Times New Roman" w:cs="Times New Roman"/>
          <w:b/>
          <w:sz w:val="28"/>
          <w:szCs w:val="28"/>
          <w:lang w:val="en-US" w:eastAsia="zh-CN" w:bidi="ar-SA"/>
        </w:rPr>
      </w:pPr>
      <w:r>
        <w:rPr>
          <w:rFonts w:hint="eastAsia" w:ascii="Times New Roman" w:cs="Times New Roman"/>
          <w:b/>
          <w:sz w:val="28"/>
          <w:szCs w:val="28"/>
          <w:lang w:val="en-US" w:eastAsia="zh-CN" w:bidi="ar-SA"/>
        </w:rPr>
        <w:t>8.支持表空间级数据加密功能，支持同一表空间存在多表情况下部分表进行加密功能，支持日志加密（提供CNAS（中国合格评定国家认可委员会）认定的权威机构出具的测试报告复印件及该机构的CNAS（中国合格评定国家认可委员会）认定证书）</w:t>
      </w: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r>
        <w:rPr>
          <w:rFonts w:hint="eastAsia" w:ascii="Times New Roman" w:cs="Times New Roman"/>
          <w:b/>
          <w:sz w:val="28"/>
          <w:szCs w:val="28"/>
          <w:lang w:val="en-US" w:eastAsia="zh-CN" w:bidi="ar-SA"/>
        </w:rPr>
        <w:t>9.报价人所报价的数据库品牌须与致远、用友的系统有对接合作案例（提供成功对接案例的合同，系统界面截图或兼容性证明）</w:t>
      </w: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pStyle w:val="2"/>
        <w:rPr>
          <w:rFonts w:hint="eastAsia"/>
          <w:lang w:val="en-US" w:eastAsia="zh-CN"/>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r>
        <w:rPr>
          <w:rFonts w:hint="eastAsia" w:ascii="Times New Roman" w:cs="Times New Roman"/>
          <w:b/>
          <w:sz w:val="28"/>
          <w:szCs w:val="28"/>
          <w:lang w:val="en-US" w:eastAsia="zh-CN" w:bidi="ar-SA"/>
        </w:rPr>
        <w:t>10.支持类Oracle AWR 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报告支持文本和网页两种形式，支持中文，支持自动采集和保存数据（提供CNAS（中国合格评定国家认可委员会）认定的权威机构出具的测试报告复印件及该机构的CNAS（中国合格评定国家认可委员会）认定证书）</w:t>
      </w: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r>
        <w:rPr>
          <w:rFonts w:hint="eastAsia" w:ascii="Times New Roman" w:cs="Times New Roman"/>
          <w:b/>
          <w:sz w:val="28"/>
          <w:szCs w:val="28"/>
          <w:lang w:val="en-US" w:eastAsia="zh-CN" w:bidi="ar-SA"/>
        </w:rPr>
        <w:t>11.提供的数据库产品需通过公安部或国家网络与信息系统安全产品质检监督检验中心认证与审核，达到国家安全四级或EAL4+级或以上认证，并提供相关证件复印件（提供公安部或国家网络与信息系统安全产品质检监督检验中心出具的信息技术产品安全分级的评估证书）</w:t>
      </w: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p>
    <w:p>
      <w:pPr>
        <w:numPr>
          <w:ilvl w:val="0"/>
          <w:numId w:val="0"/>
        </w:numPr>
        <w:spacing w:line="360" w:lineRule="auto"/>
        <w:rPr>
          <w:rFonts w:hint="eastAsia" w:ascii="Times New Roman" w:cs="Times New Roman"/>
          <w:b/>
          <w:sz w:val="28"/>
          <w:szCs w:val="28"/>
          <w:lang w:val="en-US" w:eastAsia="zh-CN" w:bidi="ar-SA"/>
        </w:rPr>
      </w:pPr>
      <w:r>
        <w:rPr>
          <w:rFonts w:hint="eastAsia" w:ascii="Times New Roman" w:cs="Times New Roman"/>
          <w:b/>
          <w:sz w:val="28"/>
          <w:szCs w:val="28"/>
          <w:lang w:val="en-US" w:eastAsia="zh-CN" w:bidi="ar-SA"/>
        </w:rPr>
        <w:t>12.信用中国网站截图（报价人未被列入“信用中国”网站（www.creditchina.gov.cn）失信被执行人、重大税收违法失信主体、严重违法失信行为记录名单（处罚期限届满的除外））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13</w:t>
      </w:r>
      <w:r>
        <w:rPr>
          <w:rFonts w:hint="default" w:ascii="Times New Roman" w:cs="Times New Roman"/>
          <w:b/>
          <w:sz w:val="28"/>
          <w:szCs w:val="28"/>
          <w:lang w:val="en-US" w:eastAsia="zh-CN" w:bidi="ar-SA"/>
        </w:rPr>
        <w:t>.报价人认为有必要提供的资料</w:t>
      </w:r>
    </w:p>
    <w:p>
      <w:pPr>
        <w:pStyle w:val="20"/>
        <w:numPr>
          <w:ilvl w:val="-1"/>
          <w:numId w:val="0"/>
        </w:numPr>
        <w:ind w:firstLine="0" w:firstLineChars="0"/>
        <w:rPr>
          <w:rFonts w:hint="default" w:eastAsia="宋体"/>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8BDF4"/>
    <w:multiLevelType w:val="singleLevel"/>
    <w:tmpl w:val="D7E8BDF4"/>
    <w:lvl w:ilvl="0" w:tentative="0">
      <w:start w:val="1"/>
      <w:numFmt w:val="decimal"/>
      <w:lvlText w:val="(%1)"/>
      <w:lvlJc w:val="left"/>
      <w:pPr>
        <w:ind w:left="0" w:leftChars="0" w:firstLine="454" w:firstLineChars="0"/>
      </w:pPr>
      <w:rPr>
        <w:rFonts w:hint="default"/>
      </w:rPr>
    </w:lvl>
  </w:abstractNum>
  <w:abstractNum w:abstractNumId="1">
    <w:nsid w:val="D7EB54B6"/>
    <w:multiLevelType w:val="singleLevel"/>
    <w:tmpl w:val="D7EB54B6"/>
    <w:lvl w:ilvl="0" w:tentative="0">
      <w:start w:val="1"/>
      <w:numFmt w:val="decimal"/>
      <w:lvlText w:val="(%1)"/>
      <w:lvlJc w:val="left"/>
      <w:pPr>
        <w:ind w:left="0" w:leftChars="0" w:firstLine="454" w:firstLineChars="0"/>
      </w:pPr>
      <w:rPr>
        <w:rFonts w:hint="default"/>
      </w:rPr>
    </w:lvl>
  </w:abstractNum>
  <w:abstractNum w:abstractNumId="2">
    <w:nsid w:val="DC3DA05D"/>
    <w:multiLevelType w:val="singleLevel"/>
    <w:tmpl w:val="DC3DA05D"/>
    <w:lvl w:ilvl="0" w:tentative="0">
      <w:start w:val="1"/>
      <w:numFmt w:val="decimal"/>
      <w:lvlText w:val="(%1)"/>
      <w:lvlJc w:val="left"/>
      <w:pPr>
        <w:ind w:left="0" w:leftChars="0" w:firstLine="454" w:firstLineChars="0"/>
      </w:pPr>
      <w:rPr>
        <w:rFonts w:hint="default"/>
      </w:rPr>
    </w:lvl>
  </w:abstractNum>
  <w:abstractNum w:abstractNumId="3">
    <w:nsid w:val="FE1D2219"/>
    <w:multiLevelType w:val="singleLevel"/>
    <w:tmpl w:val="FE1D2219"/>
    <w:lvl w:ilvl="0" w:tentative="0">
      <w:start w:val="1"/>
      <w:numFmt w:val="decimal"/>
      <w:suff w:val="space"/>
      <w:lvlText w:val="%1."/>
      <w:lvlJc w:val="left"/>
    </w:lvl>
  </w:abstractNum>
  <w:abstractNum w:abstractNumId="4">
    <w:nsid w:val="28A4DEA6"/>
    <w:multiLevelType w:val="singleLevel"/>
    <w:tmpl w:val="28A4DEA6"/>
    <w:lvl w:ilvl="0" w:tentative="0">
      <w:start w:val="1"/>
      <w:numFmt w:val="decimal"/>
      <w:lvlText w:val="(%1)"/>
      <w:lvlJc w:val="left"/>
      <w:pPr>
        <w:ind w:left="0" w:leftChars="0" w:firstLine="454" w:firstLineChars="0"/>
      </w:pPr>
      <w:rPr>
        <w:rFonts w:hint="default"/>
      </w:rPr>
    </w:lvl>
  </w:abstractNum>
  <w:abstractNum w:abstractNumId="5">
    <w:nsid w:val="2C3A7159"/>
    <w:multiLevelType w:val="multilevel"/>
    <w:tmpl w:val="2C3A7159"/>
    <w:lvl w:ilvl="0" w:tentative="0">
      <w:start w:val="1"/>
      <w:numFmt w:val="chineseCountingThousand"/>
      <w:pStyle w:val="53"/>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5CB177E6"/>
    <w:multiLevelType w:val="singleLevel"/>
    <w:tmpl w:val="5CB177E6"/>
    <w:lvl w:ilvl="0" w:tentative="0">
      <w:start w:val="1"/>
      <w:numFmt w:val="decimal"/>
      <w:lvlText w:val="(%1)"/>
      <w:lvlJc w:val="left"/>
      <w:pPr>
        <w:ind w:left="0" w:leftChars="0" w:firstLine="454" w:firstLineChars="0"/>
      </w:pPr>
      <w:rPr>
        <w:rFonts w:hint="default"/>
      </w:rPr>
    </w:lvl>
  </w:abstractNum>
  <w:abstractNum w:abstractNumId="9">
    <w:nsid w:val="63D49448"/>
    <w:multiLevelType w:val="singleLevel"/>
    <w:tmpl w:val="63D49448"/>
    <w:lvl w:ilvl="0" w:tentative="0">
      <w:start w:val="1"/>
      <w:numFmt w:val="decimal"/>
      <w:lvlText w:val="(%1)"/>
      <w:lvlJc w:val="left"/>
      <w:pPr>
        <w:ind w:left="0" w:leftChars="0" w:firstLine="454" w:firstLineChars="0"/>
      </w:pPr>
      <w:rPr>
        <w:rFonts w:hint="default"/>
      </w:rPr>
    </w:lvl>
  </w:abstractNum>
  <w:abstractNum w:abstractNumId="10">
    <w:nsid w:val="74923FE9"/>
    <w:multiLevelType w:val="singleLevel"/>
    <w:tmpl w:val="74923FE9"/>
    <w:lvl w:ilvl="0" w:tentative="0">
      <w:start w:val="1"/>
      <w:numFmt w:val="decimal"/>
      <w:lvlText w:val="(%1)"/>
      <w:lvlJc w:val="left"/>
      <w:pPr>
        <w:ind w:left="0" w:leftChars="0" w:firstLine="454" w:firstLineChars="0"/>
      </w:pPr>
      <w:rPr>
        <w:rFonts w:hint="default"/>
      </w:rPr>
    </w:lvl>
  </w:abstractNum>
  <w:num w:numId="1">
    <w:abstractNumId w:val="5"/>
  </w:num>
  <w:num w:numId="2">
    <w:abstractNumId w:val="1"/>
  </w:num>
  <w:num w:numId="3">
    <w:abstractNumId w:val="0"/>
  </w:num>
  <w:num w:numId="4">
    <w:abstractNumId w:val="10"/>
  </w:num>
  <w:num w:numId="5">
    <w:abstractNumId w:val="8"/>
  </w:num>
  <w:num w:numId="6">
    <w:abstractNumId w:val="4"/>
  </w:num>
  <w:num w:numId="7">
    <w:abstractNumId w:val="2"/>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 w:name="KSO_WPS_MARK_KEY" w:val="cbcf8e25-879b-453e-a136-adcead7930bf"/>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2F254D6"/>
    <w:rsid w:val="03767EB5"/>
    <w:rsid w:val="048243A9"/>
    <w:rsid w:val="04B87B21"/>
    <w:rsid w:val="053867C7"/>
    <w:rsid w:val="053F7EA3"/>
    <w:rsid w:val="0560706F"/>
    <w:rsid w:val="06545260"/>
    <w:rsid w:val="06B553AD"/>
    <w:rsid w:val="06E27ADA"/>
    <w:rsid w:val="06E96BF0"/>
    <w:rsid w:val="06FE7165"/>
    <w:rsid w:val="073C7668"/>
    <w:rsid w:val="078801B7"/>
    <w:rsid w:val="08053EFD"/>
    <w:rsid w:val="0815696F"/>
    <w:rsid w:val="0829264B"/>
    <w:rsid w:val="084770B8"/>
    <w:rsid w:val="09515177"/>
    <w:rsid w:val="09597D53"/>
    <w:rsid w:val="09801DCD"/>
    <w:rsid w:val="098D58DE"/>
    <w:rsid w:val="0991450E"/>
    <w:rsid w:val="09943A3C"/>
    <w:rsid w:val="099E67F9"/>
    <w:rsid w:val="0A8729A8"/>
    <w:rsid w:val="0A9D1CF9"/>
    <w:rsid w:val="0AAF0151"/>
    <w:rsid w:val="0ACC2AB1"/>
    <w:rsid w:val="0B39378A"/>
    <w:rsid w:val="0B5C5D5C"/>
    <w:rsid w:val="0B6872F9"/>
    <w:rsid w:val="0B720F0E"/>
    <w:rsid w:val="0B890F49"/>
    <w:rsid w:val="0BC62E3A"/>
    <w:rsid w:val="0D5A0848"/>
    <w:rsid w:val="0D814026"/>
    <w:rsid w:val="0DDD7F82"/>
    <w:rsid w:val="0E031844"/>
    <w:rsid w:val="0ED25B59"/>
    <w:rsid w:val="0EE60747"/>
    <w:rsid w:val="0F954B48"/>
    <w:rsid w:val="0FAE59F1"/>
    <w:rsid w:val="104D4694"/>
    <w:rsid w:val="10B91BD6"/>
    <w:rsid w:val="10CA1F6B"/>
    <w:rsid w:val="121C431D"/>
    <w:rsid w:val="12541FCB"/>
    <w:rsid w:val="128272D0"/>
    <w:rsid w:val="12A7275D"/>
    <w:rsid w:val="12C66B88"/>
    <w:rsid w:val="12CE7208"/>
    <w:rsid w:val="13031039"/>
    <w:rsid w:val="13A140EE"/>
    <w:rsid w:val="13AC347F"/>
    <w:rsid w:val="13CC74AE"/>
    <w:rsid w:val="13DA5B3A"/>
    <w:rsid w:val="14342A15"/>
    <w:rsid w:val="15037C84"/>
    <w:rsid w:val="161377E5"/>
    <w:rsid w:val="162F4F0E"/>
    <w:rsid w:val="163A7D18"/>
    <w:rsid w:val="166C3E5C"/>
    <w:rsid w:val="16842491"/>
    <w:rsid w:val="16A918E4"/>
    <w:rsid w:val="179E3A27"/>
    <w:rsid w:val="17C83DDB"/>
    <w:rsid w:val="17E31439"/>
    <w:rsid w:val="1811628C"/>
    <w:rsid w:val="183502AF"/>
    <w:rsid w:val="188E3A9B"/>
    <w:rsid w:val="18BD3EAB"/>
    <w:rsid w:val="18DD40DB"/>
    <w:rsid w:val="18E110BB"/>
    <w:rsid w:val="18E436BB"/>
    <w:rsid w:val="18E5190D"/>
    <w:rsid w:val="18E86D07"/>
    <w:rsid w:val="190873AA"/>
    <w:rsid w:val="19535605"/>
    <w:rsid w:val="19605108"/>
    <w:rsid w:val="1A9B5FFB"/>
    <w:rsid w:val="1AE066F3"/>
    <w:rsid w:val="1B013AAD"/>
    <w:rsid w:val="1B9003CE"/>
    <w:rsid w:val="1C0C5403"/>
    <w:rsid w:val="1CEE1205"/>
    <w:rsid w:val="1F7D3F22"/>
    <w:rsid w:val="20D64231"/>
    <w:rsid w:val="21217D8A"/>
    <w:rsid w:val="21F66939"/>
    <w:rsid w:val="21FD1508"/>
    <w:rsid w:val="2204006E"/>
    <w:rsid w:val="225F31DD"/>
    <w:rsid w:val="22993768"/>
    <w:rsid w:val="22D95913"/>
    <w:rsid w:val="232E5C5F"/>
    <w:rsid w:val="233E72FD"/>
    <w:rsid w:val="2386555D"/>
    <w:rsid w:val="23B40850"/>
    <w:rsid w:val="23C56D6B"/>
    <w:rsid w:val="246D6C5B"/>
    <w:rsid w:val="25822292"/>
    <w:rsid w:val="259A3A7F"/>
    <w:rsid w:val="25AF0AF0"/>
    <w:rsid w:val="25C84CAA"/>
    <w:rsid w:val="2648703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7E571E"/>
    <w:rsid w:val="2A96631D"/>
    <w:rsid w:val="2AE82B97"/>
    <w:rsid w:val="2B177920"/>
    <w:rsid w:val="2B9935BF"/>
    <w:rsid w:val="2BE617CC"/>
    <w:rsid w:val="2BE9306B"/>
    <w:rsid w:val="2BF77A2F"/>
    <w:rsid w:val="2C143322"/>
    <w:rsid w:val="2C365B84"/>
    <w:rsid w:val="2C733631"/>
    <w:rsid w:val="2CB820F4"/>
    <w:rsid w:val="2D2325AC"/>
    <w:rsid w:val="2D8A43D9"/>
    <w:rsid w:val="2D951277"/>
    <w:rsid w:val="2D9708A4"/>
    <w:rsid w:val="2DCF44E2"/>
    <w:rsid w:val="2DE0049D"/>
    <w:rsid w:val="2DEC299E"/>
    <w:rsid w:val="3062519A"/>
    <w:rsid w:val="307861D9"/>
    <w:rsid w:val="31903F88"/>
    <w:rsid w:val="31B73D40"/>
    <w:rsid w:val="326E7E26"/>
    <w:rsid w:val="32AC094E"/>
    <w:rsid w:val="33BD1232"/>
    <w:rsid w:val="349F20AD"/>
    <w:rsid w:val="3533267D"/>
    <w:rsid w:val="35731BF7"/>
    <w:rsid w:val="36145188"/>
    <w:rsid w:val="361A5212"/>
    <w:rsid w:val="36F17277"/>
    <w:rsid w:val="37690BE5"/>
    <w:rsid w:val="380134EA"/>
    <w:rsid w:val="383A69FC"/>
    <w:rsid w:val="3858329B"/>
    <w:rsid w:val="38726196"/>
    <w:rsid w:val="38855170"/>
    <w:rsid w:val="388D4D7E"/>
    <w:rsid w:val="38CF183A"/>
    <w:rsid w:val="38F15CB7"/>
    <w:rsid w:val="39534219"/>
    <w:rsid w:val="396E1053"/>
    <w:rsid w:val="39E3734B"/>
    <w:rsid w:val="3A4D6EBA"/>
    <w:rsid w:val="3A5A4F69"/>
    <w:rsid w:val="3AEE5A36"/>
    <w:rsid w:val="3BAD22BE"/>
    <w:rsid w:val="3C1934F8"/>
    <w:rsid w:val="3C9C5ED7"/>
    <w:rsid w:val="3D0E626C"/>
    <w:rsid w:val="3DF968B5"/>
    <w:rsid w:val="3E291E2F"/>
    <w:rsid w:val="3F6251B6"/>
    <w:rsid w:val="3FA7706D"/>
    <w:rsid w:val="3FB558BF"/>
    <w:rsid w:val="3FC714BD"/>
    <w:rsid w:val="40110871"/>
    <w:rsid w:val="401F67E1"/>
    <w:rsid w:val="40275AB8"/>
    <w:rsid w:val="403E177F"/>
    <w:rsid w:val="40AB0497"/>
    <w:rsid w:val="41406E31"/>
    <w:rsid w:val="41840582"/>
    <w:rsid w:val="41D1217F"/>
    <w:rsid w:val="425D4E8D"/>
    <w:rsid w:val="42D40179"/>
    <w:rsid w:val="42F779C3"/>
    <w:rsid w:val="43062B1F"/>
    <w:rsid w:val="44156F3C"/>
    <w:rsid w:val="441647C1"/>
    <w:rsid w:val="44867251"/>
    <w:rsid w:val="468D6EA3"/>
    <w:rsid w:val="46933EA7"/>
    <w:rsid w:val="46C422B2"/>
    <w:rsid w:val="47062039"/>
    <w:rsid w:val="471843AC"/>
    <w:rsid w:val="47CC6923"/>
    <w:rsid w:val="47F6649C"/>
    <w:rsid w:val="480E2190"/>
    <w:rsid w:val="485D3039"/>
    <w:rsid w:val="49867CF3"/>
    <w:rsid w:val="49920446"/>
    <w:rsid w:val="499F2B63"/>
    <w:rsid w:val="49C31E71"/>
    <w:rsid w:val="4A8B385D"/>
    <w:rsid w:val="4ADF76BB"/>
    <w:rsid w:val="4BA722A3"/>
    <w:rsid w:val="4C1C6762"/>
    <w:rsid w:val="4C2630C7"/>
    <w:rsid w:val="4C901049"/>
    <w:rsid w:val="4D82217E"/>
    <w:rsid w:val="4DC81F78"/>
    <w:rsid w:val="4E035DB6"/>
    <w:rsid w:val="4EED4604"/>
    <w:rsid w:val="4F1E4F13"/>
    <w:rsid w:val="4F643786"/>
    <w:rsid w:val="4F7244C4"/>
    <w:rsid w:val="4FD60ED8"/>
    <w:rsid w:val="4FEB08B0"/>
    <w:rsid w:val="4FFD7E08"/>
    <w:rsid w:val="50165D72"/>
    <w:rsid w:val="50A540BB"/>
    <w:rsid w:val="512D51C5"/>
    <w:rsid w:val="51492FE2"/>
    <w:rsid w:val="517F566E"/>
    <w:rsid w:val="518E5997"/>
    <w:rsid w:val="51962A9D"/>
    <w:rsid w:val="524F2046"/>
    <w:rsid w:val="526B217C"/>
    <w:rsid w:val="527E1EAF"/>
    <w:rsid w:val="52AF3E17"/>
    <w:rsid w:val="52B24016"/>
    <w:rsid w:val="53CF7D1F"/>
    <w:rsid w:val="53D31D87"/>
    <w:rsid w:val="5426635A"/>
    <w:rsid w:val="544467E1"/>
    <w:rsid w:val="54837309"/>
    <w:rsid w:val="54CC7603"/>
    <w:rsid w:val="553D7E00"/>
    <w:rsid w:val="5561317F"/>
    <w:rsid w:val="56576AEF"/>
    <w:rsid w:val="56705DD0"/>
    <w:rsid w:val="570F30D6"/>
    <w:rsid w:val="57F95B34"/>
    <w:rsid w:val="57FD73D2"/>
    <w:rsid w:val="58204965"/>
    <w:rsid w:val="58A12453"/>
    <w:rsid w:val="58E81E30"/>
    <w:rsid w:val="58F269C5"/>
    <w:rsid w:val="591470C9"/>
    <w:rsid w:val="594F6D62"/>
    <w:rsid w:val="59CB6A71"/>
    <w:rsid w:val="5A985AD8"/>
    <w:rsid w:val="5AF535A7"/>
    <w:rsid w:val="5BAF4E87"/>
    <w:rsid w:val="5CA07973"/>
    <w:rsid w:val="5D5977A1"/>
    <w:rsid w:val="5DB96FEA"/>
    <w:rsid w:val="5E9F7435"/>
    <w:rsid w:val="5F50528E"/>
    <w:rsid w:val="5F9D2B92"/>
    <w:rsid w:val="5F9F5213"/>
    <w:rsid w:val="5FCF1B9D"/>
    <w:rsid w:val="6046575F"/>
    <w:rsid w:val="606A5142"/>
    <w:rsid w:val="60A056E7"/>
    <w:rsid w:val="60A60CCB"/>
    <w:rsid w:val="60DD4510"/>
    <w:rsid w:val="613A61D9"/>
    <w:rsid w:val="61976213"/>
    <w:rsid w:val="61FB5972"/>
    <w:rsid w:val="62B965EC"/>
    <w:rsid w:val="62C72B48"/>
    <w:rsid w:val="63143EF4"/>
    <w:rsid w:val="63460310"/>
    <w:rsid w:val="635A392B"/>
    <w:rsid w:val="63864720"/>
    <w:rsid w:val="638C55FC"/>
    <w:rsid w:val="64531837"/>
    <w:rsid w:val="647A6D9B"/>
    <w:rsid w:val="651066AD"/>
    <w:rsid w:val="65316E3C"/>
    <w:rsid w:val="656B62C3"/>
    <w:rsid w:val="65815AE7"/>
    <w:rsid w:val="659E2B9C"/>
    <w:rsid w:val="66742F55"/>
    <w:rsid w:val="66C7577B"/>
    <w:rsid w:val="66CD4B60"/>
    <w:rsid w:val="66F54F75"/>
    <w:rsid w:val="677E1BB2"/>
    <w:rsid w:val="67E67E83"/>
    <w:rsid w:val="687D1EC0"/>
    <w:rsid w:val="69A2418E"/>
    <w:rsid w:val="69E43580"/>
    <w:rsid w:val="6A5E3E24"/>
    <w:rsid w:val="6A701C86"/>
    <w:rsid w:val="6AB828C2"/>
    <w:rsid w:val="6AE92B65"/>
    <w:rsid w:val="6AED5C1F"/>
    <w:rsid w:val="6B225676"/>
    <w:rsid w:val="6B427AC6"/>
    <w:rsid w:val="6C172D01"/>
    <w:rsid w:val="6C20148A"/>
    <w:rsid w:val="6C705F6D"/>
    <w:rsid w:val="6CA23C1A"/>
    <w:rsid w:val="6CD67979"/>
    <w:rsid w:val="6CDC1854"/>
    <w:rsid w:val="6D365409"/>
    <w:rsid w:val="6D5C4743"/>
    <w:rsid w:val="6D5E6F65"/>
    <w:rsid w:val="6E906D9A"/>
    <w:rsid w:val="6EC573AB"/>
    <w:rsid w:val="6F3B7EC7"/>
    <w:rsid w:val="6F420807"/>
    <w:rsid w:val="6FBA7D76"/>
    <w:rsid w:val="701D01BA"/>
    <w:rsid w:val="70227EC6"/>
    <w:rsid w:val="70291255"/>
    <w:rsid w:val="70531E2E"/>
    <w:rsid w:val="706B131D"/>
    <w:rsid w:val="70714B0F"/>
    <w:rsid w:val="70CC15D0"/>
    <w:rsid w:val="70F43DCA"/>
    <w:rsid w:val="71092E34"/>
    <w:rsid w:val="712330C7"/>
    <w:rsid w:val="71DF510A"/>
    <w:rsid w:val="72140B3E"/>
    <w:rsid w:val="72B17D99"/>
    <w:rsid w:val="72F71196"/>
    <w:rsid w:val="73B452D9"/>
    <w:rsid w:val="74020A1B"/>
    <w:rsid w:val="74647FAC"/>
    <w:rsid w:val="74675EA7"/>
    <w:rsid w:val="747D0EAE"/>
    <w:rsid w:val="74B95AE1"/>
    <w:rsid w:val="75C2798A"/>
    <w:rsid w:val="76055881"/>
    <w:rsid w:val="7657019E"/>
    <w:rsid w:val="76693251"/>
    <w:rsid w:val="76D66DD3"/>
    <w:rsid w:val="76F1566C"/>
    <w:rsid w:val="76F62408"/>
    <w:rsid w:val="7872416D"/>
    <w:rsid w:val="796B40C6"/>
    <w:rsid w:val="7B034F43"/>
    <w:rsid w:val="7B51340D"/>
    <w:rsid w:val="7B9854E0"/>
    <w:rsid w:val="7BBE6716"/>
    <w:rsid w:val="7BFC1333"/>
    <w:rsid w:val="7C143AD1"/>
    <w:rsid w:val="7CC77961"/>
    <w:rsid w:val="7D33726F"/>
    <w:rsid w:val="7D6514FE"/>
    <w:rsid w:val="7DB31192"/>
    <w:rsid w:val="7DC46119"/>
    <w:rsid w:val="7E4712F3"/>
    <w:rsid w:val="7E4D68E0"/>
    <w:rsid w:val="7E6E5A48"/>
    <w:rsid w:val="7E7A4307"/>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5">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6">
    <w:name w:val="heading 9"/>
    <w:basedOn w:val="1"/>
    <w:next w:val="1"/>
    <w:link w:val="42"/>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rPr>
      <w:rFonts w:ascii="Times New Roman"/>
    </w:rPr>
  </w:style>
  <w:style w:type="paragraph" w:styleId="7">
    <w:name w:val="annotation text"/>
    <w:basedOn w:val="1"/>
    <w:link w:val="33"/>
    <w:autoRedefine/>
    <w:qFormat/>
    <w:uiPriority w:val="0"/>
  </w:style>
  <w:style w:type="paragraph" w:styleId="8">
    <w:name w:val="Body Text Indent"/>
    <w:basedOn w:val="1"/>
    <w:next w:val="9"/>
    <w:link w:val="47"/>
    <w:autoRedefine/>
    <w:qFormat/>
    <w:uiPriority w:val="0"/>
    <w:pPr>
      <w:autoSpaceDE/>
      <w:autoSpaceDN/>
      <w:adjustRightInd/>
      <w:spacing w:line="480" w:lineRule="exact"/>
      <w:ind w:firstLine="560" w:firstLineChars="200"/>
      <w:jc w:val="both"/>
    </w:pPr>
    <w:rPr>
      <w:rFonts w:hAnsi="宋体"/>
      <w:kern w:val="2"/>
      <w:sz w:val="28"/>
    </w:rPr>
  </w:style>
  <w:style w:type="paragraph" w:styleId="9">
    <w:name w:val="Body Text First Indent 2"/>
    <w:basedOn w:val="8"/>
    <w:next w:val="10"/>
    <w:link w:val="52"/>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customStyle="1" w:styleId="10">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11">
    <w:name w:val="Plain Text"/>
    <w:basedOn w:val="1"/>
    <w:link w:val="41"/>
    <w:autoRedefine/>
    <w:qFormat/>
    <w:uiPriority w:val="0"/>
    <w:pPr>
      <w:autoSpaceDE/>
      <w:autoSpaceDN/>
      <w:adjustRightInd/>
      <w:jc w:val="both"/>
    </w:pPr>
    <w:rPr>
      <w:rFonts w:hAnsi="Courier New"/>
      <w:kern w:val="2"/>
      <w:sz w:val="21"/>
      <w:szCs w:val="20"/>
    </w:rPr>
  </w:style>
  <w:style w:type="paragraph" w:styleId="12">
    <w:name w:val="Balloon Text"/>
    <w:basedOn w:val="1"/>
    <w:link w:val="32"/>
    <w:autoRedefine/>
    <w:qFormat/>
    <w:uiPriority w:val="0"/>
    <w:rPr>
      <w:sz w:val="18"/>
      <w:szCs w:val="18"/>
    </w:rPr>
  </w:style>
  <w:style w:type="paragraph" w:styleId="13">
    <w:name w:val="footer"/>
    <w:basedOn w:val="1"/>
    <w:link w:val="43"/>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envelope return"/>
    <w:basedOn w:val="1"/>
    <w:autoRedefine/>
    <w:semiHidden/>
    <w:qFormat/>
    <w:uiPriority w:val="0"/>
    <w:pPr>
      <w:snapToGrid w:val="0"/>
      <w:spacing w:line="480" w:lineRule="atLeast"/>
    </w:pPr>
    <w:rPr>
      <w:rFonts w:ascii="Arial" w:hAnsi="Arial" w:cs="Arial"/>
      <w:szCs w:val="20"/>
    </w:rPr>
  </w:style>
  <w:style w:type="paragraph" w:styleId="15">
    <w:name w:val="header"/>
    <w:basedOn w:val="1"/>
    <w:link w:val="4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38"/>
    <w:autoRedefine/>
    <w:qFormat/>
    <w:uiPriority w:val="11"/>
    <w:pPr>
      <w:spacing w:before="240" w:after="60" w:line="312" w:lineRule="auto"/>
      <w:jc w:val="center"/>
      <w:outlineLvl w:val="1"/>
    </w:pPr>
    <w:rPr>
      <w:rFonts w:ascii="Cambria" w:hAnsi="Cambria"/>
      <w:b/>
      <w:bCs/>
      <w:kern w:val="28"/>
      <w:sz w:val="32"/>
      <w:szCs w:val="32"/>
    </w:rPr>
  </w:style>
  <w:style w:type="paragraph" w:styleId="18">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4"/>
    <w:autoRedefine/>
    <w:qFormat/>
    <w:uiPriority w:val="0"/>
    <w:rPr>
      <w:b/>
      <w:bCs/>
    </w:rPr>
  </w:style>
  <w:style w:type="paragraph" w:styleId="20">
    <w:name w:val="Body Text First Indent"/>
    <w:basedOn w:val="2"/>
    <w:link w:val="36"/>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954F72"/>
      <w:u w:val="single"/>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basedOn w:val="23"/>
    <w:autoRedefine/>
    <w:qFormat/>
    <w:uiPriority w:val="0"/>
    <w:rPr>
      <w:sz w:val="21"/>
      <w:szCs w:val="21"/>
    </w:rPr>
  </w:style>
  <w:style w:type="paragraph" w:customStyle="1" w:styleId="27">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autoRedefine/>
    <w:qFormat/>
    <w:uiPriority w:val="34"/>
    <w:pPr>
      <w:ind w:firstLine="420" w:firstLineChars="200"/>
    </w:pPr>
  </w:style>
  <w:style w:type="paragraph" w:customStyle="1" w:styleId="30">
    <w:name w:val="文本格式"/>
    <w:basedOn w:val="1"/>
    <w:link w:val="31"/>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autoRedefine/>
    <w:qFormat/>
    <w:uiPriority w:val="0"/>
    <w:rPr>
      <w:kern w:val="2"/>
      <w:sz w:val="24"/>
      <w:szCs w:val="28"/>
    </w:rPr>
  </w:style>
  <w:style w:type="character" w:customStyle="1" w:styleId="32">
    <w:name w:val="批注框文本 字符"/>
    <w:basedOn w:val="23"/>
    <w:link w:val="12"/>
    <w:autoRedefine/>
    <w:qFormat/>
    <w:uiPriority w:val="0"/>
    <w:rPr>
      <w:rFonts w:ascii="宋体"/>
      <w:sz w:val="18"/>
      <w:szCs w:val="18"/>
    </w:rPr>
  </w:style>
  <w:style w:type="character" w:customStyle="1" w:styleId="33">
    <w:name w:val="批注文字 字符"/>
    <w:basedOn w:val="23"/>
    <w:link w:val="7"/>
    <w:autoRedefine/>
    <w:qFormat/>
    <w:uiPriority w:val="0"/>
    <w:rPr>
      <w:rFonts w:ascii="宋体"/>
      <w:sz w:val="24"/>
      <w:szCs w:val="24"/>
    </w:rPr>
  </w:style>
  <w:style w:type="character" w:customStyle="1" w:styleId="34">
    <w:name w:val="批注主题 字符"/>
    <w:basedOn w:val="33"/>
    <w:link w:val="19"/>
    <w:autoRedefine/>
    <w:qFormat/>
    <w:uiPriority w:val="0"/>
    <w:rPr>
      <w:rFonts w:ascii="宋体"/>
      <w:b/>
      <w:bCs/>
      <w:sz w:val="24"/>
      <w:szCs w:val="24"/>
    </w:rPr>
  </w:style>
  <w:style w:type="character" w:customStyle="1" w:styleId="35">
    <w:name w:val="正文文本 字符"/>
    <w:basedOn w:val="23"/>
    <w:link w:val="2"/>
    <w:autoRedefine/>
    <w:qFormat/>
    <w:uiPriority w:val="0"/>
    <w:rPr>
      <w:sz w:val="24"/>
      <w:szCs w:val="24"/>
    </w:rPr>
  </w:style>
  <w:style w:type="character" w:customStyle="1" w:styleId="36">
    <w:name w:val="正文首行缩进 字符"/>
    <w:basedOn w:val="35"/>
    <w:link w:val="20"/>
    <w:autoRedefine/>
    <w:qFormat/>
    <w:uiPriority w:val="0"/>
    <w:rPr>
      <w:kern w:val="2"/>
      <w:sz w:val="21"/>
      <w:szCs w:val="24"/>
      <w:lang w:val="zh-CN"/>
    </w:rPr>
  </w:style>
  <w:style w:type="paragraph" w:customStyle="1" w:styleId="37">
    <w:name w:val="p0"/>
    <w:basedOn w:val="1"/>
    <w:autoRedefine/>
    <w:qFormat/>
    <w:uiPriority w:val="0"/>
    <w:pPr>
      <w:autoSpaceDE/>
      <w:autoSpaceDN/>
      <w:adjustRightInd/>
      <w:jc w:val="both"/>
    </w:pPr>
    <w:rPr>
      <w:rFonts w:ascii="Times New Roman"/>
      <w:sz w:val="21"/>
      <w:szCs w:val="21"/>
    </w:rPr>
  </w:style>
  <w:style w:type="character" w:customStyle="1" w:styleId="38">
    <w:name w:val="副标题 字符1"/>
    <w:link w:val="17"/>
    <w:autoRedefine/>
    <w:qFormat/>
    <w:uiPriority w:val="11"/>
    <w:rPr>
      <w:rFonts w:ascii="Cambria" w:hAnsi="Cambria"/>
      <w:b/>
      <w:bCs/>
      <w:kern w:val="28"/>
      <w:sz w:val="32"/>
      <w:szCs w:val="32"/>
      <w:lang w:val="en-US" w:eastAsia="zh-CN"/>
    </w:rPr>
  </w:style>
  <w:style w:type="character" w:customStyle="1" w:styleId="39">
    <w:name w:val="副标题 字符"/>
    <w:basedOn w:val="23"/>
    <w:autoRedefine/>
    <w:qFormat/>
    <w:uiPriority w:val="0"/>
    <w:rPr>
      <w:rFonts w:asciiTheme="minorHAnsi" w:hAnsiTheme="minorHAnsi" w:eastAsiaTheme="minorEastAsia" w:cstheme="minorBidi"/>
      <w:b/>
      <w:bCs/>
      <w:kern w:val="28"/>
      <w:sz w:val="32"/>
      <w:szCs w:val="32"/>
    </w:rPr>
  </w:style>
  <w:style w:type="paragraph" w:customStyle="1" w:styleId="40">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1"/>
    <w:autoRedefine/>
    <w:qFormat/>
    <w:uiPriority w:val="0"/>
    <w:rPr>
      <w:rFonts w:ascii="宋体" w:hAnsi="Courier New"/>
      <w:kern w:val="2"/>
      <w:sz w:val="21"/>
    </w:rPr>
  </w:style>
  <w:style w:type="character" w:customStyle="1" w:styleId="42">
    <w:name w:val="标题 9 字符"/>
    <w:basedOn w:val="23"/>
    <w:link w:val="6"/>
    <w:autoRedefine/>
    <w:semiHidden/>
    <w:qFormat/>
    <w:uiPriority w:val="0"/>
    <w:rPr>
      <w:rFonts w:ascii="等线 Light" w:hAnsi="等线 Light" w:eastAsia="等线 Light"/>
      <w:kern w:val="2"/>
      <w:sz w:val="21"/>
      <w:szCs w:val="21"/>
    </w:rPr>
  </w:style>
  <w:style w:type="character" w:customStyle="1" w:styleId="43">
    <w:name w:val="页脚 字符"/>
    <w:link w:val="13"/>
    <w:autoRedefine/>
    <w:qFormat/>
    <w:uiPriority w:val="99"/>
    <w:rPr>
      <w:rFonts w:asciiTheme="minorHAnsi" w:hAnsiTheme="minorHAnsi" w:eastAsiaTheme="minorEastAsia" w:cstheme="minorBidi"/>
      <w:kern w:val="2"/>
      <w:sz w:val="18"/>
      <w:szCs w:val="18"/>
    </w:rPr>
  </w:style>
  <w:style w:type="character" w:customStyle="1" w:styleId="44">
    <w:name w:val="页眉 字符"/>
    <w:link w:val="15"/>
    <w:autoRedefine/>
    <w:qFormat/>
    <w:uiPriority w:val="99"/>
    <w:rPr>
      <w:rFonts w:ascii="宋体"/>
      <w:sz w:val="18"/>
      <w:szCs w:val="24"/>
    </w:rPr>
  </w:style>
  <w:style w:type="character" w:customStyle="1" w:styleId="45">
    <w:name w:val="HTML 预设格式 字符"/>
    <w:basedOn w:val="23"/>
    <w:link w:val="18"/>
    <w:autoRedefine/>
    <w:qFormat/>
    <w:uiPriority w:val="99"/>
    <w:rPr>
      <w:rFonts w:ascii="宋体" w:hAnsi="宋体" w:cs="宋体"/>
      <w:sz w:val="24"/>
      <w:szCs w:val="24"/>
    </w:rPr>
  </w:style>
  <w:style w:type="paragraph" w:customStyle="1" w:styleId="4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autoRedefine/>
    <w:qFormat/>
    <w:uiPriority w:val="0"/>
    <w:rPr>
      <w:rFonts w:ascii="宋体" w:hAnsi="宋体"/>
      <w:kern w:val="2"/>
      <w:sz w:val="28"/>
      <w:szCs w:val="24"/>
    </w:rPr>
  </w:style>
  <w:style w:type="paragraph" w:customStyle="1" w:styleId="48">
    <w:name w:val="修订1"/>
    <w:autoRedefine/>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autoRedefine/>
    <w:semiHidden/>
    <w:qFormat/>
    <w:uiPriority w:val="99"/>
    <w:rPr>
      <w:rFonts w:ascii="Times New Roman" w:hAnsi="Times New Roman"/>
      <w:kern w:val="2"/>
      <w:sz w:val="18"/>
      <w:szCs w:val="18"/>
    </w:rPr>
  </w:style>
  <w:style w:type="character" w:customStyle="1" w:styleId="50">
    <w:name w:val="页眉 字符1"/>
    <w:basedOn w:val="23"/>
    <w:autoRedefine/>
    <w:semiHidden/>
    <w:qFormat/>
    <w:uiPriority w:val="99"/>
    <w:rPr>
      <w:rFonts w:ascii="Times New Roman" w:hAnsi="Times New Roman"/>
      <w:kern w:val="2"/>
      <w:sz w:val="18"/>
      <w:szCs w:val="18"/>
    </w:rPr>
  </w:style>
  <w:style w:type="table" w:customStyle="1" w:styleId="51">
    <w:name w:val="网格型1"/>
    <w:basedOn w:val="2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9"/>
    <w:autoRedefine/>
    <w:qFormat/>
    <w:uiPriority w:val="0"/>
    <w:rPr>
      <w:rFonts w:ascii="宋体" w:hAnsi="宋体"/>
      <w:kern w:val="2"/>
      <w:sz w:val="24"/>
      <w:szCs w:val="24"/>
    </w:rPr>
  </w:style>
  <w:style w:type="paragraph" w:customStyle="1" w:styleId="53">
    <w:name w:val="CM标题2"/>
    <w:next w:val="54"/>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4">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5">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6">
    <w:name w:val="标题 2_0"/>
    <w:next w:val="57"/>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7">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1">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2">
    <w:name w:val="WPSOffice手动目录 1"/>
    <w:autoRedefine/>
    <w:qFormat/>
    <w:uiPriority w:val="0"/>
    <w:pPr>
      <w:ind w:leftChars="0"/>
    </w:pPr>
    <w:rPr>
      <w:rFonts w:ascii="Times New Roman" w:hAnsi="Times New Roman" w:eastAsia="宋体" w:cs="Times New Roman"/>
      <w:sz w:val="20"/>
      <w:szCs w:val="20"/>
    </w:rPr>
  </w:style>
  <w:style w:type="paragraph" w:customStyle="1" w:styleId="63">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46</Pages>
  <Words>18350</Words>
  <Characters>19147</Characters>
  <Lines>35</Lines>
  <Paragraphs>10</Paragraphs>
  <TotalTime>7</TotalTime>
  <ScaleCrop>false</ScaleCrop>
  <LinksUpToDate>false</LinksUpToDate>
  <CharactersWithSpaces>19785</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2023-11-10T10:20:00Z</cp:lastPrinted>
  <dcterms:modified xsi:type="dcterms:W3CDTF">2024-02-01T09:06:08Z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A82BDDBCF04340BCA9E3823017B0E9B4</vt:lpwstr>
  </property>
</Properties>
</file>