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42" w:hanging="442" w:hangingChars="100"/>
        <w:rPr>
          <w:rFonts w:ascii="宋体" w:hAnsi="宋体"/>
          <w:szCs w:val="21"/>
        </w:rPr>
      </w:pPr>
      <w:bookmarkStart w:id="0" w:name="_Toc3973"/>
      <w:bookmarkStart w:id="1" w:name="_Toc77619351"/>
      <w:r>
        <w:rPr>
          <w:rFonts w:hint="eastAsia" w:ascii="宋体" w:hAnsi="宋体"/>
          <w:b/>
          <w:sz w:val="44"/>
          <w:szCs w:val="44"/>
        </w:rPr>
        <w:t>东莞市沙田福禄沙污水处理厂二期工程等四项工程刮泥机成套系统设备采购</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sz w:val="84"/>
          <w:szCs w:val="84"/>
        </w:rPr>
      </w:pPr>
      <w:r>
        <w:rPr>
          <w:rFonts w:ascii="宋体" w:hAnsi="宋体"/>
          <w:sz w:val="84"/>
          <w:szCs w:val="84"/>
        </w:rPr>
        <w:t>招  标  文  件</w:t>
      </w:r>
    </w:p>
    <w:p>
      <w:pPr>
        <w:spacing w:line="360" w:lineRule="auto"/>
        <w:ind w:left="538" w:leftChars="256" w:firstLine="1760" w:firstLineChars="550"/>
        <w:rPr>
          <w:rFonts w:ascii="宋体" w:hAnsi="宋体"/>
          <w:bCs/>
          <w:sz w:val="32"/>
        </w:rPr>
      </w:pPr>
    </w:p>
    <w:p>
      <w:pPr>
        <w:spacing w:line="360" w:lineRule="auto"/>
        <w:ind w:firstLine="1960" w:firstLineChars="700"/>
        <w:rPr>
          <w:rFonts w:ascii="宋体" w:hAnsi="宋体"/>
          <w:bCs/>
          <w:sz w:val="28"/>
          <w:szCs w:val="22"/>
        </w:rPr>
      </w:pPr>
      <w:r>
        <w:rPr>
          <w:rFonts w:ascii="宋体" w:hAnsi="宋体"/>
          <w:bCs/>
          <w:sz w:val="28"/>
          <w:szCs w:val="22"/>
        </w:rPr>
        <w:t>招标编号</w:t>
      </w:r>
      <w:r>
        <w:rPr>
          <w:rFonts w:hint="eastAsia" w:ascii="宋体" w:hAnsi="宋体"/>
          <w:bCs/>
          <w:sz w:val="28"/>
          <w:szCs w:val="22"/>
        </w:rPr>
        <w:t>：</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15"/>
        <w:spacing w:line="480" w:lineRule="auto"/>
        <w:ind w:firstLine="700" w:firstLineChars="250"/>
        <w:jc w:val="left"/>
        <w:rPr>
          <w:rFonts w:hAnsi="宋体"/>
          <w:sz w:val="28"/>
        </w:rPr>
      </w:pPr>
      <w:r>
        <w:rPr>
          <w:rFonts w:hAnsi="宋体"/>
          <w:sz w:val="28"/>
          <w:szCs w:val="28"/>
        </w:rPr>
        <w:t>招标人：</w:t>
      </w:r>
      <w:r>
        <w:rPr>
          <w:rFonts w:hint="eastAsia" w:hAnsi="宋体"/>
          <w:sz w:val="28"/>
          <w:szCs w:val="28"/>
          <w:u w:val="single"/>
        </w:rPr>
        <w:t xml:space="preserve">   东莞市水务集团建设管理有限公司</w:t>
      </w:r>
      <w:r>
        <w:rPr>
          <w:rFonts w:hAnsi="宋体"/>
          <w:sz w:val="28"/>
          <w:szCs w:val="28"/>
          <w:u w:val="single"/>
        </w:rPr>
        <w:t xml:space="preserve">   </w:t>
      </w:r>
      <w:r>
        <w:rPr>
          <w:rFonts w:hAnsi="宋体"/>
          <w:sz w:val="28"/>
          <w:szCs w:val="28"/>
        </w:rPr>
        <w:t>（盖章）</w:t>
      </w:r>
    </w:p>
    <w:p>
      <w:pPr>
        <w:pStyle w:val="15"/>
        <w:spacing w:line="480" w:lineRule="auto"/>
        <w:ind w:firstLine="700" w:firstLineChars="250"/>
        <w:jc w:val="left"/>
        <w:rPr>
          <w:rFonts w:hAnsi="宋体"/>
          <w:sz w:val="28"/>
          <w:szCs w:val="28"/>
        </w:rPr>
      </w:pPr>
      <w:r>
        <w:rPr>
          <w:rFonts w:hAnsi="宋体"/>
          <w:sz w:val="28"/>
          <w:szCs w:val="28"/>
        </w:rPr>
        <w:t>签发人：</w:t>
      </w:r>
      <w:r>
        <w:rPr>
          <w:rFonts w:hAnsi="宋体"/>
          <w:sz w:val="28"/>
          <w:szCs w:val="28"/>
          <w:u w:val="single"/>
        </w:rPr>
        <w:t xml:space="preserve">                              </w:t>
      </w:r>
      <w:r>
        <w:rPr>
          <w:rFonts w:hAnsi="宋体"/>
          <w:sz w:val="28"/>
          <w:szCs w:val="28"/>
        </w:rPr>
        <w:t>（签字</w:t>
      </w:r>
      <w:r>
        <w:rPr>
          <w:rFonts w:hint="eastAsia" w:hAnsi="宋体"/>
          <w:sz w:val="28"/>
          <w:szCs w:val="28"/>
        </w:rPr>
        <w:t>或盖章</w:t>
      </w:r>
      <w:r>
        <w:rPr>
          <w:rFonts w:hAnsi="宋体"/>
          <w:sz w:val="28"/>
          <w:szCs w:val="28"/>
        </w:rPr>
        <w:t>）</w:t>
      </w:r>
    </w:p>
    <w:p>
      <w:pPr>
        <w:pStyle w:val="15"/>
        <w:spacing w:line="360" w:lineRule="auto"/>
        <w:ind w:firstLine="700" w:firstLineChars="250"/>
        <w:jc w:val="left"/>
        <w:rPr>
          <w:rFonts w:hAnsi="宋体"/>
          <w:sz w:val="28"/>
          <w:szCs w:val="28"/>
        </w:rPr>
      </w:pPr>
      <w:r>
        <w:rPr>
          <w:rFonts w:hAnsi="宋体"/>
          <w:sz w:val="28"/>
          <w:szCs w:val="28"/>
        </w:rPr>
        <w:t>招标代理机构：</w:t>
      </w:r>
      <w:r>
        <w:rPr>
          <w:rFonts w:hint="eastAsia" w:hAnsi="宋体"/>
          <w:sz w:val="28"/>
          <w:szCs w:val="28"/>
          <w:u w:val="single"/>
        </w:rPr>
        <w:t xml:space="preserve"> 广州筑正工程建设管理有限公司</w:t>
      </w:r>
      <w:r>
        <w:rPr>
          <w:rFonts w:hAnsi="宋体"/>
          <w:sz w:val="28"/>
          <w:szCs w:val="28"/>
          <w:u w:val="single"/>
        </w:rPr>
        <w:t xml:space="preserve"> </w:t>
      </w:r>
      <w:r>
        <w:rPr>
          <w:rFonts w:hAnsi="宋体"/>
          <w:sz w:val="28"/>
          <w:szCs w:val="28"/>
        </w:rPr>
        <w:t>（盖章）</w:t>
      </w:r>
    </w:p>
    <w:p>
      <w:pPr>
        <w:pStyle w:val="15"/>
        <w:spacing w:line="480" w:lineRule="auto"/>
        <w:ind w:firstLine="700" w:firstLineChars="250"/>
        <w:jc w:val="left"/>
        <w:rPr>
          <w:rFonts w:hAnsi="宋体"/>
          <w:sz w:val="28"/>
          <w:szCs w:val="28"/>
        </w:rPr>
      </w:pPr>
      <w:r>
        <w:rPr>
          <w:rFonts w:hAnsi="宋体"/>
          <w:sz w:val="28"/>
          <w:szCs w:val="28"/>
        </w:rPr>
        <w:t>编制人：</w:t>
      </w:r>
      <w:r>
        <w:rPr>
          <w:rFonts w:hAnsi="宋体"/>
          <w:sz w:val="28"/>
          <w:szCs w:val="28"/>
          <w:u w:val="single"/>
        </w:rPr>
        <w:t xml:space="preserve">                              </w:t>
      </w:r>
      <w:r>
        <w:rPr>
          <w:rFonts w:hAnsi="宋体"/>
          <w:sz w:val="28"/>
          <w:szCs w:val="28"/>
        </w:rPr>
        <w:t>（签字</w:t>
      </w:r>
      <w:r>
        <w:rPr>
          <w:rFonts w:hint="eastAsia" w:hAnsi="宋体"/>
          <w:sz w:val="28"/>
          <w:szCs w:val="28"/>
        </w:rPr>
        <w:t>或盖章</w:t>
      </w:r>
      <w:r>
        <w:rPr>
          <w:rFonts w:hAnsi="宋体"/>
          <w:sz w:val="28"/>
          <w:szCs w:val="28"/>
        </w:rPr>
        <w:t>）</w:t>
      </w:r>
    </w:p>
    <w:p>
      <w:pPr>
        <w:pStyle w:val="15"/>
        <w:spacing w:line="480" w:lineRule="auto"/>
        <w:jc w:val="left"/>
        <w:rPr>
          <w:rFonts w:hAnsi="宋体"/>
          <w:sz w:val="28"/>
          <w:szCs w:val="28"/>
        </w:rPr>
      </w:pPr>
    </w:p>
    <w:p>
      <w:pPr>
        <w:spacing w:before="100" w:beforeAutospacing="1" w:after="100" w:afterAutospacing="1" w:line="360" w:lineRule="auto"/>
        <w:jc w:val="center"/>
        <w:rPr>
          <w:rFonts w:ascii="宋体" w:hAnsi="宋体"/>
          <w:sz w:val="28"/>
          <w:szCs w:val="28"/>
        </w:rPr>
      </w:pPr>
      <w:r>
        <w:rPr>
          <w:rFonts w:ascii="宋体" w:hAnsi="宋体"/>
          <w:sz w:val="28"/>
          <w:szCs w:val="28"/>
        </w:rPr>
        <w:t xml:space="preserve">    202</w:t>
      </w:r>
      <w:r>
        <w:rPr>
          <w:rFonts w:hint="eastAsia" w:ascii="宋体" w:hAnsi="宋体"/>
          <w:sz w:val="28"/>
          <w:szCs w:val="28"/>
        </w:rPr>
        <w:t>3</w:t>
      </w:r>
      <w:r>
        <w:rPr>
          <w:rFonts w:ascii="宋体" w:hAnsi="宋体"/>
          <w:sz w:val="28"/>
          <w:szCs w:val="28"/>
        </w:rPr>
        <w:t>年</w:t>
      </w:r>
      <w:r>
        <w:rPr>
          <w:rFonts w:hint="eastAsia" w:ascii="宋体" w:hAnsi="宋体"/>
          <w:sz w:val="28"/>
          <w:szCs w:val="28"/>
          <w:lang w:val="en-US" w:eastAsia="zh-CN"/>
        </w:rPr>
        <w:t xml:space="preserve">  </w:t>
      </w:r>
      <w:r>
        <w:rPr>
          <w:rFonts w:ascii="宋体" w:hAnsi="宋体"/>
          <w:sz w:val="28"/>
          <w:szCs w:val="28"/>
        </w:rPr>
        <w:t>月</w:t>
      </w:r>
      <w:r>
        <w:rPr>
          <w:rFonts w:hint="eastAsia" w:ascii="宋体" w:hAnsi="宋体"/>
          <w:sz w:val="28"/>
          <w:szCs w:val="28"/>
          <w:lang w:val="en-US" w:eastAsia="zh-CN"/>
        </w:rPr>
        <w:t xml:space="preserve">  </w:t>
      </w:r>
      <w:r>
        <w:rPr>
          <w:rFonts w:ascii="宋体" w:hAnsi="宋体"/>
          <w:sz w:val="28"/>
          <w:szCs w:val="28"/>
        </w:rPr>
        <w:t>日</w:t>
      </w:r>
    </w:p>
    <w:p>
      <w:pPr>
        <w:spacing w:line="360" w:lineRule="auto"/>
        <w:jc w:val="center"/>
      </w:pPr>
    </w:p>
    <w:p>
      <w:pPr>
        <w:spacing w:line="360" w:lineRule="auto"/>
        <w:jc w:val="center"/>
      </w:pPr>
    </w:p>
    <w:p>
      <w:pPr>
        <w:spacing w:line="360" w:lineRule="auto"/>
        <w:jc w:val="center"/>
        <w:sectPr>
          <w:footerReference r:id="rId3" w:type="default"/>
          <w:pgSz w:w="11906" w:h="16838"/>
          <w:pgMar w:top="1440" w:right="1800" w:bottom="1440" w:left="1800" w:header="851" w:footer="850" w:gutter="0"/>
          <w:pgNumType w:start="1"/>
          <w:cols w:space="425" w:num="1"/>
          <w:titlePg/>
          <w:docGrid w:type="lines" w:linePitch="312" w:charSpace="0"/>
        </w:sectPr>
      </w:pPr>
    </w:p>
    <w:p>
      <w:pPr>
        <w:spacing w:line="360" w:lineRule="auto"/>
        <w:jc w:val="center"/>
        <w:rPr>
          <w:rFonts w:ascii="宋体" w:hAnsi="宋体" w:cs="宋体"/>
          <w:b/>
          <w:sz w:val="36"/>
          <w:szCs w:val="36"/>
        </w:rPr>
      </w:pPr>
      <w:r>
        <w:rPr>
          <w:rFonts w:hint="eastAsia" w:ascii="宋体" w:hAnsi="宋体" w:cs="宋体"/>
          <w:b/>
          <w:sz w:val="36"/>
          <w:szCs w:val="36"/>
        </w:rPr>
        <w:t>重要提示</w:t>
      </w:r>
    </w:p>
    <w:p>
      <w:pPr>
        <w:pStyle w:val="15"/>
        <w:spacing w:line="360" w:lineRule="auto"/>
        <w:ind w:firstLine="480" w:firstLineChars="200"/>
        <w:rPr>
          <w:rFonts w:hAnsi="宋体" w:cs="宋体"/>
          <w:sz w:val="24"/>
        </w:rPr>
      </w:pPr>
      <w:r>
        <w:rPr>
          <w:rFonts w:hint="eastAsia" w:hAnsi="宋体" w:cs="宋体"/>
          <w:sz w:val="24"/>
        </w:rPr>
        <w:t>1. 本次招标项目采用电子标书。</w:t>
      </w:r>
    </w:p>
    <w:p>
      <w:pPr>
        <w:spacing w:line="360" w:lineRule="auto"/>
        <w:ind w:firstLine="480" w:firstLineChars="200"/>
        <w:rPr>
          <w:rFonts w:ascii="宋体" w:hAnsi="宋体" w:cs="宋体"/>
          <w:sz w:val="24"/>
        </w:rPr>
      </w:pPr>
      <w:r>
        <w:rPr>
          <w:rFonts w:hint="eastAsia" w:ascii="宋体" w:hAnsi="宋体" w:cs="宋体"/>
          <w:sz w:val="24"/>
          <w:szCs w:val="20"/>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pPr>
        <w:spacing w:line="360" w:lineRule="auto"/>
        <w:ind w:firstLine="480" w:firstLineChars="200"/>
        <w:rPr>
          <w:rFonts w:ascii="宋体" w:hAnsi="宋体" w:cs="宋体"/>
          <w:sz w:val="24"/>
        </w:rPr>
      </w:pPr>
      <w:r>
        <w:rPr>
          <w:rFonts w:hint="eastAsia" w:ascii="宋体" w:hAnsi="宋体" w:cs="宋体"/>
          <w:sz w:val="24"/>
          <w:szCs w:val="20"/>
        </w:rPr>
        <w:t>3. 除特别说明外，招标文件相关条款中提及的以及第三章“投标文件格式”中包括但不限于投标人“公司法人公章”及“投标人法定代表人签章”等要求签章的均指由数字证书电子签名</w:t>
      </w:r>
      <w:r>
        <w:rPr>
          <w:rFonts w:hint="eastAsia" w:ascii="宋体" w:hAnsi="宋体" w:cs="宋体"/>
          <w:b/>
          <w:bCs/>
          <w:sz w:val="24"/>
          <w:szCs w:val="20"/>
        </w:rPr>
        <w:t>（第</w:t>
      </w:r>
      <w:r>
        <w:rPr>
          <w:rFonts w:hint="default" w:ascii="宋体" w:hAnsi="宋体" w:cs="宋体"/>
          <w:b/>
          <w:bCs/>
          <w:sz w:val="24"/>
          <w:szCs w:val="20"/>
          <w:lang w:val="en-US"/>
        </w:rPr>
        <w:t>8</w:t>
      </w:r>
      <w:r>
        <w:rPr>
          <w:rFonts w:hint="eastAsia" w:ascii="宋体" w:hAnsi="宋体" w:cs="宋体"/>
          <w:b/>
          <w:bCs/>
          <w:sz w:val="24"/>
          <w:szCs w:val="20"/>
        </w:rPr>
        <w:t>条法定代表人授权书及第</w:t>
      </w:r>
      <w:r>
        <w:rPr>
          <w:rFonts w:hint="default" w:ascii="宋体" w:hAnsi="宋体" w:cs="宋体"/>
          <w:b/>
          <w:bCs/>
          <w:sz w:val="24"/>
          <w:szCs w:val="20"/>
          <w:lang w:val="en-US"/>
        </w:rPr>
        <w:t>9</w:t>
      </w:r>
      <w:r>
        <w:rPr>
          <w:rFonts w:hint="eastAsia" w:ascii="宋体" w:hAnsi="宋体" w:cs="宋体"/>
          <w:b/>
          <w:bCs/>
          <w:sz w:val="24"/>
          <w:szCs w:val="20"/>
        </w:rPr>
        <w:t>条投标人资格证明文件有特别说明，请投标人注意）</w:t>
      </w:r>
      <w:r>
        <w:rPr>
          <w:rFonts w:hint="eastAsia" w:ascii="宋体" w:hAnsi="宋体" w:cs="宋体"/>
          <w:sz w:val="24"/>
          <w:szCs w:val="20"/>
        </w:rPr>
        <w:t>。</w:t>
      </w:r>
    </w:p>
    <w:p>
      <w:pPr>
        <w:spacing w:line="360" w:lineRule="auto"/>
        <w:ind w:firstLine="480" w:firstLineChars="200"/>
        <w:rPr>
          <w:rFonts w:ascii="宋体" w:hAnsi="宋体" w:cs="宋体"/>
          <w:sz w:val="24"/>
        </w:rPr>
      </w:pPr>
      <w:r>
        <w:rPr>
          <w:rFonts w:hint="eastAsia" w:ascii="宋体" w:hAnsi="宋体" w:cs="宋体"/>
          <w:sz w:val="24"/>
          <w:szCs w:val="20"/>
        </w:rPr>
        <w:t>4. 投标人必须使用计算机互联网络（以下简称网络）将投标文件以jjb格式上传提交至东莞市公共资源交易E网通管理平台建设工程交易系统（以下简称交易系统），并在网上签到时，关联到对应的投标项目中。</w:t>
      </w:r>
    </w:p>
    <w:p>
      <w:pPr>
        <w:spacing w:line="360" w:lineRule="auto"/>
        <w:ind w:firstLine="480" w:firstLineChars="200"/>
        <w:rPr>
          <w:rFonts w:ascii="宋体" w:hAnsi="宋体" w:cs="宋体"/>
          <w:sz w:val="24"/>
        </w:rPr>
      </w:pPr>
      <w:r>
        <w:rPr>
          <w:rFonts w:hint="eastAsia" w:ascii="宋体" w:hAnsi="宋体" w:cs="宋体"/>
          <w:sz w:val="24"/>
          <w:szCs w:val="20"/>
        </w:rPr>
        <w:t>5. 投标人在交易系统中对投标文件进行解密的电子签名认证证书必须为机构证书或制作本项目投标文件的业务证书。</w:t>
      </w:r>
    </w:p>
    <w:p>
      <w:pPr>
        <w:spacing w:line="360" w:lineRule="auto"/>
        <w:ind w:firstLine="480" w:firstLineChars="200"/>
        <w:rPr>
          <w:rFonts w:ascii="宋体" w:hAnsi="宋体" w:cs="宋体"/>
          <w:sz w:val="24"/>
        </w:rPr>
      </w:pPr>
      <w:r>
        <w:rPr>
          <w:rFonts w:hint="eastAsia" w:ascii="宋体" w:hAnsi="宋体" w:cs="宋体"/>
          <w:sz w:val="24"/>
          <w:szCs w:val="20"/>
        </w:rPr>
        <w:t>6. 投标人应及时提交投标文件，如在投标文件截止时间前因网络等任何原因未能成功上传投标文件，相关后果由投标人自行承担。</w:t>
      </w:r>
    </w:p>
    <w:p>
      <w:pPr>
        <w:spacing w:line="360" w:lineRule="auto"/>
        <w:ind w:firstLine="480" w:firstLineChars="200"/>
        <w:rPr>
          <w:rFonts w:ascii="宋体" w:hAnsi="宋体" w:cs="宋体"/>
          <w:sz w:val="24"/>
        </w:rPr>
      </w:pPr>
      <w:r>
        <w:rPr>
          <w:rFonts w:hint="eastAsia" w:ascii="宋体" w:hAnsi="宋体" w:cs="宋体"/>
          <w:sz w:val="24"/>
          <w:szCs w:val="20"/>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pPr>
        <w:spacing w:line="360" w:lineRule="auto"/>
        <w:ind w:firstLine="480" w:firstLineChars="200"/>
        <w:rPr>
          <w:rFonts w:ascii="宋体" w:hAnsi="宋体" w:cs="宋体"/>
          <w:sz w:val="24"/>
        </w:rPr>
      </w:pPr>
      <w:r>
        <w:rPr>
          <w:rFonts w:hint="eastAsia" w:ascii="宋体" w:hAnsi="宋体" w:cs="宋体"/>
          <w:sz w:val="24"/>
          <w:szCs w:val="20"/>
        </w:rPr>
        <w:t>8.如未在投标文件递交截止时间前匹配对应的投标文件，视为投标人未提交。</w:t>
      </w:r>
    </w:p>
    <w:p>
      <w:pPr>
        <w:spacing w:line="360" w:lineRule="auto"/>
        <w:ind w:firstLine="480" w:firstLineChars="200"/>
        <w:rPr>
          <w:rFonts w:ascii="宋体" w:hAnsi="宋体" w:cs="宋体"/>
          <w:color w:val="000000"/>
          <w:sz w:val="24"/>
        </w:rPr>
      </w:pPr>
      <w:r>
        <w:rPr>
          <w:rFonts w:hint="eastAsia" w:ascii="宋体" w:hAnsi="宋体" w:cs="宋体"/>
          <w:color w:val="000000"/>
          <w:sz w:val="24"/>
          <w:szCs w:val="20"/>
        </w:rPr>
        <w:t>9.本招标项目在全国公共资源交易平台（广东省·东莞市）（https://ygp.gdzwfw.gov.cn/#/441900/index）等法定媒体发布招标公告，本项目招标公告及招标文件的修改、补充在全国公共资源交易平台（广东省·东莞市）发布。发布内容在其他法定媒体发布的文本如有不同之处，以在全国公共资源交易平台（广东省·东莞市）发布的文本为准。</w:t>
      </w:r>
    </w:p>
    <w:p>
      <w:pPr>
        <w:spacing w:before="156" w:beforeLines="50" w:after="312" w:afterLines="100" w:line="360" w:lineRule="auto"/>
        <w:jc w:val="center"/>
        <w:rPr>
          <w:rFonts w:ascii="宋体" w:hAnsi="宋体"/>
          <w:b/>
          <w:bCs/>
          <w:szCs w:val="21"/>
        </w:rPr>
      </w:pPr>
      <w:r>
        <w:rPr>
          <w:rFonts w:ascii="宋体" w:hAnsi="宋体"/>
          <w:b/>
          <w:bCs/>
          <w:sz w:val="28"/>
          <w:szCs w:val="28"/>
        </w:rPr>
        <w:br w:type="page"/>
      </w:r>
      <w:r>
        <w:rPr>
          <w:rFonts w:ascii="宋体" w:hAnsi="宋体"/>
          <w:b/>
          <w:bCs/>
          <w:szCs w:val="21"/>
        </w:rPr>
        <w:t>目    录</w:t>
      </w:r>
    </w:p>
    <w:p>
      <w:pPr>
        <w:pStyle w:val="14"/>
        <w:ind w:left="16" w:leftChars="0" w:hanging="16" w:hangingChars="8"/>
      </w:pPr>
      <w:bookmarkStart w:id="2" w:name="_Toc80375582"/>
      <w:bookmarkStart w:id="3" w:name="_Toc50454485"/>
      <w:bookmarkStart w:id="4" w:name="_Toc50920575"/>
      <w:bookmarkStart w:id="5" w:name="_Toc72916296"/>
      <w:bookmarkStart w:id="6" w:name="_Toc77678841"/>
      <w:bookmarkStart w:id="7" w:name="_Toc77555175"/>
      <w:bookmarkStart w:id="8" w:name="_Toc50920418"/>
      <w:r>
        <w:fldChar w:fldCharType="begin"/>
      </w:r>
      <w:r>
        <w:rPr>
          <w:rStyle w:val="33"/>
          <w:rFonts w:ascii="宋体" w:hAnsi="宋体"/>
          <w:bCs/>
          <w:color w:val="auto"/>
        </w:rPr>
        <w:instrText xml:space="preserve"> TOC \o "1-3" \h \z \u </w:instrText>
      </w:r>
      <w:r>
        <w:fldChar w:fldCharType="separate"/>
      </w:r>
      <w:r>
        <w:fldChar w:fldCharType="begin"/>
      </w:r>
      <w:r>
        <w:instrText xml:space="preserve"> HYPERLINK \l "_Toc11642" </w:instrText>
      </w:r>
      <w:r>
        <w:fldChar w:fldCharType="separate"/>
      </w:r>
      <w:r>
        <w:t>第一章 投标须知及投标须知前附表</w:t>
      </w:r>
      <w:r>
        <w:tab/>
      </w:r>
      <w:r>
        <w:fldChar w:fldCharType="begin"/>
      </w:r>
      <w:r>
        <w:instrText xml:space="preserve"> PAGEREF _Toc11642 \h </w:instrText>
      </w:r>
      <w:r>
        <w:fldChar w:fldCharType="separate"/>
      </w:r>
      <w:r>
        <w:t>5</w:t>
      </w:r>
      <w:r>
        <w:fldChar w:fldCharType="end"/>
      </w:r>
      <w:r>
        <w:fldChar w:fldCharType="end"/>
      </w:r>
    </w:p>
    <w:p>
      <w:pPr>
        <w:pStyle w:val="14"/>
        <w:ind w:leftChars="200" w:hanging="420" w:hangingChars="200"/>
      </w:pPr>
      <w:r>
        <w:fldChar w:fldCharType="begin"/>
      </w:r>
      <w:r>
        <w:instrText xml:space="preserve"> HYPERLINK \l "_Toc7475" </w:instrText>
      </w:r>
      <w:r>
        <w:fldChar w:fldCharType="separate"/>
      </w:r>
      <w:r>
        <w:rPr>
          <w:rFonts w:hint="eastAsia"/>
        </w:rPr>
        <w:t xml:space="preserve">一、 </w:t>
      </w:r>
      <w:r>
        <w:t>投标须知前附表</w:t>
      </w:r>
      <w:r>
        <w:tab/>
      </w:r>
      <w:r>
        <w:fldChar w:fldCharType="begin"/>
      </w:r>
      <w:r>
        <w:instrText xml:space="preserve"> PAGEREF _Toc7475 \h </w:instrText>
      </w:r>
      <w:r>
        <w:fldChar w:fldCharType="separate"/>
      </w:r>
      <w:r>
        <w:t>5</w:t>
      </w:r>
      <w:r>
        <w:fldChar w:fldCharType="end"/>
      </w:r>
      <w:r>
        <w:fldChar w:fldCharType="end"/>
      </w:r>
    </w:p>
    <w:p>
      <w:pPr>
        <w:pStyle w:val="14"/>
        <w:ind w:leftChars="200" w:hanging="420" w:hangingChars="200"/>
      </w:pPr>
      <w:r>
        <w:fldChar w:fldCharType="begin"/>
      </w:r>
      <w:r>
        <w:instrText xml:space="preserve"> HYPERLINK \l "_Toc8412" </w:instrText>
      </w:r>
      <w:r>
        <w:fldChar w:fldCharType="separate"/>
      </w:r>
      <w:r>
        <w:rPr>
          <w:rFonts w:hint="eastAsia"/>
        </w:rPr>
        <w:t xml:space="preserve">二、 </w:t>
      </w:r>
      <w:r>
        <w:t>总    则</w:t>
      </w:r>
      <w:r>
        <w:tab/>
      </w:r>
      <w:r>
        <w:fldChar w:fldCharType="begin"/>
      </w:r>
      <w:r>
        <w:instrText xml:space="preserve"> PAGEREF _Toc8412 \h </w:instrText>
      </w:r>
      <w:r>
        <w:fldChar w:fldCharType="separate"/>
      </w:r>
      <w:r>
        <w:t>12</w:t>
      </w:r>
      <w:r>
        <w:fldChar w:fldCharType="end"/>
      </w:r>
      <w:r>
        <w:fldChar w:fldCharType="end"/>
      </w:r>
    </w:p>
    <w:p>
      <w:pPr>
        <w:pStyle w:val="14"/>
      </w:pPr>
      <w:r>
        <w:fldChar w:fldCharType="begin"/>
      </w:r>
      <w:r>
        <w:instrText xml:space="preserve"> HYPERLINK \l "_Toc15002" </w:instrText>
      </w:r>
      <w:r>
        <w:fldChar w:fldCharType="separate"/>
      </w:r>
      <w:r>
        <w:rPr>
          <w:rFonts w:hint="eastAsia"/>
        </w:rPr>
        <w:t>1 项目</w:t>
      </w:r>
      <w:r>
        <w:t>综合说明</w:t>
      </w:r>
      <w:r>
        <w:tab/>
      </w:r>
      <w:r>
        <w:fldChar w:fldCharType="begin"/>
      </w:r>
      <w:r>
        <w:instrText xml:space="preserve"> PAGEREF _Toc15002 \h </w:instrText>
      </w:r>
      <w:r>
        <w:fldChar w:fldCharType="separate"/>
      </w:r>
      <w:r>
        <w:t>12</w:t>
      </w:r>
      <w:r>
        <w:fldChar w:fldCharType="end"/>
      </w:r>
      <w:r>
        <w:fldChar w:fldCharType="end"/>
      </w:r>
    </w:p>
    <w:p>
      <w:pPr>
        <w:pStyle w:val="14"/>
      </w:pPr>
      <w:r>
        <w:fldChar w:fldCharType="begin"/>
      </w:r>
      <w:r>
        <w:instrText xml:space="preserve"> HYPERLINK \l "_Toc12299" </w:instrText>
      </w:r>
      <w:r>
        <w:fldChar w:fldCharType="separate"/>
      </w:r>
      <w:r>
        <w:rPr>
          <w:rFonts w:hint="eastAsia"/>
        </w:rPr>
        <w:t xml:space="preserve">2 </w:t>
      </w:r>
      <w:r>
        <w:t>招标范围及</w:t>
      </w:r>
      <w:r>
        <w:rPr>
          <w:rFonts w:hint="eastAsia"/>
        </w:rPr>
        <w:t>完工期</w:t>
      </w:r>
      <w:r>
        <w:tab/>
      </w:r>
      <w:r>
        <w:fldChar w:fldCharType="begin"/>
      </w:r>
      <w:r>
        <w:instrText xml:space="preserve"> PAGEREF _Toc12299 \h </w:instrText>
      </w:r>
      <w:r>
        <w:fldChar w:fldCharType="separate"/>
      </w:r>
      <w:r>
        <w:t>12</w:t>
      </w:r>
      <w:r>
        <w:fldChar w:fldCharType="end"/>
      </w:r>
      <w:r>
        <w:fldChar w:fldCharType="end"/>
      </w:r>
    </w:p>
    <w:p>
      <w:pPr>
        <w:pStyle w:val="14"/>
      </w:pPr>
      <w:r>
        <w:fldChar w:fldCharType="begin"/>
      </w:r>
      <w:r>
        <w:instrText xml:space="preserve"> HYPERLINK \l "_Toc4202" </w:instrText>
      </w:r>
      <w:r>
        <w:fldChar w:fldCharType="separate"/>
      </w:r>
      <w:r>
        <w:rPr>
          <w:rFonts w:hint="eastAsia"/>
        </w:rPr>
        <w:t xml:space="preserve">3 </w:t>
      </w:r>
      <w:r>
        <w:t>资金来源</w:t>
      </w:r>
      <w:r>
        <w:tab/>
      </w:r>
      <w:r>
        <w:fldChar w:fldCharType="begin"/>
      </w:r>
      <w:r>
        <w:instrText xml:space="preserve"> PAGEREF _Toc4202 \h </w:instrText>
      </w:r>
      <w:r>
        <w:fldChar w:fldCharType="separate"/>
      </w:r>
      <w:r>
        <w:t>12</w:t>
      </w:r>
      <w:r>
        <w:fldChar w:fldCharType="end"/>
      </w:r>
      <w:r>
        <w:fldChar w:fldCharType="end"/>
      </w:r>
    </w:p>
    <w:p>
      <w:pPr>
        <w:pStyle w:val="14"/>
      </w:pPr>
      <w:r>
        <w:fldChar w:fldCharType="begin"/>
      </w:r>
      <w:r>
        <w:instrText xml:space="preserve"> HYPERLINK \l "_Toc21291" </w:instrText>
      </w:r>
      <w:r>
        <w:fldChar w:fldCharType="separate"/>
      </w:r>
      <w:r>
        <w:rPr>
          <w:rFonts w:hint="eastAsia"/>
        </w:rPr>
        <w:t xml:space="preserve">4 </w:t>
      </w:r>
      <w:r>
        <w:t>合格投标人</w:t>
      </w:r>
      <w:r>
        <w:rPr>
          <w:rFonts w:hint="eastAsia"/>
        </w:rPr>
        <w:t>及合格投标</w:t>
      </w:r>
      <w:r>
        <w:tab/>
      </w:r>
      <w:r>
        <w:fldChar w:fldCharType="begin"/>
      </w:r>
      <w:r>
        <w:instrText xml:space="preserve"> PAGEREF _Toc21291 \h </w:instrText>
      </w:r>
      <w:r>
        <w:fldChar w:fldCharType="separate"/>
      </w:r>
      <w:r>
        <w:t>12</w:t>
      </w:r>
      <w:r>
        <w:fldChar w:fldCharType="end"/>
      </w:r>
      <w:r>
        <w:fldChar w:fldCharType="end"/>
      </w:r>
    </w:p>
    <w:p>
      <w:pPr>
        <w:pStyle w:val="14"/>
      </w:pPr>
      <w:r>
        <w:fldChar w:fldCharType="begin"/>
      </w:r>
      <w:r>
        <w:instrText xml:space="preserve"> HYPERLINK \l "_Toc11646" </w:instrText>
      </w:r>
      <w:r>
        <w:fldChar w:fldCharType="separate"/>
      </w:r>
      <w:r>
        <w:rPr>
          <w:rFonts w:hint="eastAsia"/>
        </w:rPr>
        <w:t xml:space="preserve">5 </w:t>
      </w:r>
      <w:r>
        <w:t>现场踏勘</w:t>
      </w:r>
      <w:r>
        <w:tab/>
      </w:r>
      <w:r>
        <w:fldChar w:fldCharType="begin"/>
      </w:r>
      <w:r>
        <w:instrText xml:space="preserve"> PAGEREF _Toc11646 \h </w:instrText>
      </w:r>
      <w:r>
        <w:fldChar w:fldCharType="separate"/>
      </w:r>
      <w:r>
        <w:t>14</w:t>
      </w:r>
      <w:r>
        <w:fldChar w:fldCharType="end"/>
      </w:r>
      <w:r>
        <w:fldChar w:fldCharType="end"/>
      </w:r>
    </w:p>
    <w:p>
      <w:pPr>
        <w:pStyle w:val="14"/>
      </w:pPr>
      <w:r>
        <w:fldChar w:fldCharType="begin"/>
      </w:r>
      <w:r>
        <w:instrText xml:space="preserve"> HYPERLINK \l "_Toc3121" </w:instrText>
      </w:r>
      <w:r>
        <w:fldChar w:fldCharType="separate"/>
      </w:r>
      <w:r>
        <w:rPr>
          <w:rFonts w:hint="eastAsia"/>
        </w:rPr>
        <w:t xml:space="preserve">6 </w:t>
      </w:r>
      <w:r>
        <w:t>投标费用</w:t>
      </w:r>
      <w:r>
        <w:tab/>
      </w:r>
      <w:r>
        <w:fldChar w:fldCharType="begin"/>
      </w:r>
      <w:r>
        <w:instrText xml:space="preserve"> PAGEREF _Toc3121 \h </w:instrText>
      </w:r>
      <w:r>
        <w:fldChar w:fldCharType="separate"/>
      </w:r>
      <w:r>
        <w:t>15</w:t>
      </w:r>
      <w:r>
        <w:fldChar w:fldCharType="end"/>
      </w:r>
      <w:r>
        <w:fldChar w:fldCharType="end"/>
      </w:r>
    </w:p>
    <w:p>
      <w:pPr>
        <w:pStyle w:val="14"/>
        <w:ind w:leftChars="200" w:hanging="420" w:hangingChars="200"/>
      </w:pPr>
      <w:r>
        <w:fldChar w:fldCharType="begin"/>
      </w:r>
      <w:r>
        <w:instrText xml:space="preserve"> HYPERLINK \l "_Toc26309" </w:instrText>
      </w:r>
      <w:r>
        <w:fldChar w:fldCharType="separate"/>
      </w:r>
      <w:r>
        <w:rPr>
          <w:rFonts w:hint="eastAsia"/>
        </w:rPr>
        <w:t xml:space="preserve">三、 </w:t>
      </w:r>
      <w:r>
        <w:t>招标文件</w:t>
      </w:r>
      <w:r>
        <w:tab/>
      </w:r>
      <w:r>
        <w:fldChar w:fldCharType="begin"/>
      </w:r>
      <w:r>
        <w:instrText xml:space="preserve"> PAGEREF _Toc26309 \h </w:instrText>
      </w:r>
      <w:r>
        <w:fldChar w:fldCharType="separate"/>
      </w:r>
      <w:r>
        <w:t>15</w:t>
      </w:r>
      <w:r>
        <w:fldChar w:fldCharType="end"/>
      </w:r>
      <w:r>
        <w:fldChar w:fldCharType="end"/>
      </w:r>
    </w:p>
    <w:p>
      <w:pPr>
        <w:pStyle w:val="14"/>
      </w:pPr>
      <w:r>
        <w:fldChar w:fldCharType="begin"/>
      </w:r>
      <w:r>
        <w:instrText xml:space="preserve"> HYPERLINK \l "_Toc29685" </w:instrText>
      </w:r>
      <w:r>
        <w:fldChar w:fldCharType="separate"/>
      </w:r>
      <w:r>
        <w:rPr>
          <w:rFonts w:hint="eastAsia"/>
        </w:rPr>
        <w:t xml:space="preserve">7 </w:t>
      </w:r>
      <w:r>
        <w:t>招标文件的组成</w:t>
      </w:r>
      <w:r>
        <w:tab/>
      </w:r>
      <w:r>
        <w:fldChar w:fldCharType="begin"/>
      </w:r>
      <w:r>
        <w:instrText xml:space="preserve"> PAGEREF _Toc29685 \h </w:instrText>
      </w:r>
      <w:r>
        <w:fldChar w:fldCharType="separate"/>
      </w:r>
      <w:r>
        <w:t>15</w:t>
      </w:r>
      <w:r>
        <w:fldChar w:fldCharType="end"/>
      </w:r>
      <w:r>
        <w:fldChar w:fldCharType="end"/>
      </w:r>
    </w:p>
    <w:p>
      <w:pPr>
        <w:pStyle w:val="14"/>
      </w:pPr>
      <w:r>
        <w:fldChar w:fldCharType="begin"/>
      </w:r>
      <w:r>
        <w:instrText xml:space="preserve"> HYPERLINK \l "_Toc13004" </w:instrText>
      </w:r>
      <w:r>
        <w:fldChar w:fldCharType="separate"/>
      </w:r>
      <w:r>
        <w:rPr>
          <w:rFonts w:hint="eastAsia"/>
        </w:rPr>
        <w:t xml:space="preserve">8 </w:t>
      </w:r>
      <w:r>
        <w:t>招标文件的澄清</w:t>
      </w:r>
      <w:r>
        <w:tab/>
      </w:r>
      <w:r>
        <w:fldChar w:fldCharType="begin"/>
      </w:r>
      <w:r>
        <w:instrText xml:space="preserve"> PAGEREF _Toc13004 \h </w:instrText>
      </w:r>
      <w:r>
        <w:fldChar w:fldCharType="separate"/>
      </w:r>
      <w:r>
        <w:t>15</w:t>
      </w:r>
      <w:r>
        <w:fldChar w:fldCharType="end"/>
      </w:r>
      <w:r>
        <w:fldChar w:fldCharType="end"/>
      </w:r>
    </w:p>
    <w:p>
      <w:pPr>
        <w:pStyle w:val="14"/>
      </w:pPr>
      <w:r>
        <w:fldChar w:fldCharType="begin"/>
      </w:r>
      <w:r>
        <w:instrText xml:space="preserve"> HYPERLINK \l "_Toc19331" </w:instrText>
      </w:r>
      <w:r>
        <w:fldChar w:fldCharType="separate"/>
      </w:r>
      <w:r>
        <w:rPr>
          <w:rFonts w:hint="eastAsia"/>
        </w:rPr>
        <w:t xml:space="preserve">9 </w:t>
      </w:r>
      <w:r>
        <w:t>招标文件的修改</w:t>
      </w:r>
      <w:r>
        <w:tab/>
      </w:r>
      <w:r>
        <w:fldChar w:fldCharType="begin"/>
      </w:r>
      <w:r>
        <w:instrText xml:space="preserve"> PAGEREF _Toc19331 \h </w:instrText>
      </w:r>
      <w:r>
        <w:fldChar w:fldCharType="separate"/>
      </w:r>
      <w:r>
        <w:t>16</w:t>
      </w:r>
      <w:r>
        <w:fldChar w:fldCharType="end"/>
      </w:r>
      <w:r>
        <w:fldChar w:fldCharType="end"/>
      </w:r>
    </w:p>
    <w:p>
      <w:pPr>
        <w:pStyle w:val="14"/>
        <w:ind w:left="0" w:leftChars="0" w:firstLine="420" w:firstLineChars="200"/>
      </w:pPr>
      <w:r>
        <w:fldChar w:fldCharType="begin"/>
      </w:r>
      <w:r>
        <w:instrText xml:space="preserve"> HYPERLINK \l "_Toc10336" </w:instrText>
      </w:r>
      <w:r>
        <w:fldChar w:fldCharType="separate"/>
      </w:r>
      <w:r>
        <w:rPr>
          <w:rFonts w:hint="eastAsia"/>
        </w:rPr>
        <w:t xml:space="preserve">四、 </w:t>
      </w:r>
      <w:r>
        <w:t>投标文件的编制</w:t>
      </w:r>
      <w:r>
        <w:tab/>
      </w:r>
      <w:r>
        <w:fldChar w:fldCharType="begin"/>
      </w:r>
      <w:r>
        <w:instrText xml:space="preserve"> PAGEREF _Toc10336 \h </w:instrText>
      </w:r>
      <w:r>
        <w:fldChar w:fldCharType="separate"/>
      </w:r>
      <w:r>
        <w:t>16</w:t>
      </w:r>
      <w:r>
        <w:fldChar w:fldCharType="end"/>
      </w:r>
      <w:r>
        <w:fldChar w:fldCharType="end"/>
      </w:r>
    </w:p>
    <w:p>
      <w:pPr>
        <w:pStyle w:val="14"/>
      </w:pPr>
      <w:r>
        <w:fldChar w:fldCharType="begin"/>
      </w:r>
      <w:r>
        <w:instrText xml:space="preserve"> HYPERLINK \l "_Toc26801" </w:instrText>
      </w:r>
      <w:r>
        <w:fldChar w:fldCharType="separate"/>
      </w:r>
      <w:r>
        <w:rPr>
          <w:rFonts w:hint="eastAsia"/>
        </w:rPr>
        <w:t xml:space="preserve">10 </w:t>
      </w:r>
      <w:r>
        <w:t>投标文件的语言及度量衡</w:t>
      </w:r>
      <w:r>
        <w:tab/>
      </w:r>
      <w:r>
        <w:fldChar w:fldCharType="begin"/>
      </w:r>
      <w:r>
        <w:instrText xml:space="preserve"> PAGEREF _Toc26801 \h </w:instrText>
      </w:r>
      <w:r>
        <w:fldChar w:fldCharType="separate"/>
      </w:r>
      <w:r>
        <w:t>16</w:t>
      </w:r>
      <w:r>
        <w:fldChar w:fldCharType="end"/>
      </w:r>
      <w:r>
        <w:fldChar w:fldCharType="end"/>
      </w:r>
    </w:p>
    <w:p>
      <w:pPr>
        <w:pStyle w:val="14"/>
      </w:pPr>
      <w:r>
        <w:fldChar w:fldCharType="begin"/>
      </w:r>
      <w:r>
        <w:instrText xml:space="preserve"> HYPERLINK \l "_Toc32560" </w:instrText>
      </w:r>
      <w:r>
        <w:fldChar w:fldCharType="separate"/>
      </w:r>
      <w:r>
        <w:rPr>
          <w:rFonts w:hint="eastAsia"/>
        </w:rPr>
        <w:t xml:space="preserve">11 </w:t>
      </w:r>
      <w:r>
        <w:t>投标文件的组成</w:t>
      </w:r>
      <w:r>
        <w:tab/>
      </w:r>
      <w:r>
        <w:fldChar w:fldCharType="begin"/>
      </w:r>
      <w:r>
        <w:instrText xml:space="preserve"> PAGEREF _Toc32560 \h </w:instrText>
      </w:r>
      <w:r>
        <w:fldChar w:fldCharType="separate"/>
      </w:r>
      <w:r>
        <w:t>16</w:t>
      </w:r>
      <w:r>
        <w:fldChar w:fldCharType="end"/>
      </w:r>
      <w:r>
        <w:fldChar w:fldCharType="end"/>
      </w:r>
    </w:p>
    <w:p>
      <w:pPr>
        <w:pStyle w:val="14"/>
      </w:pPr>
      <w:r>
        <w:fldChar w:fldCharType="begin"/>
      </w:r>
      <w:r>
        <w:instrText xml:space="preserve"> HYPERLINK \l "_Toc24775" </w:instrText>
      </w:r>
      <w:r>
        <w:fldChar w:fldCharType="separate"/>
      </w:r>
      <w:r>
        <w:rPr>
          <w:rFonts w:hint="eastAsia"/>
        </w:rPr>
        <w:t xml:space="preserve">12 </w:t>
      </w:r>
      <w:r>
        <w:t>投标文件格式</w:t>
      </w:r>
      <w:r>
        <w:tab/>
      </w:r>
      <w:r>
        <w:fldChar w:fldCharType="begin"/>
      </w:r>
      <w:r>
        <w:instrText xml:space="preserve"> PAGEREF _Toc24775 \h </w:instrText>
      </w:r>
      <w:r>
        <w:fldChar w:fldCharType="separate"/>
      </w:r>
      <w:r>
        <w:t>18</w:t>
      </w:r>
      <w:r>
        <w:fldChar w:fldCharType="end"/>
      </w:r>
      <w:r>
        <w:fldChar w:fldCharType="end"/>
      </w:r>
    </w:p>
    <w:p>
      <w:pPr>
        <w:pStyle w:val="14"/>
      </w:pPr>
      <w:r>
        <w:fldChar w:fldCharType="begin"/>
      </w:r>
      <w:r>
        <w:instrText xml:space="preserve"> HYPERLINK \l "_Toc2680" </w:instrText>
      </w:r>
      <w:r>
        <w:fldChar w:fldCharType="separate"/>
      </w:r>
      <w:r>
        <w:rPr>
          <w:rFonts w:hint="eastAsia"/>
        </w:rPr>
        <w:t xml:space="preserve">13 </w:t>
      </w:r>
      <w:r>
        <w:t>投标报价</w:t>
      </w:r>
      <w:r>
        <w:tab/>
      </w:r>
      <w:r>
        <w:fldChar w:fldCharType="begin"/>
      </w:r>
      <w:r>
        <w:instrText xml:space="preserve"> PAGEREF _Toc2680 \h </w:instrText>
      </w:r>
      <w:r>
        <w:fldChar w:fldCharType="separate"/>
      </w:r>
      <w:r>
        <w:t>18</w:t>
      </w:r>
      <w:r>
        <w:fldChar w:fldCharType="end"/>
      </w:r>
      <w:r>
        <w:fldChar w:fldCharType="end"/>
      </w:r>
    </w:p>
    <w:p>
      <w:pPr>
        <w:pStyle w:val="14"/>
      </w:pPr>
      <w:r>
        <w:fldChar w:fldCharType="begin"/>
      </w:r>
      <w:r>
        <w:instrText xml:space="preserve"> HYPERLINK \l "_Toc10487" </w:instrText>
      </w:r>
      <w:r>
        <w:fldChar w:fldCharType="separate"/>
      </w:r>
      <w:r>
        <w:rPr>
          <w:rFonts w:hint="eastAsia"/>
        </w:rPr>
        <w:t xml:space="preserve">14 </w:t>
      </w:r>
      <w:r>
        <w:t>投标货币</w:t>
      </w:r>
      <w:r>
        <w:tab/>
      </w:r>
      <w:r>
        <w:fldChar w:fldCharType="begin"/>
      </w:r>
      <w:r>
        <w:instrText xml:space="preserve"> PAGEREF _Toc10487 \h </w:instrText>
      </w:r>
      <w:r>
        <w:fldChar w:fldCharType="separate"/>
      </w:r>
      <w:r>
        <w:t>20</w:t>
      </w:r>
      <w:r>
        <w:fldChar w:fldCharType="end"/>
      </w:r>
      <w:r>
        <w:fldChar w:fldCharType="end"/>
      </w:r>
    </w:p>
    <w:p>
      <w:pPr>
        <w:pStyle w:val="14"/>
      </w:pPr>
      <w:r>
        <w:fldChar w:fldCharType="begin"/>
      </w:r>
      <w:r>
        <w:instrText xml:space="preserve"> HYPERLINK \l "_Toc9719" </w:instrText>
      </w:r>
      <w:r>
        <w:fldChar w:fldCharType="separate"/>
      </w:r>
      <w:r>
        <w:rPr>
          <w:rFonts w:hint="eastAsia"/>
        </w:rPr>
        <w:t xml:space="preserve">15 </w:t>
      </w:r>
      <w:r>
        <w:t>投标有效期</w:t>
      </w:r>
      <w:r>
        <w:tab/>
      </w:r>
      <w:r>
        <w:fldChar w:fldCharType="begin"/>
      </w:r>
      <w:r>
        <w:instrText xml:space="preserve"> PAGEREF _Toc9719 \h </w:instrText>
      </w:r>
      <w:r>
        <w:fldChar w:fldCharType="separate"/>
      </w:r>
      <w:r>
        <w:t>20</w:t>
      </w:r>
      <w:r>
        <w:fldChar w:fldCharType="end"/>
      </w:r>
      <w:r>
        <w:fldChar w:fldCharType="end"/>
      </w:r>
    </w:p>
    <w:p>
      <w:pPr>
        <w:pStyle w:val="14"/>
      </w:pPr>
      <w:r>
        <w:fldChar w:fldCharType="begin"/>
      </w:r>
      <w:r>
        <w:instrText xml:space="preserve"> HYPERLINK \l "_Toc25584" </w:instrText>
      </w:r>
      <w:r>
        <w:fldChar w:fldCharType="separate"/>
      </w:r>
      <w:r>
        <w:rPr>
          <w:rFonts w:hint="eastAsia"/>
        </w:rPr>
        <w:t xml:space="preserve">16 </w:t>
      </w:r>
      <w:r>
        <w:t>投标</w:t>
      </w:r>
      <w:r>
        <w:rPr>
          <w:rFonts w:hint="eastAsia"/>
        </w:rPr>
        <w:t>保证金</w:t>
      </w:r>
      <w:r>
        <w:tab/>
      </w:r>
      <w:r>
        <w:fldChar w:fldCharType="begin"/>
      </w:r>
      <w:r>
        <w:instrText xml:space="preserve"> PAGEREF _Toc25584 \h </w:instrText>
      </w:r>
      <w:r>
        <w:fldChar w:fldCharType="separate"/>
      </w:r>
      <w:r>
        <w:t>20</w:t>
      </w:r>
      <w:r>
        <w:fldChar w:fldCharType="end"/>
      </w:r>
      <w:r>
        <w:fldChar w:fldCharType="end"/>
      </w:r>
    </w:p>
    <w:p>
      <w:pPr>
        <w:pStyle w:val="14"/>
      </w:pPr>
      <w:r>
        <w:fldChar w:fldCharType="begin"/>
      </w:r>
      <w:r>
        <w:instrText xml:space="preserve"> HYPERLINK \l "_Toc4041" </w:instrText>
      </w:r>
      <w:r>
        <w:fldChar w:fldCharType="separate"/>
      </w:r>
      <w:r>
        <w:rPr>
          <w:rFonts w:hint="eastAsia"/>
        </w:rPr>
        <w:t xml:space="preserve">17 </w:t>
      </w:r>
      <w:r>
        <w:t>投标人的替代方案</w:t>
      </w:r>
      <w:r>
        <w:tab/>
      </w:r>
      <w:r>
        <w:fldChar w:fldCharType="begin"/>
      </w:r>
      <w:r>
        <w:instrText xml:space="preserve"> PAGEREF _Toc4041 \h </w:instrText>
      </w:r>
      <w:r>
        <w:fldChar w:fldCharType="separate"/>
      </w:r>
      <w:r>
        <w:t>23</w:t>
      </w:r>
      <w:r>
        <w:fldChar w:fldCharType="end"/>
      </w:r>
      <w:r>
        <w:fldChar w:fldCharType="end"/>
      </w:r>
    </w:p>
    <w:p>
      <w:pPr>
        <w:pStyle w:val="14"/>
      </w:pPr>
      <w:r>
        <w:fldChar w:fldCharType="begin"/>
      </w:r>
      <w:r>
        <w:instrText xml:space="preserve"> HYPERLINK \l "_Toc3298" </w:instrText>
      </w:r>
      <w:r>
        <w:fldChar w:fldCharType="separate"/>
      </w:r>
      <w:r>
        <w:rPr>
          <w:rFonts w:hint="eastAsia"/>
        </w:rPr>
        <w:t xml:space="preserve">18 </w:t>
      </w:r>
      <w:r>
        <w:t>投标文件的编制和签署</w:t>
      </w:r>
      <w:r>
        <w:tab/>
      </w:r>
      <w:r>
        <w:fldChar w:fldCharType="begin"/>
      </w:r>
      <w:r>
        <w:instrText xml:space="preserve"> PAGEREF _Toc3298 \h </w:instrText>
      </w:r>
      <w:r>
        <w:fldChar w:fldCharType="separate"/>
      </w:r>
      <w:r>
        <w:t>23</w:t>
      </w:r>
      <w:r>
        <w:fldChar w:fldCharType="end"/>
      </w:r>
      <w:r>
        <w:fldChar w:fldCharType="end"/>
      </w:r>
    </w:p>
    <w:p>
      <w:pPr>
        <w:pStyle w:val="14"/>
        <w:ind w:left="0" w:leftChars="0" w:firstLine="420" w:firstLineChars="200"/>
      </w:pPr>
      <w:r>
        <w:fldChar w:fldCharType="begin"/>
      </w:r>
      <w:r>
        <w:instrText xml:space="preserve"> HYPERLINK \l "_Toc15834" </w:instrText>
      </w:r>
      <w:r>
        <w:fldChar w:fldCharType="separate"/>
      </w:r>
      <w:r>
        <w:rPr>
          <w:rFonts w:hint="eastAsia"/>
        </w:rPr>
        <w:t xml:space="preserve">五、 </w:t>
      </w:r>
      <w:r>
        <w:t>投标文件的递交</w:t>
      </w:r>
      <w:r>
        <w:tab/>
      </w:r>
      <w:r>
        <w:fldChar w:fldCharType="begin"/>
      </w:r>
      <w:r>
        <w:instrText xml:space="preserve"> PAGEREF _Toc15834 \h </w:instrText>
      </w:r>
      <w:r>
        <w:fldChar w:fldCharType="separate"/>
      </w:r>
      <w:r>
        <w:t>24</w:t>
      </w:r>
      <w:r>
        <w:fldChar w:fldCharType="end"/>
      </w:r>
      <w:r>
        <w:fldChar w:fldCharType="end"/>
      </w:r>
    </w:p>
    <w:p>
      <w:pPr>
        <w:pStyle w:val="14"/>
      </w:pPr>
      <w:r>
        <w:fldChar w:fldCharType="begin"/>
      </w:r>
      <w:r>
        <w:instrText xml:space="preserve"> HYPERLINK \l "_Toc29597" </w:instrText>
      </w:r>
      <w:r>
        <w:fldChar w:fldCharType="separate"/>
      </w:r>
      <w:r>
        <w:rPr>
          <w:rFonts w:hint="eastAsia"/>
        </w:rPr>
        <w:t xml:space="preserve">19 </w:t>
      </w:r>
      <w:r>
        <w:t>投标文件的密封与标记</w:t>
      </w:r>
      <w:r>
        <w:tab/>
      </w:r>
      <w:r>
        <w:fldChar w:fldCharType="begin"/>
      </w:r>
      <w:r>
        <w:instrText xml:space="preserve"> PAGEREF _Toc29597 \h </w:instrText>
      </w:r>
      <w:r>
        <w:fldChar w:fldCharType="separate"/>
      </w:r>
      <w:r>
        <w:t>24</w:t>
      </w:r>
      <w:r>
        <w:fldChar w:fldCharType="end"/>
      </w:r>
      <w:r>
        <w:fldChar w:fldCharType="end"/>
      </w:r>
    </w:p>
    <w:p>
      <w:pPr>
        <w:pStyle w:val="14"/>
      </w:pPr>
      <w:r>
        <w:fldChar w:fldCharType="begin"/>
      </w:r>
      <w:r>
        <w:instrText xml:space="preserve"> HYPERLINK \l "_Toc29698" </w:instrText>
      </w:r>
      <w:r>
        <w:fldChar w:fldCharType="separate"/>
      </w:r>
      <w:r>
        <w:rPr>
          <w:rFonts w:hint="eastAsia"/>
        </w:rPr>
        <w:t xml:space="preserve">20 </w:t>
      </w:r>
      <w:r>
        <w:t>投标文件的提交</w:t>
      </w:r>
      <w:r>
        <w:tab/>
      </w:r>
      <w:r>
        <w:fldChar w:fldCharType="begin"/>
      </w:r>
      <w:r>
        <w:instrText xml:space="preserve"> PAGEREF _Toc29698 \h </w:instrText>
      </w:r>
      <w:r>
        <w:fldChar w:fldCharType="separate"/>
      </w:r>
      <w:r>
        <w:t>24</w:t>
      </w:r>
      <w:r>
        <w:fldChar w:fldCharType="end"/>
      </w:r>
      <w:r>
        <w:fldChar w:fldCharType="end"/>
      </w:r>
    </w:p>
    <w:p>
      <w:pPr>
        <w:pStyle w:val="14"/>
      </w:pPr>
      <w:r>
        <w:fldChar w:fldCharType="begin"/>
      </w:r>
      <w:r>
        <w:instrText xml:space="preserve"> HYPERLINK \l "_Toc23224" </w:instrText>
      </w:r>
      <w:r>
        <w:fldChar w:fldCharType="separate"/>
      </w:r>
      <w:r>
        <w:rPr>
          <w:rFonts w:hint="eastAsia"/>
        </w:rPr>
        <w:t xml:space="preserve">21 </w:t>
      </w:r>
      <w:r>
        <w:t>投标会时间、地点及投标文件提交的截止时间</w:t>
      </w:r>
      <w:r>
        <w:tab/>
      </w:r>
      <w:r>
        <w:fldChar w:fldCharType="begin"/>
      </w:r>
      <w:r>
        <w:instrText xml:space="preserve"> PAGEREF _Toc23224 \h </w:instrText>
      </w:r>
      <w:r>
        <w:fldChar w:fldCharType="separate"/>
      </w:r>
      <w:r>
        <w:t>25</w:t>
      </w:r>
      <w:r>
        <w:fldChar w:fldCharType="end"/>
      </w:r>
      <w:r>
        <w:fldChar w:fldCharType="end"/>
      </w:r>
    </w:p>
    <w:p>
      <w:pPr>
        <w:pStyle w:val="14"/>
      </w:pPr>
      <w:r>
        <w:fldChar w:fldCharType="begin"/>
      </w:r>
      <w:r>
        <w:instrText xml:space="preserve"> HYPERLINK \l "_Toc18455" </w:instrText>
      </w:r>
      <w:r>
        <w:fldChar w:fldCharType="separate"/>
      </w:r>
      <w:r>
        <w:rPr>
          <w:rFonts w:hint="eastAsia"/>
        </w:rPr>
        <w:t xml:space="preserve">22 </w:t>
      </w:r>
      <w:r>
        <w:t>投标文件的</w:t>
      </w:r>
      <w:r>
        <w:rPr>
          <w:rFonts w:hint="eastAsia"/>
        </w:rPr>
        <w:t>拒绝</w:t>
      </w:r>
      <w:r>
        <w:tab/>
      </w:r>
      <w:r>
        <w:fldChar w:fldCharType="begin"/>
      </w:r>
      <w:r>
        <w:instrText xml:space="preserve"> PAGEREF _Toc18455 \h </w:instrText>
      </w:r>
      <w:r>
        <w:fldChar w:fldCharType="separate"/>
      </w:r>
      <w:r>
        <w:t>25</w:t>
      </w:r>
      <w:r>
        <w:fldChar w:fldCharType="end"/>
      </w:r>
      <w:r>
        <w:fldChar w:fldCharType="end"/>
      </w:r>
    </w:p>
    <w:p>
      <w:pPr>
        <w:pStyle w:val="14"/>
      </w:pPr>
      <w:r>
        <w:fldChar w:fldCharType="begin"/>
      </w:r>
      <w:r>
        <w:instrText xml:space="preserve"> HYPERLINK \l "_Toc20451" </w:instrText>
      </w:r>
      <w:r>
        <w:fldChar w:fldCharType="separate"/>
      </w:r>
      <w:r>
        <w:rPr>
          <w:rFonts w:hint="eastAsia"/>
        </w:rPr>
        <w:t xml:space="preserve">23 </w:t>
      </w:r>
      <w:r>
        <w:t>投标文件的补充、修改与撤回</w:t>
      </w:r>
      <w:r>
        <w:tab/>
      </w:r>
      <w:r>
        <w:fldChar w:fldCharType="begin"/>
      </w:r>
      <w:r>
        <w:instrText xml:space="preserve"> PAGEREF _Toc20451 \h </w:instrText>
      </w:r>
      <w:r>
        <w:fldChar w:fldCharType="separate"/>
      </w:r>
      <w:r>
        <w:t>26</w:t>
      </w:r>
      <w:r>
        <w:fldChar w:fldCharType="end"/>
      </w:r>
      <w:r>
        <w:fldChar w:fldCharType="end"/>
      </w:r>
    </w:p>
    <w:p>
      <w:pPr>
        <w:pStyle w:val="14"/>
        <w:ind w:left="0" w:leftChars="0" w:firstLine="420" w:firstLineChars="200"/>
      </w:pPr>
      <w:r>
        <w:fldChar w:fldCharType="begin"/>
      </w:r>
      <w:r>
        <w:instrText xml:space="preserve"> HYPERLINK \l "_Toc27510" </w:instrText>
      </w:r>
      <w:r>
        <w:fldChar w:fldCharType="separate"/>
      </w:r>
      <w:r>
        <w:rPr>
          <w:rFonts w:hint="eastAsia"/>
        </w:rPr>
        <w:t xml:space="preserve">六、 </w:t>
      </w:r>
      <w:r>
        <w:t>开标与评标</w:t>
      </w:r>
      <w:r>
        <w:tab/>
      </w:r>
      <w:r>
        <w:fldChar w:fldCharType="begin"/>
      </w:r>
      <w:r>
        <w:instrText xml:space="preserve"> PAGEREF _Toc27510 \h </w:instrText>
      </w:r>
      <w:r>
        <w:fldChar w:fldCharType="separate"/>
      </w:r>
      <w:r>
        <w:t>26</w:t>
      </w:r>
      <w:r>
        <w:fldChar w:fldCharType="end"/>
      </w:r>
      <w:r>
        <w:fldChar w:fldCharType="end"/>
      </w:r>
    </w:p>
    <w:p>
      <w:pPr>
        <w:pStyle w:val="14"/>
      </w:pPr>
      <w:r>
        <w:fldChar w:fldCharType="begin"/>
      </w:r>
      <w:r>
        <w:instrText xml:space="preserve"> HYPERLINK \l "_Toc22477" </w:instrText>
      </w:r>
      <w:r>
        <w:fldChar w:fldCharType="separate"/>
      </w:r>
      <w:r>
        <w:rPr>
          <w:rFonts w:hint="eastAsia"/>
        </w:rPr>
        <w:t xml:space="preserve">24 </w:t>
      </w:r>
      <w:r>
        <w:t>开标</w:t>
      </w:r>
      <w:r>
        <w:tab/>
      </w:r>
      <w:r>
        <w:fldChar w:fldCharType="begin"/>
      </w:r>
      <w:r>
        <w:instrText xml:space="preserve"> PAGEREF _Toc22477 \h </w:instrText>
      </w:r>
      <w:r>
        <w:fldChar w:fldCharType="separate"/>
      </w:r>
      <w:r>
        <w:t>26</w:t>
      </w:r>
      <w:r>
        <w:fldChar w:fldCharType="end"/>
      </w:r>
      <w:r>
        <w:fldChar w:fldCharType="end"/>
      </w:r>
    </w:p>
    <w:p>
      <w:pPr>
        <w:pStyle w:val="14"/>
      </w:pPr>
      <w:r>
        <w:fldChar w:fldCharType="begin"/>
      </w:r>
      <w:r>
        <w:instrText xml:space="preserve"> HYPERLINK \l "_Toc3527" </w:instrText>
      </w:r>
      <w:r>
        <w:fldChar w:fldCharType="separate"/>
      </w:r>
      <w:r>
        <w:rPr>
          <w:rFonts w:hint="eastAsia"/>
        </w:rPr>
        <w:t xml:space="preserve">25 </w:t>
      </w:r>
      <w:r>
        <w:t>评标委员会</w:t>
      </w:r>
      <w:r>
        <w:tab/>
      </w:r>
      <w:r>
        <w:fldChar w:fldCharType="begin"/>
      </w:r>
      <w:r>
        <w:instrText xml:space="preserve"> PAGEREF _Toc3527 \h </w:instrText>
      </w:r>
      <w:r>
        <w:fldChar w:fldCharType="separate"/>
      </w:r>
      <w:r>
        <w:t>27</w:t>
      </w:r>
      <w:r>
        <w:fldChar w:fldCharType="end"/>
      </w:r>
      <w:r>
        <w:fldChar w:fldCharType="end"/>
      </w:r>
    </w:p>
    <w:p>
      <w:pPr>
        <w:pStyle w:val="14"/>
      </w:pPr>
      <w:r>
        <w:fldChar w:fldCharType="begin"/>
      </w:r>
      <w:r>
        <w:instrText xml:space="preserve"> HYPERLINK \l "_Toc4684" </w:instrText>
      </w:r>
      <w:r>
        <w:fldChar w:fldCharType="separate"/>
      </w:r>
      <w:r>
        <w:rPr>
          <w:rFonts w:hint="eastAsia"/>
        </w:rPr>
        <w:t xml:space="preserve">26 </w:t>
      </w:r>
      <w:r>
        <w:t>投标文件的有效性</w:t>
      </w:r>
      <w:r>
        <w:tab/>
      </w:r>
      <w:r>
        <w:fldChar w:fldCharType="begin"/>
      </w:r>
      <w:r>
        <w:instrText xml:space="preserve"> PAGEREF _Toc4684 \h </w:instrText>
      </w:r>
      <w:r>
        <w:fldChar w:fldCharType="separate"/>
      </w:r>
      <w:r>
        <w:t>27</w:t>
      </w:r>
      <w:r>
        <w:fldChar w:fldCharType="end"/>
      </w:r>
      <w:r>
        <w:fldChar w:fldCharType="end"/>
      </w:r>
    </w:p>
    <w:p>
      <w:pPr>
        <w:pStyle w:val="14"/>
      </w:pPr>
      <w:r>
        <w:fldChar w:fldCharType="begin"/>
      </w:r>
      <w:r>
        <w:instrText xml:space="preserve"> HYPERLINK \l "_Toc2836" </w:instrText>
      </w:r>
      <w:r>
        <w:fldChar w:fldCharType="separate"/>
      </w:r>
      <w:r>
        <w:rPr>
          <w:rFonts w:hint="eastAsia"/>
        </w:rPr>
        <w:t xml:space="preserve">27 </w:t>
      </w:r>
      <w:r>
        <w:t>过程保密</w:t>
      </w:r>
      <w:r>
        <w:tab/>
      </w:r>
      <w:r>
        <w:fldChar w:fldCharType="begin"/>
      </w:r>
      <w:r>
        <w:instrText xml:space="preserve"> PAGEREF _Toc2836 \h </w:instrText>
      </w:r>
      <w:r>
        <w:fldChar w:fldCharType="separate"/>
      </w:r>
      <w:r>
        <w:t>28</w:t>
      </w:r>
      <w:r>
        <w:fldChar w:fldCharType="end"/>
      </w:r>
      <w:r>
        <w:fldChar w:fldCharType="end"/>
      </w:r>
    </w:p>
    <w:p>
      <w:pPr>
        <w:pStyle w:val="14"/>
      </w:pPr>
      <w:r>
        <w:fldChar w:fldCharType="begin"/>
      </w:r>
      <w:r>
        <w:instrText xml:space="preserve"> HYPERLINK \l "_Toc24740" </w:instrText>
      </w:r>
      <w:r>
        <w:fldChar w:fldCharType="separate"/>
      </w:r>
      <w:r>
        <w:rPr>
          <w:rFonts w:hint="eastAsia"/>
        </w:rPr>
        <w:t xml:space="preserve">28 </w:t>
      </w:r>
      <w:r>
        <w:t>投标文件的澄清</w:t>
      </w:r>
      <w:r>
        <w:tab/>
      </w:r>
      <w:r>
        <w:fldChar w:fldCharType="begin"/>
      </w:r>
      <w:r>
        <w:instrText xml:space="preserve"> PAGEREF _Toc24740 \h </w:instrText>
      </w:r>
      <w:r>
        <w:fldChar w:fldCharType="separate"/>
      </w:r>
      <w:r>
        <w:t>28</w:t>
      </w:r>
      <w:r>
        <w:fldChar w:fldCharType="end"/>
      </w:r>
      <w:r>
        <w:fldChar w:fldCharType="end"/>
      </w:r>
    </w:p>
    <w:p>
      <w:pPr>
        <w:pStyle w:val="14"/>
      </w:pPr>
      <w:r>
        <w:fldChar w:fldCharType="begin"/>
      </w:r>
      <w:r>
        <w:instrText xml:space="preserve"> HYPERLINK \l "_Toc26475" </w:instrText>
      </w:r>
      <w:r>
        <w:fldChar w:fldCharType="separate"/>
      </w:r>
      <w:r>
        <w:rPr>
          <w:rFonts w:hint="eastAsia"/>
        </w:rPr>
        <w:t xml:space="preserve">29 </w:t>
      </w:r>
      <w:r>
        <w:t>评标和定标原则</w:t>
      </w:r>
      <w:r>
        <w:tab/>
      </w:r>
      <w:r>
        <w:fldChar w:fldCharType="begin"/>
      </w:r>
      <w:r>
        <w:instrText xml:space="preserve"> PAGEREF _Toc26475 \h </w:instrText>
      </w:r>
      <w:r>
        <w:fldChar w:fldCharType="separate"/>
      </w:r>
      <w:r>
        <w:t>28</w:t>
      </w:r>
      <w:r>
        <w:fldChar w:fldCharType="end"/>
      </w:r>
      <w:r>
        <w:fldChar w:fldCharType="end"/>
      </w:r>
    </w:p>
    <w:p>
      <w:pPr>
        <w:pStyle w:val="14"/>
      </w:pPr>
      <w:r>
        <w:fldChar w:fldCharType="begin"/>
      </w:r>
      <w:r>
        <w:instrText xml:space="preserve"> HYPERLINK \l "_Toc10015" </w:instrText>
      </w:r>
      <w:r>
        <w:fldChar w:fldCharType="separate"/>
      </w:r>
      <w:r>
        <w:rPr>
          <w:rFonts w:hint="eastAsia"/>
        </w:rPr>
        <w:t>30 评标结果公示及异议、投诉</w:t>
      </w:r>
      <w:r>
        <w:tab/>
      </w:r>
      <w:r>
        <w:fldChar w:fldCharType="begin"/>
      </w:r>
      <w:r>
        <w:instrText xml:space="preserve"> PAGEREF _Toc10015 \h </w:instrText>
      </w:r>
      <w:r>
        <w:fldChar w:fldCharType="separate"/>
      </w:r>
      <w:r>
        <w:t>28</w:t>
      </w:r>
      <w:r>
        <w:fldChar w:fldCharType="end"/>
      </w:r>
      <w:r>
        <w:fldChar w:fldCharType="end"/>
      </w:r>
    </w:p>
    <w:p>
      <w:pPr>
        <w:pStyle w:val="14"/>
      </w:pPr>
      <w:r>
        <w:fldChar w:fldCharType="begin"/>
      </w:r>
      <w:r>
        <w:instrText xml:space="preserve"> HYPERLINK \l "_Toc27801" </w:instrText>
      </w:r>
      <w:r>
        <w:fldChar w:fldCharType="separate"/>
      </w:r>
      <w:r>
        <w:rPr>
          <w:rFonts w:hint="eastAsia"/>
        </w:rPr>
        <w:t>31 中标原则及</w:t>
      </w:r>
      <w:r>
        <w:t>中标通知书</w:t>
      </w:r>
      <w:r>
        <w:tab/>
      </w:r>
      <w:r>
        <w:fldChar w:fldCharType="begin"/>
      </w:r>
      <w:r>
        <w:instrText xml:space="preserve"> PAGEREF _Toc27801 \h </w:instrText>
      </w:r>
      <w:r>
        <w:fldChar w:fldCharType="separate"/>
      </w:r>
      <w:r>
        <w:t>29</w:t>
      </w:r>
      <w:r>
        <w:fldChar w:fldCharType="end"/>
      </w:r>
      <w:r>
        <w:fldChar w:fldCharType="end"/>
      </w:r>
    </w:p>
    <w:p>
      <w:pPr>
        <w:pStyle w:val="14"/>
        <w:ind w:left="0" w:leftChars="0" w:firstLine="420" w:firstLineChars="200"/>
      </w:pPr>
      <w:r>
        <w:fldChar w:fldCharType="begin"/>
      </w:r>
      <w:r>
        <w:instrText xml:space="preserve"> HYPERLINK \l "_Toc19544" </w:instrText>
      </w:r>
      <w:r>
        <w:fldChar w:fldCharType="separate"/>
      </w:r>
      <w:r>
        <w:rPr>
          <w:rFonts w:hint="eastAsia"/>
        </w:rPr>
        <w:t xml:space="preserve">七、 </w:t>
      </w:r>
      <w:r>
        <w:t>授予合同</w:t>
      </w:r>
      <w:r>
        <w:tab/>
      </w:r>
      <w:r>
        <w:fldChar w:fldCharType="begin"/>
      </w:r>
      <w:r>
        <w:instrText xml:space="preserve"> PAGEREF _Toc19544 \h </w:instrText>
      </w:r>
      <w:r>
        <w:fldChar w:fldCharType="separate"/>
      </w:r>
      <w:r>
        <w:t>30</w:t>
      </w:r>
      <w:r>
        <w:fldChar w:fldCharType="end"/>
      </w:r>
      <w:r>
        <w:fldChar w:fldCharType="end"/>
      </w:r>
    </w:p>
    <w:p>
      <w:pPr>
        <w:pStyle w:val="14"/>
      </w:pPr>
      <w:r>
        <w:fldChar w:fldCharType="begin"/>
      </w:r>
      <w:r>
        <w:instrText xml:space="preserve"> HYPERLINK \l "_Toc8904" </w:instrText>
      </w:r>
      <w:r>
        <w:fldChar w:fldCharType="separate"/>
      </w:r>
      <w:r>
        <w:rPr>
          <w:rFonts w:hint="eastAsia"/>
        </w:rPr>
        <w:t xml:space="preserve">32 </w:t>
      </w:r>
      <w:r>
        <w:t>合同授予标准</w:t>
      </w:r>
      <w:r>
        <w:tab/>
      </w:r>
      <w:r>
        <w:fldChar w:fldCharType="begin"/>
      </w:r>
      <w:r>
        <w:instrText xml:space="preserve"> PAGEREF _Toc8904 \h </w:instrText>
      </w:r>
      <w:r>
        <w:fldChar w:fldCharType="separate"/>
      </w:r>
      <w:r>
        <w:t>30</w:t>
      </w:r>
      <w:r>
        <w:fldChar w:fldCharType="end"/>
      </w:r>
      <w:r>
        <w:fldChar w:fldCharType="end"/>
      </w:r>
    </w:p>
    <w:p>
      <w:pPr>
        <w:pStyle w:val="14"/>
      </w:pPr>
      <w:r>
        <w:fldChar w:fldCharType="begin"/>
      </w:r>
      <w:r>
        <w:instrText xml:space="preserve"> HYPERLINK \l "_Toc27618" </w:instrText>
      </w:r>
      <w:r>
        <w:fldChar w:fldCharType="separate"/>
      </w:r>
      <w:r>
        <w:rPr>
          <w:rFonts w:hint="eastAsia"/>
        </w:rPr>
        <w:t xml:space="preserve">33 </w:t>
      </w:r>
      <w:r>
        <w:t>合同的签署</w:t>
      </w:r>
      <w:r>
        <w:tab/>
      </w:r>
      <w:r>
        <w:fldChar w:fldCharType="begin"/>
      </w:r>
      <w:r>
        <w:instrText xml:space="preserve"> PAGEREF _Toc27618 \h </w:instrText>
      </w:r>
      <w:r>
        <w:fldChar w:fldCharType="separate"/>
      </w:r>
      <w:r>
        <w:t>30</w:t>
      </w:r>
      <w:r>
        <w:fldChar w:fldCharType="end"/>
      </w:r>
      <w:r>
        <w:fldChar w:fldCharType="end"/>
      </w:r>
    </w:p>
    <w:p>
      <w:pPr>
        <w:pStyle w:val="14"/>
        <w:ind w:left="0" w:leftChars="0" w:firstLine="420" w:firstLineChars="200"/>
      </w:pPr>
      <w:r>
        <w:fldChar w:fldCharType="begin"/>
      </w:r>
      <w:r>
        <w:instrText xml:space="preserve"> HYPERLINK \l "_Toc25348" </w:instrText>
      </w:r>
      <w:r>
        <w:fldChar w:fldCharType="separate"/>
      </w:r>
      <w:r>
        <w:rPr>
          <w:rFonts w:hint="eastAsia"/>
        </w:rPr>
        <w:t xml:space="preserve">八、 </w:t>
      </w:r>
      <w:r>
        <w:t>其他</w:t>
      </w:r>
      <w:r>
        <w:tab/>
      </w:r>
      <w:r>
        <w:fldChar w:fldCharType="begin"/>
      </w:r>
      <w:r>
        <w:instrText xml:space="preserve"> PAGEREF _Toc25348 \h </w:instrText>
      </w:r>
      <w:r>
        <w:fldChar w:fldCharType="separate"/>
      </w:r>
      <w:r>
        <w:t>31</w:t>
      </w:r>
      <w:r>
        <w:fldChar w:fldCharType="end"/>
      </w:r>
      <w:r>
        <w:fldChar w:fldCharType="end"/>
      </w:r>
    </w:p>
    <w:p>
      <w:pPr>
        <w:pStyle w:val="14"/>
      </w:pPr>
      <w:r>
        <w:fldChar w:fldCharType="begin"/>
      </w:r>
      <w:r>
        <w:instrText xml:space="preserve"> HYPERLINK \l "_Toc7994" </w:instrText>
      </w:r>
      <w:r>
        <w:fldChar w:fldCharType="separate"/>
      </w:r>
      <w:r>
        <w:rPr>
          <w:rFonts w:hint="eastAsia"/>
        </w:rPr>
        <w:t xml:space="preserve">34 </w:t>
      </w:r>
      <w:r>
        <w:t>履约担保</w:t>
      </w:r>
      <w:r>
        <w:tab/>
      </w:r>
      <w:r>
        <w:fldChar w:fldCharType="begin"/>
      </w:r>
      <w:r>
        <w:instrText xml:space="preserve"> PAGEREF _Toc7994 \h </w:instrText>
      </w:r>
      <w:r>
        <w:fldChar w:fldCharType="separate"/>
      </w:r>
      <w:r>
        <w:t>31</w:t>
      </w:r>
      <w:r>
        <w:fldChar w:fldCharType="end"/>
      </w:r>
      <w:r>
        <w:fldChar w:fldCharType="end"/>
      </w:r>
    </w:p>
    <w:p>
      <w:pPr>
        <w:pStyle w:val="14"/>
      </w:pPr>
      <w:r>
        <w:fldChar w:fldCharType="begin"/>
      </w:r>
      <w:r>
        <w:instrText xml:space="preserve"> HYPERLINK \l "_Toc31477" </w:instrText>
      </w:r>
      <w:r>
        <w:fldChar w:fldCharType="separate"/>
      </w:r>
      <w:r>
        <w:rPr>
          <w:rFonts w:hint="eastAsia"/>
        </w:rPr>
        <w:t xml:space="preserve">35 </w:t>
      </w:r>
      <w:r>
        <w:t>知识产权</w:t>
      </w:r>
      <w:r>
        <w:tab/>
      </w:r>
      <w:r>
        <w:fldChar w:fldCharType="begin"/>
      </w:r>
      <w:r>
        <w:instrText xml:space="preserve"> PAGEREF _Toc31477 \h </w:instrText>
      </w:r>
      <w:r>
        <w:fldChar w:fldCharType="separate"/>
      </w:r>
      <w:r>
        <w:t>32</w:t>
      </w:r>
      <w:r>
        <w:fldChar w:fldCharType="end"/>
      </w:r>
      <w:r>
        <w:fldChar w:fldCharType="end"/>
      </w:r>
    </w:p>
    <w:p>
      <w:pPr>
        <w:pStyle w:val="14"/>
      </w:pPr>
      <w:r>
        <w:fldChar w:fldCharType="begin"/>
      </w:r>
      <w:r>
        <w:instrText xml:space="preserve"> HYPERLINK \l "_Toc5918" </w:instrText>
      </w:r>
      <w:r>
        <w:fldChar w:fldCharType="separate"/>
      </w:r>
      <w:r>
        <w:rPr>
          <w:rFonts w:hint="eastAsia"/>
        </w:rPr>
        <w:t xml:space="preserve">36 </w:t>
      </w:r>
      <w:r>
        <w:t>其他说明</w:t>
      </w:r>
      <w:r>
        <w:tab/>
      </w:r>
      <w:r>
        <w:fldChar w:fldCharType="begin"/>
      </w:r>
      <w:r>
        <w:instrText xml:space="preserve"> PAGEREF _Toc5918 \h </w:instrText>
      </w:r>
      <w:r>
        <w:fldChar w:fldCharType="separate"/>
      </w:r>
      <w:r>
        <w:t>32</w:t>
      </w:r>
      <w:r>
        <w:fldChar w:fldCharType="end"/>
      </w:r>
      <w:r>
        <w:fldChar w:fldCharType="end"/>
      </w:r>
    </w:p>
    <w:p>
      <w:pPr>
        <w:pStyle w:val="14"/>
        <w:ind w:left="420" w:leftChars="200"/>
      </w:pPr>
      <w:r>
        <w:fldChar w:fldCharType="begin"/>
      </w:r>
      <w:r>
        <w:instrText xml:space="preserve"> HYPERLINK \l "_Toc21322" </w:instrText>
      </w:r>
      <w:r>
        <w:fldChar w:fldCharType="separate"/>
      </w:r>
      <w:r>
        <w:t>附件</w:t>
      </w:r>
      <w:r>
        <w:rPr>
          <w:rFonts w:hint="eastAsia"/>
        </w:rPr>
        <w:t>一</w:t>
      </w:r>
      <w:r>
        <w:t xml:space="preserve">  </w:t>
      </w:r>
      <w:r>
        <w:rPr>
          <w:rFonts w:hint="eastAsia"/>
        </w:rPr>
        <w:t>东莞市沙田福禄沙污水处理厂二期工程等四项工程刮泥机成套系统设备采购</w:t>
      </w:r>
      <w:r>
        <w:t>招标评标办法</w:t>
      </w:r>
      <w:r>
        <w:tab/>
      </w:r>
      <w:r>
        <w:fldChar w:fldCharType="begin"/>
      </w:r>
      <w:r>
        <w:instrText xml:space="preserve"> PAGEREF _Toc21322 \h </w:instrText>
      </w:r>
      <w:r>
        <w:fldChar w:fldCharType="separate"/>
      </w:r>
      <w:r>
        <w:t>35</w:t>
      </w:r>
      <w:r>
        <w:fldChar w:fldCharType="end"/>
      </w:r>
      <w:r>
        <w:fldChar w:fldCharType="end"/>
      </w:r>
    </w:p>
    <w:p>
      <w:pPr>
        <w:pStyle w:val="14"/>
        <w:ind w:leftChars="200" w:hanging="420" w:hangingChars="200"/>
      </w:pPr>
      <w:r>
        <w:fldChar w:fldCharType="begin"/>
      </w:r>
      <w:r>
        <w:instrText xml:space="preserve"> HYPERLINK \l "_Toc22194" </w:instrText>
      </w:r>
      <w:r>
        <w:fldChar w:fldCharType="separate"/>
      </w:r>
      <w:r>
        <w:t>一、评标依据</w:t>
      </w:r>
      <w:r>
        <w:tab/>
      </w:r>
      <w:r>
        <w:fldChar w:fldCharType="begin"/>
      </w:r>
      <w:r>
        <w:instrText xml:space="preserve"> PAGEREF _Toc22194 \h </w:instrText>
      </w:r>
      <w:r>
        <w:fldChar w:fldCharType="separate"/>
      </w:r>
      <w:r>
        <w:t>35</w:t>
      </w:r>
      <w:r>
        <w:fldChar w:fldCharType="end"/>
      </w:r>
      <w:r>
        <w:fldChar w:fldCharType="end"/>
      </w:r>
    </w:p>
    <w:p>
      <w:pPr>
        <w:pStyle w:val="14"/>
        <w:ind w:leftChars="200" w:hanging="420" w:hangingChars="200"/>
      </w:pPr>
      <w:r>
        <w:fldChar w:fldCharType="begin"/>
      </w:r>
      <w:r>
        <w:instrText xml:space="preserve"> HYPERLINK \l "_Toc19810" </w:instrText>
      </w:r>
      <w:r>
        <w:fldChar w:fldCharType="separate"/>
      </w:r>
      <w:r>
        <w:t>二、评标原则和目的</w:t>
      </w:r>
      <w:r>
        <w:tab/>
      </w:r>
      <w:r>
        <w:fldChar w:fldCharType="begin"/>
      </w:r>
      <w:r>
        <w:instrText xml:space="preserve"> PAGEREF _Toc19810 \h </w:instrText>
      </w:r>
      <w:r>
        <w:fldChar w:fldCharType="separate"/>
      </w:r>
      <w:r>
        <w:t>35</w:t>
      </w:r>
      <w:r>
        <w:fldChar w:fldCharType="end"/>
      </w:r>
      <w:r>
        <w:fldChar w:fldCharType="end"/>
      </w:r>
    </w:p>
    <w:p>
      <w:pPr>
        <w:pStyle w:val="14"/>
        <w:ind w:leftChars="200" w:hanging="420" w:hangingChars="200"/>
      </w:pPr>
      <w:r>
        <w:fldChar w:fldCharType="begin"/>
      </w:r>
      <w:r>
        <w:instrText xml:space="preserve"> HYPERLINK \l "_Toc1356" </w:instrText>
      </w:r>
      <w:r>
        <w:fldChar w:fldCharType="separate"/>
      </w:r>
      <w:r>
        <w:t>三、评审细则</w:t>
      </w:r>
      <w:r>
        <w:tab/>
      </w:r>
      <w:r>
        <w:fldChar w:fldCharType="begin"/>
      </w:r>
      <w:r>
        <w:instrText xml:space="preserve"> PAGEREF _Toc1356 \h </w:instrText>
      </w:r>
      <w:r>
        <w:fldChar w:fldCharType="separate"/>
      </w:r>
      <w:r>
        <w:t>35</w:t>
      </w:r>
      <w:r>
        <w:fldChar w:fldCharType="end"/>
      </w:r>
      <w:r>
        <w:fldChar w:fldCharType="end"/>
      </w:r>
    </w:p>
    <w:p>
      <w:pPr>
        <w:pStyle w:val="14"/>
        <w:ind w:leftChars="200" w:hanging="420" w:hangingChars="200"/>
      </w:pPr>
      <w:r>
        <w:fldChar w:fldCharType="begin"/>
      </w:r>
      <w:r>
        <w:instrText xml:space="preserve"> HYPERLINK \l "_Toc10382" </w:instrText>
      </w:r>
      <w:r>
        <w:fldChar w:fldCharType="separate"/>
      </w:r>
      <w:r>
        <w:t>四、评标程序</w:t>
      </w:r>
      <w:r>
        <w:tab/>
      </w:r>
      <w:r>
        <w:fldChar w:fldCharType="begin"/>
      </w:r>
      <w:r>
        <w:instrText xml:space="preserve"> PAGEREF _Toc10382 \h </w:instrText>
      </w:r>
      <w:r>
        <w:fldChar w:fldCharType="separate"/>
      </w:r>
      <w:r>
        <w:t>36</w:t>
      </w:r>
      <w:r>
        <w:fldChar w:fldCharType="end"/>
      </w:r>
      <w:r>
        <w:fldChar w:fldCharType="end"/>
      </w:r>
    </w:p>
    <w:p>
      <w:pPr>
        <w:pStyle w:val="14"/>
        <w:ind w:leftChars="200" w:hanging="420" w:hangingChars="200"/>
      </w:pPr>
      <w:r>
        <w:fldChar w:fldCharType="begin"/>
      </w:r>
      <w:r>
        <w:instrText xml:space="preserve"> HYPERLINK \l "_Toc16635" </w:instrText>
      </w:r>
      <w:r>
        <w:fldChar w:fldCharType="separate"/>
      </w:r>
      <w:r>
        <w:t>五、保密要求</w:t>
      </w:r>
      <w:r>
        <w:tab/>
      </w:r>
      <w:r>
        <w:fldChar w:fldCharType="begin"/>
      </w:r>
      <w:r>
        <w:instrText xml:space="preserve"> PAGEREF _Toc16635 \h </w:instrText>
      </w:r>
      <w:r>
        <w:fldChar w:fldCharType="separate"/>
      </w:r>
      <w:r>
        <w:t>37</w:t>
      </w:r>
      <w:r>
        <w:fldChar w:fldCharType="end"/>
      </w:r>
      <w:r>
        <w:fldChar w:fldCharType="end"/>
      </w:r>
    </w:p>
    <w:p>
      <w:pPr>
        <w:pStyle w:val="14"/>
        <w:ind w:leftChars="200" w:hanging="420" w:hangingChars="200"/>
      </w:pPr>
      <w:r>
        <w:fldChar w:fldCharType="begin"/>
      </w:r>
      <w:r>
        <w:instrText xml:space="preserve"> HYPERLINK \l "_Toc1930" </w:instrText>
      </w:r>
      <w:r>
        <w:fldChar w:fldCharType="separate"/>
      </w:r>
      <w:r>
        <w:t>六、评标方法和标准</w:t>
      </w:r>
      <w:r>
        <w:tab/>
      </w:r>
      <w:r>
        <w:fldChar w:fldCharType="begin"/>
      </w:r>
      <w:r>
        <w:instrText xml:space="preserve"> PAGEREF _Toc1930 \h </w:instrText>
      </w:r>
      <w:r>
        <w:fldChar w:fldCharType="separate"/>
      </w:r>
      <w:r>
        <w:t>38</w:t>
      </w:r>
      <w:r>
        <w:fldChar w:fldCharType="end"/>
      </w:r>
      <w:r>
        <w:fldChar w:fldCharType="end"/>
      </w:r>
    </w:p>
    <w:p>
      <w:pPr>
        <w:pStyle w:val="14"/>
        <w:ind w:leftChars="200" w:hanging="420" w:hangingChars="200"/>
      </w:pPr>
      <w:r>
        <w:fldChar w:fldCharType="begin"/>
      </w:r>
      <w:r>
        <w:instrText xml:space="preserve"> HYPERLINK \l "_Toc30470" </w:instrText>
      </w:r>
      <w:r>
        <w:fldChar w:fldCharType="separate"/>
      </w:r>
      <w:r>
        <w:t>七、</w:t>
      </w:r>
      <w:r>
        <w:rPr>
          <w:rFonts w:hint="eastAsia"/>
        </w:rPr>
        <w:t>定标原则</w:t>
      </w:r>
      <w:r>
        <w:tab/>
      </w:r>
      <w:r>
        <w:fldChar w:fldCharType="begin"/>
      </w:r>
      <w:r>
        <w:instrText xml:space="preserve"> PAGEREF _Toc30470 \h </w:instrText>
      </w:r>
      <w:r>
        <w:fldChar w:fldCharType="separate"/>
      </w:r>
      <w:r>
        <w:t>44</w:t>
      </w:r>
      <w:r>
        <w:fldChar w:fldCharType="end"/>
      </w:r>
      <w:r>
        <w:fldChar w:fldCharType="end"/>
      </w:r>
    </w:p>
    <w:p>
      <w:pPr>
        <w:pStyle w:val="14"/>
        <w:ind w:left="0" w:leftChars="0" w:firstLine="420" w:firstLineChars="200"/>
      </w:pPr>
      <w:r>
        <w:fldChar w:fldCharType="begin"/>
      </w:r>
      <w:r>
        <w:instrText xml:space="preserve"> HYPERLINK \l "_Toc20445" </w:instrText>
      </w:r>
      <w:r>
        <w:fldChar w:fldCharType="separate"/>
      </w:r>
      <w:r>
        <w:t>附件</w:t>
      </w:r>
      <w:r>
        <w:rPr>
          <w:rFonts w:hint="eastAsia"/>
        </w:rPr>
        <w:t>二</w:t>
      </w:r>
      <w:r>
        <w:t xml:space="preserve">  </w:t>
      </w:r>
      <w:r>
        <w:rPr>
          <w:rFonts w:hint="eastAsia"/>
        </w:rPr>
        <w:t>投标保函（银行电子保函参考样式）</w:t>
      </w:r>
      <w:r>
        <w:tab/>
      </w:r>
      <w:r>
        <w:fldChar w:fldCharType="begin"/>
      </w:r>
      <w:r>
        <w:instrText xml:space="preserve"> PAGEREF _Toc20445 \h </w:instrText>
      </w:r>
      <w:r>
        <w:fldChar w:fldCharType="separate"/>
      </w:r>
      <w:r>
        <w:t>46</w:t>
      </w:r>
      <w:r>
        <w:fldChar w:fldCharType="end"/>
      </w:r>
      <w:r>
        <w:fldChar w:fldCharType="end"/>
      </w:r>
    </w:p>
    <w:p>
      <w:pPr>
        <w:pStyle w:val="14"/>
        <w:ind w:left="0" w:leftChars="0" w:firstLine="420" w:firstLineChars="200"/>
      </w:pPr>
      <w:r>
        <w:fldChar w:fldCharType="begin"/>
      </w:r>
      <w:r>
        <w:instrText xml:space="preserve"> HYPERLINK \l "_Toc11841" </w:instrText>
      </w:r>
      <w:r>
        <w:fldChar w:fldCharType="separate"/>
      </w:r>
      <w:r>
        <w:t>附件三：保单参考样式</w:t>
      </w:r>
      <w:r>
        <w:tab/>
      </w:r>
      <w:r>
        <w:fldChar w:fldCharType="begin"/>
      </w:r>
      <w:r>
        <w:instrText xml:space="preserve"> PAGEREF _Toc11841 \h </w:instrText>
      </w:r>
      <w:r>
        <w:fldChar w:fldCharType="separate"/>
      </w:r>
      <w:r>
        <w:t>47</w:t>
      </w:r>
      <w:r>
        <w:fldChar w:fldCharType="end"/>
      </w:r>
      <w:r>
        <w:fldChar w:fldCharType="end"/>
      </w:r>
    </w:p>
    <w:p>
      <w:pPr>
        <w:pStyle w:val="14"/>
        <w:ind w:left="835" w:leftChars="0" w:hanging="835" w:hangingChars="398"/>
      </w:pPr>
      <w:r>
        <w:fldChar w:fldCharType="begin"/>
      </w:r>
      <w:r>
        <w:instrText xml:space="preserve"> HYPERLINK \l "_Toc11461" </w:instrText>
      </w:r>
      <w:r>
        <w:fldChar w:fldCharType="separate"/>
      </w:r>
      <w:r>
        <w:t>第二章 用户需求书</w:t>
      </w:r>
      <w:r>
        <w:tab/>
      </w:r>
      <w:r>
        <w:fldChar w:fldCharType="begin"/>
      </w:r>
      <w:r>
        <w:instrText xml:space="preserve"> PAGEREF _Toc11461 \h </w:instrText>
      </w:r>
      <w:r>
        <w:fldChar w:fldCharType="separate"/>
      </w:r>
      <w:r>
        <w:t>48</w:t>
      </w:r>
      <w:r>
        <w:fldChar w:fldCharType="end"/>
      </w:r>
      <w:r>
        <w:fldChar w:fldCharType="end"/>
      </w:r>
    </w:p>
    <w:p>
      <w:pPr>
        <w:pStyle w:val="14"/>
        <w:tabs>
          <w:tab w:val="left" w:pos="630"/>
        </w:tabs>
        <w:ind w:left="0" w:leftChars="0"/>
      </w:pPr>
      <w:r>
        <w:fldChar w:fldCharType="begin"/>
      </w:r>
      <w:r>
        <w:instrText xml:space="preserve"> HYPERLINK \l "_Toc10173" </w:instrText>
      </w:r>
      <w:r>
        <w:fldChar w:fldCharType="separate"/>
      </w:r>
      <w:r>
        <w:t>第三章 投标文件格式</w:t>
      </w:r>
      <w:r>
        <w:tab/>
      </w:r>
      <w:r>
        <w:fldChar w:fldCharType="begin"/>
      </w:r>
      <w:r>
        <w:instrText xml:space="preserve"> PAGEREF _Toc10173 \h </w:instrText>
      </w:r>
      <w:r>
        <w:fldChar w:fldCharType="separate"/>
      </w:r>
      <w:r>
        <w:t>101</w:t>
      </w:r>
      <w:r>
        <w:fldChar w:fldCharType="end"/>
      </w:r>
      <w:r>
        <w:fldChar w:fldCharType="end"/>
      </w:r>
    </w:p>
    <w:p>
      <w:pPr>
        <w:pStyle w:val="14"/>
        <w:ind w:leftChars="200" w:hanging="420" w:hangingChars="200"/>
      </w:pPr>
      <w:r>
        <w:fldChar w:fldCharType="begin"/>
      </w:r>
      <w:r>
        <w:instrText xml:space="preserve"> HYPERLINK \l "_Toc22561" </w:instrText>
      </w:r>
      <w:r>
        <w:fldChar w:fldCharType="separate"/>
      </w:r>
      <w:r>
        <w:t>一、商务标格式</w:t>
      </w:r>
      <w:r>
        <w:tab/>
      </w:r>
      <w:r>
        <w:fldChar w:fldCharType="begin"/>
      </w:r>
      <w:r>
        <w:instrText xml:space="preserve"> PAGEREF _Toc22561 \h </w:instrText>
      </w:r>
      <w:r>
        <w:fldChar w:fldCharType="separate"/>
      </w:r>
      <w:r>
        <w:t>101</w:t>
      </w:r>
      <w:r>
        <w:fldChar w:fldCharType="end"/>
      </w:r>
      <w:r>
        <w:fldChar w:fldCharType="end"/>
      </w:r>
    </w:p>
    <w:p>
      <w:pPr>
        <w:pStyle w:val="14"/>
      </w:pPr>
      <w:r>
        <w:fldChar w:fldCharType="begin"/>
      </w:r>
      <w:r>
        <w:instrText xml:space="preserve"> HYPERLINK \l "_Toc5452" </w:instrText>
      </w:r>
      <w:r>
        <w:fldChar w:fldCharType="separate"/>
      </w:r>
      <w:r>
        <w:t>目 录</w:t>
      </w:r>
      <w:r>
        <w:tab/>
      </w:r>
      <w:r>
        <w:fldChar w:fldCharType="begin"/>
      </w:r>
      <w:r>
        <w:instrText xml:space="preserve"> PAGEREF _Toc5452 \h </w:instrText>
      </w:r>
      <w:r>
        <w:fldChar w:fldCharType="separate"/>
      </w:r>
      <w:r>
        <w:t>103</w:t>
      </w:r>
      <w:r>
        <w:fldChar w:fldCharType="end"/>
      </w:r>
      <w:r>
        <w:fldChar w:fldCharType="end"/>
      </w:r>
    </w:p>
    <w:p>
      <w:pPr>
        <w:pStyle w:val="14"/>
      </w:pPr>
      <w:r>
        <w:fldChar w:fldCharType="begin"/>
      </w:r>
      <w:r>
        <w:instrText xml:space="preserve"> HYPERLINK \l "_Toc27190" </w:instrText>
      </w:r>
      <w:r>
        <w:fldChar w:fldCharType="separate"/>
      </w:r>
      <w:r>
        <w:t>1</w:t>
      </w:r>
      <w:r>
        <w:rPr>
          <w:rFonts w:hint="eastAsia"/>
        </w:rPr>
        <w:t>-1</w:t>
      </w:r>
      <w:r>
        <w:t>、投 标 函</w:t>
      </w:r>
      <w:r>
        <w:tab/>
      </w:r>
      <w:r>
        <w:fldChar w:fldCharType="begin"/>
      </w:r>
      <w:r>
        <w:instrText xml:space="preserve"> PAGEREF _Toc27190 \h </w:instrText>
      </w:r>
      <w:r>
        <w:fldChar w:fldCharType="separate"/>
      </w:r>
      <w:r>
        <w:t>104</w:t>
      </w:r>
      <w:r>
        <w:fldChar w:fldCharType="end"/>
      </w:r>
      <w:r>
        <w:fldChar w:fldCharType="end"/>
      </w:r>
    </w:p>
    <w:p>
      <w:pPr>
        <w:pStyle w:val="14"/>
      </w:pPr>
      <w:r>
        <w:fldChar w:fldCharType="begin"/>
      </w:r>
      <w:r>
        <w:instrText xml:space="preserve"> HYPERLINK \l "_Toc8168" </w:instrText>
      </w:r>
      <w:r>
        <w:fldChar w:fldCharType="separate"/>
      </w:r>
      <w:r>
        <w:rPr>
          <w:rFonts w:hint="eastAsia"/>
        </w:rPr>
        <w:t>1-2、</w:t>
      </w:r>
      <w:r>
        <w:rPr>
          <w:rFonts w:hint="eastAsia"/>
          <w:lang w:val="zh-CN"/>
        </w:rPr>
        <w:t>供货及/或提供服务过程承诺函</w:t>
      </w:r>
      <w:r>
        <w:tab/>
      </w:r>
      <w:r>
        <w:fldChar w:fldCharType="begin"/>
      </w:r>
      <w:r>
        <w:instrText xml:space="preserve"> PAGEREF _Toc8168 \h </w:instrText>
      </w:r>
      <w:r>
        <w:fldChar w:fldCharType="separate"/>
      </w:r>
      <w:r>
        <w:t>105</w:t>
      </w:r>
      <w:r>
        <w:fldChar w:fldCharType="end"/>
      </w:r>
      <w:r>
        <w:fldChar w:fldCharType="end"/>
      </w:r>
    </w:p>
    <w:p>
      <w:pPr>
        <w:pStyle w:val="14"/>
        <w:tabs>
          <w:tab w:val="left" w:pos="210"/>
        </w:tabs>
      </w:pPr>
      <w:r>
        <w:fldChar w:fldCharType="begin"/>
      </w:r>
      <w:r>
        <w:instrText xml:space="preserve"> HYPERLINK \l "_Toc5234" </w:instrText>
      </w:r>
      <w:r>
        <w:fldChar w:fldCharType="separate"/>
      </w:r>
      <w:r>
        <w:rPr>
          <w:rFonts w:hint="eastAsia"/>
        </w:rPr>
        <w:t>2、分项报价表</w:t>
      </w:r>
      <w:r>
        <w:tab/>
      </w:r>
      <w:r>
        <w:fldChar w:fldCharType="begin"/>
      </w:r>
      <w:r>
        <w:instrText xml:space="preserve"> PAGEREF _Toc5234 \h </w:instrText>
      </w:r>
      <w:r>
        <w:fldChar w:fldCharType="separate"/>
      </w:r>
      <w:r>
        <w:t>107</w:t>
      </w:r>
      <w:r>
        <w:fldChar w:fldCharType="end"/>
      </w:r>
      <w:r>
        <w:fldChar w:fldCharType="end"/>
      </w:r>
    </w:p>
    <w:p>
      <w:pPr>
        <w:pStyle w:val="14"/>
        <w:jc w:val="left"/>
      </w:pPr>
      <w:r>
        <w:fldChar w:fldCharType="begin"/>
      </w:r>
      <w:r>
        <w:instrText xml:space="preserve"> HYPERLINK \l "_Toc7459" </w:instrText>
      </w:r>
      <w:r>
        <w:fldChar w:fldCharType="separate"/>
      </w:r>
      <w:r>
        <w:rPr>
          <w:rFonts w:hint="eastAsia"/>
        </w:rPr>
        <w:t>3、东莞市沙田福禄沙污水处理厂二期工程刮泥机成套系统设备采购分项报价明细表及附表</w:t>
      </w:r>
      <w:r>
        <w:tab/>
      </w:r>
      <w:r>
        <w:fldChar w:fldCharType="begin"/>
      </w:r>
      <w:r>
        <w:instrText xml:space="preserve"> PAGEREF _Toc7459 \h </w:instrText>
      </w:r>
      <w:r>
        <w:fldChar w:fldCharType="separate"/>
      </w:r>
      <w:r>
        <w:t>108</w:t>
      </w:r>
      <w:r>
        <w:fldChar w:fldCharType="end"/>
      </w:r>
      <w:r>
        <w:fldChar w:fldCharType="end"/>
      </w:r>
    </w:p>
    <w:p>
      <w:pPr>
        <w:pStyle w:val="14"/>
        <w:jc w:val="left"/>
      </w:pPr>
      <w:r>
        <w:fldChar w:fldCharType="begin"/>
      </w:r>
      <w:r>
        <w:instrText xml:space="preserve"> HYPERLINK \l "_Toc15480" </w:instrText>
      </w:r>
      <w:r>
        <w:fldChar w:fldCharType="separate"/>
      </w:r>
      <w:r>
        <w:t>4</w:t>
      </w:r>
      <w:r>
        <w:rPr>
          <w:rFonts w:hint="eastAsia"/>
        </w:rPr>
        <w:t>、东莞市清溪厦坭污水处理厂二期工程刮泥机成套系统设备采购分项报价明细表及附表</w:t>
      </w:r>
      <w:r>
        <w:tab/>
      </w:r>
      <w:r>
        <w:fldChar w:fldCharType="begin"/>
      </w:r>
      <w:r>
        <w:instrText xml:space="preserve"> PAGEREF _Toc15480 \h </w:instrText>
      </w:r>
      <w:r>
        <w:fldChar w:fldCharType="separate"/>
      </w:r>
      <w:r>
        <w:t>119</w:t>
      </w:r>
      <w:r>
        <w:fldChar w:fldCharType="end"/>
      </w:r>
      <w:r>
        <w:fldChar w:fldCharType="end"/>
      </w:r>
    </w:p>
    <w:p>
      <w:pPr>
        <w:pStyle w:val="14"/>
        <w:jc w:val="left"/>
      </w:pPr>
      <w:r>
        <w:fldChar w:fldCharType="begin"/>
      </w:r>
      <w:r>
        <w:instrText xml:space="preserve"> HYPERLINK \l "_Toc9764" </w:instrText>
      </w:r>
      <w:r>
        <w:fldChar w:fldCharType="separate"/>
      </w:r>
      <w:r>
        <w:rPr>
          <w:rFonts w:hint="eastAsia"/>
        </w:rPr>
        <w:t>5、东莞市黄江梅塘南部污水处理厂一期工程刮泥机成套系统设备采购分项报价明细表及附表</w:t>
      </w:r>
      <w:r>
        <w:tab/>
      </w:r>
      <w:r>
        <w:fldChar w:fldCharType="begin"/>
      </w:r>
      <w:r>
        <w:instrText xml:space="preserve"> PAGEREF _Toc9764 \h </w:instrText>
      </w:r>
      <w:r>
        <w:fldChar w:fldCharType="separate"/>
      </w:r>
      <w:r>
        <w:t>130</w:t>
      </w:r>
      <w:r>
        <w:fldChar w:fldCharType="end"/>
      </w:r>
      <w:r>
        <w:fldChar w:fldCharType="end"/>
      </w:r>
    </w:p>
    <w:p>
      <w:pPr>
        <w:pStyle w:val="14"/>
        <w:jc w:val="left"/>
      </w:pPr>
      <w:r>
        <w:fldChar w:fldCharType="begin"/>
      </w:r>
      <w:r>
        <w:instrText xml:space="preserve"> HYPERLINK \l "_Toc24870" </w:instrText>
      </w:r>
      <w:r>
        <w:fldChar w:fldCharType="separate"/>
      </w:r>
      <w:r>
        <w:rPr>
          <w:rFonts w:hint="eastAsia"/>
        </w:rPr>
        <w:t>6、东莞市凤岗竹塘污水处理厂三期工程刮泥机成套系统设备采购分项报价明细表及附表</w:t>
      </w:r>
      <w:r>
        <w:tab/>
      </w:r>
      <w:r>
        <w:fldChar w:fldCharType="begin"/>
      </w:r>
      <w:r>
        <w:instrText xml:space="preserve"> PAGEREF _Toc24870 \h </w:instrText>
      </w:r>
      <w:r>
        <w:fldChar w:fldCharType="separate"/>
      </w:r>
      <w:r>
        <w:t>141</w:t>
      </w:r>
      <w:r>
        <w:fldChar w:fldCharType="end"/>
      </w:r>
      <w:r>
        <w:fldChar w:fldCharType="end"/>
      </w:r>
    </w:p>
    <w:p>
      <w:pPr>
        <w:pStyle w:val="14"/>
      </w:pPr>
      <w:r>
        <w:fldChar w:fldCharType="begin"/>
      </w:r>
      <w:r>
        <w:instrText xml:space="preserve"> HYPERLINK \l "_Toc21891" </w:instrText>
      </w:r>
      <w:r>
        <w:fldChar w:fldCharType="separate"/>
      </w:r>
      <w:r>
        <w:rPr>
          <w:rFonts w:hint="eastAsia"/>
        </w:rPr>
        <w:t>7</w:t>
      </w:r>
      <w:r>
        <w:t>、</w:t>
      </w:r>
      <w:r>
        <w:rPr>
          <w:rFonts w:hint="eastAsia"/>
          <w:lang w:val="zh-CN"/>
        </w:rPr>
        <w:t>法定代表人身份证明书</w:t>
      </w:r>
      <w:r>
        <w:tab/>
      </w:r>
      <w:r>
        <w:fldChar w:fldCharType="begin"/>
      </w:r>
      <w:r>
        <w:instrText xml:space="preserve"> PAGEREF _Toc21891 \h </w:instrText>
      </w:r>
      <w:r>
        <w:fldChar w:fldCharType="separate"/>
      </w:r>
      <w:r>
        <w:t>152</w:t>
      </w:r>
      <w:r>
        <w:fldChar w:fldCharType="end"/>
      </w:r>
      <w:r>
        <w:fldChar w:fldCharType="end"/>
      </w:r>
    </w:p>
    <w:p>
      <w:pPr>
        <w:pStyle w:val="14"/>
      </w:pPr>
      <w:r>
        <w:fldChar w:fldCharType="begin"/>
      </w:r>
      <w:r>
        <w:instrText xml:space="preserve"> HYPERLINK \l "_Toc8181" </w:instrText>
      </w:r>
      <w:r>
        <w:fldChar w:fldCharType="separate"/>
      </w:r>
      <w:r>
        <w:t>8</w:t>
      </w:r>
      <w:r>
        <w:rPr>
          <w:rFonts w:hint="eastAsia"/>
        </w:rPr>
        <w:t>、法定代表人授权书</w:t>
      </w:r>
      <w:r>
        <w:tab/>
      </w:r>
      <w:r>
        <w:fldChar w:fldCharType="begin"/>
      </w:r>
      <w:r>
        <w:instrText xml:space="preserve"> PAGEREF _Toc8181 \h </w:instrText>
      </w:r>
      <w:r>
        <w:fldChar w:fldCharType="separate"/>
      </w:r>
      <w:r>
        <w:t>153</w:t>
      </w:r>
      <w:r>
        <w:fldChar w:fldCharType="end"/>
      </w:r>
      <w:r>
        <w:fldChar w:fldCharType="end"/>
      </w:r>
    </w:p>
    <w:p>
      <w:pPr>
        <w:pStyle w:val="14"/>
      </w:pPr>
      <w:r>
        <w:fldChar w:fldCharType="begin"/>
      </w:r>
      <w:r>
        <w:instrText xml:space="preserve"> HYPERLINK \l "_Toc17137" </w:instrText>
      </w:r>
      <w:r>
        <w:fldChar w:fldCharType="separate"/>
      </w:r>
      <w:r>
        <w:rPr>
          <w:rFonts w:hint="eastAsia"/>
        </w:rPr>
        <w:t>9、投标人资格证明文件</w:t>
      </w:r>
      <w:r>
        <w:tab/>
      </w:r>
      <w:r>
        <w:fldChar w:fldCharType="begin"/>
      </w:r>
      <w:r>
        <w:instrText xml:space="preserve"> PAGEREF _Toc17137 \h </w:instrText>
      </w:r>
      <w:r>
        <w:fldChar w:fldCharType="separate"/>
      </w:r>
      <w:r>
        <w:t>155</w:t>
      </w:r>
      <w:r>
        <w:fldChar w:fldCharType="end"/>
      </w:r>
      <w:r>
        <w:fldChar w:fldCharType="end"/>
      </w:r>
    </w:p>
    <w:p>
      <w:pPr>
        <w:pStyle w:val="14"/>
      </w:pPr>
      <w:r>
        <w:fldChar w:fldCharType="begin"/>
      </w:r>
      <w:r>
        <w:instrText xml:space="preserve"> HYPERLINK \l "_Toc10291" </w:instrText>
      </w:r>
      <w:r>
        <w:fldChar w:fldCharType="separate"/>
      </w:r>
      <w:r>
        <w:rPr>
          <w:rFonts w:hint="eastAsia"/>
        </w:rPr>
        <w:t>10</w:t>
      </w:r>
      <w:r>
        <w:t>、投标人基本情况</w:t>
      </w:r>
      <w:r>
        <w:rPr>
          <w:rFonts w:hint="eastAsia"/>
        </w:rPr>
        <w:t>、简介</w:t>
      </w:r>
      <w:r>
        <w:tab/>
      </w:r>
      <w:r>
        <w:fldChar w:fldCharType="begin"/>
      </w:r>
      <w:r>
        <w:instrText xml:space="preserve"> PAGEREF _Toc10291 \h </w:instrText>
      </w:r>
      <w:r>
        <w:fldChar w:fldCharType="separate"/>
      </w:r>
      <w:r>
        <w:t>159</w:t>
      </w:r>
      <w:r>
        <w:fldChar w:fldCharType="end"/>
      </w:r>
      <w:r>
        <w:fldChar w:fldCharType="end"/>
      </w:r>
    </w:p>
    <w:p>
      <w:pPr>
        <w:pStyle w:val="14"/>
      </w:pPr>
      <w:r>
        <w:fldChar w:fldCharType="begin"/>
      </w:r>
      <w:r>
        <w:instrText xml:space="preserve"> HYPERLINK \l "_Toc20030" </w:instrText>
      </w:r>
      <w:r>
        <w:fldChar w:fldCharType="separate"/>
      </w:r>
      <w:r>
        <w:rPr>
          <w:rFonts w:hint="eastAsia"/>
        </w:rPr>
        <w:t>11</w:t>
      </w:r>
      <w:r>
        <w:t>、</w:t>
      </w:r>
      <w:r>
        <w:rPr>
          <w:rFonts w:hint="eastAsia"/>
        </w:rPr>
        <w:t>投标人财务状况</w:t>
      </w:r>
      <w:r>
        <w:tab/>
      </w:r>
      <w:r>
        <w:fldChar w:fldCharType="begin"/>
      </w:r>
      <w:r>
        <w:instrText xml:space="preserve"> PAGEREF _Toc20030 \h </w:instrText>
      </w:r>
      <w:r>
        <w:fldChar w:fldCharType="separate"/>
      </w:r>
      <w:r>
        <w:t>161</w:t>
      </w:r>
      <w:r>
        <w:fldChar w:fldCharType="end"/>
      </w:r>
      <w:r>
        <w:fldChar w:fldCharType="end"/>
      </w:r>
    </w:p>
    <w:p>
      <w:pPr>
        <w:pStyle w:val="14"/>
      </w:pPr>
      <w:r>
        <w:fldChar w:fldCharType="begin"/>
      </w:r>
      <w:r>
        <w:instrText xml:space="preserve"> HYPERLINK \l "_Toc22876" </w:instrText>
      </w:r>
      <w:r>
        <w:fldChar w:fldCharType="separate"/>
      </w:r>
      <w:r>
        <w:rPr>
          <w:rFonts w:hint="eastAsia"/>
        </w:rPr>
        <w:t>12</w:t>
      </w:r>
      <w:r>
        <w:t>、</w:t>
      </w:r>
      <w:r>
        <w:rPr>
          <w:rFonts w:hint="eastAsia"/>
        </w:rPr>
        <w:t>合同条款偏离表</w:t>
      </w:r>
      <w:r>
        <w:tab/>
      </w:r>
      <w:r>
        <w:fldChar w:fldCharType="begin"/>
      </w:r>
      <w:r>
        <w:instrText xml:space="preserve"> PAGEREF _Toc22876 \h </w:instrText>
      </w:r>
      <w:r>
        <w:fldChar w:fldCharType="separate"/>
      </w:r>
      <w:r>
        <w:t>162</w:t>
      </w:r>
      <w:r>
        <w:fldChar w:fldCharType="end"/>
      </w:r>
      <w:r>
        <w:fldChar w:fldCharType="end"/>
      </w:r>
    </w:p>
    <w:p>
      <w:pPr>
        <w:pStyle w:val="14"/>
      </w:pPr>
      <w:r>
        <w:rPr>
          <w:rFonts w:hint="eastAsia"/>
        </w:rPr>
        <w:t>13</w:t>
      </w:r>
      <w:r>
        <w:t>、</w:t>
      </w:r>
      <w:r>
        <w:rPr>
          <w:rFonts w:hint="eastAsia"/>
        </w:rPr>
        <w:t>资格业绩表</w:t>
      </w:r>
      <w:r>
        <w:tab/>
      </w:r>
      <w:r>
        <w:fldChar w:fldCharType="begin"/>
      </w:r>
      <w:r>
        <w:instrText xml:space="preserve"> PAGEREF _Toc1074 \h </w:instrText>
      </w:r>
      <w:r>
        <w:fldChar w:fldCharType="separate"/>
      </w:r>
      <w:r>
        <w:t>164</w:t>
      </w:r>
      <w:r>
        <w:fldChar w:fldCharType="end"/>
      </w:r>
    </w:p>
    <w:p>
      <w:pPr>
        <w:pStyle w:val="14"/>
      </w:pPr>
      <w:r>
        <w:fldChar w:fldCharType="begin"/>
      </w:r>
      <w:r>
        <w:instrText xml:space="preserve"> HYPERLINK \l "_Toc1074" </w:instrText>
      </w:r>
      <w:r>
        <w:fldChar w:fldCharType="separate"/>
      </w:r>
      <w:r>
        <w:rPr>
          <w:rFonts w:hint="eastAsia"/>
        </w:rPr>
        <w:t>14</w:t>
      </w:r>
      <w:r>
        <w:t>、</w:t>
      </w:r>
      <w:r>
        <w:rPr>
          <w:rFonts w:hint="eastAsia"/>
        </w:rPr>
        <w:t>201</w:t>
      </w:r>
      <w:r>
        <w:t>8</w:t>
      </w:r>
      <w:r>
        <w:rPr>
          <w:rFonts w:hint="eastAsia"/>
        </w:rPr>
        <w:t>年1月1日至今投标品牌的刮泥机系统成套设备在国内完成的供货业绩表</w:t>
      </w:r>
      <w:r>
        <w:tab/>
      </w:r>
      <w:r>
        <w:tab/>
      </w:r>
      <w:r>
        <w:fldChar w:fldCharType="begin"/>
      </w:r>
      <w:r>
        <w:instrText xml:space="preserve"> PAGEREF _Toc1074 \h </w:instrText>
      </w:r>
      <w:r>
        <w:fldChar w:fldCharType="separate"/>
      </w:r>
      <w:r>
        <w:t>164</w:t>
      </w:r>
      <w:r>
        <w:fldChar w:fldCharType="end"/>
      </w:r>
      <w:r>
        <w:fldChar w:fldCharType="end"/>
      </w:r>
    </w:p>
    <w:p>
      <w:pPr>
        <w:pStyle w:val="14"/>
      </w:pPr>
      <w:r>
        <w:fldChar w:fldCharType="begin"/>
      </w:r>
      <w:r>
        <w:instrText xml:space="preserve"> HYPERLINK \l "_Toc6779" </w:instrText>
      </w:r>
      <w:r>
        <w:fldChar w:fldCharType="separate"/>
      </w:r>
      <w:r>
        <w:rPr>
          <w:rFonts w:hint="eastAsia"/>
        </w:rPr>
        <w:t>15</w:t>
      </w:r>
      <w:r>
        <w:t>、</w:t>
      </w:r>
      <w:r>
        <w:rPr>
          <w:rFonts w:hint="eastAsia"/>
        </w:rPr>
        <w:t>反映投标人信誉和能力的其他资料</w:t>
      </w:r>
      <w:r>
        <w:tab/>
      </w:r>
      <w:r>
        <w:fldChar w:fldCharType="begin"/>
      </w:r>
      <w:r>
        <w:instrText xml:space="preserve"> PAGEREF _Toc6779 \h </w:instrText>
      </w:r>
      <w:r>
        <w:fldChar w:fldCharType="separate"/>
      </w:r>
      <w:r>
        <w:t>170</w:t>
      </w:r>
      <w:r>
        <w:fldChar w:fldCharType="end"/>
      </w:r>
      <w:r>
        <w:fldChar w:fldCharType="end"/>
      </w:r>
    </w:p>
    <w:p>
      <w:pPr>
        <w:pStyle w:val="14"/>
        <w:ind w:leftChars="200" w:hanging="420" w:hangingChars="200"/>
      </w:pPr>
      <w:r>
        <w:fldChar w:fldCharType="begin"/>
      </w:r>
      <w:r>
        <w:instrText xml:space="preserve"> HYPERLINK \l "_Toc32020" </w:instrText>
      </w:r>
      <w:r>
        <w:fldChar w:fldCharType="separate"/>
      </w:r>
      <w:r>
        <w:t>二、技术标格式</w:t>
      </w:r>
      <w:r>
        <w:tab/>
      </w:r>
      <w:r>
        <w:fldChar w:fldCharType="begin"/>
      </w:r>
      <w:r>
        <w:instrText xml:space="preserve"> PAGEREF _Toc32020 \h </w:instrText>
      </w:r>
      <w:r>
        <w:fldChar w:fldCharType="separate"/>
      </w:r>
      <w:r>
        <w:t>171</w:t>
      </w:r>
      <w:r>
        <w:fldChar w:fldCharType="end"/>
      </w:r>
      <w:r>
        <w:fldChar w:fldCharType="end"/>
      </w:r>
    </w:p>
    <w:p>
      <w:pPr>
        <w:pStyle w:val="14"/>
        <w:ind w:leftChars="200" w:hanging="420" w:hangingChars="200"/>
      </w:pPr>
      <w:r>
        <w:fldChar w:fldCharType="begin"/>
      </w:r>
      <w:r>
        <w:instrText xml:space="preserve"> HYPERLINK \l "_Toc27647" </w:instrText>
      </w:r>
      <w:r>
        <w:fldChar w:fldCharType="separate"/>
      </w:r>
      <w:r>
        <w:rPr>
          <w:rFonts w:hint="eastAsia"/>
        </w:rPr>
        <w:t>三</w:t>
      </w:r>
      <w:r>
        <w:t>、</w:t>
      </w:r>
      <w:r>
        <w:rPr>
          <w:rFonts w:hint="eastAsia"/>
        </w:rPr>
        <w:t>投标文件报价信封格式</w:t>
      </w:r>
      <w:r>
        <w:tab/>
      </w:r>
      <w:r>
        <w:fldChar w:fldCharType="begin"/>
      </w:r>
      <w:r>
        <w:instrText xml:space="preserve"> PAGEREF _Toc27647 \h </w:instrText>
      </w:r>
      <w:r>
        <w:fldChar w:fldCharType="separate"/>
      </w:r>
      <w:r>
        <w:t>188</w:t>
      </w:r>
      <w:r>
        <w:fldChar w:fldCharType="end"/>
      </w:r>
      <w:r>
        <w:fldChar w:fldCharType="end"/>
      </w:r>
    </w:p>
    <w:p>
      <w:pPr>
        <w:pStyle w:val="14"/>
        <w:ind w:leftChars="200" w:hanging="420" w:hangingChars="200"/>
      </w:pPr>
      <w:r>
        <w:fldChar w:fldCharType="begin"/>
      </w:r>
      <w:r>
        <w:instrText xml:space="preserve"> HYPERLINK \l "_Toc27647" </w:instrText>
      </w:r>
      <w:r>
        <w:fldChar w:fldCharType="separate"/>
      </w:r>
      <w:r>
        <w:rPr>
          <w:rFonts w:hint="eastAsia"/>
        </w:rPr>
        <w:t>四</w:t>
      </w:r>
      <w:r>
        <w:t>、</w:t>
      </w:r>
      <w:r>
        <w:rPr>
          <w:rFonts w:hint="eastAsia"/>
        </w:rPr>
        <w:t>投标文件公示表格</w:t>
      </w:r>
      <w:r>
        <w:tab/>
      </w:r>
      <w:r>
        <w:fldChar w:fldCharType="begin"/>
      </w:r>
      <w:r>
        <w:instrText xml:space="preserve"> PAGEREF _Toc27647 \h </w:instrText>
      </w:r>
      <w:r>
        <w:fldChar w:fldCharType="separate"/>
      </w:r>
      <w:r>
        <w:t>188</w:t>
      </w:r>
      <w:r>
        <w:fldChar w:fldCharType="end"/>
      </w:r>
      <w:r>
        <w:fldChar w:fldCharType="end"/>
      </w:r>
    </w:p>
    <w:p>
      <w:pPr>
        <w:pStyle w:val="14"/>
        <w:ind w:leftChars="0" w:hanging="840" w:hangingChars="400"/>
      </w:pPr>
      <w:r>
        <w:fldChar w:fldCharType="begin"/>
      </w:r>
      <w:r>
        <w:instrText xml:space="preserve"> HYPERLINK \l "_Toc7752" </w:instrText>
      </w:r>
      <w:r>
        <w:fldChar w:fldCharType="separate"/>
      </w:r>
      <w:r>
        <w:t xml:space="preserve">第四章 </w:t>
      </w:r>
      <w:r>
        <w:rPr>
          <w:rFonts w:hint="eastAsia"/>
        </w:rPr>
        <w:t>采购</w:t>
      </w:r>
      <w:r>
        <w:t>合同格式</w:t>
      </w:r>
      <w:r>
        <w:tab/>
      </w:r>
      <w:r>
        <w:fldChar w:fldCharType="begin"/>
      </w:r>
      <w:r>
        <w:instrText xml:space="preserve"> PAGEREF _Toc7752 \h </w:instrText>
      </w:r>
      <w:r>
        <w:fldChar w:fldCharType="separate"/>
      </w:r>
      <w:r>
        <w:t>191</w:t>
      </w:r>
      <w:r>
        <w:fldChar w:fldCharType="end"/>
      </w:r>
      <w:r>
        <w:fldChar w:fldCharType="end"/>
      </w:r>
    </w:p>
    <w:p>
      <w:pPr>
        <w:pStyle w:val="14"/>
        <w:ind w:left="420" w:leftChars="200"/>
      </w:pPr>
      <w:r>
        <w:fldChar w:fldCharType="begin"/>
      </w:r>
      <w:r>
        <w:instrText xml:space="preserve"> HYPERLINK \l "_Toc188" </w:instrText>
      </w:r>
      <w:r>
        <w:fldChar w:fldCharType="separate"/>
      </w:r>
      <w:r>
        <w:rPr>
          <w:rFonts w:hint="eastAsia"/>
        </w:rPr>
        <w:t>附件</w:t>
      </w:r>
      <w:r>
        <w:t xml:space="preserve">1 </w:t>
      </w:r>
      <w:r>
        <w:rPr>
          <w:rFonts w:hint="eastAsia"/>
        </w:rPr>
        <w:t>安全生产管理协议格式</w:t>
      </w:r>
      <w:r>
        <w:tab/>
      </w:r>
      <w:r>
        <w:fldChar w:fldCharType="begin"/>
      </w:r>
      <w:r>
        <w:instrText xml:space="preserve"> PAGEREF _Toc188 \h </w:instrText>
      </w:r>
      <w:r>
        <w:fldChar w:fldCharType="separate"/>
      </w:r>
      <w:r>
        <w:t>209</w:t>
      </w:r>
      <w:r>
        <w:fldChar w:fldCharType="end"/>
      </w:r>
      <w:r>
        <w:fldChar w:fldCharType="end"/>
      </w:r>
    </w:p>
    <w:p>
      <w:pPr>
        <w:pStyle w:val="14"/>
        <w:ind w:left="420" w:leftChars="200"/>
      </w:pPr>
      <w:r>
        <w:fldChar w:fldCharType="begin"/>
      </w:r>
      <w:r>
        <w:instrText xml:space="preserve"> HYPERLINK \l "_Toc18979" </w:instrText>
      </w:r>
      <w:r>
        <w:fldChar w:fldCharType="separate"/>
      </w:r>
      <w:r>
        <w:rPr>
          <w:rFonts w:hint="eastAsia"/>
        </w:rPr>
        <w:t>附件</w:t>
      </w:r>
      <w:r>
        <w:t>2</w:t>
      </w:r>
      <w:r>
        <w:rPr>
          <w:rFonts w:hint="eastAsia"/>
        </w:rPr>
        <w:t xml:space="preserve"> 廉洁协议书格式</w:t>
      </w:r>
      <w:r>
        <w:tab/>
      </w:r>
      <w:r>
        <w:fldChar w:fldCharType="begin"/>
      </w:r>
      <w:r>
        <w:instrText xml:space="preserve"> PAGEREF _Toc18979 \h </w:instrText>
      </w:r>
      <w:r>
        <w:fldChar w:fldCharType="separate"/>
      </w:r>
      <w:r>
        <w:t>213</w:t>
      </w:r>
      <w:r>
        <w:fldChar w:fldCharType="end"/>
      </w:r>
      <w:r>
        <w:fldChar w:fldCharType="end"/>
      </w:r>
    </w:p>
    <w:p>
      <w:pPr>
        <w:pStyle w:val="14"/>
        <w:ind w:left="420" w:leftChars="200"/>
      </w:pPr>
      <w:r>
        <w:fldChar w:fldCharType="begin"/>
      </w:r>
      <w:r>
        <w:instrText xml:space="preserve"> HYPERLINK \l "_Toc17816" </w:instrText>
      </w:r>
      <w:r>
        <w:fldChar w:fldCharType="separate"/>
      </w:r>
      <w:r>
        <w:rPr>
          <w:rFonts w:hint="eastAsia"/>
        </w:rPr>
        <w:t>附件</w:t>
      </w:r>
      <w:r>
        <w:t>3</w:t>
      </w:r>
      <w:r>
        <w:rPr>
          <w:rFonts w:hint="eastAsia"/>
        </w:rPr>
        <w:t xml:space="preserve"> 不可撤销银行履约保函格式</w:t>
      </w:r>
      <w:r>
        <w:tab/>
      </w:r>
      <w:r>
        <w:fldChar w:fldCharType="begin"/>
      </w:r>
      <w:r>
        <w:instrText xml:space="preserve"> PAGEREF _Toc17816 \h </w:instrText>
      </w:r>
      <w:r>
        <w:fldChar w:fldCharType="separate"/>
      </w:r>
      <w:r>
        <w:t>216</w:t>
      </w:r>
      <w:r>
        <w:fldChar w:fldCharType="end"/>
      </w:r>
      <w:r>
        <w:fldChar w:fldCharType="end"/>
      </w:r>
    </w:p>
    <w:p>
      <w:pPr>
        <w:pStyle w:val="14"/>
        <w:ind w:left="420" w:leftChars="200"/>
      </w:pPr>
      <w:r>
        <w:fldChar w:fldCharType="begin"/>
      </w:r>
      <w:r>
        <w:instrText xml:space="preserve"> HYPERLINK \l "_Toc3690" </w:instrText>
      </w:r>
      <w:r>
        <w:fldChar w:fldCharType="separate"/>
      </w:r>
      <w:r>
        <w:rPr>
          <w:rFonts w:hint="eastAsia"/>
        </w:rPr>
        <w:t>附件</w:t>
      </w:r>
      <w:r>
        <w:t>4</w:t>
      </w:r>
      <w:r>
        <w:rPr>
          <w:rFonts w:hint="eastAsia"/>
        </w:rPr>
        <w:t xml:space="preserve"> 担保公司履约担保书格式</w:t>
      </w:r>
      <w:r>
        <w:tab/>
      </w:r>
      <w:r>
        <w:fldChar w:fldCharType="begin"/>
      </w:r>
      <w:r>
        <w:instrText xml:space="preserve"> PAGEREF _Toc3690 \h </w:instrText>
      </w:r>
      <w:r>
        <w:fldChar w:fldCharType="separate"/>
      </w:r>
      <w:r>
        <w:t>217</w:t>
      </w:r>
      <w:r>
        <w:fldChar w:fldCharType="end"/>
      </w:r>
      <w:r>
        <w:fldChar w:fldCharType="end"/>
      </w:r>
    </w:p>
    <w:p>
      <w:pPr>
        <w:pStyle w:val="14"/>
        <w:ind w:left="420" w:leftChars="200"/>
      </w:pPr>
      <w:r>
        <w:fldChar w:fldCharType="begin"/>
      </w:r>
      <w:r>
        <w:instrText xml:space="preserve"> HYPERLINK \l "_Toc31700" </w:instrText>
      </w:r>
      <w:r>
        <w:fldChar w:fldCharType="separate"/>
      </w:r>
      <w:r>
        <w:rPr>
          <w:rFonts w:hint="eastAsia"/>
        </w:rPr>
        <w:t>附件</w:t>
      </w:r>
      <w:r>
        <w:t>5</w:t>
      </w:r>
      <w:r>
        <w:rPr>
          <w:rFonts w:hint="eastAsia"/>
        </w:rPr>
        <w:t xml:space="preserve"> 公证书格式</w:t>
      </w:r>
      <w:r>
        <w:tab/>
      </w:r>
      <w:r>
        <w:fldChar w:fldCharType="begin"/>
      </w:r>
      <w:r>
        <w:instrText xml:space="preserve"> PAGEREF _Toc31700 \h </w:instrText>
      </w:r>
      <w:r>
        <w:fldChar w:fldCharType="separate"/>
      </w:r>
      <w:r>
        <w:t>218</w:t>
      </w:r>
      <w:r>
        <w:fldChar w:fldCharType="end"/>
      </w:r>
      <w:r>
        <w:fldChar w:fldCharType="end"/>
      </w:r>
    </w:p>
    <w:p>
      <w:pPr>
        <w:pStyle w:val="14"/>
        <w:ind w:left="420" w:leftChars="200"/>
      </w:pPr>
      <w:r>
        <w:fldChar w:fldCharType="begin"/>
      </w:r>
      <w:r>
        <w:instrText xml:space="preserve"> HYPERLINK \l "_Toc12194" </w:instrText>
      </w:r>
      <w:r>
        <w:fldChar w:fldCharType="separate"/>
      </w:r>
      <w:r>
        <w:rPr>
          <w:rFonts w:hint="eastAsia"/>
        </w:rPr>
        <w:t>附件</w:t>
      </w:r>
      <w:r>
        <w:t>6</w:t>
      </w:r>
      <w:r>
        <w:rPr>
          <w:rFonts w:hint="eastAsia"/>
        </w:rPr>
        <w:t xml:space="preserve"> 预付款银行保函格式</w:t>
      </w:r>
      <w:r>
        <w:tab/>
      </w:r>
      <w:r>
        <w:fldChar w:fldCharType="begin"/>
      </w:r>
      <w:r>
        <w:instrText xml:space="preserve"> PAGEREF _Toc12194 \h </w:instrText>
      </w:r>
      <w:r>
        <w:fldChar w:fldCharType="separate"/>
      </w:r>
      <w:r>
        <w:t>219</w:t>
      </w:r>
      <w:r>
        <w:fldChar w:fldCharType="end"/>
      </w:r>
      <w:r>
        <w:fldChar w:fldCharType="end"/>
      </w:r>
    </w:p>
    <w:p>
      <w:pPr>
        <w:pStyle w:val="14"/>
        <w:ind w:left="420" w:leftChars="200"/>
        <w:rPr>
          <w:rFonts w:hint="eastAsia" w:eastAsia="宋体"/>
          <w:lang w:eastAsia="zh-CN"/>
        </w:rPr>
      </w:pPr>
      <w:r>
        <w:fldChar w:fldCharType="begin"/>
      </w:r>
      <w:r>
        <w:instrText xml:space="preserve"> HYPERLINK \l "_Toc25859" </w:instrText>
      </w:r>
      <w:r>
        <w:fldChar w:fldCharType="separate"/>
      </w:r>
      <w:r>
        <w:rPr>
          <w:rFonts w:hint="eastAsia"/>
        </w:rPr>
        <w:t>附件</w:t>
      </w:r>
      <w:r>
        <w:t>7</w:t>
      </w:r>
      <w:r>
        <w:rPr>
          <w:rFonts w:hint="eastAsia"/>
        </w:rPr>
        <w:t xml:space="preserve"> 银行质量保函格式</w:t>
      </w:r>
      <w:r>
        <w:tab/>
      </w:r>
      <w:r>
        <w:fldChar w:fldCharType="end"/>
      </w:r>
      <w:r>
        <w:rPr>
          <w:rFonts w:hint="eastAsia"/>
        </w:rPr>
        <w:t>21</w:t>
      </w:r>
      <w:r>
        <w:rPr>
          <w:rFonts w:hint="eastAsia"/>
          <w:lang w:val="en-US" w:eastAsia="zh-CN"/>
        </w:rPr>
        <w:t>9</w:t>
      </w:r>
    </w:p>
    <w:p>
      <w:pPr>
        <w:pStyle w:val="14"/>
        <w:ind w:left="420" w:leftChars="200"/>
      </w:pPr>
      <w:r>
        <w:fldChar w:fldCharType="begin"/>
      </w:r>
      <w:r>
        <w:instrText xml:space="preserve"> HYPERLINK \l "_Toc17328" </w:instrText>
      </w:r>
      <w:r>
        <w:fldChar w:fldCharType="separate"/>
      </w:r>
      <w:r>
        <w:rPr>
          <w:rFonts w:hint="eastAsia"/>
        </w:rPr>
        <w:t>附件</w:t>
      </w:r>
      <w:r>
        <w:t>8</w:t>
      </w:r>
      <w:r>
        <w:rPr>
          <w:rFonts w:hint="eastAsia"/>
        </w:rPr>
        <w:t xml:space="preserve"> 交接验收报告格式</w:t>
      </w:r>
      <w:r>
        <w:tab/>
      </w:r>
      <w:r>
        <w:fldChar w:fldCharType="begin"/>
      </w:r>
      <w:r>
        <w:instrText xml:space="preserve"> PAGEREF _Toc17328 \h </w:instrText>
      </w:r>
      <w:r>
        <w:fldChar w:fldCharType="separate"/>
      </w:r>
      <w:r>
        <w:t>221</w:t>
      </w:r>
      <w:r>
        <w:fldChar w:fldCharType="end"/>
      </w:r>
      <w:r>
        <w:fldChar w:fldCharType="end"/>
      </w:r>
    </w:p>
    <w:p>
      <w:pPr>
        <w:pStyle w:val="14"/>
        <w:ind w:left="420" w:leftChars="200"/>
      </w:pPr>
      <w:r>
        <w:fldChar w:fldCharType="begin"/>
      </w:r>
      <w:r>
        <w:instrText xml:space="preserve"> HYPERLINK \l "_Toc6058" </w:instrText>
      </w:r>
      <w:r>
        <w:fldChar w:fldCharType="separate"/>
      </w:r>
      <w:r>
        <w:rPr>
          <w:rFonts w:hint="eastAsia"/>
        </w:rPr>
        <w:t>附件</w:t>
      </w:r>
      <w:r>
        <w:t>9</w:t>
      </w:r>
      <w:r>
        <w:rPr>
          <w:rFonts w:hint="eastAsia"/>
        </w:rPr>
        <w:t xml:space="preserve"> 最终验收报告格式</w:t>
      </w:r>
      <w:r>
        <w:tab/>
      </w:r>
      <w:r>
        <w:fldChar w:fldCharType="begin"/>
      </w:r>
      <w:r>
        <w:instrText xml:space="preserve"> PAGEREF _Toc6058 \h </w:instrText>
      </w:r>
      <w:r>
        <w:fldChar w:fldCharType="separate"/>
      </w:r>
      <w:r>
        <w:t>222</w:t>
      </w:r>
      <w:r>
        <w:fldChar w:fldCharType="end"/>
      </w:r>
      <w:r>
        <w:fldChar w:fldCharType="end"/>
      </w:r>
    </w:p>
    <w:p>
      <w:pPr>
        <w:pStyle w:val="14"/>
        <w:ind w:left="420" w:leftChars="200"/>
        <w:rPr>
          <w:rFonts w:hint="eastAsia" w:eastAsia="宋体"/>
          <w:lang w:eastAsia="zh-CN"/>
        </w:rPr>
      </w:pPr>
      <w:r>
        <w:fldChar w:fldCharType="begin"/>
      </w:r>
      <w:r>
        <w:instrText xml:space="preserve"> HYPERLINK \l "_Toc6058" </w:instrText>
      </w:r>
      <w:r>
        <w:fldChar w:fldCharType="separate"/>
      </w:r>
      <w:r>
        <w:rPr>
          <w:rFonts w:hint="eastAsia"/>
        </w:rPr>
        <w:t>附件10 诚信履约承诺书</w:t>
      </w:r>
      <w:r>
        <w:tab/>
      </w:r>
      <w:r>
        <w:fldChar w:fldCharType="end"/>
      </w:r>
      <w:r>
        <w:rPr>
          <w:rFonts w:hint="eastAsia"/>
        </w:rPr>
        <w:t>22</w:t>
      </w:r>
      <w:r>
        <w:rPr>
          <w:rFonts w:hint="eastAsia"/>
          <w:lang w:val="en-US" w:eastAsia="zh-CN"/>
        </w:rPr>
        <w:t>5</w:t>
      </w:r>
    </w:p>
    <w:p>
      <w:pPr>
        <w:pStyle w:val="14"/>
        <w:rPr>
          <w:rFonts w:ascii="宋体" w:hAnsi="宋体"/>
          <w:bCs/>
          <w:szCs w:val="21"/>
        </w:rPr>
      </w:pPr>
      <w:r>
        <w:fldChar w:fldCharType="end"/>
      </w:r>
    </w:p>
    <w:p>
      <w:pPr>
        <w:pStyle w:val="25"/>
        <w:spacing w:line="240" w:lineRule="auto"/>
        <w:rPr>
          <w:sz w:val="24"/>
        </w:rPr>
      </w:pPr>
    </w:p>
    <w:p>
      <w:pPr>
        <w:pStyle w:val="25"/>
        <w:spacing w:line="240" w:lineRule="auto"/>
        <w:rPr>
          <w:sz w:val="24"/>
        </w:rPr>
      </w:pPr>
    </w:p>
    <w:p>
      <w:pPr>
        <w:pStyle w:val="3"/>
        <w:jc w:val="center"/>
        <w:rPr>
          <w:rFonts w:ascii="宋体" w:hAnsi="宋体"/>
          <w:bCs w:val="0"/>
        </w:rPr>
      </w:pPr>
      <w:r>
        <w:rPr>
          <w:kern w:val="2"/>
          <w:sz w:val="24"/>
          <w:szCs w:val="24"/>
        </w:rPr>
        <w:br w:type="page"/>
      </w:r>
      <w:bookmarkStart w:id="9" w:name="_Toc10389"/>
      <w:bookmarkStart w:id="10" w:name="_Toc132814696"/>
      <w:bookmarkStart w:id="11" w:name="_Toc11642"/>
      <w:bookmarkStart w:id="12" w:name="_Toc22039"/>
      <w:bookmarkStart w:id="13" w:name="_Toc7952"/>
      <w:bookmarkStart w:id="14" w:name="_Toc21373"/>
      <w:r>
        <w:rPr>
          <w:rFonts w:ascii="宋体" w:hAnsi="宋体"/>
          <w:bCs w:val="0"/>
        </w:rPr>
        <w:t>第一章 投标须知</w:t>
      </w:r>
      <w:bookmarkEnd w:id="2"/>
      <w:bookmarkEnd w:id="3"/>
      <w:bookmarkEnd w:id="4"/>
      <w:bookmarkEnd w:id="5"/>
      <w:bookmarkEnd w:id="6"/>
      <w:bookmarkEnd w:id="7"/>
      <w:bookmarkEnd w:id="8"/>
      <w:r>
        <w:rPr>
          <w:rFonts w:ascii="宋体" w:hAnsi="宋体"/>
          <w:bCs w:val="0"/>
        </w:rPr>
        <w:t>及投标须知前附表</w:t>
      </w:r>
      <w:bookmarkEnd w:id="9"/>
      <w:bookmarkEnd w:id="10"/>
      <w:bookmarkEnd w:id="11"/>
      <w:bookmarkEnd w:id="12"/>
      <w:bookmarkEnd w:id="13"/>
      <w:bookmarkEnd w:id="14"/>
    </w:p>
    <w:p>
      <w:pPr>
        <w:pStyle w:val="4"/>
        <w:numPr>
          <w:ilvl w:val="1"/>
          <w:numId w:val="1"/>
        </w:numPr>
        <w:spacing w:before="0" w:after="0" w:line="360" w:lineRule="auto"/>
        <w:jc w:val="center"/>
        <w:rPr>
          <w:rFonts w:ascii="宋体" w:hAnsi="宋体" w:eastAsia="宋体"/>
          <w:b w:val="0"/>
          <w:bCs w:val="0"/>
          <w:sz w:val="30"/>
          <w:szCs w:val="28"/>
        </w:rPr>
      </w:pPr>
      <w:bookmarkStart w:id="15" w:name="_Hlt111259444"/>
      <w:bookmarkEnd w:id="15"/>
      <w:bookmarkStart w:id="16" w:name="_Toc3608"/>
      <w:bookmarkStart w:id="17" w:name="_Toc132814697"/>
      <w:bookmarkStart w:id="18" w:name="_Toc50920419"/>
      <w:bookmarkStart w:id="19" w:name="_Toc50920576"/>
      <w:bookmarkStart w:id="20" w:name="_Toc49331000"/>
      <w:bookmarkStart w:id="21" w:name="_Toc31826"/>
      <w:bookmarkStart w:id="22" w:name="_Toc7475"/>
      <w:bookmarkStart w:id="23" w:name="_Toc49527860"/>
      <w:bookmarkStart w:id="24" w:name="_Toc77555176"/>
      <w:bookmarkStart w:id="25" w:name="_Toc72916297"/>
      <w:bookmarkStart w:id="26" w:name="_Toc17586"/>
      <w:bookmarkStart w:id="27" w:name="_Toc23954"/>
      <w:r>
        <w:rPr>
          <w:rFonts w:ascii="宋体" w:hAnsi="宋体" w:eastAsia="宋体"/>
          <w:b w:val="0"/>
          <w:bCs w:val="0"/>
          <w:sz w:val="30"/>
          <w:szCs w:val="28"/>
        </w:rPr>
        <w:t>投标须知前附表</w:t>
      </w:r>
      <w:bookmarkEnd w:id="16"/>
      <w:bookmarkEnd w:id="17"/>
      <w:bookmarkEnd w:id="18"/>
      <w:bookmarkEnd w:id="19"/>
      <w:bookmarkEnd w:id="20"/>
      <w:bookmarkEnd w:id="21"/>
      <w:bookmarkEnd w:id="22"/>
      <w:bookmarkEnd w:id="23"/>
      <w:bookmarkEnd w:id="24"/>
      <w:bookmarkEnd w:id="25"/>
      <w:bookmarkEnd w:id="26"/>
      <w:bookmarkEnd w:id="27"/>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846"/>
        <w:gridCol w:w="1465"/>
        <w:gridCol w:w="55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74" w:type="pct"/>
            <w:vAlign w:val="center"/>
          </w:tcPr>
          <w:p>
            <w:pPr>
              <w:snapToGrid w:val="0"/>
              <w:spacing w:line="360" w:lineRule="auto"/>
              <w:ind w:right="-357"/>
              <w:rPr>
                <w:rFonts w:ascii="宋体" w:hAnsi="宋体"/>
                <w:b/>
                <w:szCs w:val="21"/>
              </w:rPr>
            </w:pPr>
            <w:r>
              <w:rPr>
                <w:rFonts w:ascii="宋体" w:hAnsi="宋体"/>
                <w:b/>
                <w:szCs w:val="21"/>
              </w:rPr>
              <w:t>栏</w:t>
            </w:r>
          </w:p>
          <w:p>
            <w:pPr>
              <w:snapToGrid w:val="0"/>
              <w:spacing w:line="360" w:lineRule="auto"/>
              <w:ind w:right="-357"/>
              <w:rPr>
                <w:rFonts w:ascii="宋体" w:hAnsi="宋体"/>
                <w:b/>
                <w:szCs w:val="21"/>
              </w:rPr>
            </w:pPr>
            <w:r>
              <w:rPr>
                <w:rFonts w:ascii="宋体" w:hAnsi="宋体"/>
                <w:b/>
                <w:szCs w:val="21"/>
              </w:rPr>
              <w:t>号</w:t>
            </w:r>
          </w:p>
        </w:tc>
        <w:tc>
          <w:tcPr>
            <w:tcW w:w="496" w:type="pct"/>
            <w:vAlign w:val="center"/>
          </w:tcPr>
          <w:p>
            <w:pPr>
              <w:snapToGrid w:val="0"/>
              <w:spacing w:line="360" w:lineRule="auto"/>
              <w:jc w:val="center"/>
              <w:rPr>
                <w:rFonts w:ascii="宋体" w:hAnsi="宋体"/>
                <w:b/>
                <w:szCs w:val="21"/>
              </w:rPr>
            </w:pPr>
            <w:r>
              <w:rPr>
                <w:rFonts w:ascii="宋体" w:hAnsi="宋体"/>
                <w:b/>
                <w:szCs w:val="21"/>
              </w:rPr>
              <w:t>条款号</w:t>
            </w:r>
          </w:p>
        </w:tc>
        <w:tc>
          <w:tcPr>
            <w:tcW w:w="858" w:type="pct"/>
            <w:vAlign w:val="center"/>
          </w:tcPr>
          <w:p>
            <w:pPr>
              <w:snapToGrid w:val="0"/>
              <w:spacing w:line="360" w:lineRule="auto"/>
              <w:jc w:val="center"/>
              <w:rPr>
                <w:rFonts w:ascii="宋体" w:hAnsi="宋体"/>
                <w:b/>
                <w:szCs w:val="21"/>
              </w:rPr>
            </w:pPr>
            <w:r>
              <w:rPr>
                <w:rFonts w:ascii="宋体" w:hAnsi="宋体"/>
                <w:b/>
                <w:szCs w:val="21"/>
              </w:rPr>
              <w:t>内  容</w:t>
            </w:r>
          </w:p>
        </w:tc>
        <w:tc>
          <w:tcPr>
            <w:tcW w:w="3269" w:type="pct"/>
            <w:vAlign w:val="center"/>
          </w:tcPr>
          <w:p>
            <w:pPr>
              <w:tabs>
                <w:tab w:val="left" w:pos="1180"/>
              </w:tabs>
              <w:snapToGrid w:val="0"/>
              <w:spacing w:line="360" w:lineRule="auto"/>
              <w:jc w:val="center"/>
              <w:rPr>
                <w:rFonts w:ascii="宋体" w:hAnsi="宋体"/>
                <w:b/>
                <w:szCs w:val="21"/>
              </w:rPr>
            </w:pPr>
            <w:r>
              <w:rPr>
                <w:rFonts w:ascii="宋体" w:hAnsi="宋体"/>
                <w:b/>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p>
        </w:tc>
        <w:tc>
          <w:tcPr>
            <w:tcW w:w="496" w:type="pct"/>
            <w:vAlign w:val="center"/>
          </w:tcPr>
          <w:p>
            <w:pPr>
              <w:snapToGrid w:val="0"/>
              <w:spacing w:line="360" w:lineRule="auto"/>
              <w:jc w:val="center"/>
              <w:rPr>
                <w:rFonts w:ascii="宋体" w:hAnsi="宋体"/>
                <w:szCs w:val="21"/>
              </w:rPr>
            </w:pPr>
            <w:r>
              <w:rPr>
                <w:rFonts w:ascii="宋体" w:hAnsi="宋体"/>
                <w:szCs w:val="21"/>
              </w:rPr>
              <w:t>1.1</w:t>
            </w:r>
          </w:p>
        </w:tc>
        <w:tc>
          <w:tcPr>
            <w:tcW w:w="858" w:type="pct"/>
            <w:vAlign w:val="center"/>
          </w:tcPr>
          <w:p>
            <w:pPr>
              <w:snapToGrid w:val="0"/>
              <w:spacing w:line="360" w:lineRule="auto"/>
              <w:jc w:val="center"/>
              <w:rPr>
                <w:rFonts w:ascii="宋体" w:hAnsi="宋体"/>
                <w:szCs w:val="21"/>
              </w:rPr>
            </w:pPr>
            <w:r>
              <w:rPr>
                <w:rFonts w:hint="eastAsia" w:ascii="宋体" w:hAnsi="宋体"/>
                <w:szCs w:val="21"/>
              </w:rPr>
              <w:t>项目业主</w:t>
            </w:r>
          </w:p>
        </w:tc>
        <w:tc>
          <w:tcPr>
            <w:tcW w:w="3269" w:type="pct"/>
            <w:vAlign w:val="center"/>
          </w:tcPr>
          <w:p>
            <w:pPr>
              <w:snapToGrid w:val="0"/>
              <w:spacing w:line="360" w:lineRule="auto"/>
              <w:rPr>
                <w:rFonts w:ascii="宋体" w:hAnsi="宋体"/>
                <w:szCs w:val="21"/>
              </w:rPr>
            </w:pPr>
            <w:r>
              <w:rPr>
                <w:rFonts w:hint="eastAsia" w:ascii="宋体" w:hAnsi="宋体"/>
                <w:szCs w:val="21"/>
              </w:rPr>
              <w:t>名称：东莞市石鼓污水处理有限公司</w:t>
            </w:r>
          </w:p>
          <w:p>
            <w:pPr>
              <w:snapToGrid w:val="0"/>
              <w:spacing w:line="360" w:lineRule="auto"/>
              <w:rPr>
                <w:rFonts w:ascii="宋体" w:hAnsi="宋体"/>
                <w:szCs w:val="21"/>
              </w:rPr>
            </w:pPr>
            <w:r>
              <w:rPr>
                <w:rFonts w:hint="eastAsia" w:ascii="宋体" w:hAnsi="宋体"/>
                <w:szCs w:val="21"/>
              </w:rPr>
              <w:t>注：本项目以代建模式实施，招标人为本项目的代建单位。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2</w:t>
            </w:r>
          </w:p>
        </w:tc>
        <w:tc>
          <w:tcPr>
            <w:tcW w:w="496" w:type="pct"/>
            <w:vAlign w:val="center"/>
          </w:tcPr>
          <w:p>
            <w:pPr>
              <w:snapToGrid w:val="0"/>
              <w:spacing w:line="360" w:lineRule="auto"/>
              <w:jc w:val="center"/>
              <w:rPr>
                <w:rFonts w:ascii="宋体" w:hAnsi="宋体"/>
                <w:szCs w:val="21"/>
              </w:rPr>
            </w:pPr>
            <w:r>
              <w:rPr>
                <w:rFonts w:hint="eastAsia" w:ascii="宋体" w:hAnsi="宋体"/>
                <w:szCs w:val="21"/>
              </w:rPr>
              <w:t>1.2</w:t>
            </w:r>
          </w:p>
        </w:tc>
        <w:tc>
          <w:tcPr>
            <w:tcW w:w="858" w:type="pct"/>
            <w:vAlign w:val="center"/>
          </w:tcPr>
          <w:p>
            <w:pPr>
              <w:snapToGrid w:val="0"/>
              <w:spacing w:line="360" w:lineRule="auto"/>
              <w:jc w:val="center"/>
              <w:rPr>
                <w:rFonts w:ascii="宋体" w:hAnsi="宋体"/>
                <w:szCs w:val="21"/>
              </w:rPr>
            </w:pPr>
            <w:r>
              <w:rPr>
                <w:rFonts w:ascii="宋体" w:hAnsi="宋体"/>
                <w:szCs w:val="21"/>
              </w:rPr>
              <w:t>招标人</w:t>
            </w:r>
          </w:p>
        </w:tc>
        <w:tc>
          <w:tcPr>
            <w:tcW w:w="3269" w:type="pct"/>
            <w:vAlign w:val="center"/>
          </w:tcPr>
          <w:p>
            <w:pPr>
              <w:spacing w:line="400" w:lineRule="exact"/>
              <w:rPr>
                <w:rFonts w:ascii="宋体" w:hAnsi="宋体"/>
                <w:szCs w:val="21"/>
              </w:rPr>
            </w:pPr>
            <w:r>
              <w:rPr>
                <w:rFonts w:ascii="宋体" w:hAnsi="宋体"/>
                <w:szCs w:val="21"/>
              </w:rPr>
              <w:t>名称：</w:t>
            </w:r>
            <w:r>
              <w:rPr>
                <w:rFonts w:hint="eastAsia" w:ascii="宋体" w:hAnsi="宋体"/>
                <w:szCs w:val="21"/>
              </w:rPr>
              <w:t>东莞市水务集团建设管理有限公司</w:t>
            </w:r>
          </w:p>
          <w:p>
            <w:pPr>
              <w:spacing w:line="400" w:lineRule="exact"/>
              <w:rPr>
                <w:rFonts w:ascii="宋体" w:hAnsi="宋体"/>
                <w:szCs w:val="21"/>
              </w:rPr>
            </w:pPr>
            <w:r>
              <w:rPr>
                <w:rFonts w:ascii="宋体" w:hAnsi="宋体"/>
                <w:szCs w:val="21"/>
              </w:rPr>
              <w:t>地址：</w:t>
            </w:r>
            <w:r>
              <w:rPr>
                <w:rFonts w:hint="eastAsia" w:ascii="宋体" w:hAnsi="宋体"/>
                <w:szCs w:val="21"/>
              </w:rPr>
              <w:t>东莞市南城街道滨河路100号</w:t>
            </w:r>
          </w:p>
          <w:p>
            <w:pPr>
              <w:spacing w:line="400" w:lineRule="exact"/>
              <w:rPr>
                <w:rFonts w:ascii="宋体" w:hAnsi="宋体"/>
                <w:szCs w:val="21"/>
              </w:rPr>
            </w:pPr>
            <w:r>
              <w:rPr>
                <w:rFonts w:ascii="宋体" w:hAnsi="宋体"/>
                <w:szCs w:val="21"/>
              </w:rPr>
              <w:t>联系人：</w:t>
            </w:r>
            <w:r>
              <w:rPr>
                <w:rFonts w:hint="eastAsia" w:ascii="宋体" w:hAnsi="宋体"/>
                <w:szCs w:val="21"/>
              </w:rPr>
              <w:t>陈方凯</w:t>
            </w:r>
          </w:p>
          <w:p>
            <w:pPr>
              <w:snapToGrid w:val="0"/>
              <w:spacing w:line="360" w:lineRule="auto"/>
              <w:rPr>
                <w:rFonts w:ascii="宋体" w:hAnsi="宋体"/>
                <w:szCs w:val="21"/>
              </w:rPr>
            </w:pPr>
            <w:r>
              <w:rPr>
                <w:rFonts w:ascii="宋体" w:hAnsi="宋体"/>
                <w:szCs w:val="21"/>
              </w:rPr>
              <w:t>电话：</w:t>
            </w:r>
            <w:r>
              <w:rPr>
                <w:rFonts w:hint="eastAsia" w:ascii="宋体" w:hAnsi="宋体"/>
                <w:szCs w:val="21"/>
              </w:rPr>
              <w:t>0</w:t>
            </w:r>
            <w:r>
              <w:rPr>
                <w:rFonts w:ascii="宋体" w:hAnsi="宋体"/>
                <w:szCs w:val="21"/>
              </w:rPr>
              <w:t>769-</w:t>
            </w:r>
            <w:r>
              <w:rPr>
                <w:rFonts w:hint="eastAsia" w:ascii="宋体" w:hAnsi="宋体"/>
                <w:szCs w:val="21"/>
              </w:rPr>
              <w:t>22008759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3</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3</w:t>
            </w:r>
          </w:p>
        </w:tc>
        <w:tc>
          <w:tcPr>
            <w:tcW w:w="858" w:type="pct"/>
            <w:vAlign w:val="center"/>
          </w:tcPr>
          <w:p>
            <w:pPr>
              <w:snapToGrid w:val="0"/>
              <w:spacing w:line="360" w:lineRule="auto"/>
              <w:jc w:val="center"/>
              <w:rPr>
                <w:rFonts w:ascii="宋体" w:hAnsi="宋体"/>
                <w:szCs w:val="21"/>
              </w:rPr>
            </w:pPr>
            <w:r>
              <w:rPr>
                <w:rFonts w:ascii="宋体" w:hAnsi="宋体"/>
                <w:szCs w:val="21"/>
              </w:rPr>
              <w:t>招标代理机构</w:t>
            </w:r>
          </w:p>
        </w:tc>
        <w:tc>
          <w:tcPr>
            <w:tcW w:w="3269" w:type="pct"/>
            <w:vAlign w:val="center"/>
          </w:tcPr>
          <w:p>
            <w:pPr>
              <w:snapToGrid w:val="0"/>
              <w:spacing w:line="360" w:lineRule="auto"/>
              <w:rPr>
                <w:rFonts w:ascii="宋体" w:hAnsi="宋体"/>
                <w:szCs w:val="21"/>
              </w:rPr>
            </w:pPr>
            <w:r>
              <w:rPr>
                <w:rFonts w:hint="eastAsia" w:ascii="宋体" w:hAnsi="宋体"/>
                <w:szCs w:val="21"/>
              </w:rPr>
              <w:t>名称：广州筑正工程建设管理有限公司</w:t>
            </w:r>
          </w:p>
          <w:p>
            <w:pPr>
              <w:snapToGrid w:val="0"/>
              <w:spacing w:line="360" w:lineRule="auto"/>
              <w:rPr>
                <w:rFonts w:ascii="宋体" w:hAnsi="宋体"/>
                <w:szCs w:val="21"/>
              </w:rPr>
            </w:pPr>
            <w:r>
              <w:rPr>
                <w:rFonts w:hint="eastAsia" w:ascii="宋体" w:hAnsi="宋体"/>
                <w:szCs w:val="21"/>
              </w:rPr>
              <w:t>地址：东莞市莞城街道东城中路恒泰大厦202室</w:t>
            </w:r>
          </w:p>
          <w:p>
            <w:pPr>
              <w:snapToGrid w:val="0"/>
              <w:spacing w:line="360" w:lineRule="auto"/>
              <w:rPr>
                <w:rFonts w:ascii="宋体" w:hAnsi="宋体"/>
                <w:szCs w:val="21"/>
              </w:rPr>
            </w:pPr>
            <w:r>
              <w:rPr>
                <w:rFonts w:hint="eastAsia" w:ascii="宋体" w:hAnsi="宋体"/>
                <w:szCs w:val="21"/>
              </w:rPr>
              <w:t>联系人：黎玉青</w:t>
            </w:r>
          </w:p>
          <w:p>
            <w:pPr>
              <w:snapToGrid w:val="0"/>
              <w:spacing w:line="360" w:lineRule="auto"/>
              <w:rPr>
                <w:rFonts w:ascii="宋体" w:hAnsi="宋体"/>
                <w:szCs w:val="21"/>
              </w:rPr>
            </w:pPr>
            <w:r>
              <w:rPr>
                <w:rFonts w:hint="eastAsia" w:ascii="宋体" w:hAnsi="宋体"/>
                <w:szCs w:val="21"/>
              </w:rPr>
              <w:t>电话：0769-22235950</w:t>
            </w:r>
          </w:p>
          <w:p>
            <w:pPr>
              <w:snapToGrid w:val="0"/>
              <w:spacing w:line="360" w:lineRule="auto"/>
              <w:rPr>
                <w:rFonts w:ascii="宋体" w:hAnsi="宋体"/>
                <w:szCs w:val="21"/>
              </w:rPr>
            </w:pPr>
            <w:r>
              <w:rPr>
                <w:rFonts w:hint="eastAsia" w:ascii="宋体" w:hAnsi="宋体"/>
                <w:szCs w:val="21"/>
              </w:rPr>
              <w:t>传真：0769-22235950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4</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4</w:t>
            </w:r>
          </w:p>
        </w:tc>
        <w:tc>
          <w:tcPr>
            <w:tcW w:w="858" w:type="pct"/>
            <w:vAlign w:val="center"/>
          </w:tcPr>
          <w:p>
            <w:pPr>
              <w:snapToGrid w:val="0"/>
              <w:spacing w:line="360" w:lineRule="auto"/>
              <w:jc w:val="center"/>
              <w:rPr>
                <w:rFonts w:ascii="宋体" w:hAnsi="宋体"/>
                <w:szCs w:val="21"/>
              </w:rPr>
            </w:pPr>
            <w:r>
              <w:rPr>
                <w:rFonts w:ascii="宋体" w:hAnsi="宋体"/>
                <w:szCs w:val="21"/>
              </w:rPr>
              <w:t>监督部门</w:t>
            </w:r>
          </w:p>
        </w:tc>
        <w:tc>
          <w:tcPr>
            <w:tcW w:w="3269" w:type="pct"/>
            <w:vAlign w:val="center"/>
          </w:tcPr>
          <w:p>
            <w:pPr>
              <w:snapToGrid w:val="0"/>
              <w:spacing w:line="360" w:lineRule="auto"/>
              <w:rPr>
                <w:rFonts w:ascii="宋体" w:hAnsi="宋体"/>
                <w:szCs w:val="21"/>
              </w:rPr>
            </w:pPr>
            <w:r>
              <w:rPr>
                <w:rFonts w:ascii="宋体" w:hAnsi="宋体"/>
                <w:szCs w:val="21"/>
              </w:rPr>
              <w:t>名称：</w:t>
            </w:r>
            <w:r>
              <w:rPr>
                <w:rFonts w:hint="eastAsia" w:ascii="宋体" w:hAnsi="宋体"/>
                <w:szCs w:val="21"/>
              </w:rPr>
              <w:t xml:space="preserve">东莞市生态环境局 </w:t>
            </w:r>
          </w:p>
          <w:p>
            <w:pPr>
              <w:snapToGrid w:val="0"/>
              <w:spacing w:line="360" w:lineRule="auto"/>
              <w:rPr>
                <w:rFonts w:ascii="宋体" w:hAnsi="宋体"/>
                <w:szCs w:val="21"/>
              </w:rPr>
            </w:pPr>
            <w:r>
              <w:rPr>
                <w:rFonts w:ascii="宋体" w:hAnsi="宋体"/>
                <w:szCs w:val="21"/>
              </w:rPr>
              <w:t>地址：</w:t>
            </w:r>
            <w:r>
              <w:rPr>
                <w:rFonts w:hint="eastAsia" w:ascii="宋体" w:hAnsi="宋体"/>
                <w:szCs w:val="21"/>
              </w:rPr>
              <w:t>东莞市南城街道宏伟二路南城段九号胜安大厦</w:t>
            </w:r>
          </w:p>
          <w:p>
            <w:pPr>
              <w:snapToGrid w:val="0"/>
              <w:spacing w:line="360" w:lineRule="auto"/>
              <w:rPr>
                <w:rFonts w:ascii="宋体" w:hAnsi="宋体"/>
                <w:szCs w:val="21"/>
              </w:rPr>
            </w:pPr>
            <w:r>
              <w:rPr>
                <w:rFonts w:ascii="宋体" w:hAnsi="宋体"/>
                <w:szCs w:val="21"/>
              </w:rPr>
              <w:t>电话： 0769-23392091</w:t>
            </w:r>
            <w:r>
              <w:rPr>
                <w:rFonts w:hint="eastAsia" w:ascii="宋体" w:hAnsi="宋体"/>
                <w:szCs w:val="21"/>
              </w:rPr>
              <w:t>，</w:t>
            </w:r>
            <w:r>
              <w:t>陈伟杰</w:t>
            </w:r>
            <w:r>
              <w:fldChar w:fldCharType="begin"/>
            </w:r>
            <w:r>
              <w:instrText xml:space="preserve"> HYPERLINK "mailto:" </w:instrText>
            </w:r>
            <w:r>
              <w:fldChar w:fldCharType="separate"/>
            </w:r>
            <w: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5</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5</w:t>
            </w:r>
          </w:p>
        </w:tc>
        <w:tc>
          <w:tcPr>
            <w:tcW w:w="858" w:type="pct"/>
            <w:vAlign w:val="center"/>
          </w:tcPr>
          <w:p>
            <w:pPr>
              <w:snapToGrid w:val="0"/>
              <w:spacing w:line="360" w:lineRule="auto"/>
              <w:jc w:val="center"/>
              <w:rPr>
                <w:rFonts w:ascii="宋体" w:hAnsi="宋体"/>
                <w:szCs w:val="21"/>
              </w:rPr>
            </w:pPr>
            <w:r>
              <w:rPr>
                <w:rFonts w:ascii="宋体" w:hAnsi="宋体"/>
                <w:szCs w:val="21"/>
              </w:rPr>
              <w:t>招标项目名称</w:t>
            </w:r>
          </w:p>
        </w:tc>
        <w:tc>
          <w:tcPr>
            <w:tcW w:w="3269" w:type="pct"/>
            <w:vAlign w:val="center"/>
          </w:tcPr>
          <w:p>
            <w:pPr>
              <w:snapToGrid w:val="0"/>
              <w:spacing w:line="360" w:lineRule="auto"/>
            </w:pPr>
            <w:r>
              <w:rPr>
                <w:rFonts w:hint="eastAsia"/>
              </w:rPr>
              <w:t>东莞市沙田福禄沙污水处理厂二期工程等四项工程刮泥机成套系统设备采购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6</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6</w:t>
            </w:r>
          </w:p>
        </w:tc>
        <w:tc>
          <w:tcPr>
            <w:tcW w:w="858" w:type="pct"/>
            <w:vAlign w:val="center"/>
          </w:tcPr>
          <w:p>
            <w:pPr>
              <w:snapToGrid w:val="0"/>
              <w:spacing w:line="360" w:lineRule="auto"/>
              <w:jc w:val="center"/>
              <w:rPr>
                <w:rFonts w:ascii="宋体" w:hAnsi="宋体"/>
                <w:szCs w:val="21"/>
              </w:rPr>
            </w:pPr>
            <w:r>
              <w:rPr>
                <w:rFonts w:ascii="宋体" w:hAnsi="宋体"/>
                <w:szCs w:val="21"/>
              </w:rPr>
              <w:t>建设地点</w:t>
            </w:r>
          </w:p>
        </w:tc>
        <w:tc>
          <w:tcPr>
            <w:tcW w:w="3269" w:type="pct"/>
            <w:vAlign w:val="center"/>
          </w:tcPr>
          <w:p>
            <w:pPr>
              <w:spacing w:line="360" w:lineRule="auto"/>
              <w:rPr>
                <w:rFonts w:ascii="宋体" w:hAnsi="宋体"/>
                <w:szCs w:val="21"/>
              </w:rPr>
            </w:pPr>
            <w:r>
              <w:rPr>
                <w:rFonts w:hint="eastAsia" w:ascii="宋体" w:hAnsi="宋体"/>
                <w:szCs w:val="21"/>
              </w:rPr>
              <w:t>本项目包含四个子项目，具体建设地点：</w:t>
            </w:r>
          </w:p>
          <w:p>
            <w:pPr>
              <w:spacing w:line="400" w:lineRule="exact"/>
              <w:rPr>
                <w:rFonts w:ascii="宋体" w:hAnsi="宋体"/>
                <w:szCs w:val="21"/>
              </w:rPr>
            </w:pPr>
            <w:r>
              <w:rPr>
                <w:rFonts w:hint="eastAsia" w:ascii="宋体" w:hAnsi="宋体"/>
                <w:szCs w:val="21"/>
              </w:rPr>
              <w:t>1、东莞市沙田福禄沙污水处理厂二期工程位于东莞市沙田镇福禄沙洲仔围村；</w:t>
            </w:r>
          </w:p>
          <w:p>
            <w:pPr>
              <w:spacing w:line="400" w:lineRule="exact"/>
              <w:rPr>
                <w:rFonts w:ascii="宋体" w:hAnsi="宋体"/>
                <w:szCs w:val="21"/>
              </w:rPr>
            </w:pPr>
            <w:r>
              <w:rPr>
                <w:rFonts w:hint="eastAsia" w:ascii="宋体" w:hAnsi="宋体"/>
                <w:szCs w:val="21"/>
              </w:rPr>
              <w:t>2、东莞市清溪厦坭污水处理厂二期工程位于东莞市清溪镇厦坭村江背路北；</w:t>
            </w:r>
          </w:p>
          <w:p>
            <w:pPr>
              <w:spacing w:line="400" w:lineRule="exact"/>
              <w:rPr>
                <w:rFonts w:ascii="宋体" w:hAnsi="宋体"/>
                <w:szCs w:val="21"/>
              </w:rPr>
            </w:pPr>
            <w:r>
              <w:rPr>
                <w:rFonts w:hint="eastAsia" w:ascii="宋体" w:hAnsi="宋体"/>
                <w:szCs w:val="21"/>
              </w:rPr>
              <w:t>3、东莞市黄江梅塘南部污水处理厂一期工程位于东莞市黄江镇梅塘社区星光村；</w:t>
            </w:r>
          </w:p>
          <w:p>
            <w:pPr>
              <w:spacing w:line="400" w:lineRule="exact"/>
              <w:rPr>
                <w:rFonts w:ascii="宋体" w:hAnsi="宋体"/>
                <w:szCs w:val="21"/>
              </w:rPr>
            </w:pPr>
            <w:r>
              <w:rPr>
                <w:rFonts w:hint="eastAsia" w:ascii="宋体" w:hAnsi="宋体"/>
                <w:szCs w:val="21"/>
              </w:rPr>
              <w:t>4、东莞市凤岗竹塘污水处理厂三期工程位于东莞市凤岗镇竹塘村。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7</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7</w:t>
            </w:r>
          </w:p>
        </w:tc>
        <w:tc>
          <w:tcPr>
            <w:tcW w:w="858" w:type="pct"/>
            <w:vAlign w:val="center"/>
          </w:tcPr>
          <w:p>
            <w:pPr>
              <w:snapToGrid w:val="0"/>
              <w:spacing w:line="360" w:lineRule="auto"/>
              <w:jc w:val="center"/>
              <w:rPr>
                <w:rFonts w:ascii="宋体" w:hAnsi="宋体"/>
                <w:szCs w:val="21"/>
              </w:rPr>
            </w:pPr>
            <w:r>
              <w:rPr>
                <w:rFonts w:ascii="宋体" w:hAnsi="宋体"/>
                <w:szCs w:val="21"/>
              </w:rPr>
              <w:t>建设规模</w:t>
            </w:r>
          </w:p>
        </w:tc>
        <w:tc>
          <w:tcPr>
            <w:tcW w:w="3269" w:type="pct"/>
            <w:vAlign w:val="center"/>
          </w:tcPr>
          <w:p>
            <w:pPr>
              <w:spacing w:line="360" w:lineRule="auto"/>
            </w:pPr>
            <w:r>
              <w:rPr>
                <w:rFonts w:hint="eastAsia"/>
              </w:rPr>
              <w:t>污水处理规模（</w:t>
            </w:r>
            <w:r>
              <w:rPr>
                <w:rFonts w:hint="eastAsia" w:ascii="宋体" w:hAnsi="宋体"/>
                <w:szCs w:val="21"/>
              </w:rPr>
              <w:t>立方米/天</w:t>
            </w:r>
            <w:r>
              <w:rPr>
                <w:rFonts w:hint="eastAsia"/>
              </w:rPr>
              <w:t>）：</w:t>
            </w:r>
          </w:p>
          <w:p>
            <w:pPr>
              <w:spacing w:line="360" w:lineRule="auto"/>
              <w:rPr>
                <w:rFonts w:ascii="宋体" w:hAnsi="宋体"/>
              </w:rPr>
            </w:pPr>
            <w:r>
              <w:rPr>
                <w:rFonts w:hint="eastAsia"/>
              </w:rPr>
              <w:t>1、</w:t>
            </w:r>
            <w:r>
              <w:rPr>
                <w:rFonts w:hint="eastAsia"/>
                <w:szCs w:val="21"/>
              </w:rPr>
              <w:t>东莞市沙田福禄沙污水处理厂二期工程</w:t>
            </w:r>
            <w:r>
              <w:rPr>
                <w:rFonts w:hint="eastAsia" w:ascii="宋体" w:hAnsi="宋体"/>
              </w:rPr>
              <w:t>，4万；</w:t>
            </w:r>
          </w:p>
          <w:p>
            <w:pPr>
              <w:spacing w:line="360" w:lineRule="auto"/>
              <w:rPr>
                <w:rFonts w:ascii="宋体" w:hAnsi="宋体"/>
              </w:rPr>
            </w:pPr>
            <w:r>
              <w:rPr>
                <w:rFonts w:ascii="宋体" w:hAnsi="宋体"/>
              </w:rPr>
              <w:t>2</w:t>
            </w:r>
            <w:r>
              <w:rPr>
                <w:rFonts w:hint="eastAsia" w:ascii="宋体" w:hAnsi="宋体"/>
              </w:rPr>
              <w:t>、</w:t>
            </w:r>
            <w:r>
              <w:rPr>
                <w:rFonts w:hint="eastAsia" w:ascii="宋体" w:hAnsi="宋体"/>
                <w:szCs w:val="21"/>
              </w:rPr>
              <w:t>东莞市清溪厦坭污水处理厂二期工程</w:t>
            </w:r>
            <w:r>
              <w:rPr>
                <w:rFonts w:hint="eastAsia" w:ascii="宋体" w:hAnsi="宋体"/>
              </w:rPr>
              <w:t>，5万；</w:t>
            </w:r>
          </w:p>
          <w:p>
            <w:pPr>
              <w:spacing w:line="360" w:lineRule="auto"/>
              <w:rPr>
                <w:rFonts w:ascii="宋体" w:hAnsi="宋体"/>
              </w:rPr>
            </w:pPr>
            <w:r>
              <w:rPr>
                <w:rFonts w:hint="eastAsia" w:ascii="宋体" w:hAnsi="宋体"/>
              </w:rPr>
              <w:t>3、</w:t>
            </w:r>
            <w:r>
              <w:rPr>
                <w:rFonts w:hint="eastAsia"/>
                <w:szCs w:val="21"/>
              </w:rPr>
              <w:t>东莞市黄江梅塘南部污水处理厂一期工程</w:t>
            </w:r>
            <w:r>
              <w:rPr>
                <w:rFonts w:hint="eastAsia" w:ascii="宋体" w:hAnsi="宋体"/>
              </w:rPr>
              <w:t>，5万；</w:t>
            </w:r>
          </w:p>
          <w:p>
            <w:pPr>
              <w:spacing w:line="400" w:lineRule="exact"/>
              <w:rPr>
                <w:rFonts w:ascii="宋体" w:hAnsi="宋体"/>
                <w:szCs w:val="21"/>
              </w:rPr>
            </w:pPr>
            <w:r>
              <w:rPr>
                <w:rFonts w:hint="eastAsia" w:ascii="宋体" w:hAnsi="宋体"/>
              </w:rPr>
              <w:t>4、</w:t>
            </w:r>
            <w:r>
              <w:rPr>
                <w:rFonts w:hint="eastAsia"/>
                <w:szCs w:val="21"/>
              </w:rPr>
              <w:t>东莞市凤岗竹塘污水处理厂三期工程</w:t>
            </w:r>
            <w:r>
              <w:rPr>
                <w:rFonts w:hint="eastAsia" w:ascii="宋体" w:hAnsi="宋体"/>
              </w:rPr>
              <w:t>，5万</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8</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8</w:t>
            </w:r>
          </w:p>
        </w:tc>
        <w:tc>
          <w:tcPr>
            <w:tcW w:w="858" w:type="pct"/>
            <w:vAlign w:val="center"/>
          </w:tcPr>
          <w:p>
            <w:pPr>
              <w:snapToGrid w:val="0"/>
              <w:spacing w:line="360" w:lineRule="auto"/>
              <w:jc w:val="center"/>
              <w:rPr>
                <w:rFonts w:ascii="宋体" w:hAnsi="宋体"/>
                <w:szCs w:val="21"/>
              </w:rPr>
            </w:pPr>
            <w:r>
              <w:rPr>
                <w:rFonts w:ascii="宋体" w:hAnsi="宋体"/>
                <w:szCs w:val="21"/>
              </w:rPr>
              <w:t>招标方式</w:t>
            </w:r>
          </w:p>
        </w:tc>
        <w:tc>
          <w:tcPr>
            <w:tcW w:w="3269" w:type="pct"/>
            <w:vAlign w:val="center"/>
          </w:tcPr>
          <w:p>
            <w:pPr>
              <w:pStyle w:val="10"/>
              <w:widowControl/>
              <w:snapToGrid w:val="0"/>
              <w:spacing w:line="360" w:lineRule="auto"/>
              <w:jc w:val="both"/>
              <w:rPr>
                <w:rFonts w:ascii="宋体" w:hAnsi="宋体"/>
                <w:szCs w:val="21"/>
              </w:rPr>
            </w:pPr>
            <w:r>
              <w:rPr>
                <w:rFonts w:ascii="宋体" w:hAnsi="宋体"/>
                <w:szCs w:val="21"/>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9</w:t>
            </w:r>
          </w:p>
        </w:tc>
        <w:tc>
          <w:tcPr>
            <w:tcW w:w="496" w:type="pct"/>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8</w:t>
            </w:r>
          </w:p>
        </w:tc>
        <w:tc>
          <w:tcPr>
            <w:tcW w:w="858" w:type="pct"/>
            <w:vAlign w:val="center"/>
          </w:tcPr>
          <w:p>
            <w:pPr>
              <w:snapToGrid w:val="0"/>
              <w:spacing w:line="360" w:lineRule="auto"/>
              <w:jc w:val="center"/>
              <w:rPr>
                <w:rFonts w:ascii="宋体" w:hAnsi="宋体"/>
                <w:szCs w:val="21"/>
              </w:rPr>
            </w:pPr>
            <w:r>
              <w:rPr>
                <w:rFonts w:ascii="宋体" w:hAnsi="宋体"/>
                <w:szCs w:val="21"/>
              </w:rPr>
              <w:t>招标场所</w:t>
            </w:r>
          </w:p>
        </w:tc>
        <w:tc>
          <w:tcPr>
            <w:tcW w:w="3269" w:type="pct"/>
            <w:vAlign w:val="center"/>
          </w:tcPr>
          <w:p>
            <w:pPr>
              <w:pStyle w:val="10"/>
              <w:widowControl/>
              <w:snapToGrid w:val="0"/>
              <w:spacing w:line="360" w:lineRule="auto"/>
              <w:jc w:val="both"/>
              <w:rPr>
                <w:rFonts w:ascii="宋体" w:hAnsi="宋体"/>
                <w:szCs w:val="21"/>
              </w:rPr>
            </w:pPr>
            <w:r>
              <w:rPr>
                <w:rFonts w:ascii="宋体" w:hAnsi="宋体"/>
                <w:szCs w:val="21"/>
              </w:rPr>
              <w:t>东莞市公共资源交易中心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10</w:t>
            </w:r>
          </w:p>
        </w:tc>
        <w:tc>
          <w:tcPr>
            <w:tcW w:w="496"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9</w:t>
            </w:r>
          </w:p>
        </w:tc>
        <w:tc>
          <w:tcPr>
            <w:tcW w:w="858" w:type="pct"/>
            <w:vAlign w:val="center"/>
          </w:tcPr>
          <w:p>
            <w:pPr>
              <w:snapToGrid w:val="0"/>
              <w:spacing w:line="360" w:lineRule="auto"/>
              <w:jc w:val="center"/>
              <w:rPr>
                <w:rFonts w:ascii="宋体" w:hAnsi="宋体"/>
                <w:szCs w:val="21"/>
              </w:rPr>
            </w:pPr>
            <w:r>
              <w:rPr>
                <w:rFonts w:hint="eastAsia" w:ascii="宋体" w:hAnsi="宋体"/>
                <w:szCs w:val="21"/>
              </w:rPr>
              <w:t>公告发布媒介</w:t>
            </w:r>
          </w:p>
        </w:tc>
        <w:tc>
          <w:tcPr>
            <w:tcW w:w="3269" w:type="pct"/>
            <w:vAlign w:val="center"/>
          </w:tcPr>
          <w:p>
            <w:pPr>
              <w:pStyle w:val="10"/>
              <w:widowControl/>
              <w:wordWrap w:val="0"/>
              <w:snapToGrid w:val="0"/>
              <w:spacing w:line="360" w:lineRule="auto"/>
              <w:jc w:val="both"/>
              <w:rPr>
                <w:rFonts w:ascii="宋体" w:hAnsi="宋体"/>
                <w:szCs w:val="21"/>
              </w:rPr>
            </w:pPr>
            <w:r>
              <w:rPr>
                <w:rFonts w:hint="eastAsia" w:ascii="宋体" w:hAnsi="宋体"/>
                <w:color w:val="000000"/>
                <w:kern w:val="2"/>
                <w:sz w:val="21"/>
                <w:szCs w:val="21"/>
              </w:rPr>
              <w:t>本项目相关公告在全国公共资源交易平台（广东省·东莞市）（https://ygp.gdzwfw.gov.cn/#/441900/index）、中国招标投标公共服务平台（www.cebpubservice.com）、广东省招标投标监管网（</w:t>
            </w:r>
            <w:r>
              <w:rPr>
                <w:rFonts w:ascii="宋体" w:hAnsi="宋体"/>
                <w:color w:val="000000"/>
                <w:kern w:val="2"/>
                <w:sz w:val="21"/>
                <w:szCs w:val="21"/>
              </w:rPr>
              <w:t>zbtb.gd.gov.cn/login</w:t>
            </w:r>
            <w:r>
              <w:rPr>
                <w:rFonts w:hint="eastAsia" w:ascii="宋体" w:hAnsi="宋体"/>
                <w:color w:val="000000"/>
                <w:kern w:val="2"/>
                <w:sz w:val="21"/>
                <w:szCs w:val="21"/>
              </w:rPr>
              <w:t>）、东莞市水务集团有限公司网（www.dgswjt.cn）上发布。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1</w:t>
            </w:r>
          </w:p>
        </w:tc>
        <w:tc>
          <w:tcPr>
            <w:tcW w:w="496" w:type="pct"/>
            <w:vAlign w:val="center"/>
          </w:tcPr>
          <w:p>
            <w:pPr>
              <w:snapToGrid w:val="0"/>
              <w:spacing w:line="360" w:lineRule="auto"/>
              <w:jc w:val="center"/>
              <w:rPr>
                <w:rFonts w:ascii="宋体" w:hAnsi="宋体"/>
                <w:szCs w:val="21"/>
              </w:rPr>
            </w:pPr>
            <w:r>
              <w:rPr>
                <w:rFonts w:ascii="宋体" w:hAnsi="宋体"/>
                <w:szCs w:val="21"/>
              </w:rPr>
              <w:t>2.1</w:t>
            </w:r>
          </w:p>
        </w:tc>
        <w:tc>
          <w:tcPr>
            <w:tcW w:w="858" w:type="pct"/>
            <w:vAlign w:val="center"/>
          </w:tcPr>
          <w:p>
            <w:pPr>
              <w:snapToGrid w:val="0"/>
              <w:spacing w:line="360" w:lineRule="auto"/>
              <w:jc w:val="center"/>
              <w:rPr>
                <w:rFonts w:ascii="宋体" w:hAnsi="宋体"/>
                <w:szCs w:val="21"/>
              </w:rPr>
            </w:pPr>
            <w:r>
              <w:rPr>
                <w:rFonts w:ascii="宋体" w:hAnsi="宋体"/>
                <w:szCs w:val="21"/>
              </w:rPr>
              <w:t>招标范围</w:t>
            </w:r>
          </w:p>
        </w:tc>
        <w:tc>
          <w:tcPr>
            <w:tcW w:w="3269" w:type="pct"/>
            <w:vAlign w:val="center"/>
          </w:tcPr>
          <w:p>
            <w:pPr>
              <w:snapToGrid w:val="0"/>
              <w:spacing w:line="360" w:lineRule="auto"/>
              <w:rPr>
                <w:rFonts w:ascii="宋体" w:hAnsi="宋体"/>
                <w:szCs w:val="21"/>
              </w:rPr>
            </w:pPr>
            <w:r>
              <w:rPr>
                <w:rFonts w:hint="eastAsia"/>
              </w:rPr>
              <w:t>东莞市沙田福禄沙污水处理厂二期工程等四项工程刮泥机成套系统设备采购</w:t>
            </w:r>
            <w:r>
              <w:rPr>
                <w:rFonts w:hint="eastAsia" w:ascii="宋体" w:hAnsi="宋体"/>
                <w:szCs w:val="21"/>
              </w:rPr>
              <w:t>，包括四个污水处理厂供货范围内所有货物及其附件（含PLC程序、触摸屏程序等软件）的设计</w:t>
            </w:r>
            <w:r>
              <w:rPr>
                <w:rFonts w:hint="eastAsia"/>
                <w:szCs w:val="21"/>
                <w:lang w:val="zh-CN"/>
              </w:rPr>
              <w:t>（</w:t>
            </w:r>
            <w:r>
              <w:rPr>
                <w:rFonts w:hint="eastAsia"/>
                <w:szCs w:val="21"/>
              </w:rPr>
              <w:t>含二次深化设计</w:t>
            </w:r>
            <w:r>
              <w:rPr>
                <w:rFonts w:hint="eastAsia"/>
                <w:szCs w:val="21"/>
                <w:lang w:val="zh-CN"/>
              </w:rPr>
              <w:t>）</w:t>
            </w:r>
            <w:r>
              <w:rPr>
                <w:rFonts w:hint="eastAsia" w:ascii="宋体" w:hAnsi="宋体"/>
                <w:szCs w:val="21"/>
              </w:rPr>
              <w:t>、采购、制造及系统集成、测试、试验、运输</w:t>
            </w:r>
            <w:r>
              <w:rPr>
                <w:rFonts w:hint="eastAsia" w:hAnsi="宋体" w:cs="宋体"/>
                <w:lang w:val="zh-CN"/>
              </w:rPr>
              <w:t>（</w:t>
            </w:r>
            <w:r>
              <w:rPr>
                <w:rFonts w:hint="eastAsia" w:ascii="宋体" w:hAnsi="宋体"/>
                <w:szCs w:val="21"/>
              </w:rPr>
              <w:t>至各子项目工地现场招标人指定地点</w:t>
            </w:r>
            <w:r>
              <w:rPr>
                <w:rFonts w:hint="eastAsia" w:hAnsi="宋体" w:cs="宋体"/>
                <w:lang w:val="zh-CN"/>
              </w:rPr>
              <w:t>）</w:t>
            </w:r>
            <w:r>
              <w:rPr>
                <w:rFonts w:hint="eastAsia" w:ascii="宋体" w:hAnsi="宋体"/>
                <w:szCs w:val="21"/>
              </w:rPr>
              <w:t>、保险、装卸、安装</w:t>
            </w:r>
            <w:r>
              <w:rPr>
                <w:rFonts w:hint="eastAsia" w:hAnsi="宋体" w:cs="宋体"/>
                <w:lang w:val="zh-CN"/>
              </w:rPr>
              <w:t>（含安全防护、文明施工措施）</w:t>
            </w:r>
            <w:r>
              <w:rPr>
                <w:rFonts w:hint="eastAsia" w:ascii="宋体" w:hAnsi="宋体"/>
                <w:szCs w:val="21"/>
              </w:rPr>
              <w:t>、单机试运转、指导及配合联合试运转（含耗材）、验收，技术资料、知识产权、设计联络、招标人所在地及工地现场培训、备品备件及专用工具、质保期保修服务、日常技术指导、</w:t>
            </w:r>
            <w:r>
              <w:rPr>
                <w:rFonts w:hint="eastAsia" w:ascii="宋体" w:hAnsi="宋体"/>
                <w:b/>
                <w:szCs w:val="21"/>
              </w:rPr>
              <w:t>BIM模型及技术服务</w:t>
            </w:r>
            <w:r>
              <w:rPr>
                <w:rFonts w:hint="eastAsia" w:ascii="宋体" w:hAnsi="宋体"/>
                <w:szCs w:val="21"/>
              </w:rPr>
              <w:t>等；具体范围和内容见招标文件第二章用户需求书。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2</w:t>
            </w:r>
          </w:p>
        </w:tc>
        <w:tc>
          <w:tcPr>
            <w:tcW w:w="496" w:type="pct"/>
            <w:vAlign w:val="center"/>
          </w:tcPr>
          <w:p>
            <w:pPr>
              <w:snapToGrid w:val="0"/>
              <w:spacing w:line="360" w:lineRule="auto"/>
              <w:jc w:val="center"/>
              <w:rPr>
                <w:rFonts w:ascii="宋体" w:hAnsi="宋体"/>
                <w:szCs w:val="21"/>
              </w:rPr>
            </w:pPr>
            <w:r>
              <w:rPr>
                <w:rFonts w:ascii="宋体" w:hAnsi="宋体"/>
                <w:szCs w:val="21"/>
              </w:rPr>
              <w:t>2.1</w:t>
            </w:r>
          </w:p>
        </w:tc>
        <w:tc>
          <w:tcPr>
            <w:tcW w:w="858" w:type="pct"/>
            <w:vAlign w:val="center"/>
          </w:tcPr>
          <w:p>
            <w:pPr>
              <w:snapToGrid w:val="0"/>
              <w:spacing w:line="360" w:lineRule="auto"/>
              <w:jc w:val="center"/>
              <w:rPr>
                <w:rFonts w:ascii="宋体" w:hAnsi="宋体"/>
                <w:szCs w:val="21"/>
              </w:rPr>
            </w:pPr>
            <w:r>
              <w:rPr>
                <w:rFonts w:hint="eastAsia" w:ascii="宋体" w:hAnsi="宋体"/>
                <w:szCs w:val="21"/>
              </w:rPr>
              <w:t>完工期要求</w:t>
            </w:r>
          </w:p>
        </w:tc>
        <w:tc>
          <w:tcPr>
            <w:tcW w:w="3269" w:type="pct"/>
            <w:vAlign w:val="center"/>
          </w:tcPr>
          <w:p>
            <w:pPr>
              <w:snapToGrid w:val="0"/>
              <w:spacing w:line="360" w:lineRule="auto"/>
              <w:jc w:val="left"/>
            </w:pPr>
            <w:r>
              <w:t>完工期包括交接验收及初步验收：</w:t>
            </w:r>
          </w:p>
          <w:p>
            <w:pPr>
              <w:snapToGrid w:val="0"/>
              <w:spacing w:line="360" w:lineRule="auto"/>
              <w:jc w:val="left"/>
              <w:rPr>
                <w:rFonts w:ascii="宋体" w:hAnsi="宋体"/>
                <w:szCs w:val="21"/>
              </w:rPr>
            </w:pPr>
            <w:r>
              <w:rPr>
                <w:rFonts w:hint="eastAsia"/>
              </w:rPr>
              <w:t>1、</w:t>
            </w:r>
            <w:r>
              <w:rPr>
                <w:rFonts w:hint="eastAsia" w:ascii="宋体" w:hAnsi="宋体"/>
                <w:szCs w:val="21"/>
              </w:rPr>
              <w:t>中标人应在招标人（或招标人委托的第三方）发出书面供货通知之日起</w:t>
            </w:r>
            <w:r>
              <w:rPr>
                <w:rFonts w:hint="eastAsia" w:ascii="宋体" w:hAnsi="宋体"/>
                <w:szCs w:val="21"/>
                <w:u w:val="single"/>
              </w:rPr>
              <w:t xml:space="preserve"> 75 </w:t>
            </w:r>
            <w:r>
              <w:rPr>
                <w:rFonts w:hint="eastAsia" w:ascii="宋体" w:hAnsi="宋体"/>
                <w:szCs w:val="21"/>
              </w:rPr>
              <w:t>日将所有货物运至交货地点，并按合同约定完成交接验收合格。</w:t>
            </w:r>
          </w:p>
          <w:p>
            <w:pPr>
              <w:snapToGrid w:val="0"/>
              <w:spacing w:line="360" w:lineRule="auto"/>
              <w:jc w:val="left"/>
              <w:rPr>
                <w:rFonts w:ascii="宋体" w:hAnsi="宋体"/>
                <w:strike/>
                <w:szCs w:val="21"/>
              </w:rPr>
            </w:pPr>
            <w:r>
              <w:rPr>
                <w:rFonts w:hint="eastAsia" w:ascii="宋体" w:hAnsi="宋体"/>
                <w:szCs w:val="21"/>
              </w:rPr>
              <w:t>2、</w:t>
            </w:r>
            <w:r>
              <w:t>中标人应在交接验收合格后按合同约定完成货物的安装、单机试运转，并按合同约定完成初步验收合格。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3</w:t>
            </w:r>
          </w:p>
        </w:tc>
        <w:tc>
          <w:tcPr>
            <w:tcW w:w="496" w:type="pct"/>
            <w:vAlign w:val="center"/>
          </w:tcPr>
          <w:p>
            <w:pPr>
              <w:snapToGrid w:val="0"/>
              <w:spacing w:line="360" w:lineRule="auto"/>
              <w:jc w:val="center"/>
              <w:rPr>
                <w:rFonts w:ascii="宋体" w:hAnsi="宋体"/>
                <w:szCs w:val="21"/>
              </w:rPr>
            </w:pPr>
            <w:r>
              <w:rPr>
                <w:rFonts w:ascii="宋体" w:hAnsi="宋体"/>
                <w:szCs w:val="21"/>
              </w:rPr>
              <w:t>3.1</w:t>
            </w:r>
          </w:p>
        </w:tc>
        <w:tc>
          <w:tcPr>
            <w:tcW w:w="858" w:type="pct"/>
            <w:vAlign w:val="center"/>
          </w:tcPr>
          <w:p>
            <w:pPr>
              <w:snapToGrid w:val="0"/>
              <w:spacing w:line="360" w:lineRule="auto"/>
              <w:jc w:val="center"/>
              <w:rPr>
                <w:rFonts w:ascii="宋体" w:hAnsi="宋体"/>
                <w:szCs w:val="21"/>
              </w:rPr>
            </w:pPr>
            <w:r>
              <w:rPr>
                <w:rFonts w:ascii="宋体" w:hAnsi="宋体"/>
                <w:szCs w:val="21"/>
              </w:rPr>
              <w:t>资金来源</w:t>
            </w:r>
          </w:p>
        </w:tc>
        <w:tc>
          <w:tcPr>
            <w:tcW w:w="3269" w:type="pct"/>
            <w:vAlign w:val="center"/>
          </w:tcPr>
          <w:p>
            <w:pPr>
              <w:snapToGrid w:val="0"/>
              <w:spacing w:line="360" w:lineRule="auto"/>
              <w:rPr>
                <w:rFonts w:ascii="宋体" w:hAnsi="宋体"/>
                <w:szCs w:val="21"/>
              </w:rPr>
            </w:pPr>
            <w:r>
              <w:rPr>
                <w:rFonts w:ascii="宋体" w:hAnsi="宋体"/>
                <w:szCs w:val="21"/>
              </w:rPr>
              <w:t>自筹资金</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4</w:t>
            </w:r>
          </w:p>
        </w:tc>
        <w:tc>
          <w:tcPr>
            <w:tcW w:w="496" w:type="pct"/>
            <w:vAlign w:val="center"/>
          </w:tcPr>
          <w:p>
            <w:pPr>
              <w:snapToGrid w:val="0"/>
              <w:spacing w:line="360" w:lineRule="auto"/>
              <w:jc w:val="center"/>
              <w:rPr>
                <w:rFonts w:ascii="宋体" w:hAnsi="宋体"/>
                <w:szCs w:val="21"/>
              </w:rPr>
            </w:pPr>
            <w:r>
              <w:rPr>
                <w:rFonts w:ascii="宋体" w:hAnsi="宋体"/>
                <w:szCs w:val="21"/>
              </w:rPr>
              <w:t>4.1</w:t>
            </w:r>
          </w:p>
        </w:tc>
        <w:tc>
          <w:tcPr>
            <w:tcW w:w="858" w:type="pct"/>
            <w:vAlign w:val="center"/>
          </w:tcPr>
          <w:p>
            <w:pPr>
              <w:snapToGrid w:val="0"/>
              <w:spacing w:line="360" w:lineRule="auto"/>
              <w:jc w:val="center"/>
              <w:rPr>
                <w:rFonts w:ascii="宋体" w:hAnsi="宋体"/>
                <w:szCs w:val="21"/>
              </w:rPr>
            </w:pPr>
            <w:r>
              <w:rPr>
                <w:rFonts w:hint="eastAsia" w:ascii="宋体" w:hAnsi="宋体"/>
                <w:szCs w:val="21"/>
              </w:rPr>
              <w:t>投标人资格条件、资格业绩要求及其他要求</w:t>
            </w:r>
          </w:p>
        </w:tc>
        <w:tc>
          <w:tcPr>
            <w:tcW w:w="3269" w:type="pct"/>
            <w:vAlign w:val="center"/>
          </w:tcPr>
          <w:p>
            <w:pPr>
              <w:snapToGrid w:val="0"/>
              <w:spacing w:line="360" w:lineRule="auto"/>
              <w:rPr>
                <w:rFonts w:ascii="宋体" w:hAnsi="宋体"/>
                <w:b/>
                <w:szCs w:val="21"/>
              </w:rPr>
            </w:pPr>
            <w:r>
              <w:rPr>
                <w:rFonts w:hint="eastAsia" w:ascii="宋体" w:hAnsi="宋体"/>
                <w:b/>
                <w:szCs w:val="21"/>
              </w:rPr>
              <w:t>一、资格条件：</w:t>
            </w:r>
          </w:p>
          <w:p>
            <w:pPr>
              <w:pStyle w:val="10"/>
              <w:snapToGrid w:val="0"/>
              <w:spacing w:line="360" w:lineRule="auto"/>
              <w:ind w:firstLine="211" w:firstLineChars="100"/>
              <w:rPr>
                <w:rFonts w:ascii="宋体" w:hAnsi="宋体"/>
                <w:b/>
                <w:szCs w:val="21"/>
              </w:rPr>
            </w:pPr>
            <w:r>
              <w:rPr>
                <w:rFonts w:hint="eastAsia" w:ascii="宋体" w:hAnsi="宋体"/>
                <w:b/>
                <w:szCs w:val="21"/>
              </w:rPr>
              <w:t>投标人为在境内依法登记注册、能独立承担民事责任能力、具有生产制造本次投标成套设备能力的制造商。</w:t>
            </w:r>
          </w:p>
          <w:p>
            <w:pPr>
              <w:snapToGrid w:val="0"/>
              <w:spacing w:line="360" w:lineRule="auto"/>
              <w:jc w:val="left"/>
              <w:rPr>
                <w:rFonts w:ascii="宋体" w:hAnsi="宋体"/>
                <w:b/>
                <w:szCs w:val="21"/>
              </w:rPr>
            </w:pPr>
            <w:r>
              <w:rPr>
                <w:rFonts w:hint="eastAsia" w:ascii="宋体" w:hAnsi="宋体"/>
                <w:b/>
                <w:szCs w:val="21"/>
              </w:rPr>
              <w:t>二、</w:t>
            </w:r>
            <w:r>
              <w:rPr>
                <w:rFonts w:hint="eastAsia" w:ascii="宋体" w:hAnsi="宋体"/>
                <w:b/>
                <w:szCs w:val="21"/>
                <w:lang w:val="en-US" w:eastAsia="zh-CN"/>
              </w:rPr>
              <w:t>投标人</w:t>
            </w:r>
            <w:r>
              <w:rPr>
                <w:rFonts w:hint="eastAsia" w:ascii="宋体" w:hAnsi="宋体"/>
                <w:b/>
                <w:szCs w:val="21"/>
              </w:rPr>
              <w:t>资格业绩要求：</w:t>
            </w:r>
          </w:p>
          <w:p>
            <w:pPr>
              <w:snapToGrid w:val="0"/>
              <w:spacing w:line="360" w:lineRule="auto"/>
              <w:ind w:firstLine="422" w:firstLineChars="200"/>
              <w:jc w:val="left"/>
              <w:rPr>
                <w:rFonts w:ascii="宋体" w:hAnsi="宋体"/>
                <w:b/>
                <w:szCs w:val="21"/>
              </w:rPr>
            </w:pPr>
            <w:r>
              <w:rPr>
                <w:rFonts w:ascii="宋体" w:hAnsi="宋体"/>
                <w:b/>
                <w:szCs w:val="21"/>
              </w:rPr>
              <w:t>■</w:t>
            </w:r>
            <w:r>
              <w:rPr>
                <w:rFonts w:hint="eastAsia" w:ascii="宋体" w:hAnsi="宋体"/>
                <w:b/>
                <w:szCs w:val="21"/>
                <w:lang w:val="en-US" w:eastAsia="zh-CN"/>
              </w:rPr>
              <w:t>投标人自</w:t>
            </w:r>
            <w:r>
              <w:rPr>
                <w:rFonts w:hint="eastAsia" w:ascii="宋体" w:hAnsi="宋体"/>
                <w:b/>
                <w:szCs w:val="21"/>
              </w:rPr>
              <w:t>2018年1月1日至今</w:t>
            </w:r>
            <w:r>
              <w:rPr>
                <w:rFonts w:hint="eastAsia" w:ascii="宋体" w:hAnsi="宋体"/>
                <w:b/>
                <w:szCs w:val="21"/>
                <w:lang w:eastAsia="zh-CN"/>
              </w:rPr>
              <w:t>，</w:t>
            </w:r>
            <w:r>
              <w:rPr>
                <w:rFonts w:hint="eastAsia" w:ascii="宋体" w:hAnsi="宋体"/>
                <w:b/>
                <w:szCs w:val="21"/>
              </w:rPr>
              <w:t>在国内完成一个质量合格的投标品牌的污水处理厂刮泥机成套系统设备供货业绩，业绩的时间以合同签订的日期为准。</w:t>
            </w:r>
            <w:r>
              <w:rPr>
                <w:rFonts w:hint="eastAsia" w:ascii="宋体" w:hAnsi="宋体" w:cs="宋体"/>
                <w:b/>
                <w:szCs w:val="21"/>
              </w:rPr>
              <w:t>资格业绩证明材料提交要求详见招标文件第三章资格业绩表。</w:t>
            </w:r>
          </w:p>
          <w:p>
            <w:pPr>
              <w:snapToGrid w:val="0"/>
              <w:spacing w:line="360" w:lineRule="auto"/>
              <w:jc w:val="left"/>
              <w:rPr>
                <w:rFonts w:ascii="宋体" w:hAnsi="宋体"/>
                <w:b/>
                <w:szCs w:val="21"/>
              </w:rPr>
            </w:pPr>
            <w:r>
              <w:rPr>
                <w:rFonts w:hint="eastAsia" w:ascii="宋体" w:hAnsi="宋体"/>
                <w:b/>
                <w:szCs w:val="21"/>
              </w:rPr>
              <w:t>三、其它要求：</w:t>
            </w:r>
          </w:p>
          <w:p>
            <w:pPr>
              <w:snapToGrid w:val="0"/>
              <w:spacing w:line="360" w:lineRule="auto"/>
              <w:ind w:firstLine="316" w:firstLineChars="150"/>
              <w:rPr>
                <w:rFonts w:ascii="宋体" w:hAnsi="宋体"/>
                <w:b/>
                <w:bCs/>
                <w:szCs w:val="21"/>
              </w:rPr>
            </w:pPr>
            <w:r>
              <w:rPr>
                <w:rFonts w:ascii="宋体" w:hAnsi="宋体"/>
                <w:b/>
                <w:szCs w:val="21"/>
              </w:rPr>
              <w:t>■</w:t>
            </w:r>
            <w:r>
              <w:rPr>
                <w:rFonts w:hint="eastAsia" w:ascii="宋体" w:hAnsi="宋体"/>
                <w:bCs/>
                <w:szCs w:val="21"/>
              </w:rPr>
              <w:t>投标文件截止提交前，已在</w:t>
            </w:r>
            <w:r>
              <w:rPr>
                <w:rFonts w:hint="eastAsia" w:ascii="宋体" w:hAnsi="宋体"/>
                <w:color w:val="000000"/>
                <w:kern w:val="2"/>
                <w:sz w:val="21"/>
                <w:szCs w:val="21"/>
              </w:rPr>
              <w:t>全国公共资源交易平台（广东省·东莞市）</w:t>
            </w:r>
            <w:r>
              <w:rPr>
                <w:rFonts w:hint="eastAsia" w:ascii="宋体" w:hAnsi="宋体"/>
                <w:bCs/>
                <w:szCs w:val="21"/>
              </w:rPr>
              <w:t>（包括：法人、法定代表人名称或注册资本金发生变更时已办理该变更的登记手续等），可登录</w:t>
            </w:r>
            <w:r>
              <w:rPr>
                <w:rFonts w:hint="eastAsia" w:ascii="宋体" w:hAnsi="宋体"/>
                <w:color w:val="000000"/>
                <w:kern w:val="2"/>
                <w:sz w:val="21"/>
                <w:szCs w:val="21"/>
              </w:rPr>
              <w:t>全国公共资源交易平台（广东省·东莞市）</w:t>
            </w:r>
            <w:r>
              <w:rPr>
                <w:rFonts w:hint="eastAsia" w:ascii="宋体" w:hAnsi="宋体"/>
                <w:bCs/>
                <w:szCs w:val="21"/>
              </w:rPr>
              <w:t>查询有关手续的办理规定。</w:t>
            </w:r>
          </w:p>
          <w:p>
            <w:pPr>
              <w:snapToGrid w:val="0"/>
              <w:spacing w:line="360" w:lineRule="auto"/>
              <w:ind w:firstLine="315" w:firstLineChars="150"/>
              <w:rPr>
                <w:rFonts w:ascii="宋体" w:hAnsi="宋体"/>
                <w:szCs w:val="21"/>
              </w:rPr>
            </w:pPr>
            <w:r>
              <w:rPr>
                <w:rFonts w:hint="eastAsia" w:ascii="宋体" w:hAnsi="宋体"/>
                <w:szCs w:val="21"/>
              </w:rPr>
              <w:t>■投标人（含其不具有独立法人资格的分支机构）未被列入“信用中国”网站（www.creditchina.gov.cn）失信被执行人、重大税收违法失信主体、严重违法失信行为记录名单。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5</w:t>
            </w:r>
          </w:p>
        </w:tc>
        <w:tc>
          <w:tcPr>
            <w:tcW w:w="496" w:type="pct"/>
            <w:vAlign w:val="center"/>
          </w:tcPr>
          <w:p>
            <w:pPr>
              <w:snapToGrid w:val="0"/>
              <w:spacing w:line="360" w:lineRule="auto"/>
              <w:jc w:val="center"/>
              <w:rPr>
                <w:rFonts w:ascii="宋体" w:hAnsi="宋体"/>
                <w:szCs w:val="21"/>
              </w:rPr>
            </w:pPr>
            <w:r>
              <w:rPr>
                <w:rFonts w:ascii="宋体" w:hAnsi="宋体"/>
                <w:szCs w:val="21"/>
              </w:rPr>
              <w:t>4.2</w:t>
            </w:r>
          </w:p>
        </w:tc>
        <w:tc>
          <w:tcPr>
            <w:tcW w:w="858" w:type="pct"/>
            <w:vAlign w:val="center"/>
          </w:tcPr>
          <w:p>
            <w:pPr>
              <w:snapToGrid w:val="0"/>
              <w:spacing w:line="360" w:lineRule="auto"/>
              <w:jc w:val="center"/>
              <w:rPr>
                <w:rFonts w:ascii="宋体" w:hAnsi="宋体"/>
                <w:szCs w:val="21"/>
              </w:rPr>
            </w:pPr>
            <w:r>
              <w:rPr>
                <w:rFonts w:ascii="宋体" w:hAnsi="宋体"/>
                <w:szCs w:val="21"/>
              </w:rPr>
              <w:t>资格审查方式</w:t>
            </w:r>
          </w:p>
        </w:tc>
        <w:tc>
          <w:tcPr>
            <w:tcW w:w="3269" w:type="pct"/>
            <w:vAlign w:val="center"/>
          </w:tcPr>
          <w:p>
            <w:pPr>
              <w:snapToGrid w:val="0"/>
              <w:spacing w:line="360" w:lineRule="auto"/>
              <w:rPr>
                <w:rFonts w:ascii="宋体" w:hAnsi="宋体"/>
                <w:szCs w:val="21"/>
              </w:rPr>
            </w:pPr>
            <w:r>
              <w:rPr>
                <w:rFonts w:ascii="宋体" w:hAnsi="宋体"/>
                <w:szCs w:val="21"/>
              </w:rPr>
              <w:t>符合性审查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6</w:t>
            </w:r>
          </w:p>
        </w:tc>
        <w:tc>
          <w:tcPr>
            <w:tcW w:w="496" w:type="pct"/>
            <w:vAlign w:val="center"/>
          </w:tcPr>
          <w:p>
            <w:pPr>
              <w:snapToGrid w:val="0"/>
              <w:spacing w:line="360" w:lineRule="auto"/>
              <w:jc w:val="center"/>
              <w:rPr>
                <w:rFonts w:ascii="宋体" w:hAnsi="宋体"/>
                <w:szCs w:val="21"/>
              </w:rPr>
            </w:pPr>
            <w:r>
              <w:rPr>
                <w:rFonts w:ascii="宋体" w:hAnsi="宋体"/>
                <w:szCs w:val="21"/>
              </w:rPr>
              <w:t>4.3</w:t>
            </w:r>
          </w:p>
        </w:tc>
        <w:tc>
          <w:tcPr>
            <w:tcW w:w="858" w:type="pct"/>
            <w:vAlign w:val="center"/>
          </w:tcPr>
          <w:p>
            <w:pPr>
              <w:snapToGrid w:val="0"/>
              <w:spacing w:line="360" w:lineRule="auto"/>
              <w:jc w:val="center"/>
              <w:rPr>
                <w:rFonts w:ascii="宋体" w:hAnsi="宋体"/>
                <w:szCs w:val="21"/>
              </w:rPr>
            </w:pPr>
            <w:r>
              <w:rPr>
                <w:rFonts w:ascii="宋体" w:hAnsi="宋体"/>
                <w:szCs w:val="21"/>
              </w:rPr>
              <w:t>是否接受联合体投标</w:t>
            </w:r>
          </w:p>
        </w:tc>
        <w:tc>
          <w:tcPr>
            <w:tcW w:w="3269" w:type="pct"/>
            <w:vAlign w:val="center"/>
          </w:tcPr>
          <w:p>
            <w:pPr>
              <w:snapToGrid w:val="0"/>
              <w:spacing w:line="360" w:lineRule="auto"/>
              <w:rPr>
                <w:rFonts w:ascii="宋体" w:hAnsi="宋体"/>
                <w:szCs w:val="21"/>
              </w:rPr>
            </w:pPr>
            <w:r>
              <w:rPr>
                <w:rFonts w:ascii="宋体" w:hAnsi="宋体"/>
                <w:szCs w:val="21"/>
              </w:rPr>
              <w:t>本项目不接受联合体投标</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7</w:t>
            </w:r>
          </w:p>
        </w:tc>
        <w:tc>
          <w:tcPr>
            <w:tcW w:w="496" w:type="pct"/>
            <w:vAlign w:val="center"/>
          </w:tcPr>
          <w:p>
            <w:pPr>
              <w:snapToGrid w:val="0"/>
              <w:spacing w:line="360" w:lineRule="auto"/>
              <w:jc w:val="center"/>
              <w:rPr>
                <w:rFonts w:ascii="宋体" w:hAnsi="宋体"/>
                <w:szCs w:val="21"/>
              </w:rPr>
            </w:pPr>
            <w:r>
              <w:rPr>
                <w:rFonts w:ascii="宋体" w:hAnsi="宋体"/>
                <w:szCs w:val="21"/>
              </w:rPr>
              <w:t>5.1</w:t>
            </w:r>
          </w:p>
        </w:tc>
        <w:tc>
          <w:tcPr>
            <w:tcW w:w="858" w:type="pct"/>
            <w:vAlign w:val="center"/>
          </w:tcPr>
          <w:p>
            <w:pPr>
              <w:snapToGrid w:val="0"/>
              <w:spacing w:line="360" w:lineRule="auto"/>
              <w:jc w:val="center"/>
              <w:rPr>
                <w:rFonts w:ascii="宋体" w:hAnsi="宋体"/>
                <w:szCs w:val="21"/>
              </w:rPr>
            </w:pPr>
            <w:r>
              <w:rPr>
                <w:rFonts w:ascii="宋体" w:hAnsi="宋体"/>
                <w:szCs w:val="21"/>
              </w:rPr>
              <w:t>踏勘现场</w:t>
            </w:r>
          </w:p>
        </w:tc>
        <w:tc>
          <w:tcPr>
            <w:tcW w:w="3269" w:type="pct"/>
            <w:vAlign w:val="center"/>
          </w:tcPr>
          <w:p>
            <w:pPr>
              <w:snapToGrid w:val="0"/>
              <w:spacing w:line="360" w:lineRule="auto"/>
              <w:rPr>
                <w:rFonts w:ascii="宋体" w:hAnsi="宋体"/>
                <w:szCs w:val="21"/>
                <w:u w:val="single"/>
              </w:rPr>
            </w:pPr>
            <w:r>
              <w:rPr>
                <w:rFonts w:ascii="宋体" w:hAnsi="宋体"/>
                <w:szCs w:val="21"/>
              </w:rPr>
              <w:t>本项目招标人不统一集合投标人踏勘现场，投标人</w:t>
            </w:r>
            <w:r>
              <w:rPr>
                <w:rFonts w:hint="eastAsia" w:ascii="宋体" w:hAnsi="宋体"/>
                <w:szCs w:val="21"/>
              </w:rPr>
              <w:t>应</w:t>
            </w:r>
            <w:r>
              <w:rPr>
                <w:rFonts w:ascii="宋体" w:hAnsi="宋体"/>
                <w:szCs w:val="21"/>
              </w:rPr>
              <w:t>自行进行踏勘现场。招标人联系人：</w:t>
            </w:r>
            <w:r>
              <w:rPr>
                <w:rFonts w:hint="eastAsia" w:ascii="宋体" w:hAnsi="宋体"/>
                <w:szCs w:val="21"/>
                <w:u w:val="single"/>
              </w:rPr>
              <w:t>陈方凯</w:t>
            </w:r>
            <w:r>
              <w:rPr>
                <w:rFonts w:ascii="宋体" w:hAnsi="宋体"/>
                <w:szCs w:val="21"/>
              </w:rPr>
              <w:t>，联系电话：</w:t>
            </w:r>
            <w:r>
              <w:rPr>
                <w:rFonts w:ascii="宋体" w:hAnsi="宋体"/>
                <w:szCs w:val="21"/>
                <w:u w:val="single"/>
              </w:rPr>
              <w:t>0769-22008759</w:t>
            </w:r>
            <w:r>
              <w:rPr>
                <w:rFonts w:hint="eastAsia" w:ascii="宋体" w:hAnsi="宋体"/>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8</w:t>
            </w:r>
          </w:p>
        </w:tc>
        <w:tc>
          <w:tcPr>
            <w:tcW w:w="496" w:type="pct"/>
            <w:vAlign w:val="center"/>
          </w:tcPr>
          <w:p>
            <w:pPr>
              <w:snapToGrid w:val="0"/>
              <w:spacing w:line="360" w:lineRule="auto"/>
              <w:jc w:val="center"/>
              <w:rPr>
                <w:rFonts w:ascii="宋体" w:hAnsi="宋体"/>
                <w:szCs w:val="21"/>
              </w:rPr>
            </w:pPr>
            <w:r>
              <w:rPr>
                <w:rFonts w:ascii="宋体" w:hAnsi="宋体"/>
                <w:szCs w:val="21"/>
              </w:rPr>
              <w:t>8.1</w:t>
            </w:r>
          </w:p>
        </w:tc>
        <w:tc>
          <w:tcPr>
            <w:tcW w:w="858" w:type="pct"/>
            <w:vAlign w:val="center"/>
          </w:tcPr>
          <w:p>
            <w:pPr>
              <w:snapToGrid w:val="0"/>
              <w:spacing w:line="360" w:lineRule="auto"/>
              <w:rPr>
                <w:rFonts w:ascii="宋体" w:hAnsi="宋体"/>
                <w:szCs w:val="21"/>
              </w:rPr>
            </w:pPr>
            <w:r>
              <w:rPr>
                <w:rFonts w:hint="eastAsia" w:ascii="宋体" w:hAnsi="宋体"/>
                <w:szCs w:val="21"/>
              </w:rPr>
              <w:t>投标人提出疑问、异议和</w:t>
            </w:r>
            <w:r>
              <w:rPr>
                <w:rFonts w:ascii="宋体" w:hAnsi="宋体"/>
                <w:szCs w:val="21"/>
              </w:rPr>
              <w:t>要求澄清招标文件</w:t>
            </w:r>
            <w:r>
              <w:rPr>
                <w:rFonts w:hint="eastAsia" w:ascii="宋体" w:hAnsi="宋体"/>
                <w:szCs w:val="21"/>
              </w:rPr>
              <w:t>的截止时间</w:t>
            </w:r>
            <w:r>
              <w:rPr>
                <w:rFonts w:ascii="宋体" w:hAnsi="宋体"/>
                <w:szCs w:val="21"/>
              </w:rPr>
              <w:t>、书面材料提交地点</w:t>
            </w:r>
          </w:p>
        </w:tc>
        <w:tc>
          <w:tcPr>
            <w:tcW w:w="3269" w:type="pct"/>
            <w:vAlign w:val="center"/>
          </w:tcPr>
          <w:p>
            <w:pPr>
              <w:snapToGrid w:val="0"/>
              <w:spacing w:line="360" w:lineRule="auto"/>
              <w:rPr>
                <w:rFonts w:ascii="宋体" w:hAnsi="宋体"/>
                <w:szCs w:val="21"/>
              </w:rPr>
            </w:pPr>
            <w:r>
              <w:rPr>
                <w:rFonts w:ascii="宋体" w:hAnsi="宋体"/>
                <w:szCs w:val="21"/>
              </w:rPr>
              <w:t>提交截止时间：投标文件提交截止时间</w:t>
            </w:r>
            <w:r>
              <w:rPr>
                <w:rFonts w:ascii="宋体" w:hAnsi="宋体"/>
                <w:szCs w:val="21"/>
                <w:u w:val="single"/>
              </w:rPr>
              <w:t xml:space="preserve"> 10 </w:t>
            </w:r>
            <w:r>
              <w:rPr>
                <w:rFonts w:ascii="宋体" w:hAnsi="宋体"/>
                <w:szCs w:val="21"/>
              </w:rPr>
              <w:t>天前；</w:t>
            </w:r>
          </w:p>
          <w:p>
            <w:pPr>
              <w:snapToGrid w:val="0"/>
              <w:spacing w:line="360" w:lineRule="auto"/>
              <w:rPr>
                <w:rFonts w:ascii="宋体" w:hAnsi="宋体"/>
                <w:szCs w:val="21"/>
                <w:u w:val="single"/>
              </w:rPr>
            </w:pPr>
            <w:r>
              <w:rPr>
                <w:rFonts w:ascii="宋体" w:hAnsi="宋体"/>
                <w:szCs w:val="21"/>
              </w:rPr>
              <w:t>提交</w:t>
            </w:r>
            <w:r>
              <w:rPr>
                <w:rFonts w:hint="eastAsia" w:ascii="宋体" w:hAnsi="宋体"/>
                <w:szCs w:val="21"/>
              </w:rPr>
              <w:t>方式</w:t>
            </w:r>
            <w:r>
              <w:rPr>
                <w:rFonts w:ascii="宋体" w:hAnsi="宋体"/>
                <w:szCs w:val="21"/>
              </w:rPr>
              <w:t>：</w:t>
            </w:r>
            <w:r>
              <w:rPr>
                <w:rFonts w:hint="eastAsia" w:ascii="宋体" w:hAnsi="宋体"/>
                <w:szCs w:val="21"/>
              </w:rPr>
              <w:t>通过东莞市公共资源交易E网通管理平台建设工程交易系统提出。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9</w:t>
            </w:r>
          </w:p>
        </w:tc>
        <w:tc>
          <w:tcPr>
            <w:tcW w:w="496" w:type="pct"/>
            <w:vAlign w:val="center"/>
          </w:tcPr>
          <w:p>
            <w:pPr>
              <w:snapToGrid w:val="0"/>
              <w:spacing w:line="360" w:lineRule="auto"/>
              <w:jc w:val="center"/>
              <w:rPr>
                <w:rFonts w:ascii="宋体" w:hAnsi="宋体"/>
                <w:szCs w:val="21"/>
              </w:rPr>
            </w:pPr>
            <w:r>
              <w:rPr>
                <w:rFonts w:ascii="宋体" w:hAnsi="宋体"/>
                <w:szCs w:val="21"/>
              </w:rPr>
              <w:t>13.</w:t>
            </w:r>
            <w:r>
              <w:rPr>
                <w:rFonts w:hint="eastAsia" w:ascii="宋体" w:hAnsi="宋体"/>
                <w:szCs w:val="21"/>
              </w:rPr>
              <w:t>4</w:t>
            </w:r>
          </w:p>
        </w:tc>
        <w:tc>
          <w:tcPr>
            <w:tcW w:w="858" w:type="pct"/>
            <w:vAlign w:val="center"/>
          </w:tcPr>
          <w:p>
            <w:pPr>
              <w:snapToGrid w:val="0"/>
              <w:spacing w:line="360" w:lineRule="auto"/>
              <w:jc w:val="center"/>
              <w:rPr>
                <w:rFonts w:ascii="宋体" w:hAnsi="宋体"/>
                <w:szCs w:val="21"/>
              </w:rPr>
            </w:pPr>
            <w:r>
              <w:rPr>
                <w:rFonts w:hint="eastAsia" w:ascii="宋体" w:hAnsi="宋体"/>
                <w:szCs w:val="21"/>
              </w:rPr>
              <w:t>最高限价</w:t>
            </w:r>
          </w:p>
        </w:tc>
        <w:tc>
          <w:tcPr>
            <w:tcW w:w="3269" w:type="pct"/>
            <w:vAlign w:val="center"/>
          </w:tcPr>
          <w:p>
            <w:pPr>
              <w:snapToGrid w:val="0"/>
              <w:spacing w:line="360" w:lineRule="auto"/>
              <w:rPr>
                <w:rFonts w:ascii="宋体" w:hAnsi="宋体"/>
                <w:szCs w:val="21"/>
              </w:rPr>
            </w:pPr>
            <w:r>
              <w:rPr>
                <w:rFonts w:hint="eastAsia" w:ascii="宋体" w:hAnsi="宋体" w:cs="宋体"/>
                <w:bCs/>
                <w:kern w:val="0"/>
                <w:szCs w:val="21"/>
              </w:rPr>
              <w:t>不含税最高限价</w:t>
            </w:r>
            <w:r>
              <w:rPr>
                <w:rFonts w:hint="eastAsia" w:ascii="宋体" w:hAnsi="宋体" w:cs="宋体"/>
                <w:b/>
                <w:kern w:val="0"/>
                <w:szCs w:val="21"/>
                <w:u w:val="single"/>
              </w:rPr>
              <w:t xml:space="preserve"> </w:t>
            </w:r>
            <w:r>
              <w:rPr>
                <w:rFonts w:hint="eastAsia" w:ascii="宋体" w:hAnsi="宋体" w:cs="宋体"/>
                <w:b/>
                <w:kern w:val="0"/>
                <w:szCs w:val="21"/>
                <w:u w:val="single"/>
                <w:lang w:val="en-US" w:eastAsia="zh-CN"/>
              </w:rPr>
              <w:t>13323357.46</w:t>
            </w:r>
            <w:r>
              <w:rPr>
                <w:rFonts w:hint="eastAsia" w:ascii="宋体" w:hAnsi="宋体" w:cs="宋体"/>
                <w:b/>
                <w:kern w:val="0"/>
                <w:szCs w:val="21"/>
                <w:u w:val="single"/>
              </w:rPr>
              <w:t xml:space="preserve"> </w:t>
            </w:r>
            <w:r>
              <w:rPr>
                <w:rFonts w:hint="eastAsia" w:ascii="宋体" w:hAnsi="宋体" w:cs="宋体"/>
                <w:bCs/>
                <w:kern w:val="0"/>
                <w:szCs w:val="21"/>
              </w:rPr>
              <w:t>元</w:t>
            </w:r>
            <w:r>
              <w:rPr>
                <w:rFonts w:hint="eastAsia" w:ascii="宋体" w:hAnsi="宋体"/>
                <w:szCs w:val="21"/>
              </w:rPr>
              <w:t>。各子项目的不含税最高限价分别为：</w:t>
            </w:r>
          </w:p>
          <w:p>
            <w:pPr>
              <w:adjustRightInd w:val="0"/>
              <w:snapToGrid w:val="0"/>
              <w:spacing w:line="360" w:lineRule="auto"/>
            </w:pPr>
            <w:r>
              <w:rPr>
                <w:rFonts w:hint="eastAsia" w:ascii="宋体" w:hAnsi="宋体"/>
                <w:szCs w:val="21"/>
              </w:rPr>
              <w:t>1、</w:t>
            </w:r>
            <w:r>
              <w:rPr>
                <w:rFonts w:hint="eastAsia"/>
                <w:szCs w:val="21"/>
              </w:rPr>
              <w:t>东莞市沙田福禄沙污水处理厂二期工程刮泥机成套系统设备采购</w:t>
            </w:r>
            <w:r>
              <w:rPr>
                <w:rFonts w:hint="eastAsia" w:ascii="宋体" w:hAnsi="宋体"/>
                <w:szCs w:val="21"/>
              </w:rPr>
              <w:t>不含税</w:t>
            </w:r>
            <w:r>
              <w:rPr>
                <w:rFonts w:hint="eastAsia"/>
              </w:rPr>
              <w:t>最高限价为</w:t>
            </w:r>
            <w:r>
              <w:rPr>
                <w:rFonts w:hint="eastAsia" w:ascii="宋体" w:hAnsi="宋体" w:cs="宋体"/>
                <w:b/>
                <w:kern w:val="0"/>
                <w:szCs w:val="21"/>
                <w:u w:val="single"/>
              </w:rPr>
              <w:t xml:space="preserve"> </w:t>
            </w:r>
            <w:r>
              <w:rPr>
                <w:rFonts w:hint="eastAsia" w:ascii="宋体" w:hAnsi="宋体" w:cs="宋体"/>
                <w:b/>
                <w:kern w:val="0"/>
                <w:szCs w:val="21"/>
                <w:u w:val="single"/>
                <w:lang w:val="en-US" w:eastAsia="zh-CN"/>
              </w:rPr>
              <w:t>2419732.52</w:t>
            </w:r>
            <w:r>
              <w:rPr>
                <w:rFonts w:hint="eastAsia" w:ascii="宋体" w:hAnsi="宋体" w:cs="宋体"/>
                <w:b/>
                <w:kern w:val="0"/>
                <w:szCs w:val="21"/>
                <w:u w:val="single"/>
              </w:rPr>
              <w:t xml:space="preserve">  </w:t>
            </w:r>
            <w:r>
              <w:rPr>
                <w:rFonts w:hint="eastAsia"/>
              </w:rPr>
              <w:t>元；</w:t>
            </w:r>
          </w:p>
          <w:p>
            <w:pPr>
              <w:adjustRightInd w:val="0"/>
              <w:snapToGrid w:val="0"/>
              <w:spacing w:line="360" w:lineRule="auto"/>
              <w:rPr>
                <w:rFonts w:ascii="宋体" w:hAnsi="宋体"/>
                <w:szCs w:val="21"/>
              </w:rPr>
            </w:pPr>
            <w:r>
              <w:rPr>
                <w:rFonts w:hint="eastAsia" w:ascii="宋体" w:hAnsi="宋体"/>
                <w:szCs w:val="21"/>
              </w:rPr>
              <w:t>2、东莞市清溪厦坭污水处理厂二期工程</w:t>
            </w:r>
            <w:r>
              <w:rPr>
                <w:rFonts w:hint="eastAsia"/>
                <w:szCs w:val="21"/>
              </w:rPr>
              <w:t>刮泥机成套系统设备采购</w:t>
            </w:r>
            <w:r>
              <w:rPr>
                <w:rFonts w:hint="eastAsia" w:ascii="宋体" w:hAnsi="宋体"/>
                <w:szCs w:val="21"/>
              </w:rPr>
              <w:t>不含税最高限价为</w:t>
            </w:r>
            <w:r>
              <w:rPr>
                <w:rFonts w:hint="eastAsia" w:ascii="宋体" w:hAnsi="宋体" w:cs="宋体"/>
                <w:b/>
                <w:kern w:val="0"/>
                <w:szCs w:val="21"/>
                <w:u w:val="single"/>
              </w:rPr>
              <w:t xml:space="preserve"> </w:t>
            </w:r>
            <w:r>
              <w:rPr>
                <w:rFonts w:hint="eastAsia" w:ascii="宋体" w:hAnsi="宋体" w:cs="宋体"/>
                <w:b/>
                <w:kern w:val="0"/>
                <w:szCs w:val="21"/>
                <w:u w:val="single"/>
                <w:lang w:val="en-US" w:eastAsia="zh-CN"/>
              </w:rPr>
              <w:t>3860098.98</w:t>
            </w:r>
            <w:r>
              <w:rPr>
                <w:rFonts w:hint="eastAsia" w:ascii="宋体" w:hAnsi="宋体" w:cs="宋体"/>
                <w:b/>
                <w:kern w:val="0"/>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3、</w:t>
            </w:r>
            <w:r>
              <w:rPr>
                <w:rFonts w:hint="eastAsia"/>
                <w:szCs w:val="21"/>
              </w:rPr>
              <w:t>东莞市黄江梅塘南部污水处理厂一期工程刮泥机成套系统设备采购</w:t>
            </w:r>
            <w:r>
              <w:rPr>
                <w:rFonts w:hint="eastAsia" w:ascii="宋体" w:hAnsi="宋体"/>
                <w:szCs w:val="21"/>
              </w:rPr>
              <w:t>不含税最高限价为</w:t>
            </w:r>
            <w:r>
              <w:rPr>
                <w:rFonts w:hint="eastAsia" w:ascii="宋体" w:hAnsi="宋体" w:cs="宋体"/>
                <w:b/>
                <w:kern w:val="0"/>
                <w:szCs w:val="21"/>
                <w:u w:val="single"/>
              </w:rPr>
              <w:t xml:space="preserve"> </w:t>
            </w:r>
            <w:r>
              <w:rPr>
                <w:rFonts w:hint="eastAsia" w:ascii="宋体" w:hAnsi="宋体" w:cs="宋体"/>
                <w:b/>
                <w:kern w:val="0"/>
                <w:szCs w:val="21"/>
                <w:u w:val="single"/>
                <w:lang w:val="en-US" w:eastAsia="zh-CN"/>
              </w:rPr>
              <w:t>3765947.08</w:t>
            </w:r>
            <w:r>
              <w:rPr>
                <w:rFonts w:hint="eastAsia" w:ascii="宋体" w:hAnsi="宋体" w:cs="宋体"/>
                <w:b/>
                <w:kern w:val="0"/>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b/>
                <w:bCs/>
                <w:szCs w:val="21"/>
              </w:rPr>
            </w:pPr>
            <w:r>
              <w:rPr>
                <w:rFonts w:hint="eastAsia" w:ascii="宋体" w:hAnsi="宋体"/>
                <w:szCs w:val="21"/>
              </w:rPr>
              <w:t>4、</w:t>
            </w:r>
            <w:r>
              <w:rPr>
                <w:rFonts w:hint="eastAsia"/>
                <w:szCs w:val="21"/>
              </w:rPr>
              <w:t>东莞市凤岗竹塘污水处理厂三期工程刮泥机成套系统设备采购</w:t>
            </w:r>
            <w:r>
              <w:rPr>
                <w:rFonts w:hint="eastAsia" w:ascii="宋体" w:hAnsi="宋体"/>
                <w:szCs w:val="21"/>
              </w:rPr>
              <w:t>不含税最高限价为</w:t>
            </w:r>
            <w:r>
              <w:rPr>
                <w:rFonts w:hint="eastAsia" w:ascii="宋体" w:hAnsi="宋体" w:cs="宋体"/>
                <w:b/>
                <w:kern w:val="0"/>
                <w:szCs w:val="21"/>
                <w:u w:val="single"/>
              </w:rPr>
              <w:t xml:space="preserve"> </w:t>
            </w:r>
            <w:r>
              <w:rPr>
                <w:rFonts w:hint="eastAsia" w:ascii="宋体" w:hAnsi="宋体" w:cs="宋体"/>
                <w:b/>
                <w:kern w:val="0"/>
                <w:szCs w:val="21"/>
                <w:u w:val="single"/>
                <w:lang w:val="en-US" w:eastAsia="zh-CN"/>
              </w:rPr>
              <w:t>3277578.88</w:t>
            </w:r>
            <w:r>
              <w:rPr>
                <w:rFonts w:hint="eastAsia" w:ascii="宋体" w:hAnsi="宋体" w:cs="宋体"/>
                <w:b/>
                <w:kern w:val="0"/>
                <w:szCs w:val="21"/>
                <w:u w:val="single"/>
              </w:rPr>
              <w:t xml:space="preserve">  </w:t>
            </w:r>
            <w:r>
              <w:rPr>
                <w:rFonts w:hint="eastAsia" w:ascii="宋体" w:hAnsi="宋体" w:cs="宋体"/>
                <w:bCs/>
                <w:kern w:val="0"/>
                <w:szCs w:val="21"/>
              </w:rPr>
              <w:t>元</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（备注：投标人的投标总报价不得高于最高限价，且投标人的子项目投标报价不得高于对应子项目的最高限价，否则作无效投标处理。）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374" w:type="pct"/>
            <w:vAlign w:val="center"/>
          </w:tcPr>
          <w:p>
            <w:pPr>
              <w:snapToGrid w:val="0"/>
              <w:jc w:val="center"/>
              <w:rPr>
                <w:rFonts w:ascii="宋体" w:hAnsi="宋体"/>
                <w:szCs w:val="21"/>
              </w:rPr>
            </w:pPr>
            <w:r>
              <w:rPr>
                <w:rFonts w:hint="eastAsia" w:ascii="宋体" w:hAnsi="宋体"/>
                <w:szCs w:val="21"/>
              </w:rPr>
              <w:t>20</w:t>
            </w:r>
          </w:p>
        </w:tc>
        <w:tc>
          <w:tcPr>
            <w:tcW w:w="496" w:type="pct"/>
            <w:vAlign w:val="center"/>
          </w:tcPr>
          <w:p>
            <w:pPr>
              <w:snapToGrid w:val="0"/>
              <w:jc w:val="center"/>
              <w:rPr>
                <w:rFonts w:ascii="宋体" w:hAnsi="宋体"/>
                <w:szCs w:val="21"/>
              </w:rPr>
            </w:pPr>
            <w:r>
              <w:rPr>
                <w:rFonts w:ascii="宋体" w:hAnsi="宋体"/>
                <w:szCs w:val="21"/>
              </w:rPr>
              <w:t>15.1</w:t>
            </w:r>
          </w:p>
        </w:tc>
        <w:tc>
          <w:tcPr>
            <w:tcW w:w="858" w:type="pct"/>
            <w:vAlign w:val="center"/>
          </w:tcPr>
          <w:p>
            <w:pPr>
              <w:snapToGrid w:val="0"/>
              <w:jc w:val="center"/>
              <w:rPr>
                <w:rFonts w:ascii="宋体" w:hAnsi="宋体"/>
                <w:szCs w:val="21"/>
              </w:rPr>
            </w:pPr>
            <w:r>
              <w:rPr>
                <w:rFonts w:ascii="宋体" w:hAnsi="宋体"/>
                <w:szCs w:val="21"/>
              </w:rPr>
              <w:t>投标有效期</w:t>
            </w:r>
          </w:p>
        </w:tc>
        <w:tc>
          <w:tcPr>
            <w:tcW w:w="3269" w:type="pct"/>
            <w:vAlign w:val="center"/>
          </w:tcPr>
          <w:p>
            <w:pPr>
              <w:snapToGrid w:val="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日历天（从投标文件提交截止之日算起）</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74" w:type="pct"/>
            <w:vAlign w:val="center"/>
          </w:tcPr>
          <w:p>
            <w:pPr>
              <w:snapToGrid w:val="0"/>
              <w:jc w:val="center"/>
              <w:rPr>
                <w:rFonts w:ascii="宋体" w:hAnsi="宋体"/>
                <w:szCs w:val="21"/>
              </w:rPr>
            </w:pPr>
            <w:r>
              <w:rPr>
                <w:rFonts w:hint="eastAsia" w:ascii="宋体" w:hAnsi="宋体"/>
                <w:szCs w:val="21"/>
              </w:rPr>
              <w:t>21</w:t>
            </w:r>
          </w:p>
        </w:tc>
        <w:tc>
          <w:tcPr>
            <w:tcW w:w="496" w:type="pct"/>
            <w:vAlign w:val="center"/>
          </w:tcPr>
          <w:p>
            <w:pPr>
              <w:snapToGrid w:val="0"/>
              <w:jc w:val="center"/>
              <w:rPr>
                <w:rFonts w:ascii="宋体" w:hAnsi="宋体"/>
                <w:szCs w:val="21"/>
              </w:rPr>
            </w:pPr>
            <w:r>
              <w:rPr>
                <w:rFonts w:ascii="宋体" w:hAnsi="宋体"/>
                <w:szCs w:val="21"/>
              </w:rPr>
              <w:t>16.1</w:t>
            </w:r>
          </w:p>
        </w:tc>
        <w:tc>
          <w:tcPr>
            <w:tcW w:w="858" w:type="pct"/>
            <w:vAlign w:val="center"/>
          </w:tcPr>
          <w:p>
            <w:pPr>
              <w:snapToGrid w:val="0"/>
              <w:jc w:val="center"/>
              <w:rPr>
                <w:rFonts w:ascii="宋体" w:hAnsi="宋体"/>
                <w:szCs w:val="21"/>
              </w:rPr>
            </w:pPr>
            <w:r>
              <w:rPr>
                <w:rFonts w:ascii="宋体" w:hAnsi="宋体"/>
                <w:szCs w:val="21"/>
              </w:rPr>
              <w:t>投标保证金</w:t>
            </w:r>
          </w:p>
        </w:tc>
        <w:tc>
          <w:tcPr>
            <w:tcW w:w="3269" w:type="pct"/>
            <w:vAlign w:val="center"/>
          </w:tcPr>
          <w:p>
            <w:pPr>
              <w:snapToGrid w:val="0"/>
              <w:rPr>
                <w:rFonts w:ascii="宋体" w:hAnsi="宋体"/>
                <w:szCs w:val="21"/>
              </w:rPr>
            </w:pPr>
            <w:r>
              <w:rPr>
                <w:rFonts w:ascii="宋体" w:hAnsi="宋体"/>
                <w:szCs w:val="21"/>
              </w:rPr>
              <w:t>人民币</w:t>
            </w:r>
            <w:r>
              <w:rPr>
                <w:rFonts w:hint="eastAsia" w:ascii="宋体" w:hAnsi="宋体"/>
                <w:szCs w:val="21"/>
                <w:u w:val="single"/>
              </w:rPr>
              <w:t xml:space="preserve"> </w:t>
            </w:r>
            <w:r>
              <w:rPr>
                <w:rFonts w:hint="eastAsia" w:ascii="宋体" w:hAnsi="宋体"/>
                <w:szCs w:val="21"/>
                <w:u w:val="single"/>
                <w:lang w:val="en-US" w:eastAsia="zh-CN"/>
              </w:rPr>
              <w:t>26</w:t>
            </w:r>
            <w:r>
              <w:rPr>
                <w:rFonts w:hint="eastAsia" w:ascii="宋体" w:hAnsi="宋体"/>
                <w:szCs w:val="21"/>
                <w:u w:val="single"/>
              </w:rPr>
              <w:t xml:space="preserve"> </w:t>
            </w:r>
            <w:r>
              <w:rPr>
                <w:rFonts w:ascii="宋体" w:hAnsi="宋体"/>
                <w:szCs w:val="21"/>
              </w:rPr>
              <w:t>万元</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22</w:t>
            </w:r>
          </w:p>
        </w:tc>
        <w:tc>
          <w:tcPr>
            <w:tcW w:w="496" w:type="pct"/>
            <w:vAlign w:val="center"/>
          </w:tcPr>
          <w:p>
            <w:pPr>
              <w:snapToGrid w:val="0"/>
              <w:spacing w:line="360" w:lineRule="auto"/>
              <w:jc w:val="center"/>
              <w:rPr>
                <w:rFonts w:ascii="宋体" w:hAnsi="宋体"/>
                <w:szCs w:val="21"/>
              </w:rPr>
            </w:pPr>
            <w:r>
              <w:rPr>
                <w:rFonts w:ascii="宋体" w:hAnsi="宋体"/>
                <w:szCs w:val="21"/>
              </w:rPr>
              <w:t>16.2</w:t>
            </w:r>
          </w:p>
        </w:tc>
        <w:tc>
          <w:tcPr>
            <w:tcW w:w="858" w:type="pct"/>
            <w:vAlign w:val="center"/>
          </w:tcPr>
          <w:p>
            <w:pPr>
              <w:snapToGrid w:val="0"/>
              <w:spacing w:line="360" w:lineRule="auto"/>
              <w:jc w:val="center"/>
              <w:rPr>
                <w:rFonts w:ascii="宋体" w:hAnsi="宋体"/>
                <w:szCs w:val="21"/>
              </w:rPr>
            </w:pPr>
            <w:r>
              <w:rPr>
                <w:rFonts w:hint="eastAsia" w:ascii="宋体" w:hAnsi="宋体"/>
                <w:szCs w:val="21"/>
              </w:rPr>
              <w:t>招标人接受的</w:t>
            </w:r>
            <w:r>
              <w:rPr>
                <w:rFonts w:ascii="宋体" w:hAnsi="宋体"/>
                <w:szCs w:val="21"/>
              </w:rPr>
              <w:t>投标</w:t>
            </w:r>
            <w:r>
              <w:rPr>
                <w:rFonts w:hint="eastAsia" w:ascii="宋体" w:hAnsi="宋体"/>
                <w:szCs w:val="21"/>
              </w:rPr>
              <w:t>保证金</w:t>
            </w:r>
            <w:r>
              <w:rPr>
                <w:rFonts w:ascii="宋体" w:hAnsi="宋体"/>
                <w:szCs w:val="21"/>
              </w:rPr>
              <w:t>方式</w:t>
            </w:r>
          </w:p>
        </w:tc>
        <w:tc>
          <w:tcPr>
            <w:tcW w:w="3269" w:type="pct"/>
            <w:vAlign w:val="center"/>
          </w:tcPr>
          <w:p>
            <w:pPr>
              <w:snapToGrid w:val="0"/>
              <w:spacing w:line="360" w:lineRule="auto"/>
              <w:rPr>
                <w:rFonts w:ascii="宋体" w:hAnsi="宋体"/>
                <w:szCs w:val="21"/>
              </w:rPr>
            </w:pPr>
            <w:r>
              <w:rPr>
                <w:rFonts w:ascii="宋体" w:hAnsi="宋体"/>
                <w:b/>
                <w:szCs w:val="21"/>
              </w:rPr>
              <w:t>■</w:t>
            </w:r>
            <w:r>
              <w:rPr>
                <w:rFonts w:hint="eastAsia" w:ascii="宋体" w:hAnsi="宋体"/>
                <w:szCs w:val="21"/>
              </w:rPr>
              <w:t>单项投标保证金：“转账（含电子转账）、电汇方式”；</w:t>
            </w:r>
          </w:p>
          <w:p>
            <w:pPr>
              <w:snapToGrid w:val="0"/>
              <w:spacing w:line="360" w:lineRule="auto"/>
              <w:rPr>
                <w:rFonts w:ascii="宋体" w:hAnsi="宋体"/>
                <w:szCs w:val="21"/>
              </w:rPr>
            </w:pPr>
            <w:r>
              <w:rPr>
                <w:rFonts w:ascii="宋体" w:hAnsi="宋体"/>
                <w:b/>
                <w:szCs w:val="21"/>
              </w:rPr>
              <w:t>■</w:t>
            </w:r>
            <w:r>
              <w:rPr>
                <w:rFonts w:hint="eastAsia" w:ascii="宋体" w:hAnsi="宋体"/>
                <w:szCs w:val="21"/>
              </w:rPr>
              <w:t>银行电子保函；</w:t>
            </w:r>
          </w:p>
          <w:p>
            <w:pPr>
              <w:spacing w:line="400" w:lineRule="exact"/>
            </w:pPr>
            <w:r>
              <w:rPr>
                <w:rFonts w:ascii="宋体" w:hAnsi="宋体"/>
                <w:b/>
                <w:szCs w:val="21"/>
              </w:rPr>
              <w:t>■</w:t>
            </w:r>
            <w:r>
              <w:rPr>
                <w:rFonts w:hint="eastAsia" w:ascii="宋体" w:hAnsi="宋体"/>
                <w:szCs w:val="21"/>
              </w:rPr>
              <w:t>保险电子保单。</w:t>
            </w:r>
          </w:p>
          <w:p>
            <w:pPr>
              <w:snapToGrid w:val="0"/>
              <w:spacing w:line="360" w:lineRule="auto"/>
              <w:rPr>
                <w:rFonts w:ascii="宋体" w:hAnsi="宋体"/>
                <w:b/>
                <w:szCs w:val="21"/>
              </w:rPr>
            </w:pPr>
            <w:r>
              <w:rPr>
                <w:rFonts w:hint="eastAsia" w:ascii="宋体" w:hAnsi="宋体"/>
                <w:b/>
                <w:szCs w:val="21"/>
              </w:rPr>
              <w:t>注：</w:t>
            </w:r>
          </w:p>
          <w:p>
            <w:pPr>
              <w:snapToGrid w:val="0"/>
              <w:spacing w:line="360" w:lineRule="auto"/>
              <w:rPr>
                <w:rFonts w:ascii="宋体" w:hAnsi="宋体"/>
                <w:szCs w:val="21"/>
              </w:rPr>
            </w:pPr>
            <w:r>
              <w:rPr>
                <w:rFonts w:hint="eastAsia" w:ascii="宋体" w:hAnsi="宋体"/>
                <w:szCs w:val="21"/>
              </w:rPr>
              <w:t>（1）投标保证金到账时间应为单项投标保证金或银行电子保函或保险电子保单的关联时间。</w:t>
            </w:r>
          </w:p>
          <w:p>
            <w:pPr>
              <w:snapToGrid w:val="0"/>
              <w:spacing w:line="360" w:lineRule="auto"/>
              <w:rPr>
                <w:rFonts w:ascii="宋体" w:hAnsi="宋体"/>
                <w:szCs w:val="21"/>
              </w:rPr>
            </w:pPr>
            <w:r>
              <w:rPr>
                <w:rFonts w:hint="eastAsia" w:ascii="宋体" w:hAnsi="宋体"/>
                <w:szCs w:val="21"/>
              </w:rPr>
              <w:t>（2）投标保证金数据超过投标截止时间后到达交易系统的，无法关联。</w:t>
            </w:r>
          </w:p>
          <w:p>
            <w:pPr>
              <w:snapToGrid w:val="0"/>
              <w:spacing w:line="360" w:lineRule="auto"/>
              <w:rPr>
                <w:rFonts w:ascii="宋体" w:hAnsi="宋体"/>
                <w:szCs w:val="21"/>
              </w:rPr>
            </w:pPr>
            <w:r>
              <w:rPr>
                <w:rFonts w:hint="eastAsia" w:ascii="宋体" w:hAnsi="宋体"/>
                <w:szCs w:val="21"/>
              </w:rPr>
              <w:t>（3）投标人应提前办理投标保证金手续，自行承担数据延误风险。</w:t>
            </w:r>
          </w:p>
          <w:p>
            <w:pPr>
              <w:snapToGrid w:val="0"/>
              <w:spacing w:line="360" w:lineRule="auto"/>
              <w:rPr>
                <w:rFonts w:ascii="宋体" w:hAnsi="宋体"/>
                <w:b/>
                <w:szCs w:val="21"/>
              </w:rPr>
            </w:pPr>
            <w:r>
              <w:rPr>
                <w:rFonts w:hint="eastAsia" w:ascii="宋体" w:hAnsi="宋体"/>
                <w:b/>
                <w:szCs w:val="21"/>
              </w:rPr>
              <w:t>（4）东莞市公共资源交易中心投标保证金的缴存手续有重大变更，请各投标人按相关规定办理，并</w:t>
            </w:r>
            <w:r>
              <w:rPr>
                <w:rFonts w:ascii="宋体" w:hAnsi="宋体"/>
                <w:b/>
                <w:szCs w:val="21"/>
              </w:rPr>
              <w:t>留意</w:t>
            </w:r>
            <w:r>
              <w:rPr>
                <w:rFonts w:hint="eastAsia" w:ascii="宋体" w:hAnsi="宋体"/>
                <w:color w:val="000000"/>
                <w:kern w:val="2"/>
                <w:sz w:val="21"/>
                <w:szCs w:val="21"/>
              </w:rPr>
              <w:t>全国公共资源交易平台（广东省·东莞市）</w:t>
            </w:r>
            <w:r>
              <w:rPr>
                <w:rFonts w:ascii="宋体" w:hAnsi="宋体"/>
                <w:b/>
                <w:szCs w:val="21"/>
              </w:rPr>
              <w:t>相关指南</w:t>
            </w:r>
            <w:r>
              <w:rPr>
                <w:rFonts w:hint="eastAsia" w:ascii="宋体" w:hAnsi="宋体"/>
                <w:b/>
                <w:szCs w:val="21"/>
              </w:rPr>
              <w:t>和通知公告。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23</w:t>
            </w:r>
          </w:p>
        </w:tc>
        <w:tc>
          <w:tcPr>
            <w:tcW w:w="496" w:type="pct"/>
            <w:vAlign w:val="center"/>
          </w:tcPr>
          <w:p>
            <w:pPr>
              <w:snapToGrid w:val="0"/>
              <w:spacing w:line="360" w:lineRule="auto"/>
              <w:jc w:val="center"/>
              <w:rPr>
                <w:rFonts w:ascii="宋体" w:hAnsi="宋体"/>
                <w:szCs w:val="21"/>
              </w:rPr>
            </w:pPr>
            <w:r>
              <w:rPr>
                <w:rFonts w:ascii="宋体" w:hAnsi="宋体"/>
                <w:szCs w:val="21"/>
              </w:rPr>
              <w:t>21.1</w:t>
            </w:r>
          </w:p>
        </w:tc>
        <w:tc>
          <w:tcPr>
            <w:tcW w:w="858" w:type="pct"/>
            <w:vAlign w:val="center"/>
          </w:tcPr>
          <w:p>
            <w:pPr>
              <w:snapToGrid w:val="0"/>
              <w:spacing w:line="360" w:lineRule="auto"/>
              <w:rPr>
                <w:rFonts w:ascii="宋体" w:hAnsi="宋体"/>
                <w:szCs w:val="21"/>
              </w:rPr>
            </w:pPr>
            <w:r>
              <w:rPr>
                <w:rFonts w:ascii="宋体" w:hAnsi="宋体"/>
                <w:szCs w:val="21"/>
              </w:rPr>
              <w:t>投标会时间、地点及投标文件提交截止时间</w:t>
            </w:r>
          </w:p>
        </w:tc>
        <w:tc>
          <w:tcPr>
            <w:tcW w:w="3269" w:type="pct"/>
            <w:vAlign w:val="center"/>
          </w:tcPr>
          <w:p>
            <w:pPr>
              <w:snapToGrid w:val="0"/>
              <w:spacing w:line="360" w:lineRule="auto"/>
              <w:rPr>
                <w:rFonts w:ascii="宋体" w:hAnsi="宋体"/>
                <w:szCs w:val="21"/>
              </w:rPr>
            </w:pPr>
            <w:r>
              <w:rPr>
                <w:rFonts w:ascii="宋体" w:hAnsi="宋体"/>
                <w:szCs w:val="21"/>
              </w:rPr>
              <w:t xml:space="preserve">投标会召开时间： </w:t>
            </w:r>
            <w:r>
              <w:rPr>
                <w:rFonts w:ascii="宋体" w:hAnsi="宋体"/>
                <w:szCs w:val="21"/>
                <w:u w:val="single"/>
              </w:rPr>
              <w:t xml:space="preserve"> </w:t>
            </w:r>
            <w:r>
              <w:rPr>
                <w:rFonts w:hint="eastAsia" w:ascii="宋体" w:hAnsi="宋体"/>
                <w:szCs w:val="21"/>
                <w:u w:val="single"/>
              </w:rPr>
              <w:t>2023</w:t>
            </w:r>
            <w:r>
              <w:rPr>
                <w:rFonts w:ascii="宋体" w:hAnsi="宋体"/>
                <w:szCs w:val="21"/>
                <w:u w:val="single"/>
              </w:rPr>
              <w:t xml:space="preserve"> </w:t>
            </w:r>
            <w:r>
              <w:rPr>
                <w:rFonts w:ascii="宋体" w:hAnsi="宋体"/>
                <w:szCs w:val="21"/>
              </w:rPr>
              <w:t>年</w:t>
            </w:r>
            <w:r>
              <w:rPr>
                <w:rFonts w:hint="eastAsia" w:ascii="宋体" w:hAnsi="宋体"/>
                <w:szCs w:val="21"/>
                <w:u w:val="single"/>
                <w:lang w:val="en-US" w:eastAsia="zh-CN"/>
              </w:rPr>
              <w:t>11</w:t>
            </w:r>
            <w:r>
              <w:rPr>
                <w:rFonts w:ascii="宋体" w:hAnsi="宋体"/>
                <w:szCs w:val="21"/>
              </w:rPr>
              <w:t>月</w:t>
            </w:r>
            <w:r>
              <w:rPr>
                <w:rFonts w:hint="eastAsia" w:ascii="宋体" w:hAnsi="宋体"/>
                <w:szCs w:val="21"/>
                <w:u w:val="single"/>
                <w:lang w:val="en-US" w:eastAsia="zh-CN"/>
              </w:rPr>
              <w:t>15</w:t>
            </w:r>
            <w:r>
              <w:rPr>
                <w:rFonts w:ascii="宋体" w:hAnsi="宋体"/>
                <w:szCs w:val="21"/>
              </w:rPr>
              <w:t>日</w:t>
            </w:r>
            <w:r>
              <w:rPr>
                <w:rFonts w:hint="eastAsia" w:ascii="宋体" w:hAnsi="宋体"/>
                <w:szCs w:val="21"/>
                <w:u w:val="single"/>
                <w:lang w:val="en-US" w:eastAsia="zh-CN"/>
              </w:rPr>
              <w:t>9:30</w:t>
            </w:r>
            <w:r>
              <w:rPr>
                <w:rFonts w:hint="eastAsia" w:ascii="宋体" w:hAnsi="宋体"/>
                <w:szCs w:val="21"/>
              </w:rPr>
              <w:t>分</w:t>
            </w:r>
            <w:r>
              <w:rPr>
                <w:rFonts w:ascii="宋体" w:hAnsi="宋体"/>
                <w:szCs w:val="21"/>
              </w:rPr>
              <w:t>；</w:t>
            </w:r>
          </w:p>
          <w:p>
            <w:pPr>
              <w:snapToGrid w:val="0"/>
              <w:spacing w:line="360" w:lineRule="auto"/>
              <w:rPr>
                <w:rFonts w:ascii="宋体" w:hAnsi="宋体"/>
                <w:szCs w:val="21"/>
              </w:rPr>
            </w:pPr>
            <w:r>
              <w:rPr>
                <w:rFonts w:ascii="宋体" w:hAnsi="宋体"/>
                <w:szCs w:val="21"/>
              </w:rPr>
              <w:t>投标会召开地点：</w:t>
            </w:r>
            <w:r>
              <w:rPr>
                <w:rFonts w:hint="eastAsia" w:ascii="宋体" w:hAnsi="宋体"/>
                <w:szCs w:val="21"/>
                <w:u w:val="single"/>
              </w:rPr>
              <w:t>东莞市南城区西平社区宏伟三路45号</w:t>
            </w:r>
            <w:r>
              <w:rPr>
                <w:rFonts w:ascii="宋体" w:hAnsi="宋体"/>
                <w:szCs w:val="21"/>
                <w:u w:val="single"/>
              </w:rPr>
              <w:t>东莞市公共资源交易中心</w:t>
            </w:r>
            <w:r>
              <w:rPr>
                <w:rFonts w:hint="eastAsia" w:ascii="宋体" w:hAnsi="宋体"/>
                <w:szCs w:val="21"/>
                <w:u w:val="single"/>
              </w:rPr>
              <w:t>开标室（</w:t>
            </w:r>
            <w:r>
              <w:rPr>
                <w:rFonts w:hint="eastAsia" w:ascii="宋体" w:hAnsi="宋体"/>
                <w:szCs w:val="21"/>
                <w:u w:val="single"/>
                <w:lang w:val="en-US" w:eastAsia="zh-CN"/>
              </w:rPr>
              <w:t>8</w:t>
            </w:r>
            <w:r>
              <w:rPr>
                <w:rFonts w:hint="eastAsia" w:ascii="宋体" w:hAnsi="宋体"/>
                <w:szCs w:val="21"/>
                <w:u w:val="single"/>
              </w:rPr>
              <w:t xml:space="preserve">） </w:t>
            </w:r>
            <w:r>
              <w:rPr>
                <w:rFonts w:ascii="宋体" w:hAnsi="宋体"/>
                <w:szCs w:val="21"/>
              </w:rPr>
              <w:t>；</w:t>
            </w:r>
          </w:p>
          <w:p>
            <w:pPr>
              <w:snapToGrid w:val="0"/>
              <w:spacing w:line="360" w:lineRule="auto"/>
              <w:rPr>
                <w:rFonts w:ascii="宋体" w:hAnsi="宋体"/>
                <w:szCs w:val="21"/>
              </w:rPr>
            </w:pPr>
            <w:r>
              <w:rPr>
                <w:rFonts w:ascii="宋体" w:hAnsi="宋体"/>
                <w:szCs w:val="21"/>
              </w:rPr>
              <w:t>投标文件提交截止时间</w:t>
            </w:r>
            <w:r>
              <w:rPr>
                <w:rFonts w:hint="eastAsia" w:ascii="宋体" w:hAnsi="宋体"/>
                <w:szCs w:val="21"/>
              </w:rPr>
              <w:t>：</w:t>
            </w:r>
            <w:r>
              <w:rPr>
                <w:rFonts w:hint="eastAsia" w:ascii="宋体" w:hAnsi="宋体"/>
                <w:szCs w:val="21"/>
                <w:u w:val="single"/>
              </w:rPr>
              <w:t>2023</w:t>
            </w:r>
            <w:r>
              <w:rPr>
                <w:rFonts w:ascii="宋体" w:hAnsi="宋体"/>
                <w:szCs w:val="21"/>
                <w:u w:val="single"/>
              </w:rPr>
              <w:t xml:space="preserve"> </w:t>
            </w:r>
            <w:r>
              <w:rPr>
                <w:rFonts w:ascii="宋体" w:hAnsi="宋体"/>
                <w:szCs w:val="21"/>
              </w:rPr>
              <w:t>年</w:t>
            </w:r>
            <w:r>
              <w:rPr>
                <w:rFonts w:hint="eastAsia" w:ascii="宋体" w:hAnsi="宋体"/>
                <w:szCs w:val="21"/>
                <w:u w:val="single"/>
                <w:lang w:val="en-US" w:eastAsia="zh-CN"/>
              </w:rPr>
              <w:t>11</w:t>
            </w:r>
            <w:r>
              <w:rPr>
                <w:rFonts w:ascii="宋体" w:hAnsi="宋体"/>
                <w:szCs w:val="21"/>
              </w:rPr>
              <w:t>月</w:t>
            </w:r>
            <w:r>
              <w:rPr>
                <w:rFonts w:hint="eastAsia" w:ascii="宋体" w:hAnsi="宋体"/>
                <w:szCs w:val="21"/>
                <w:u w:val="single"/>
                <w:lang w:val="en-US" w:eastAsia="zh-CN"/>
              </w:rPr>
              <w:t>15</w:t>
            </w:r>
            <w:r>
              <w:rPr>
                <w:rFonts w:ascii="宋体" w:hAnsi="宋体"/>
                <w:szCs w:val="21"/>
              </w:rPr>
              <w:t>日</w:t>
            </w:r>
            <w:r>
              <w:rPr>
                <w:rFonts w:hint="eastAsia" w:ascii="宋体" w:hAnsi="宋体"/>
                <w:szCs w:val="21"/>
                <w:u w:val="single"/>
                <w:lang w:val="en-US" w:eastAsia="zh-CN"/>
              </w:rPr>
              <w:t>9:30</w:t>
            </w:r>
            <w:r>
              <w:rPr>
                <w:rFonts w:hint="eastAsia" w:ascii="宋体" w:hAnsi="宋体"/>
                <w:szCs w:val="21"/>
              </w:rPr>
              <w:t>分</w:t>
            </w:r>
            <w:r>
              <w:rPr>
                <w:rFonts w:ascii="宋体" w:hAnsi="宋体"/>
                <w:szCs w:val="21"/>
              </w:rPr>
              <w:t>；</w:t>
            </w:r>
          </w:p>
          <w:p>
            <w:pPr>
              <w:snapToGrid w:val="0"/>
              <w:spacing w:line="360" w:lineRule="auto"/>
              <w:rPr>
                <w:rFonts w:ascii="宋体" w:hAnsi="宋体"/>
                <w:szCs w:val="21"/>
              </w:rPr>
            </w:pPr>
            <w:r>
              <w:rPr>
                <w:rFonts w:ascii="宋体" w:hAnsi="宋体"/>
                <w:szCs w:val="21"/>
              </w:rPr>
              <w:t>评审投标文件的时间、地点另行安排。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4</w:t>
            </w:r>
          </w:p>
        </w:tc>
        <w:tc>
          <w:tcPr>
            <w:tcW w:w="496" w:type="pct"/>
            <w:vAlign w:val="center"/>
          </w:tcPr>
          <w:p>
            <w:pPr>
              <w:snapToGrid w:val="0"/>
              <w:spacing w:line="360" w:lineRule="auto"/>
              <w:jc w:val="center"/>
              <w:rPr>
                <w:rFonts w:ascii="宋体" w:hAnsi="宋体"/>
                <w:szCs w:val="21"/>
              </w:rPr>
            </w:pPr>
            <w:r>
              <w:rPr>
                <w:rFonts w:ascii="宋体" w:hAnsi="宋体"/>
                <w:szCs w:val="21"/>
              </w:rPr>
              <w:t>24.1</w:t>
            </w:r>
          </w:p>
        </w:tc>
        <w:tc>
          <w:tcPr>
            <w:tcW w:w="858" w:type="pct"/>
            <w:vAlign w:val="center"/>
          </w:tcPr>
          <w:p>
            <w:pPr>
              <w:pStyle w:val="10"/>
              <w:widowControl/>
              <w:snapToGrid w:val="0"/>
              <w:spacing w:line="360" w:lineRule="auto"/>
              <w:jc w:val="center"/>
              <w:rPr>
                <w:rFonts w:ascii="宋体" w:hAnsi="宋体"/>
                <w:szCs w:val="21"/>
              </w:rPr>
            </w:pPr>
            <w:r>
              <w:rPr>
                <w:rFonts w:hint="eastAsia" w:ascii="宋体" w:hAnsi="宋体"/>
                <w:szCs w:val="21"/>
              </w:rPr>
              <w:t>开标时间和地点</w:t>
            </w:r>
          </w:p>
        </w:tc>
        <w:tc>
          <w:tcPr>
            <w:tcW w:w="3269" w:type="pct"/>
            <w:vAlign w:val="center"/>
          </w:tcPr>
          <w:p>
            <w:pPr>
              <w:snapToGrid w:val="0"/>
              <w:spacing w:line="360" w:lineRule="auto"/>
              <w:rPr>
                <w:rFonts w:ascii="宋体" w:hAnsi="宋体"/>
                <w:szCs w:val="21"/>
              </w:rPr>
            </w:pPr>
            <w:r>
              <w:rPr>
                <w:rFonts w:hint="eastAsia" w:ascii="宋体" w:hAnsi="宋体"/>
                <w:szCs w:val="21"/>
              </w:rPr>
              <w:t>开标时间：同投标截止时间；</w:t>
            </w:r>
          </w:p>
          <w:p>
            <w:pPr>
              <w:snapToGrid w:val="0"/>
              <w:spacing w:line="360" w:lineRule="auto"/>
              <w:rPr>
                <w:rFonts w:ascii="宋体" w:hAnsi="宋体"/>
                <w:szCs w:val="21"/>
              </w:rPr>
            </w:pPr>
            <w:r>
              <w:rPr>
                <w:rFonts w:hint="eastAsia" w:ascii="宋体" w:hAnsi="宋体"/>
                <w:szCs w:val="21"/>
              </w:rPr>
              <w:t>开标地点：</w:t>
            </w:r>
            <w:r>
              <w:rPr>
                <w:rFonts w:hint="eastAsia" w:ascii="宋体" w:hAnsi="宋体"/>
                <w:szCs w:val="21"/>
                <w:u w:val="single"/>
              </w:rPr>
              <w:t>东莞市南城区西平社区宏伟三路45号</w:t>
            </w:r>
            <w:r>
              <w:rPr>
                <w:rFonts w:ascii="宋体" w:hAnsi="宋体"/>
                <w:szCs w:val="21"/>
                <w:u w:val="single"/>
              </w:rPr>
              <w:t>东莞市公共资源交易中心</w:t>
            </w:r>
            <w:r>
              <w:rPr>
                <w:rFonts w:hint="eastAsia" w:ascii="宋体" w:hAnsi="宋体"/>
                <w:szCs w:val="21"/>
                <w:u w:val="single"/>
              </w:rPr>
              <w:t>开标室（</w:t>
            </w:r>
            <w:r>
              <w:rPr>
                <w:rFonts w:hint="eastAsia" w:ascii="宋体" w:hAnsi="宋体"/>
                <w:szCs w:val="21"/>
                <w:u w:val="single"/>
                <w:lang w:val="en-US" w:eastAsia="zh-CN"/>
              </w:rPr>
              <w:t>8</w:t>
            </w:r>
            <w:r>
              <w:rPr>
                <w:rFonts w:hint="eastAsia" w:ascii="宋体" w:hAnsi="宋体"/>
                <w:szCs w:val="21"/>
                <w:u w:val="single"/>
              </w:rPr>
              <w:t>）</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25</w:t>
            </w:r>
          </w:p>
        </w:tc>
        <w:tc>
          <w:tcPr>
            <w:tcW w:w="496" w:type="pct"/>
            <w:vAlign w:val="center"/>
          </w:tcPr>
          <w:p>
            <w:pPr>
              <w:snapToGrid w:val="0"/>
              <w:spacing w:line="360" w:lineRule="auto"/>
              <w:jc w:val="center"/>
              <w:rPr>
                <w:rFonts w:ascii="宋体" w:hAnsi="宋体"/>
                <w:szCs w:val="21"/>
              </w:rPr>
            </w:pPr>
            <w:r>
              <w:rPr>
                <w:rFonts w:hint="eastAsia" w:ascii="宋体" w:hAnsi="宋体"/>
                <w:szCs w:val="21"/>
              </w:rPr>
              <w:t>2</w:t>
            </w:r>
            <w:r>
              <w:rPr>
                <w:rFonts w:ascii="宋体" w:hAnsi="宋体"/>
                <w:szCs w:val="21"/>
              </w:rPr>
              <w:t>4.5</w:t>
            </w:r>
          </w:p>
        </w:tc>
        <w:tc>
          <w:tcPr>
            <w:tcW w:w="858" w:type="pct"/>
            <w:vAlign w:val="center"/>
          </w:tcPr>
          <w:p>
            <w:pPr>
              <w:snapToGrid w:val="0"/>
              <w:spacing w:line="360" w:lineRule="auto"/>
              <w:jc w:val="center"/>
              <w:rPr>
                <w:rFonts w:ascii="宋体" w:hAnsi="宋体"/>
                <w:szCs w:val="21"/>
              </w:rPr>
            </w:pPr>
            <w:r>
              <w:rPr>
                <w:rFonts w:hint="eastAsia" w:ascii="宋体" w:hAnsi="宋体"/>
                <w:szCs w:val="21"/>
              </w:rPr>
              <w:t>解密投标文件时间段</w:t>
            </w:r>
          </w:p>
        </w:tc>
        <w:tc>
          <w:tcPr>
            <w:tcW w:w="3269" w:type="pct"/>
            <w:vAlign w:val="center"/>
          </w:tcPr>
          <w:p>
            <w:pPr>
              <w:snapToGrid w:val="0"/>
              <w:spacing w:line="360" w:lineRule="auto"/>
              <w:rPr>
                <w:rFonts w:ascii="宋体" w:hAnsi="宋体"/>
                <w:szCs w:val="21"/>
              </w:rPr>
            </w:pPr>
            <w:r>
              <w:rPr>
                <w:rFonts w:hint="eastAsia" w:ascii="宋体" w:hAnsi="宋体"/>
                <w:szCs w:val="21"/>
              </w:rPr>
              <w:t>投标文件提交截止时间后60分钟内。若全部投标文件均在解密时间内完成解密，经招标人确认，可以提前进入下一环节。</w:t>
            </w:r>
            <w:bookmarkStart w:id="1060" w:name="_GoBack"/>
            <w:bookmarkEnd w:id="106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26</w:t>
            </w:r>
          </w:p>
        </w:tc>
        <w:tc>
          <w:tcPr>
            <w:tcW w:w="496" w:type="pct"/>
            <w:vAlign w:val="center"/>
          </w:tcPr>
          <w:p>
            <w:pPr>
              <w:snapToGrid w:val="0"/>
              <w:spacing w:line="360" w:lineRule="auto"/>
              <w:jc w:val="center"/>
              <w:rPr>
                <w:rFonts w:ascii="宋体" w:hAnsi="宋体"/>
                <w:szCs w:val="21"/>
              </w:rPr>
            </w:pPr>
            <w:r>
              <w:rPr>
                <w:rFonts w:hint="eastAsia" w:ascii="宋体" w:hAnsi="宋体"/>
                <w:szCs w:val="21"/>
              </w:rPr>
              <w:t>2</w:t>
            </w:r>
            <w:r>
              <w:rPr>
                <w:rFonts w:ascii="宋体" w:hAnsi="宋体"/>
                <w:szCs w:val="21"/>
              </w:rPr>
              <w:t>4.6</w:t>
            </w:r>
          </w:p>
        </w:tc>
        <w:tc>
          <w:tcPr>
            <w:tcW w:w="858" w:type="pct"/>
            <w:vAlign w:val="center"/>
          </w:tcPr>
          <w:p>
            <w:pPr>
              <w:snapToGrid w:val="0"/>
              <w:spacing w:line="360" w:lineRule="auto"/>
              <w:jc w:val="center"/>
              <w:rPr>
                <w:rFonts w:ascii="宋体" w:hAnsi="宋体"/>
                <w:szCs w:val="21"/>
              </w:rPr>
            </w:pPr>
            <w:r>
              <w:rPr>
                <w:rFonts w:hint="eastAsia" w:ascii="宋体" w:hAnsi="宋体"/>
                <w:szCs w:val="21"/>
              </w:rPr>
              <w:t>投标人异议提出时间及提出方式</w:t>
            </w:r>
          </w:p>
        </w:tc>
        <w:tc>
          <w:tcPr>
            <w:tcW w:w="3269" w:type="pct"/>
            <w:vAlign w:val="center"/>
          </w:tcPr>
          <w:p>
            <w:pPr>
              <w:spacing w:line="360" w:lineRule="auto"/>
              <w:rPr>
                <w:rFonts w:ascii="宋体" w:hAnsi="宋体" w:cs="宋体"/>
                <w:szCs w:val="21"/>
              </w:rPr>
            </w:pPr>
            <w:r>
              <w:rPr>
                <w:rFonts w:hint="eastAsia" w:ascii="宋体" w:hAnsi="宋体" w:cs="宋体"/>
              </w:rPr>
              <w:t>1、交易系统辅助审查结果异议提出时间：解密环节结束且</w:t>
            </w:r>
            <w:r>
              <w:rPr>
                <w:rFonts w:hint="eastAsia" w:ascii="宋体" w:hAnsi="宋体" w:cs="宋体"/>
                <w:szCs w:val="21"/>
              </w:rPr>
              <w:t>招标人公示资格结果后20分钟内。</w:t>
            </w:r>
          </w:p>
          <w:p>
            <w:pPr>
              <w:snapToGrid w:val="0"/>
              <w:spacing w:line="360" w:lineRule="auto"/>
              <w:rPr>
                <w:rFonts w:ascii="宋体" w:hAnsi="宋体"/>
                <w:szCs w:val="21"/>
              </w:rPr>
            </w:pPr>
            <w:r>
              <w:rPr>
                <w:rFonts w:hint="eastAsia" w:ascii="宋体" w:hAnsi="宋体" w:cs="宋体"/>
                <w:szCs w:val="21"/>
              </w:rPr>
              <w:t>2、提出方式：通过东莞市公共资源交易E网通管理平台建设工程交易系统向招标人或其委托的招标代理机构提出。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bookmarkStart w:id="28" w:name="_Hlt109779718"/>
            <w:bookmarkEnd w:id="28"/>
            <w:r>
              <w:rPr>
                <w:rFonts w:ascii="宋体" w:hAnsi="宋体"/>
                <w:szCs w:val="21"/>
              </w:rPr>
              <w:t>2</w:t>
            </w:r>
            <w:r>
              <w:rPr>
                <w:rFonts w:hint="eastAsia" w:ascii="宋体" w:hAnsi="宋体"/>
                <w:szCs w:val="21"/>
              </w:rPr>
              <w:t>7</w:t>
            </w:r>
          </w:p>
        </w:tc>
        <w:tc>
          <w:tcPr>
            <w:tcW w:w="496" w:type="pct"/>
            <w:vAlign w:val="center"/>
          </w:tcPr>
          <w:p>
            <w:pPr>
              <w:snapToGrid w:val="0"/>
              <w:spacing w:line="360" w:lineRule="auto"/>
              <w:jc w:val="center"/>
              <w:rPr>
                <w:rFonts w:ascii="宋体" w:hAnsi="宋体"/>
                <w:szCs w:val="21"/>
              </w:rPr>
            </w:pPr>
            <w:r>
              <w:rPr>
                <w:rFonts w:ascii="宋体" w:hAnsi="宋体"/>
                <w:szCs w:val="21"/>
              </w:rPr>
              <w:t>29.2</w:t>
            </w:r>
          </w:p>
        </w:tc>
        <w:tc>
          <w:tcPr>
            <w:tcW w:w="858" w:type="pct"/>
            <w:vAlign w:val="center"/>
          </w:tcPr>
          <w:p>
            <w:pPr>
              <w:snapToGrid w:val="0"/>
              <w:spacing w:line="360" w:lineRule="auto"/>
              <w:jc w:val="center"/>
              <w:rPr>
                <w:rFonts w:ascii="宋体" w:hAnsi="宋体"/>
                <w:szCs w:val="21"/>
              </w:rPr>
            </w:pPr>
            <w:r>
              <w:rPr>
                <w:rFonts w:ascii="宋体" w:hAnsi="宋体"/>
                <w:szCs w:val="21"/>
              </w:rPr>
              <w:t>评标方法</w:t>
            </w:r>
          </w:p>
        </w:tc>
        <w:tc>
          <w:tcPr>
            <w:tcW w:w="3269" w:type="pct"/>
            <w:vAlign w:val="center"/>
          </w:tcPr>
          <w:p>
            <w:pPr>
              <w:snapToGrid w:val="0"/>
              <w:spacing w:line="360" w:lineRule="auto"/>
              <w:rPr>
                <w:rFonts w:ascii="宋体" w:hAnsi="宋体"/>
                <w:szCs w:val="21"/>
              </w:rPr>
            </w:pPr>
            <w:r>
              <w:rPr>
                <w:rFonts w:ascii="宋体" w:hAnsi="宋体"/>
                <w:szCs w:val="21"/>
              </w:rPr>
              <w:t>见投标人须知附件</w:t>
            </w:r>
            <w:r>
              <w:rPr>
                <w:rFonts w:hint="eastAsia" w:ascii="宋体" w:hAnsi="宋体"/>
                <w:szCs w:val="21"/>
              </w:rPr>
              <w:t>一</w:t>
            </w:r>
            <w:r>
              <w:rPr>
                <w:rFonts w:ascii="宋体" w:hAnsi="宋体"/>
                <w:szCs w:val="21"/>
              </w:rPr>
              <w:t>《</w:t>
            </w:r>
            <w:r>
              <w:rPr>
                <w:rFonts w:hint="eastAsia" w:ascii="宋体" w:hAnsi="宋体"/>
                <w:szCs w:val="21"/>
              </w:rPr>
              <w:t>东莞市沙田福禄沙污水处理厂二期工程等四项工程刮泥机成套系统设备采购</w:t>
            </w:r>
            <w:r>
              <w:rPr>
                <w:rFonts w:ascii="宋体" w:hAnsi="宋体"/>
                <w:szCs w:val="21"/>
              </w:rPr>
              <w:t>招标评标办法》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jc w:val="center"/>
        </w:trPr>
        <w:tc>
          <w:tcPr>
            <w:tcW w:w="374"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8</w:t>
            </w:r>
          </w:p>
        </w:tc>
        <w:tc>
          <w:tcPr>
            <w:tcW w:w="496" w:type="pct"/>
            <w:vAlign w:val="center"/>
          </w:tcPr>
          <w:p>
            <w:pPr>
              <w:snapToGrid w:val="0"/>
              <w:spacing w:line="360" w:lineRule="auto"/>
              <w:jc w:val="center"/>
              <w:rPr>
                <w:rFonts w:ascii="宋体" w:hAnsi="宋体"/>
                <w:szCs w:val="21"/>
              </w:rPr>
            </w:pPr>
            <w:r>
              <w:rPr>
                <w:rFonts w:ascii="宋体" w:hAnsi="宋体"/>
                <w:szCs w:val="21"/>
              </w:rPr>
              <w:t>3</w:t>
            </w:r>
            <w:r>
              <w:rPr>
                <w:rFonts w:hint="eastAsia" w:ascii="宋体" w:hAnsi="宋体"/>
                <w:szCs w:val="21"/>
              </w:rPr>
              <w:t>1</w:t>
            </w:r>
            <w:r>
              <w:rPr>
                <w:rFonts w:ascii="宋体" w:hAnsi="宋体"/>
                <w:szCs w:val="21"/>
              </w:rPr>
              <w:t>.1</w:t>
            </w:r>
          </w:p>
        </w:tc>
        <w:tc>
          <w:tcPr>
            <w:tcW w:w="858" w:type="pct"/>
            <w:vAlign w:val="center"/>
          </w:tcPr>
          <w:p>
            <w:pPr>
              <w:snapToGrid w:val="0"/>
              <w:spacing w:line="360" w:lineRule="auto"/>
              <w:jc w:val="center"/>
              <w:rPr>
                <w:rFonts w:ascii="宋体" w:hAnsi="宋体"/>
                <w:szCs w:val="21"/>
              </w:rPr>
            </w:pPr>
            <w:r>
              <w:rPr>
                <w:rFonts w:ascii="宋体" w:hAnsi="宋体"/>
                <w:szCs w:val="21"/>
              </w:rPr>
              <w:t>中标原则</w:t>
            </w:r>
          </w:p>
        </w:tc>
        <w:tc>
          <w:tcPr>
            <w:tcW w:w="3269" w:type="pct"/>
            <w:vAlign w:val="center"/>
          </w:tcPr>
          <w:p>
            <w:pPr>
              <w:snapToGrid w:val="0"/>
              <w:spacing w:line="360" w:lineRule="auto"/>
              <w:rPr>
                <w:rFonts w:ascii="宋体" w:hAnsi="宋体"/>
                <w:szCs w:val="21"/>
              </w:rPr>
            </w:pPr>
            <w:r>
              <w:rPr>
                <w:rFonts w:hint="eastAsia" w:ascii="宋体" w:hAnsi="宋体"/>
                <w:szCs w:val="21"/>
              </w:rPr>
              <w:t>采用综合评估法，由评标委员会评选出投标文件最后综合得分最高的前两名投标人，并向招标人推荐最后综合得分最高的前两名投标人为中标候选人（最后综合得分排名第一、第二的投标人分别为第一、第二中标候选人），招标人将确定第一中标候选人为中标人。</w:t>
            </w:r>
          </w:p>
          <w:p>
            <w:pPr>
              <w:snapToGrid w:val="0"/>
              <w:spacing w:line="360" w:lineRule="auto"/>
              <w:rPr>
                <w:rFonts w:ascii="宋体" w:hAnsi="宋体"/>
                <w:szCs w:val="21"/>
              </w:rPr>
            </w:pPr>
            <w:r>
              <w:rPr>
                <w:rFonts w:hint="eastAsia" w:ascii="宋体" w:hAnsi="宋体"/>
                <w:szCs w:val="21"/>
              </w:rPr>
              <w:t>第一中标候选人放弃中标、因不可抗力提出不能履行合同、或者招标文件规定应当提交履约担保而在规定期限内未能提交的，或被认定为影响中标结果的，招标人可以按照评标委员会提出的中标候选人名单排序依次确定其他中标候选人为中标人或重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9</w:t>
            </w:r>
          </w:p>
        </w:tc>
        <w:tc>
          <w:tcPr>
            <w:tcW w:w="496" w:type="pct"/>
            <w:vAlign w:val="center"/>
          </w:tcPr>
          <w:p>
            <w:pPr>
              <w:snapToGrid w:val="0"/>
              <w:spacing w:line="360" w:lineRule="auto"/>
              <w:jc w:val="center"/>
              <w:rPr>
                <w:rFonts w:ascii="宋体" w:hAnsi="宋体"/>
                <w:szCs w:val="21"/>
              </w:rPr>
            </w:pPr>
            <w:r>
              <w:rPr>
                <w:rFonts w:ascii="宋体" w:hAnsi="宋体"/>
                <w:szCs w:val="21"/>
              </w:rPr>
              <w:t>34.1</w:t>
            </w:r>
          </w:p>
        </w:tc>
        <w:tc>
          <w:tcPr>
            <w:tcW w:w="858" w:type="pct"/>
            <w:vAlign w:val="center"/>
          </w:tcPr>
          <w:p>
            <w:pPr>
              <w:snapToGrid w:val="0"/>
              <w:spacing w:line="360" w:lineRule="auto"/>
              <w:jc w:val="center"/>
              <w:rPr>
                <w:rFonts w:ascii="宋体" w:hAnsi="宋体"/>
                <w:szCs w:val="21"/>
              </w:rPr>
            </w:pPr>
            <w:r>
              <w:rPr>
                <w:rFonts w:ascii="宋体" w:hAnsi="宋体"/>
                <w:szCs w:val="21"/>
              </w:rPr>
              <w:t>履约担保金额</w:t>
            </w:r>
          </w:p>
        </w:tc>
        <w:tc>
          <w:tcPr>
            <w:tcW w:w="3269" w:type="pct"/>
            <w:vAlign w:val="center"/>
          </w:tcPr>
          <w:p>
            <w:pPr>
              <w:snapToGrid w:val="0"/>
              <w:spacing w:line="360" w:lineRule="auto"/>
              <w:rPr>
                <w:rFonts w:ascii="宋体" w:hAnsi="宋体"/>
                <w:szCs w:val="21"/>
              </w:rPr>
            </w:pPr>
            <w:r>
              <w:rPr>
                <w:rFonts w:hint="eastAsia" w:ascii="宋体" w:hAnsi="宋体"/>
                <w:szCs w:val="21"/>
              </w:rPr>
              <w:t>履约保证金金额为合同总价（含税）的5%，或不可撤销银行履约保函金额为合同总价（含税）的</w:t>
            </w:r>
            <w:r>
              <w:rPr>
                <w:rFonts w:ascii="宋体" w:hAnsi="宋体"/>
                <w:szCs w:val="21"/>
              </w:rPr>
              <w:t>8</w:t>
            </w:r>
            <w:r>
              <w:rPr>
                <w:rFonts w:hint="eastAsia" w:ascii="宋体" w:hAnsi="宋体"/>
                <w:szCs w:val="21"/>
              </w:rPr>
              <w:t>%，或担保公司履约担保金额为合同总价（含税）的10%。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6" w:hRule="atLeast"/>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30</w:t>
            </w:r>
          </w:p>
        </w:tc>
        <w:tc>
          <w:tcPr>
            <w:tcW w:w="496" w:type="pct"/>
            <w:vAlign w:val="center"/>
          </w:tcPr>
          <w:p>
            <w:pPr>
              <w:snapToGrid w:val="0"/>
              <w:spacing w:line="360" w:lineRule="auto"/>
              <w:jc w:val="center"/>
              <w:rPr>
                <w:rFonts w:ascii="宋体" w:hAnsi="宋体"/>
                <w:szCs w:val="21"/>
              </w:rPr>
            </w:pPr>
            <w:r>
              <w:rPr>
                <w:rFonts w:ascii="宋体" w:hAnsi="宋体"/>
                <w:szCs w:val="21"/>
              </w:rPr>
              <w:t>34.3</w:t>
            </w:r>
          </w:p>
        </w:tc>
        <w:tc>
          <w:tcPr>
            <w:tcW w:w="858" w:type="pct"/>
            <w:vAlign w:val="center"/>
          </w:tcPr>
          <w:p>
            <w:pPr>
              <w:snapToGrid w:val="0"/>
              <w:spacing w:line="360" w:lineRule="auto"/>
              <w:jc w:val="center"/>
              <w:rPr>
                <w:rFonts w:ascii="宋体" w:hAnsi="宋体"/>
                <w:szCs w:val="21"/>
              </w:rPr>
            </w:pPr>
            <w:r>
              <w:rPr>
                <w:rFonts w:ascii="宋体" w:hAnsi="宋体"/>
                <w:szCs w:val="21"/>
              </w:rPr>
              <w:t>履约担保方式</w:t>
            </w:r>
          </w:p>
        </w:tc>
        <w:tc>
          <w:tcPr>
            <w:tcW w:w="3269" w:type="pct"/>
            <w:vAlign w:val="center"/>
          </w:tcPr>
          <w:p>
            <w:pPr>
              <w:snapToGrid w:val="0"/>
              <w:spacing w:line="360" w:lineRule="auto"/>
              <w:rPr>
                <w:rFonts w:ascii="宋体" w:hAnsi="宋体"/>
                <w:szCs w:val="21"/>
              </w:rPr>
            </w:pPr>
            <w:r>
              <w:rPr>
                <w:rFonts w:ascii="宋体" w:hAnsi="宋体"/>
                <w:szCs w:val="21"/>
              </w:rPr>
              <w:t>■</w:t>
            </w:r>
            <w:r>
              <w:rPr>
                <w:rFonts w:hint="eastAsia" w:ascii="宋体" w:hAnsi="宋体"/>
                <w:szCs w:val="21"/>
              </w:rPr>
              <w:t>履约保证金；</w:t>
            </w:r>
          </w:p>
          <w:p>
            <w:pPr>
              <w:snapToGrid w:val="0"/>
              <w:spacing w:line="360" w:lineRule="auto"/>
              <w:rPr>
                <w:rFonts w:ascii="宋体" w:hAnsi="宋体"/>
                <w:szCs w:val="21"/>
              </w:rPr>
            </w:pPr>
            <w:r>
              <w:rPr>
                <w:rFonts w:ascii="宋体" w:hAnsi="宋体"/>
                <w:szCs w:val="21"/>
              </w:rPr>
              <w:t>■</w:t>
            </w:r>
            <w:r>
              <w:rPr>
                <w:rFonts w:hint="eastAsia" w:ascii="宋体" w:hAnsi="宋体"/>
                <w:szCs w:val="21"/>
              </w:rPr>
              <w:t>银行履约保函；</w:t>
            </w:r>
          </w:p>
          <w:p>
            <w:pPr>
              <w:snapToGrid w:val="0"/>
              <w:spacing w:line="360" w:lineRule="auto"/>
              <w:rPr>
                <w:rFonts w:ascii="宋体" w:hAnsi="宋体"/>
                <w:szCs w:val="21"/>
              </w:rPr>
            </w:pPr>
            <w:r>
              <w:rPr>
                <w:rFonts w:ascii="宋体" w:hAnsi="宋体"/>
                <w:szCs w:val="21"/>
              </w:rPr>
              <w:t>■</w:t>
            </w:r>
            <w:r>
              <w:rPr>
                <w:rFonts w:hint="eastAsia" w:ascii="宋体" w:hAnsi="宋体"/>
                <w:szCs w:val="21"/>
              </w:rPr>
              <w:t>担保公司履约担保书。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szCs w:val="21"/>
              </w:rPr>
            </w:pPr>
            <w:r>
              <w:rPr>
                <w:rFonts w:hint="eastAsia" w:ascii="宋体" w:hAnsi="宋体"/>
                <w:szCs w:val="21"/>
              </w:rPr>
              <w:t>31</w:t>
            </w:r>
          </w:p>
        </w:tc>
        <w:tc>
          <w:tcPr>
            <w:tcW w:w="496" w:type="pct"/>
            <w:vAlign w:val="center"/>
          </w:tcPr>
          <w:p>
            <w:pPr>
              <w:snapToGrid w:val="0"/>
              <w:spacing w:line="360" w:lineRule="auto"/>
              <w:jc w:val="center"/>
              <w:rPr>
                <w:rFonts w:ascii="宋体" w:hAnsi="宋体"/>
                <w:szCs w:val="21"/>
              </w:rPr>
            </w:pPr>
            <w:r>
              <w:rPr>
                <w:rFonts w:hint="eastAsia" w:ascii="宋体" w:hAnsi="宋体"/>
                <w:szCs w:val="21"/>
              </w:rPr>
              <w:t>34.4.</w:t>
            </w:r>
            <w:r>
              <w:rPr>
                <w:rFonts w:ascii="宋体" w:hAnsi="宋体"/>
                <w:szCs w:val="21"/>
              </w:rPr>
              <w:t>7</w:t>
            </w:r>
          </w:p>
        </w:tc>
        <w:tc>
          <w:tcPr>
            <w:tcW w:w="858" w:type="pct"/>
            <w:vAlign w:val="center"/>
          </w:tcPr>
          <w:p>
            <w:pPr>
              <w:snapToGrid w:val="0"/>
              <w:spacing w:line="360" w:lineRule="auto"/>
              <w:jc w:val="center"/>
              <w:rPr>
                <w:rFonts w:ascii="宋体" w:hAnsi="宋体"/>
                <w:szCs w:val="21"/>
              </w:rPr>
            </w:pPr>
            <w:r>
              <w:rPr>
                <w:rFonts w:ascii="宋体" w:hAnsi="宋体"/>
                <w:bCs/>
                <w:szCs w:val="21"/>
              </w:rPr>
              <w:t>履约保证金缴交账号</w:t>
            </w:r>
          </w:p>
        </w:tc>
        <w:tc>
          <w:tcPr>
            <w:tcW w:w="3269" w:type="pct"/>
            <w:vAlign w:val="center"/>
          </w:tcPr>
          <w:p>
            <w:pPr>
              <w:spacing w:line="400" w:lineRule="exact"/>
              <w:rPr>
                <w:rFonts w:ascii="宋体" w:hAnsi="宋体"/>
                <w:szCs w:val="21"/>
              </w:rPr>
            </w:pPr>
            <w:r>
              <w:rPr>
                <w:rFonts w:ascii="宋体" w:hAnsi="宋体"/>
                <w:szCs w:val="21"/>
              </w:rPr>
              <w:t>开户银行：</w:t>
            </w:r>
            <w:r>
              <w:rPr>
                <w:rFonts w:hint="eastAsia" w:ascii="宋体" w:hAnsi="宋体"/>
                <w:szCs w:val="21"/>
              </w:rPr>
              <w:t>中国工商银行股份有限公司东莞分行</w:t>
            </w:r>
          </w:p>
          <w:p>
            <w:pPr>
              <w:spacing w:line="400" w:lineRule="exact"/>
              <w:rPr>
                <w:rFonts w:ascii="宋体" w:hAnsi="宋体"/>
                <w:szCs w:val="21"/>
              </w:rPr>
            </w:pPr>
            <w:r>
              <w:rPr>
                <w:rFonts w:ascii="宋体" w:hAnsi="宋体"/>
                <w:szCs w:val="21"/>
              </w:rPr>
              <w:t>账    号：</w:t>
            </w:r>
            <w:r>
              <w:rPr>
                <w:rFonts w:hint="eastAsia" w:ascii="宋体" w:hAnsi="宋体"/>
                <w:szCs w:val="21"/>
              </w:rPr>
              <w:t>2010021309200628330</w:t>
            </w:r>
          </w:p>
          <w:p>
            <w:pPr>
              <w:snapToGrid w:val="0"/>
              <w:spacing w:line="360" w:lineRule="auto"/>
              <w:rPr>
                <w:rFonts w:ascii="宋体" w:hAnsi="宋体"/>
                <w:szCs w:val="21"/>
              </w:rPr>
            </w:pPr>
            <w:r>
              <w:rPr>
                <w:rFonts w:ascii="宋体" w:hAnsi="宋体"/>
                <w:szCs w:val="21"/>
              </w:rPr>
              <w:t>收款人名称：</w:t>
            </w:r>
            <w:r>
              <w:rPr>
                <w:rFonts w:hint="eastAsia" w:ascii="宋体" w:hAnsi="宋体"/>
                <w:szCs w:val="21"/>
              </w:rPr>
              <w:t>东莞市水务集团建设管理有限公司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b/>
                <w:szCs w:val="21"/>
              </w:rPr>
            </w:pPr>
            <w:r>
              <w:rPr>
                <w:rFonts w:ascii="宋体" w:hAnsi="宋体"/>
                <w:b/>
                <w:szCs w:val="21"/>
              </w:rPr>
              <w:t>3</w:t>
            </w:r>
            <w:r>
              <w:rPr>
                <w:rFonts w:hint="eastAsia" w:ascii="宋体" w:hAnsi="宋体"/>
                <w:b/>
                <w:szCs w:val="21"/>
              </w:rPr>
              <w:t>2</w:t>
            </w:r>
          </w:p>
        </w:tc>
        <w:tc>
          <w:tcPr>
            <w:tcW w:w="1355" w:type="pct"/>
            <w:gridSpan w:val="2"/>
            <w:vAlign w:val="center"/>
          </w:tcPr>
          <w:p>
            <w:pPr>
              <w:snapToGrid w:val="0"/>
              <w:spacing w:line="360" w:lineRule="auto"/>
              <w:jc w:val="center"/>
              <w:rPr>
                <w:rFonts w:ascii="宋体" w:hAnsi="宋体"/>
                <w:b/>
                <w:bCs/>
                <w:szCs w:val="21"/>
              </w:rPr>
            </w:pPr>
            <w:r>
              <w:rPr>
                <w:rFonts w:hint="eastAsia" w:ascii="宋体" w:hAnsi="宋体"/>
                <w:b/>
                <w:bCs/>
                <w:szCs w:val="21"/>
              </w:rPr>
              <w:t>特别提醒</w:t>
            </w:r>
          </w:p>
        </w:tc>
        <w:tc>
          <w:tcPr>
            <w:tcW w:w="3269" w:type="pct"/>
            <w:vAlign w:val="center"/>
          </w:tcPr>
          <w:p>
            <w:pPr>
              <w:snapToGrid w:val="0"/>
              <w:spacing w:line="400" w:lineRule="exact"/>
              <w:rPr>
                <w:b/>
                <w:bCs/>
              </w:rPr>
            </w:pPr>
            <w:r>
              <w:rPr>
                <w:b/>
                <w:bCs/>
              </w:rPr>
              <w:t>1</w:t>
            </w:r>
            <w:r>
              <w:rPr>
                <w:rFonts w:hint="eastAsia"/>
                <w:b/>
                <w:bCs/>
              </w:rPr>
              <w:t>、违反下述二款规定之一的，相关投标均无效：</w:t>
            </w:r>
          </w:p>
          <w:p>
            <w:pPr>
              <w:snapToGrid w:val="0"/>
              <w:spacing w:line="400" w:lineRule="exact"/>
              <w:rPr>
                <w:b/>
                <w:bCs/>
              </w:rPr>
            </w:pPr>
            <w:r>
              <w:rPr>
                <w:rFonts w:hint="eastAsia"/>
                <w:b/>
                <w:bCs/>
              </w:rPr>
              <w:t>（</w:t>
            </w:r>
            <w:r>
              <w:rPr>
                <w:b/>
                <w:bCs/>
              </w:rPr>
              <w:t>1</w:t>
            </w:r>
            <w:r>
              <w:rPr>
                <w:rFonts w:hint="eastAsia"/>
                <w:b/>
                <w:bCs/>
              </w:rPr>
              <w:t>）单位负责人为同一人或者存在控股、管理关系的不同单位，不得在本次招标项目中同时投标。</w:t>
            </w:r>
          </w:p>
          <w:p>
            <w:pPr>
              <w:snapToGrid w:val="0"/>
              <w:spacing w:line="400" w:lineRule="exact"/>
              <w:rPr>
                <w:b/>
                <w:bCs/>
              </w:rPr>
            </w:pPr>
            <w:r>
              <w:rPr>
                <w:rFonts w:hint="eastAsia"/>
                <w:b/>
                <w:bCs/>
              </w:rPr>
              <w:t>（</w:t>
            </w:r>
            <w:r>
              <w:rPr>
                <w:b/>
                <w:bCs/>
              </w:rPr>
              <w:t>2</w:t>
            </w:r>
            <w:r>
              <w:rPr>
                <w:rFonts w:hint="eastAsia"/>
                <w:b/>
                <w:bCs/>
              </w:rPr>
              <w:t>）投标人不得相互串通投标报价，也不得以他人名义投标或者弄虚作假，骗取中标。</w:t>
            </w:r>
          </w:p>
          <w:p>
            <w:pPr>
              <w:snapToGrid w:val="0"/>
              <w:spacing w:line="400" w:lineRule="exact"/>
            </w:pPr>
            <w:r>
              <w:rPr>
                <w:rFonts w:hint="eastAsia"/>
              </w:rPr>
              <w:t>2、根据《关于调整我市建筑市场有关监管措施的通知》（东建市〔2016〕39号）、《关于延迟实施我市建筑市场有关监管措施的通知》（东建市〔2016〕51号）、</w:t>
            </w:r>
            <w:r>
              <w:t>《</w:t>
            </w:r>
            <w:r>
              <w:rPr>
                <w:rFonts w:hint="eastAsia"/>
              </w:rPr>
              <w:t>关于开放企业信息库登记的通知》(东公资交〔2016〕34号) 等文件的规定，</w:t>
            </w:r>
            <w:r>
              <w:t>全面采用</w:t>
            </w:r>
            <w:r>
              <w:rPr>
                <w:rFonts w:hint="eastAsia"/>
              </w:rPr>
              <w:t>东莞</w:t>
            </w:r>
            <w:r>
              <w:t>市公共资源交易中心投标企业信息库数据</w:t>
            </w:r>
            <w:r>
              <w:rPr>
                <w:rFonts w:hint="eastAsia"/>
              </w:rPr>
              <w:t>，原建设工程企业库及原东莞市住房和城乡建设局信用手册停用。尚未办理好东莞</w:t>
            </w:r>
            <w:r>
              <w:t>市公共资源交易</w:t>
            </w:r>
            <w:r>
              <w:rPr>
                <w:rFonts w:hint="eastAsia"/>
              </w:rPr>
              <w:t>企业库登记手续的投标人，必须在</w:t>
            </w:r>
            <w:r>
              <w:rPr>
                <w:rFonts w:hint="eastAsia" w:ascii="宋体" w:hAnsi="宋体"/>
                <w:color w:val="000000"/>
                <w:kern w:val="2"/>
                <w:sz w:val="21"/>
                <w:szCs w:val="21"/>
              </w:rPr>
              <w:t>全国公共资源交易平台（广东省·东莞市）</w:t>
            </w:r>
            <w:r>
              <w:rPr>
                <w:rFonts w:hint="eastAsia"/>
              </w:rPr>
              <w:t>注册并完成对应的建档手续（招标公告期间，东莞市公共资源交易中心对投标人注册、建档等手续做出新的规定的，以东莞市公共资源交易中心最新的规定执行），否则因此导致投标人无法正常参与本项目投标的，招标人将拒绝接收其投标文件。东莞</w:t>
            </w:r>
            <w:r>
              <w:t>市公共资源交易</w:t>
            </w:r>
            <w:r>
              <w:rPr>
                <w:rFonts w:hint="eastAsia"/>
              </w:rPr>
              <w:t>企业库登记的相关规定</w:t>
            </w:r>
            <w:r>
              <w:rPr>
                <w:rFonts w:hint="eastAsia"/>
                <w:szCs w:val="21"/>
              </w:rPr>
              <w:t>、具体办理事宜详见</w:t>
            </w:r>
            <w:r>
              <w:rPr>
                <w:rFonts w:hint="eastAsia" w:ascii="宋体" w:hAnsi="宋体"/>
                <w:color w:val="000000"/>
                <w:kern w:val="2"/>
                <w:sz w:val="21"/>
                <w:szCs w:val="21"/>
              </w:rPr>
              <w:t>全国公共资源交易平台（广东省·东莞市）</w:t>
            </w:r>
            <w:r>
              <w:fldChar w:fldCharType="begin"/>
            </w:r>
            <w:r>
              <w:instrText xml:space="preserve"> HYPERLINK "http://ggzy.dg.gov.cn）通知公告和服务指南。" </w:instrText>
            </w:r>
            <w:r>
              <w:fldChar w:fldCharType="separate"/>
            </w:r>
            <w:r>
              <w:rPr>
                <w:rStyle w:val="33"/>
                <w:rFonts w:hint="eastAsia"/>
                <w:color w:val="auto"/>
                <w:sz w:val="21"/>
                <w:szCs w:val="21"/>
                <w:u w:val="none"/>
              </w:rPr>
              <w:t>通知公告和</w:t>
            </w:r>
            <w:r>
              <w:rPr>
                <w:rStyle w:val="33"/>
                <w:color w:val="auto"/>
                <w:sz w:val="21"/>
                <w:szCs w:val="21"/>
                <w:u w:val="none"/>
              </w:rPr>
              <w:t>服务指南。</w:t>
            </w:r>
            <w:r>
              <w:rPr>
                <w:rStyle w:val="33"/>
                <w:color w:val="auto"/>
                <w:sz w:val="21"/>
                <w:szCs w:val="21"/>
                <w:u w:val="none"/>
              </w:rPr>
              <w:fldChar w:fldCharType="end"/>
            </w:r>
          </w:p>
          <w:p>
            <w:pPr>
              <w:spacing w:line="400" w:lineRule="exact"/>
              <w:rPr>
                <w:b/>
              </w:rPr>
            </w:pPr>
            <w:r>
              <w:rPr>
                <w:b/>
              </w:rPr>
              <w:t>3</w:t>
            </w:r>
            <w:r>
              <w:rPr>
                <w:rFonts w:hint="eastAsia"/>
                <w:b/>
              </w:rPr>
              <w:t>、若投标人认为其投标报价相对低的情况下，评标阶段应做好委派人员应评标委员会的要求对投标文件作出书面说明并提供相关证明材料的准备，如果被评标委员会认定低于企业成本价，且投标人不能作出书面说明并提供相关证明材料，该投标人的投标作为无效投标处理。</w:t>
            </w:r>
          </w:p>
          <w:p>
            <w:pPr>
              <w:snapToGrid w:val="0"/>
              <w:spacing w:line="400" w:lineRule="exact"/>
              <w:rPr>
                <w:rFonts w:ascii="宋体" w:hAnsi="宋体"/>
                <w:b/>
                <w:szCs w:val="21"/>
              </w:rPr>
            </w:pPr>
            <w:r>
              <w:rPr>
                <w:rFonts w:hint="eastAsia" w:ascii="宋体" w:hAnsi="宋体"/>
                <w:b/>
                <w:szCs w:val="21"/>
              </w:rPr>
              <w:t>4、本项目投标须知第4条所述行政处罚信息，以开标现场在“信用中国”网站（www.creditchina.gov.cn）查询结果为准。开标结束后，有关投标单位的行政处罚信息，以开标现场结果为准；结果公示期间，如投标人对有关投标单位的行政处罚信息存在异议，但不涉及第一中标候选人的，视为对中标结果没有造成实质影响。</w:t>
            </w:r>
          </w:p>
          <w:p>
            <w:pPr>
              <w:pStyle w:val="5"/>
              <w:wordWrap w:val="0"/>
            </w:pPr>
            <w:bookmarkStart w:id="29" w:name="_Toc132276244"/>
            <w:bookmarkStart w:id="30" w:name="_Toc4699"/>
            <w:bookmarkStart w:id="31" w:name="_Toc132814698"/>
            <w:r>
              <w:rPr>
                <w:rFonts w:hint="eastAsia" w:ascii="宋体" w:hAnsi="宋体"/>
                <w:szCs w:val="21"/>
              </w:rPr>
              <w:t>5、</w:t>
            </w:r>
            <w:r>
              <w:rPr>
                <w:rFonts w:hint="eastAsia"/>
                <w:b/>
                <w:bCs/>
              </w:rPr>
              <w:t>各潜在投标人或其它利害关系人对本项目招标文件及合同文本等，所有对外发出的附件有异议的，应当在投标截止时间10天前向招标人提出，未在规定的时间提出视为无异议，且视为放弃提出异议的权利。</w:t>
            </w:r>
            <w:bookmarkEnd w:id="29"/>
            <w:bookmarkEnd w:id="30"/>
            <w:bookmarkEnd w:id="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snapToGrid w:val="0"/>
              <w:spacing w:line="360" w:lineRule="auto"/>
              <w:jc w:val="center"/>
              <w:rPr>
                <w:rFonts w:ascii="宋体" w:hAnsi="宋体"/>
                <w:b/>
                <w:szCs w:val="21"/>
              </w:rPr>
            </w:pPr>
            <w:r>
              <w:rPr>
                <w:rFonts w:ascii="宋体" w:hAnsi="宋体"/>
                <w:b/>
                <w:szCs w:val="21"/>
              </w:rPr>
              <w:t>3</w:t>
            </w:r>
            <w:r>
              <w:rPr>
                <w:rFonts w:hint="eastAsia" w:ascii="宋体" w:hAnsi="宋体"/>
                <w:b/>
                <w:szCs w:val="21"/>
              </w:rPr>
              <w:t>3</w:t>
            </w:r>
          </w:p>
        </w:tc>
        <w:tc>
          <w:tcPr>
            <w:tcW w:w="1355" w:type="pct"/>
            <w:gridSpan w:val="2"/>
            <w:vAlign w:val="center"/>
          </w:tcPr>
          <w:p>
            <w:pPr>
              <w:snapToGrid w:val="0"/>
              <w:spacing w:line="360" w:lineRule="auto"/>
              <w:jc w:val="center"/>
              <w:rPr>
                <w:rFonts w:ascii="宋体" w:hAnsi="宋体"/>
                <w:b/>
                <w:bCs/>
                <w:szCs w:val="21"/>
              </w:rPr>
            </w:pPr>
            <w:r>
              <w:rPr>
                <w:rFonts w:hint="eastAsia" w:ascii="宋体" w:hAnsi="宋体"/>
                <w:b/>
                <w:bCs/>
                <w:szCs w:val="21"/>
              </w:rPr>
              <w:t>3</w:t>
            </w:r>
            <w:r>
              <w:rPr>
                <w:rFonts w:ascii="宋体" w:hAnsi="宋体"/>
                <w:b/>
                <w:bCs/>
                <w:szCs w:val="21"/>
              </w:rPr>
              <w:t>6.11</w:t>
            </w:r>
          </w:p>
        </w:tc>
        <w:tc>
          <w:tcPr>
            <w:tcW w:w="3269" w:type="pct"/>
            <w:vAlign w:val="center"/>
          </w:tcPr>
          <w:p>
            <w:pPr>
              <w:spacing w:line="276" w:lineRule="auto"/>
              <w:rPr>
                <w:rFonts w:ascii="宋体" w:hAnsi="宋体"/>
                <w:szCs w:val="21"/>
              </w:rPr>
            </w:pPr>
            <w:r>
              <w:rPr>
                <w:rFonts w:ascii="宋体" w:hAnsi="宋体"/>
                <w:szCs w:val="21"/>
              </w:rPr>
              <w:t>36</w:t>
            </w:r>
            <w:r>
              <w:rPr>
                <w:rFonts w:hint="eastAsia" w:ascii="宋体" w:hAnsi="宋体"/>
                <w:szCs w:val="21"/>
              </w:rPr>
              <w:t>.</w:t>
            </w:r>
            <w:r>
              <w:rPr>
                <w:rFonts w:ascii="宋体" w:hAnsi="宋体"/>
                <w:szCs w:val="21"/>
              </w:rPr>
              <w:t>11</w:t>
            </w:r>
            <w:r>
              <w:rPr>
                <w:rFonts w:hint="eastAsia" w:ascii="宋体" w:hAnsi="宋体"/>
                <w:szCs w:val="21"/>
              </w:rPr>
              <w:t>.1对投标人提示如下：</w:t>
            </w:r>
          </w:p>
          <w:p>
            <w:pPr>
              <w:spacing w:line="276"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）投标会举行前，疫情防控指挥部门或相关主管部门如对疫情防控有最新要求的，投标人须根据最新要求进行配合。</w:t>
            </w:r>
          </w:p>
          <w:p>
            <w:pPr>
              <w:spacing w:line="276" w:lineRule="auto"/>
              <w:rPr>
                <w:b/>
                <w:bCs/>
                <w:sz w:val="24"/>
              </w:rPr>
            </w:pPr>
            <w:r>
              <w:rPr>
                <w:rFonts w:hint="eastAsia" w:ascii="宋体" w:hAnsi="宋体"/>
                <w:szCs w:val="21"/>
              </w:rPr>
              <w:t>（</w:t>
            </w:r>
            <w:r>
              <w:rPr>
                <w:rFonts w:ascii="宋体" w:hAnsi="宋体"/>
                <w:szCs w:val="21"/>
              </w:rPr>
              <w:t>2</w:t>
            </w:r>
            <w:r>
              <w:rPr>
                <w:rFonts w:hint="eastAsia" w:ascii="宋体" w:hAnsi="宋体"/>
                <w:szCs w:val="21"/>
              </w:rPr>
              <w:t>）开标视频网上直播，建议投标人可通过投标人企业数字证书登录到东莞市公共资源交易中心的e网通管理平台后，可通过“建设工程”栏目，点击“开标直播”、“标室列表”，查看标室直播画面。</w:t>
            </w:r>
          </w:p>
        </w:tc>
      </w:tr>
    </w:tbl>
    <w:p>
      <w:pPr>
        <w:pStyle w:val="15"/>
        <w:spacing w:line="360" w:lineRule="auto"/>
        <w:rPr>
          <w:rFonts w:hAnsi="宋体"/>
        </w:rPr>
      </w:pPr>
      <w:bookmarkStart w:id="32" w:name="_Toc72916298"/>
      <w:bookmarkStart w:id="33" w:name="_Toc50920577"/>
      <w:bookmarkStart w:id="34" w:name="_Toc50920420"/>
      <w:bookmarkStart w:id="35" w:name="_Toc77555177"/>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pStyle w:val="15"/>
        <w:spacing w:line="360" w:lineRule="auto"/>
        <w:rPr>
          <w:rFonts w:hAnsi="宋体"/>
        </w:rPr>
      </w:pPr>
    </w:p>
    <w:p>
      <w:pPr>
        <w:tabs>
          <w:tab w:val="left" w:pos="6480"/>
        </w:tabs>
        <w:outlineLvl w:val="2"/>
        <w:rPr>
          <w:rFonts w:ascii="宋体" w:hAnsi="宋体" w:cs="宋体"/>
          <w:b/>
          <w:bCs/>
          <w:sz w:val="24"/>
          <w:szCs w:val="32"/>
        </w:rPr>
      </w:pPr>
    </w:p>
    <w:p>
      <w:pPr>
        <w:pStyle w:val="4"/>
        <w:keepNext w:val="0"/>
        <w:keepLines w:val="0"/>
        <w:pageBreakBefore/>
        <w:numPr>
          <w:ilvl w:val="1"/>
          <w:numId w:val="1"/>
        </w:numPr>
        <w:snapToGrid w:val="0"/>
        <w:spacing w:before="0" w:after="0" w:line="360" w:lineRule="auto"/>
        <w:jc w:val="center"/>
        <w:rPr>
          <w:rFonts w:ascii="宋体" w:hAnsi="宋体" w:eastAsia="宋体"/>
          <w:b w:val="0"/>
          <w:bCs w:val="0"/>
          <w:sz w:val="30"/>
          <w:szCs w:val="28"/>
        </w:rPr>
      </w:pPr>
      <w:bookmarkStart w:id="36" w:name="_Toc18372"/>
      <w:bookmarkStart w:id="37" w:name="_Toc14076"/>
      <w:bookmarkStart w:id="38" w:name="_Toc28253"/>
      <w:bookmarkStart w:id="39" w:name="_Toc132814699"/>
      <w:bookmarkStart w:id="40" w:name="_Toc24892"/>
      <w:bookmarkStart w:id="41" w:name="_Toc8412"/>
      <w:r>
        <w:rPr>
          <w:rFonts w:ascii="宋体" w:hAnsi="宋体" w:eastAsia="宋体"/>
          <w:b w:val="0"/>
          <w:bCs w:val="0"/>
          <w:sz w:val="30"/>
          <w:szCs w:val="28"/>
        </w:rPr>
        <w:t>总    则</w:t>
      </w:r>
      <w:bookmarkEnd w:id="32"/>
      <w:bookmarkEnd w:id="33"/>
      <w:bookmarkEnd w:id="34"/>
      <w:bookmarkEnd w:id="35"/>
      <w:bookmarkEnd w:id="36"/>
      <w:bookmarkEnd w:id="37"/>
      <w:bookmarkEnd w:id="38"/>
      <w:bookmarkEnd w:id="39"/>
      <w:bookmarkEnd w:id="40"/>
      <w:bookmarkEnd w:id="41"/>
    </w:p>
    <w:p>
      <w:pPr>
        <w:pStyle w:val="5"/>
        <w:numPr>
          <w:ilvl w:val="0"/>
          <w:numId w:val="2"/>
        </w:numPr>
        <w:rPr>
          <w:rFonts w:ascii="宋体" w:hAnsi="宋体"/>
          <w:sz w:val="24"/>
          <w:szCs w:val="24"/>
        </w:rPr>
      </w:pPr>
      <w:bookmarkStart w:id="42" w:name="_Toc72916299"/>
      <w:bookmarkStart w:id="43" w:name="_Toc132814700"/>
      <w:bookmarkStart w:id="44" w:name="_Toc50920578"/>
      <w:bookmarkStart w:id="45" w:name="_Toc25657"/>
      <w:bookmarkStart w:id="46" w:name="_Toc16595"/>
      <w:bookmarkStart w:id="47" w:name="_Toc15002"/>
      <w:bookmarkStart w:id="48" w:name="_Toc50920421"/>
      <w:bookmarkStart w:id="49" w:name="_Toc22492"/>
      <w:bookmarkStart w:id="50" w:name="_Toc29644"/>
      <w:bookmarkStart w:id="51" w:name="_Toc77555178"/>
      <w:r>
        <w:rPr>
          <w:rFonts w:hint="eastAsia" w:ascii="宋体" w:hAnsi="宋体"/>
          <w:sz w:val="24"/>
          <w:szCs w:val="24"/>
        </w:rPr>
        <w:t>项目</w:t>
      </w:r>
      <w:r>
        <w:rPr>
          <w:rFonts w:ascii="宋体" w:hAnsi="宋体"/>
          <w:sz w:val="24"/>
          <w:szCs w:val="24"/>
        </w:rPr>
        <w:t>综合说明</w:t>
      </w:r>
      <w:bookmarkEnd w:id="42"/>
      <w:bookmarkEnd w:id="43"/>
      <w:bookmarkEnd w:id="44"/>
      <w:bookmarkEnd w:id="45"/>
      <w:bookmarkEnd w:id="46"/>
      <w:bookmarkEnd w:id="47"/>
      <w:bookmarkEnd w:id="48"/>
      <w:bookmarkEnd w:id="49"/>
      <w:bookmarkEnd w:id="50"/>
      <w:bookmarkEnd w:id="51"/>
    </w:p>
    <w:p>
      <w:pPr>
        <w:numPr>
          <w:ilvl w:val="1"/>
          <w:numId w:val="2"/>
        </w:numPr>
        <w:snapToGrid w:val="0"/>
        <w:spacing w:line="360" w:lineRule="auto"/>
        <w:rPr>
          <w:rFonts w:ascii="宋体" w:hAnsi="宋体"/>
          <w:szCs w:val="21"/>
        </w:rPr>
      </w:pPr>
      <w:bookmarkStart w:id="52" w:name="_Hlt86920382"/>
      <w:bookmarkEnd w:id="52"/>
      <w:bookmarkStart w:id="53" w:name="_Hlt109794176"/>
      <w:bookmarkEnd w:id="53"/>
      <w:bookmarkStart w:id="54" w:name="_Toc50920422"/>
      <w:bookmarkStart w:id="55" w:name="_Toc72916300"/>
      <w:bookmarkStart w:id="56" w:name="_Toc50920579"/>
      <w:bookmarkStart w:id="57" w:name="_Toc77555179"/>
      <w:r>
        <w:rPr>
          <w:rFonts w:ascii="宋体" w:hAnsi="宋体"/>
          <w:szCs w:val="21"/>
        </w:rPr>
        <w:t>本招标项目</w:t>
      </w:r>
      <w:r>
        <w:rPr>
          <w:rFonts w:hint="eastAsia" w:ascii="宋体" w:hAnsi="宋体"/>
          <w:szCs w:val="21"/>
        </w:rPr>
        <w:t>项目业主</w:t>
      </w:r>
      <w:r>
        <w:rPr>
          <w:rFonts w:ascii="宋体" w:hAnsi="宋体"/>
          <w:szCs w:val="21"/>
        </w:rPr>
        <w:t>：见投标须知前附表。</w:t>
      </w:r>
    </w:p>
    <w:p>
      <w:pPr>
        <w:numPr>
          <w:ilvl w:val="1"/>
          <w:numId w:val="2"/>
        </w:numPr>
        <w:snapToGrid w:val="0"/>
        <w:spacing w:line="360" w:lineRule="auto"/>
        <w:rPr>
          <w:rFonts w:ascii="宋体" w:hAnsi="宋体"/>
          <w:szCs w:val="21"/>
        </w:rPr>
      </w:pPr>
      <w:r>
        <w:rPr>
          <w:rFonts w:ascii="宋体" w:hAnsi="宋体"/>
          <w:szCs w:val="21"/>
        </w:rPr>
        <w:t>本招标项目招标人：见投标须知前附表。</w:t>
      </w:r>
    </w:p>
    <w:p>
      <w:pPr>
        <w:numPr>
          <w:ilvl w:val="1"/>
          <w:numId w:val="2"/>
        </w:numPr>
        <w:snapToGrid w:val="0"/>
        <w:spacing w:line="360" w:lineRule="auto"/>
        <w:rPr>
          <w:rFonts w:ascii="宋体" w:hAnsi="宋体"/>
          <w:szCs w:val="21"/>
        </w:rPr>
      </w:pPr>
      <w:r>
        <w:rPr>
          <w:rFonts w:ascii="宋体" w:hAnsi="宋体"/>
          <w:szCs w:val="21"/>
        </w:rPr>
        <w:t>本招标项目招标代理机构：见投标须知前附表。</w:t>
      </w:r>
    </w:p>
    <w:p>
      <w:pPr>
        <w:numPr>
          <w:ilvl w:val="1"/>
          <w:numId w:val="2"/>
        </w:numPr>
        <w:snapToGrid w:val="0"/>
        <w:spacing w:line="360" w:lineRule="auto"/>
        <w:rPr>
          <w:rFonts w:ascii="宋体" w:hAnsi="宋体"/>
          <w:szCs w:val="21"/>
        </w:rPr>
      </w:pPr>
      <w:r>
        <w:rPr>
          <w:rFonts w:ascii="宋体" w:hAnsi="宋体"/>
          <w:szCs w:val="21"/>
        </w:rPr>
        <w:t>本招标项目监督部门：见投标须知前附表。</w:t>
      </w:r>
    </w:p>
    <w:p>
      <w:pPr>
        <w:numPr>
          <w:ilvl w:val="1"/>
          <w:numId w:val="2"/>
        </w:numPr>
        <w:snapToGrid w:val="0"/>
        <w:spacing w:line="360" w:lineRule="auto"/>
        <w:rPr>
          <w:rFonts w:ascii="宋体" w:hAnsi="宋体"/>
          <w:szCs w:val="21"/>
        </w:rPr>
      </w:pPr>
      <w:r>
        <w:rPr>
          <w:rFonts w:ascii="宋体" w:hAnsi="宋体"/>
          <w:szCs w:val="21"/>
        </w:rPr>
        <w:t>本招标项目名称：见投标须知前附表。</w:t>
      </w:r>
    </w:p>
    <w:p>
      <w:pPr>
        <w:numPr>
          <w:ilvl w:val="1"/>
          <w:numId w:val="2"/>
        </w:numPr>
        <w:snapToGrid w:val="0"/>
        <w:spacing w:line="360" w:lineRule="auto"/>
        <w:rPr>
          <w:rFonts w:ascii="宋体" w:hAnsi="宋体"/>
          <w:szCs w:val="21"/>
        </w:rPr>
      </w:pPr>
      <w:r>
        <w:rPr>
          <w:rFonts w:ascii="宋体" w:hAnsi="宋体"/>
          <w:szCs w:val="21"/>
        </w:rPr>
        <w:t>本招标项目建设地点：见投标须知前附表。</w:t>
      </w:r>
    </w:p>
    <w:p>
      <w:pPr>
        <w:numPr>
          <w:ilvl w:val="1"/>
          <w:numId w:val="2"/>
        </w:numPr>
        <w:snapToGrid w:val="0"/>
        <w:spacing w:line="360" w:lineRule="auto"/>
        <w:rPr>
          <w:rFonts w:ascii="宋体" w:hAnsi="宋体"/>
          <w:szCs w:val="21"/>
        </w:rPr>
      </w:pPr>
      <w:r>
        <w:rPr>
          <w:rFonts w:ascii="宋体" w:hAnsi="宋体"/>
          <w:szCs w:val="21"/>
        </w:rPr>
        <w:t>本招标项目建设规模：见投标须知前附表。</w:t>
      </w:r>
    </w:p>
    <w:p>
      <w:pPr>
        <w:numPr>
          <w:ilvl w:val="1"/>
          <w:numId w:val="2"/>
        </w:numPr>
        <w:snapToGrid w:val="0"/>
        <w:spacing w:line="360" w:lineRule="auto"/>
        <w:rPr>
          <w:rFonts w:ascii="宋体" w:hAnsi="宋体"/>
        </w:rPr>
      </w:pPr>
      <w:r>
        <w:rPr>
          <w:rFonts w:ascii="宋体" w:hAnsi="宋体"/>
        </w:rPr>
        <w:t>招标方式和招标场所：见</w:t>
      </w:r>
      <w:r>
        <w:rPr>
          <w:rFonts w:ascii="宋体" w:hAnsi="宋体"/>
          <w:szCs w:val="21"/>
        </w:rPr>
        <w:t>投标须知</w:t>
      </w:r>
      <w:r>
        <w:rPr>
          <w:rFonts w:ascii="宋体" w:hAnsi="宋体"/>
        </w:rPr>
        <w:t>前附表</w:t>
      </w:r>
      <w:r>
        <w:rPr>
          <w:rFonts w:hint="eastAsia" w:ascii="宋体" w:hAnsi="宋体"/>
        </w:rPr>
        <w:t>。</w:t>
      </w:r>
    </w:p>
    <w:p>
      <w:pPr>
        <w:numPr>
          <w:ilvl w:val="1"/>
          <w:numId w:val="2"/>
        </w:numPr>
        <w:snapToGrid w:val="0"/>
        <w:spacing w:line="360" w:lineRule="auto"/>
        <w:rPr>
          <w:rFonts w:ascii="宋体" w:hAnsi="宋体"/>
        </w:rPr>
      </w:pPr>
      <w:r>
        <w:rPr>
          <w:rFonts w:hint="eastAsia" w:ascii="宋体" w:hAnsi="宋体"/>
        </w:rPr>
        <w:t>公告发布媒介</w:t>
      </w:r>
      <w:r>
        <w:rPr>
          <w:rFonts w:ascii="宋体" w:hAnsi="宋体"/>
        </w:rPr>
        <w:t>：见</w:t>
      </w:r>
      <w:r>
        <w:rPr>
          <w:rFonts w:ascii="宋体" w:hAnsi="宋体"/>
          <w:szCs w:val="21"/>
        </w:rPr>
        <w:t>投标须知</w:t>
      </w:r>
      <w:r>
        <w:rPr>
          <w:rFonts w:ascii="宋体" w:hAnsi="宋体"/>
        </w:rPr>
        <w:t>前附表</w:t>
      </w:r>
      <w:r>
        <w:rPr>
          <w:rFonts w:hint="eastAsia" w:ascii="宋体" w:hAnsi="宋体"/>
        </w:rPr>
        <w:t>。</w:t>
      </w:r>
    </w:p>
    <w:p>
      <w:pPr>
        <w:numPr>
          <w:ilvl w:val="1"/>
          <w:numId w:val="2"/>
        </w:numPr>
        <w:snapToGrid w:val="0"/>
        <w:spacing w:line="360" w:lineRule="auto"/>
        <w:rPr>
          <w:rFonts w:ascii="宋体" w:hAnsi="宋体"/>
        </w:rPr>
      </w:pPr>
      <w:r>
        <w:rPr>
          <w:rFonts w:hint="eastAsia" w:ascii="宋体" w:hAnsi="宋体"/>
        </w:rPr>
        <w:t>组建招标监督小组：</w:t>
      </w:r>
    </w:p>
    <w:p>
      <w:pPr>
        <w:tabs>
          <w:tab w:val="left" w:pos="1107"/>
        </w:tabs>
        <w:snapToGrid w:val="0"/>
        <w:spacing w:line="360" w:lineRule="auto"/>
        <w:ind w:left="1575" w:leftChars="450" w:hanging="630" w:hangingChars="300"/>
        <w:rPr>
          <w:rFonts w:ascii="宋体" w:hAnsi="宋体"/>
        </w:rPr>
      </w:pPr>
      <w:r>
        <w:rPr>
          <w:rFonts w:hint="eastAsia" w:ascii="宋体" w:hAnsi="宋体"/>
        </w:rPr>
        <w:t>1.10.1招标人应当组建不少于三人的招标监督小组对开标、评标、定标过程进行监督，及时指出、制止违反程序及纪律的行为，但不得就资格审查或者评标、定标涉及的实质内容发表意见或者参与资格审查委员会、评标委员会、定标委员会的讨论。</w:t>
      </w:r>
    </w:p>
    <w:p>
      <w:pPr>
        <w:tabs>
          <w:tab w:val="left" w:pos="1107"/>
        </w:tabs>
        <w:snapToGrid w:val="0"/>
        <w:spacing w:line="360" w:lineRule="auto"/>
        <w:ind w:left="1575" w:leftChars="450" w:hanging="630" w:hangingChars="300"/>
        <w:rPr>
          <w:rFonts w:ascii="宋体" w:hAnsi="宋体"/>
        </w:rPr>
      </w:pPr>
      <w:r>
        <w:rPr>
          <w:rFonts w:hint="eastAsia" w:ascii="宋体" w:hAnsi="宋体"/>
        </w:rPr>
        <w:t>1.10.2特殊情况导致开标、评标或者定标无法继续进行的、相关人员存在违反程序及纪律的行为被指出后仍拒绝纠正的、发现招标投标活动存在其他违反相关规定行为的，招标监督小组应当及时报告监督部门。</w:t>
      </w:r>
    </w:p>
    <w:p>
      <w:pPr>
        <w:tabs>
          <w:tab w:val="left" w:pos="1107"/>
        </w:tabs>
        <w:snapToGrid w:val="0"/>
        <w:spacing w:line="360" w:lineRule="auto"/>
        <w:ind w:left="1575" w:leftChars="450" w:hanging="630" w:hangingChars="300"/>
        <w:rPr>
          <w:rFonts w:ascii="宋体" w:hAnsi="宋体"/>
        </w:rPr>
      </w:pPr>
      <w:r>
        <w:rPr>
          <w:rFonts w:hint="eastAsia" w:ascii="宋体" w:hAnsi="宋体"/>
        </w:rPr>
        <w:t>1.10.3招标监督小组可以通过检查、随机抽查、现场监督、网络在线监督等方式对招标投标活动进行监督，招标投标各方应当自觉接受监督检查。</w:t>
      </w:r>
    </w:p>
    <w:p>
      <w:pPr>
        <w:tabs>
          <w:tab w:val="left" w:pos="1107"/>
        </w:tabs>
        <w:snapToGrid w:val="0"/>
        <w:spacing w:line="360" w:lineRule="auto"/>
        <w:ind w:left="1575" w:leftChars="450" w:hanging="630" w:hangingChars="300"/>
        <w:rPr>
          <w:rFonts w:ascii="宋体" w:hAnsi="宋体"/>
        </w:rPr>
      </w:pPr>
      <w:r>
        <w:rPr>
          <w:rFonts w:hint="eastAsia" w:ascii="宋体" w:hAnsi="宋体"/>
        </w:rPr>
        <w:t>1.10.4招标监督小组负责编制本招标项目的监督记录，并于招投标情况备案时同步向行政主管部门提交。监督报告内容包括招标监督小组成名名单，职务，联系方式，对招投标过程中的异常情况及处理措施的记录。</w:t>
      </w:r>
    </w:p>
    <w:p>
      <w:pPr>
        <w:pStyle w:val="5"/>
        <w:numPr>
          <w:ilvl w:val="0"/>
          <w:numId w:val="2"/>
        </w:numPr>
        <w:rPr>
          <w:rFonts w:ascii="宋体" w:hAnsi="宋体"/>
          <w:sz w:val="24"/>
          <w:szCs w:val="24"/>
        </w:rPr>
      </w:pPr>
      <w:bookmarkStart w:id="58" w:name="_Toc21734"/>
      <w:bookmarkStart w:id="59" w:name="_Toc25608"/>
      <w:bookmarkStart w:id="60" w:name="_Toc29070"/>
      <w:bookmarkStart w:id="61" w:name="_Toc12299"/>
      <w:bookmarkStart w:id="62" w:name="_Toc132814701"/>
      <w:bookmarkStart w:id="63" w:name="_Toc16013"/>
      <w:r>
        <w:rPr>
          <w:rFonts w:ascii="宋体" w:hAnsi="宋体"/>
          <w:sz w:val="24"/>
          <w:szCs w:val="24"/>
        </w:rPr>
        <w:t>招标范围及</w:t>
      </w:r>
      <w:r>
        <w:rPr>
          <w:rFonts w:hint="eastAsia" w:ascii="宋体" w:hAnsi="宋体"/>
          <w:sz w:val="24"/>
          <w:szCs w:val="24"/>
        </w:rPr>
        <w:t>完工期</w:t>
      </w:r>
      <w:bookmarkEnd w:id="58"/>
      <w:bookmarkEnd w:id="59"/>
      <w:bookmarkEnd w:id="60"/>
      <w:bookmarkEnd w:id="61"/>
      <w:bookmarkEnd w:id="62"/>
      <w:bookmarkEnd w:id="63"/>
    </w:p>
    <w:p>
      <w:pPr>
        <w:numPr>
          <w:ilvl w:val="1"/>
          <w:numId w:val="2"/>
        </w:numPr>
        <w:snapToGrid w:val="0"/>
        <w:spacing w:line="360" w:lineRule="auto"/>
        <w:rPr>
          <w:rFonts w:ascii="宋体" w:hAnsi="宋体"/>
        </w:rPr>
      </w:pPr>
      <w:r>
        <w:rPr>
          <w:rFonts w:ascii="宋体" w:hAnsi="宋体"/>
        </w:rPr>
        <w:t>见</w:t>
      </w:r>
      <w:r>
        <w:rPr>
          <w:rFonts w:ascii="宋体" w:hAnsi="宋体"/>
          <w:szCs w:val="21"/>
        </w:rPr>
        <w:t>投标须知</w:t>
      </w:r>
      <w:r>
        <w:rPr>
          <w:rFonts w:ascii="宋体" w:hAnsi="宋体"/>
        </w:rPr>
        <w:t>前附表，具体工作内容及要求见本招标文件第二章。</w:t>
      </w:r>
    </w:p>
    <w:p>
      <w:pPr>
        <w:pStyle w:val="5"/>
        <w:numPr>
          <w:ilvl w:val="0"/>
          <w:numId w:val="2"/>
        </w:numPr>
        <w:rPr>
          <w:rFonts w:ascii="宋体" w:hAnsi="宋体"/>
          <w:sz w:val="24"/>
          <w:szCs w:val="24"/>
        </w:rPr>
      </w:pPr>
      <w:bookmarkStart w:id="64" w:name="_Toc132814702"/>
      <w:bookmarkStart w:id="65" w:name="_Toc4202"/>
      <w:bookmarkStart w:id="66" w:name="_Toc22989"/>
      <w:bookmarkStart w:id="67" w:name="_Toc8886"/>
      <w:bookmarkStart w:id="68" w:name="_Toc19364"/>
      <w:bookmarkStart w:id="69" w:name="_Toc14653"/>
      <w:r>
        <w:rPr>
          <w:rFonts w:ascii="宋体" w:hAnsi="宋体"/>
          <w:sz w:val="24"/>
          <w:szCs w:val="24"/>
        </w:rPr>
        <w:t>资金来源</w:t>
      </w:r>
      <w:bookmarkEnd w:id="54"/>
      <w:bookmarkEnd w:id="55"/>
      <w:bookmarkEnd w:id="56"/>
      <w:bookmarkEnd w:id="57"/>
      <w:bookmarkEnd w:id="64"/>
      <w:bookmarkEnd w:id="65"/>
      <w:bookmarkEnd w:id="66"/>
      <w:bookmarkEnd w:id="67"/>
      <w:bookmarkEnd w:id="68"/>
      <w:bookmarkEnd w:id="69"/>
    </w:p>
    <w:p>
      <w:pPr>
        <w:numPr>
          <w:ilvl w:val="1"/>
          <w:numId w:val="2"/>
        </w:numPr>
        <w:snapToGrid w:val="0"/>
        <w:spacing w:line="360" w:lineRule="auto"/>
        <w:rPr>
          <w:rFonts w:ascii="宋体" w:hAnsi="宋体"/>
        </w:rPr>
      </w:pPr>
      <w:r>
        <w:rPr>
          <w:rFonts w:ascii="宋体" w:hAnsi="宋体"/>
        </w:rPr>
        <w:t>本</w:t>
      </w:r>
      <w:r>
        <w:rPr>
          <w:rFonts w:hint="eastAsia" w:ascii="宋体" w:hAnsi="宋体"/>
        </w:rPr>
        <w:t>项目</w:t>
      </w:r>
      <w:r>
        <w:rPr>
          <w:rFonts w:ascii="宋体" w:hAnsi="宋体"/>
        </w:rPr>
        <w:t>全部投资来源见</w:t>
      </w:r>
      <w:r>
        <w:rPr>
          <w:rFonts w:ascii="宋体" w:hAnsi="宋体"/>
          <w:szCs w:val="21"/>
        </w:rPr>
        <w:t>投标须知</w:t>
      </w:r>
      <w:r>
        <w:rPr>
          <w:rFonts w:ascii="宋体" w:hAnsi="宋体"/>
        </w:rPr>
        <w:t>前附表。</w:t>
      </w:r>
    </w:p>
    <w:p>
      <w:pPr>
        <w:pStyle w:val="5"/>
        <w:numPr>
          <w:ilvl w:val="0"/>
          <w:numId w:val="2"/>
        </w:numPr>
        <w:rPr>
          <w:rFonts w:ascii="宋体" w:hAnsi="宋体"/>
          <w:sz w:val="24"/>
          <w:szCs w:val="24"/>
        </w:rPr>
      </w:pPr>
      <w:bookmarkStart w:id="70" w:name="_Hlt86920398"/>
      <w:bookmarkEnd w:id="70"/>
      <w:bookmarkStart w:id="71" w:name="_Hlt86920376"/>
      <w:bookmarkEnd w:id="71"/>
      <w:bookmarkStart w:id="72" w:name="_Toc13313"/>
      <w:bookmarkStart w:id="73" w:name="_Toc132814703"/>
      <w:bookmarkStart w:id="74" w:name="_Toc28597"/>
      <w:bookmarkStart w:id="75" w:name="_Toc31424"/>
      <w:bookmarkStart w:id="76" w:name="_Toc21291"/>
      <w:bookmarkStart w:id="77" w:name="_Toc14156"/>
      <w:bookmarkStart w:id="78" w:name="_Toc50920424"/>
      <w:bookmarkStart w:id="79" w:name="_Toc72916302"/>
      <w:bookmarkStart w:id="80" w:name="_Toc77555181"/>
      <w:bookmarkStart w:id="81" w:name="_Toc50920581"/>
      <w:r>
        <w:rPr>
          <w:rFonts w:ascii="宋体" w:hAnsi="宋体"/>
          <w:sz w:val="24"/>
          <w:szCs w:val="24"/>
        </w:rPr>
        <w:t>合格投标人</w:t>
      </w:r>
      <w:r>
        <w:rPr>
          <w:rFonts w:hint="eastAsia" w:ascii="宋体" w:hAnsi="宋体"/>
          <w:sz w:val="24"/>
          <w:szCs w:val="24"/>
        </w:rPr>
        <w:t>及合格投标</w:t>
      </w:r>
      <w:bookmarkEnd w:id="72"/>
      <w:bookmarkEnd w:id="73"/>
      <w:bookmarkEnd w:id="74"/>
      <w:bookmarkEnd w:id="75"/>
      <w:bookmarkEnd w:id="76"/>
      <w:bookmarkEnd w:id="77"/>
    </w:p>
    <w:p>
      <w:pPr>
        <w:numPr>
          <w:ilvl w:val="1"/>
          <w:numId w:val="2"/>
        </w:numPr>
        <w:snapToGrid w:val="0"/>
        <w:spacing w:line="360" w:lineRule="auto"/>
        <w:rPr>
          <w:rFonts w:ascii="宋体" w:hAnsi="宋体"/>
        </w:rPr>
      </w:pPr>
      <w:r>
        <w:rPr>
          <w:rFonts w:ascii="宋体" w:hAnsi="宋体"/>
        </w:rPr>
        <w:t>投标人</w:t>
      </w:r>
      <w:r>
        <w:rPr>
          <w:rFonts w:hint="eastAsia" w:ascii="宋体" w:hAnsi="宋体"/>
        </w:rPr>
        <w:t>资格条件、资格业绩要求及其他</w:t>
      </w:r>
      <w:r>
        <w:rPr>
          <w:rFonts w:ascii="宋体" w:hAnsi="宋体"/>
        </w:rPr>
        <w:t>要求</w:t>
      </w:r>
      <w:r>
        <w:rPr>
          <w:rFonts w:hint="eastAsia" w:ascii="宋体" w:hAnsi="宋体"/>
        </w:rPr>
        <w:t>(即合格条件)</w:t>
      </w:r>
      <w:r>
        <w:rPr>
          <w:rFonts w:ascii="宋体" w:hAnsi="宋体"/>
        </w:rPr>
        <w:t>详见投标须知前附表。</w:t>
      </w:r>
    </w:p>
    <w:p>
      <w:pPr>
        <w:numPr>
          <w:ilvl w:val="1"/>
          <w:numId w:val="2"/>
        </w:numPr>
        <w:snapToGrid w:val="0"/>
        <w:spacing w:line="360" w:lineRule="auto"/>
        <w:rPr>
          <w:rFonts w:ascii="宋体" w:hAnsi="宋体"/>
        </w:rPr>
      </w:pPr>
      <w:r>
        <w:rPr>
          <w:rFonts w:ascii="宋体" w:hAnsi="宋体"/>
        </w:rPr>
        <w:t>本招标项目采用的资格审查方式详见投标须知前附表。只有符合本须知第4.</w:t>
      </w:r>
      <w:r>
        <w:rPr>
          <w:rFonts w:hint="eastAsia" w:ascii="宋体" w:hAnsi="宋体"/>
        </w:rPr>
        <w:t>1</w:t>
      </w:r>
      <w:r>
        <w:rPr>
          <w:rFonts w:ascii="宋体" w:hAnsi="宋体"/>
        </w:rPr>
        <w:t>款规定的合格条件的投标人才能被邀请参加本</w:t>
      </w:r>
      <w:r>
        <w:rPr>
          <w:rFonts w:hint="eastAsia" w:ascii="宋体" w:hAnsi="宋体"/>
        </w:rPr>
        <w:t>项目</w:t>
      </w:r>
      <w:r>
        <w:rPr>
          <w:rFonts w:ascii="宋体" w:hAnsi="宋体"/>
        </w:rPr>
        <w:t>的投标。</w:t>
      </w:r>
    </w:p>
    <w:p>
      <w:pPr>
        <w:numPr>
          <w:ilvl w:val="1"/>
          <w:numId w:val="2"/>
        </w:numPr>
        <w:snapToGrid w:val="0"/>
        <w:spacing w:line="360" w:lineRule="auto"/>
        <w:rPr>
          <w:rFonts w:ascii="宋体" w:hAnsi="宋体"/>
        </w:rPr>
      </w:pPr>
      <w:r>
        <w:rPr>
          <w:rFonts w:ascii="宋体" w:hAnsi="宋体"/>
        </w:rPr>
        <w:t>本次招标是否接受联合体投标，详见投标须知前附表。</w:t>
      </w:r>
    </w:p>
    <w:p>
      <w:pPr>
        <w:numPr>
          <w:ilvl w:val="1"/>
          <w:numId w:val="2"/>
        </w:numPr>
        <w:snapToGrid w:val="0"/>
        <w:spacing w:line="360" w:lineRule="auto"/>
        <w:rPr>
          <w:rFonts w:ascii="宋体" w:hAnsi="宋体"/>
        </w:rPr>
      </w:pPr>
      <w:r>
        <w:rPr>
          <w:rFonts w:ascii="宋体" w:hAnsi="宋体"/>
        </w:rPr>
        <w:t>投标</w:t>
      </w:r>
      <w:r>
        <w:rPr>
          <w:rFonts w:hint="eastAsia" w:ascii="宋体" w:hAnsi="宋体"/>
        </w:rPr>
        <w:t>人尚须</w:t>
      </w:r>
      <w:r>
        <w:rPr>
          <w:rFonts w:hint="eastAsia" w:ascii="宋体" w:hAnsi="宋体"/>
          <w:szCs w:val="21"/>
        </w:rPr>
        <w:t>符合《中华人民共和国招标投标法》第二十六条、第三十一条，《工程建设项目货物招标投标办法》第三十二条的规定。</w:t>
      </w:r>
    </w:p>
    <w:bookmarkEnd w:id="78"/>
    <w:bookmarkEnd w:id="79"/>
    <w:bookmarkEnd w:id="80"/>
    <w:bookmarkEnd w:id="81"/>
    <w:p>
      <w:pPr>
        <w:numPr>
          <w:ilvl w:val="1"/>
          <w:numId w:val="2"/>
        </w:numPr>
        <w:snapToGrid w:val="0"/>
        <w:spacing w:line="360" w:lineRule="auto"/>
        <w:rPr>
          <w:rFonts w:ascii="宋体" w:hAnsi="宋体"/>
          <w:b/>
        </w:rPr>
      </w:pPr>
      <w:r>
        <w:rPr>
          <w:rFonts w:hint="eastAsia" w:ascii="宋体" w:hAnsi="宋体"/>
          <w:b/>
          <w:szCs w:val="21"/>
        </w:rPr>
        <w:t>投标人不得存在下列情形之一：</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为招标人不具有独立法人资格的附属机构（单位）；</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为本项目前期准备提供设计或咨询服务的，但设计施工总承包的除外；</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为本项目的监理人；</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为本项目的代建人；</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为本项目提供招标代理服务的；</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与本项目的监理人或代建人或招标代理机构同为一个法定代表人的；</w:t>
      </w:r>
    </w:p>
    <w:p>
      <w:pPr>
        <w:numPr>
          <w:ilvl w:val="2"/>
          <w:numId w:val="2"/>
        </w:numPr>
        <w:tabs>
          <w:tab w:val="left" w:pos="1560"/>
          <w:tab w:val="left" w:pos="1701"/>
          <w:tab w:val="clear" w:pos="1571"/>
        </w:tabs>
        <w:snapToGrid w:val="0"/>
        <w:spacing w:line="360" w:lineRule="auto"/>
        <w:ind w:left="1560" w:hanging="709"/>
        <w:rPr>
          <w:rFonts w:ascii="宋体" w:hAnsi="宋体"/>
          <w:b/>
          <w:szCs w:val="21"/>
        </w:rPr>
      </w:pPr>
      <w:r>
        <w:rPr>
          <w:rFonts w:hint="eastAsia" w:ascii="宋体" w:hAnsi="宋体"/>
          <w:b/>
          <w:szCs w:val="21"/>
        </w:rPr>
        <w:t>与本项目的监理人或代建人或招标代理机构相互控股或参股的；</w:t>
      </w:r>
    </w:p>
    <w:p>
      <w:pPr>
        <w:numPr>
          <w:ilvl w:val="2"/>
          <w:numId w:val="2"/>
        </w:numPr>
        <w:tabs>
          <w:tab w:val="left" w:pos="1560"/>
          <w:tab w:val="left" w:pos="1701"/>
          <w:tab w:val="clear" w:pos="1571"/>
        </w:tabs>
        <w:snapToGrid w:val="0"/>
        <w:spacing w:line="360" w:lineRule="auto"/>
        <w:ind w:left="1560" w:hanging="709"/>
        <w:rPr>
          <w:rFonts w:ascii="宋体" w:hAnsi="宋体"/>
          <w:b/>
        </w:rPr>
      </w:pPr>
      <w:r>
        <w:rPr>
          <w:rFonts w:hint="eastAsia" w:ascii="宋体" w:hAnsi="宋体"/>
          <w:b/>
          <w:szCs w:val="21"/>
        </w:rPr>
        <w:t>与本项目的监理人或代建人或招标代理机构相互任职或工作的；</w:t>
      </w:r>
    </w:p>
    <w:p>
      <w:pPr>
        <w:numPr>
          <w:ilvl w:val="2"/>
          <w:numId w:val="2"/>
        </w:numPr>
        <w:tabs>
          <w:tab w:val="left" w:pos="1560"/>
          <w:tab w:val="left" w:pos="1701"/>
          <w:tab w:val="clear" w:pos="1571"/>
        </w:tabs>
        <w:snapToGrid w:val="0"/>
        <w:spacing w:line="360" w:lineRule="auto"/>
        <w:ind w:left="1560" w:hanging="709"/>
        <w:rPr>
          <w:rFonts w:ascii="宋体" w:hAnsi="宋体"/>
          <w:b/>
        </w:rPr>
      </w:pPr>
      <w:r>
        <w:rPr>
          <w:rFonts w:hint="eastAsia" w:ascii="宋体" w:hAnsi="宋体"/>
          <w:b/>
          <w:szCs w:val="21"/>
        </w:rPr>
        <w:t>被责令停业的；</w:t>
      </w:r>
    </w:p>
    <w:p>
      <w:pPr>
        <w:numPr>
          <w:ilvl w:val="2"/>
          <w:numId w:val="2"/>
        </w:numPr>
        <w:tabs>
          <w:tab w:val="left" w:pos="1560"/>
          <w:tab w:val="left" w:pos="1701"/>
          <w:tab w:val="clear" w:pos="1571"/>
        </w:tabs>
        <w:snapToGrid w:val="0"/>
        <w:spacing w:line="360" w:lineRule="auto"/>
        <w:ind w:left="1560" w:hanging="709"/>
        <w:rPr>
          <w:rFonts w:ascii="宋体" w:hAnsi="宋体"/>
          <w:b/>
        </w:rPr>
      </w:pPr>
      <w:r>
        <w:rPr>
          <w:rFonts w:hint="eastAsia" w:ascii="宋体" w:hAnsi="宋体"/>
          <w:b/>
          <w:szCs w:val="21"/>
        </w:rPr>
        <w:t>被暂停或取消投标资格的；</w:t>
      </w:r>
    </w:p>
    <w:p>
      <w:pPr>
        <w:numPr>
          <w:ilvl w:val="2"/>
          <w:numId w:val="2"/>
        </w:numPr>
        <w:tabs>
          <w:tab w:val="left" w:pos="1560"/>
          <w:tab w:val="left" w:pos="1701"/>
          <w:tab w:val="clear" w:pos="1571"/>
        </w:tabs>
        <w:snapToGrid w:val="0"/>
        <w:spacing w:line="360" w:lineRule="auto"/>
        <w:ind w:left="1560" w:hanging="709"/>
        <w:rPr>
          <w:rFonts w:ascii="宋体" w:hAnsi="宋体"/>
          <w:b/>
        </w:rPr>
      </w:pPr>
      <w:r>
        <w:rPr>
          <w:rFonts w:hint="eastAsia" w:ascii="宋体" w:hAnsi="宋体"/>
          <w:b/>
          <w:szCs w:val="21"/>
        </w:rPr>
        <w:t>财产被接管或冻结的；</w:t>
      </w:r>
    </w:p>
    <w:p>
      <w:pPr>
        <w:numPr>
          <w:ilvl w:val="2"/>
          <w:numId w:val="2"/>
        </w:numPr>
        <w:tabs>
          <w:tab w:val="left" w:pos="1560"/>
          <w:tab w:val="left" w:pos="1701"/>
          <w:tab w:val="clear" w:pos="1571"/>
        </w:tabs>
        <w:snapToGrid w:val="0"/>
        <w:spacing w:line="360" w:lineRule="auto"/>
        <w:ind w:left="1560" w:hanging="709"/>
        <w:rPr>
          <w:rFonts w:ascii="宋体" w:hAnsi="宋体"/>
          <w:b/>
        </w:rPr>
      </w:pPr>
      <w:r>
        <w:rPr>
          <w:rFonts w:hint="eastAsia" w:ascii="宋体" w:hAnsi="宋体"/>
          <w:b/>
          <w:szCs w:val="21"/>
        </w:rPr>
        <w:t>在最近三年内有骗取中标或严重违约或重大安全质量事故的；</w:t>
      </w:r>
      <w:r>
        <w:rPr>
          <w:rFonts w:ascii="宋体" w:hAnsi="宋体"/>
          <w:b/>
          <w:szCs w:val="21"/>
        </w:rPr>
        <w:t>(“最近三年”是指本招标公告发出之日起往前顺推三年，以信用中国网(www.creditchina.gov.cn)查询的行政处罚决定书予以认定，或以司法、仲裁机构等出具的生效文件予以认定，时间以认定文件的落款时间为准)；</w:t>
      </w:r>
    </w:p>
    <w:p>
      <w:pPr>
        <w:numPr>
          <w:ilvl w:val="2"/>
          <w:numId w:val="2"/>
        </w:numPr>
        <w:tabs>
          <w:tab w:val="left" w:pos="1701"/>
        </w:tabs>
        <w:snapToGrid w:val="0"/>
        <w:spacing w:line="360" w:lineRule="auto"/>
        <w:rPr>
          <w:rFonts w:ascii="宋体" w:hAnsi="宋体"/>
          <w:b/>
        </w:rPr>
      </w:pPr>
      <w:r>
        <w:rPr>
          <w:rFonts w:hint="eastAsia" w:ascii="宋体" w:hAnsi="宋体"/>
          <w:b/>
        </w:rPr>
        <w:t>自招标公告发布之日起前六个月内，在本市有无正当理由拒不签订合同，在签订合同时向招标人提出附加条件，或者不按照招标文件要求提交履约保证金，受到行政监督部门处罚的；</w:t>
      </w:r>
    </w:p>
    <w:p>
      <w:pPr>
        <w:numPr>
          <w:ilvl w:val="2"/>
          <w:numId w:val="2"/>
        </w:numPr>
        <w:tabs>
          <w:tab w:val="left" w:pos="1701"/>
        </w:tabs>
        <w:snapToGrid w:val="0"/>
        <w:spacing w:line="360" w:lineRule="auto"/>
        <w:rPr>
          <w:rFonts w:ascii="宋体" w:hAnsi="宋体"/>
          <w:b/>
        </w:rPr>
      </w:pPr>
      <w:r>
        <w:rPr>
          <w:rFonts w:hint="eastAsia" w:ascii="宋体" w:hAnsi="宋体"/>
          <w:b/>
        </w:rPr>
        <w:t>中标人被查实存在影响中标结果的失信行为，不符合中标条件或者无正当理由放弃中标，导致重新招标，再次参与同一项目投标的；</w:t>
      </w:r>
    </w:p>
    <w:p>
      <w:pPr>
        <w:numPr>
          <w:ilvl w:val="2"/>
          <w:numId w:val="2"/>
        </w:numPr>
        <w:tabs>
          <w:tab w:val="left" w:pos="1701"/>
        </w:tabs>
        <w:snapToGrid w:val="0"/>
        <w:spacing w:line="360" w:lineRule="auto"/>
        <w:rPr>
          <w:rFonts w:ascii="宋体" w:hAnsi="宋体"/>
          <w:b/>
        </w:rPr>
      </w:pPr>
      <w:r>
        <w:rPr>
          <w:rFonts w:hint="eastAsia" w:ascii="宋体" w:hAnsi="宋体"/>
          <w:b/>
        </w:rPr>
        <w:t>自招标公告发布之日起前三年内被招标人履约评价为不合格且经行政监督部门确认的；</w:t>
      </w:r>
    </w:p>
    <w:p>
      <w:pPr>
        <w:numPr>
          <w:ilvl w:val="2"/>
          <w:numId w:val="2"/>
        </w:numPr>
        <w:tabs>
          <w:tab w:val="left" w:pos="1701"/>
        </w:tabs>
        <w:snapToGrid w:val="0"/>
        <w:spacing w:line="360" w:lineRule="auto"/>
        <w:rPr>
          <w:rFonts w:ascii="宋体" w:hAnsi="宋体"/>
          <w:b/>
        </w:rPr>
      </w:pPr>
      <w:r>
        <w:rPr>
          <w:rFonts w:hint="eastAsia" w:ascii="宋体" w:hAnsi="宋体"/>
          <w:b/>
        </w:rPr>
        <w:t>自招标公告发布之日起前一年内，因串通投标、弄虚作假、行贿、转包、违法分包、挂靠违法违规行为受到行政、刑事处罚的；</w:t>
      </w:r>
    </w:p>
    <w:p>
      <w:pPr>
        <w:numPr>
          <w:ilvl w:val="2"/>
          <w:numId w:val="2"/>
        </w:numPr>
        <w:tabs>
          <w:tab w:val="left" w:pos="1701"/>
        </w:tabs>
        <w:snapToGrid w:val="0"/>
        <w:spacing w:line="360" w:lineRule="auto"/>
        <w:rPr>
          <w:rFonts w:ascii="宋体" w:hAnsi="宋体"/>
          <w:b/>
        </w:rPr>
      </w:pPr>
      <w:r>
        <w:rPr>
          <w:rFonts w:hint="eastAsia" w:ascii="宋体" w:hAnsi="宋体"/>
          <w:b/>
        </w:rPr>
        <w:t>自招标公告发布之日起前一年内在本市因拖欠工人工资被人力资源和社会保障部门列入拖欠工资“黑名单”的；</w:t>
      </w:r>
    </w:p>
    <w:p>
      <w:pPr>
        <w:numPr>
          <w:ilvl w:val="2"/>
          <w:numId w:val="2"/>
        </w:numPr>
        <w:tabs>
          <w:tab w:val="left" w:pos="1701"/>
        </w:tabs>
        <w:snapToGrid w:val="0"/>
        <w:spacing w:line="360" w:lineRule="auto"/>
        <w:ind w:left="1540" w:hanging="689"/>
        <w:rPr>
          <w:rFonts w:ascii="宋体" w:hAnsi="宋体"/>
          <w:b/>
        </w:rPr>
      </w:pPr>
      <w:r>
        <w:rPr>
          <w:rFonts w:hint="eastAsia" w:ascii="宋体" w:hAnsi="宋体"/>
          <w:b/>
        </w:rPr>
        <w:t>投标人（含其不具有独立法人资格的分支机构）被列入“信用中国”网站（</w:t>
      </w:r>
      <w:r>
        <w:rPr>
          <w:rFonts w:ascii="宋体" w:hAnsi="宋体"/>
          <w:b/>
        </w:rPr>
        <w:t>www.creditchina.gov.cn）失信被执行人、重大税收违法失信主体、严重违法失信行为记录名单；</w:t>
      </w:r>
    </w:p>
    <w:p>
      <w:pPr>
        <w:numPr>
          <w:ilvl w:val="2"/>
          <w:numId w:val="2"/>
        </w:numPr>
        <w:tabs>
          <w:tab w:val="left" w:pos="1701"/>
        </w:tabs>
        <w:snapToGrid w:val="0"/>
        <w:spacing w:line="360" w:lineRule="auto"/>
        <w:ind w:left="1540" w:hanging="689"/>
        <w:rPr>
          <w:rFonts w:ascii="宋体" w:hAnsi="宋体"/>
          <w:b/>
        </w:rPr>
      </w:pPr>
      <w:r>
        <w:rPr>
          <w:rFonts w:hint="eastAsia" w:ascii="宋体" w:hAnsi="宋体"/>
          <w:b/>
          <w:szCs w:val="21"/>
        </w:rPr>
        <w:t>依法可以限制投标的其他情形。</w:t>
      </w:r>
    </w:p>
    <w:p>
      <w:pPr>
        <w:numPr>
          <w:ilvl w:val="1"/>
          <w:numId w:val="2"/>
        </w:numPr>
        <w:snapToGrid w:val="0"/>
        <w:spacing w:line="360" w:lineRule="auto"/>
        <w:rPr>
          <w:rFonts w:ascii="宋体" w:hAnsi="宋体"/>
          <w:szCs w:val="21"/>
        </w:rPr>
      </w:pPr>
      <w:bookmarkStart w:id="82" w:name="_Toc50920582"/>
      <w:bookmarkStart w:id="83" w:name="_Toc72916303"/>
      <w:bookmarkStart w:id="84" w:name="_Toc77555182"/>
      <w:bookmarkStart w:id="85" w:name="_Toc50920425"/>
      <w:r>
        <w:rPr>
          <w:rFonts w:hint="eastAsia" w:ascii="宋体" w:hAnsi="宋体"/>
          <w:szCs w:val="21"/>
        </w:rPr>
        <w:t>合格的投标</w:t>
      </w:r>
    </w:p>
    <w:p>
      <w:pPr>
        <w:numPr>
          <w:ilvl w:val="2"/>
          <w:numId w:val="2"/>
        </w:numPr>
        <w:tabs>
          <w:tab w:val="left" w:pos="1440"/>
        </w:tabs>
        <w:snapToGrid w:val="0"/>
        <w:spacing w:line="360" w:lineRule="auto"/>
        <w:rPr>
          <w:rFonts w:ascii="宋体" w:hAnsi="宋体"/>
        </w:rPr>
      </w:pPr>
      <w:r>
        <w:rPr>
          <w:rFonts w:ascii="宋体" w:hAnsi="宋体"/>
          <w:szCs w:val="21"/>
        </w:rPr>
        <w:t>本</w:t>
      </w:r>
      <w:r>
        <w:rPr>
          <w:rFonts w:ascii="宋体" w:hAnsi="宋体"/>
        </w:rPr>
        <w:t>招标项目为</w:t>
      </w:r>
      <w:r>
        <w:rPr>
          <w:rFonts w:hint="eastAsia" w:ascii="宋体" w:hAnsi="宋体"/>
          <w:szCs w:val="21"/>
        </w:rPr>
        <w:t>货物</w:t>
      </w:r>
      <w:r>
        <w:rPr>
          <w:rFonts w:ascii="宋体" w:hAnsi="宋体"/>
        </w:rPr>
        <w:t>招标。</w:t>
      </w:r>
    </w:p>
    <w:p>
      <w:pPr>
        <w:numPr>
          <w:ilvl w:val="2"/>
          <w:numId w:val="2"/>
        </w:numPr>
        <w:tabs>
          <w:tab w:val="left" w:pos="1440"/>
        </w:tabs>
        <w:snapToGrid w:val="0"/>
        <w:spacing w:line="360" w:lineRule="auto"/>
        <w:rPr>
          <w:rFonts w:ascii="宋体" w:hAnsi="宋体"/>
        </w:rPr>
      </w:pPr>
      <w:r>
        <w:rPr>
          <w:rFonts w:hint="eastAsia" w:ascii="宋体" w:hAnsi="宋体"/>
          <w:szCs w:val="21"/>
        </w:rPr>
        <w:t>提供的货物必须是原厂生产的、全新的、未使用过的原装产品，并完全符合原厂质量检测标准和国家质量检测标准、行业标准。</w:t>
      </w:r>
    </w:p>
    <w:p>
      <w:pPr>
        <w:numPr>
          <w:ilvl w:val="2"/>
          <w:numId w:val="2"/>
        </w:numPr>
        <w:tabs>
          <w:tab w:val="left" w:pos="1440"/>
        </w:tabs>
        <w:snapToGrid w:val="0"/>
        <w:spacing w:line="360" w:lineRule="auto"/>
        <w:rPr>
          <w:rFonts w:ascii="宋体" w:hAnsi="宋体"/>
        </w:rPr>
      </w:pPr>
      <w:r>
        <w:rPr>
          <w:rFonts w:hint="eastAsia" w:ascii="宋体" w:hAnsi="宋体"/>
          <w:szCs w:val="21"/>
        </w:rPr>
        <w:t>进口的货物及其有关服务必须符合原产地和中华人民共和国的设计和制造生产或行业标准。进口的货物须是具有合法的进口手续和途径，并通过了中华人民共和国商检部门的检验。中标人须</w:t>
      </w:r>
      <w:r>
        <w:rPr>
          <w:rFonts w:ascii="宋体" w:hAnsi="宋体"/>
          <w:szCs w:val="21"/>
        </w:rPr>
        <w:t>负责办理所有货物的进口及商检手续</w:t>
      </w:r>
      <w:r>
        <w:rPr>
          <w:rFonts w:hint="eastAsia" w:ascii="宋体" w:hAnsi="宋体"/>
          <w:szCs w:val="21"/>
        </w:rPr>
        <w:t>，并承担相关费用</w:t>
      </w:r>
      <w:r>
        <w:rPr>
          <w:rFonts w:ascii="宋体" w:hAnsi="宋体"/>
          <w:szCs w:val="21"/>
        </w:rPr>
        <w:t>。</w:t>
      </w:r>
      <w:r>
        <w:rPr>
          <w:rFonts w:hint="eastAsia" w:ascii="宋体" w:hAnsi="宋体"/>
          <w:szCs w:val="21"/>
        </w:rPr>
        <w:t>本次招标为国内公开招标，招标人无义务提供机电主管部门的</w:t>
      </w:r>
      <w:r>
        <w:rPr>
          <w:rFonts w:ascii="宋体" w:hAnsi="宋体"/>
          <w:szCs w:val="21"/>
        </w:rPr>
        <w:t>国际招标评标结果通知</w:t>
      </w:r>
      <w:r>
        <w:rPr>
          <w:rFonts w:hint="eastAsia" w:ascii="宋体" w:hAnsi="宋体"/>
          <w:szCs w:val="21"/>
        </w:rPr>
        <w:t>及</w:t>
      </w:r>
      <w:r>
        <w:rPr>
          <w:rFonts w:ascii="宋体" w:hAnsi="宋体"/>
          <w:szCs w:val="21"/>
        </w:rPr>
        <w:t>备案函号</w:t>
      </w:r>
      <w:r>
        <w:rPr>
          <w:rFonts w:hint="eastAsia" w:ascii="宋体" w:hAnsi="宋体"/>
          <w:szCs w:val="21"/>
        </w:rPr>
        <w:t>，如中标人因此造成进口货物无法办理海关等部门的进关手续，导致货物无法交货或按时交货的，视为中标人违约，全部责任由中标人自行承担。</w:t>
      </w:r>
    </w:p>
    <w:p>
      <w:pPr>
        <w:numPr>
          <w:ilvl w:val="2"/>
          <w:numId w:val="2"/>
        </w:numPr>
        <w:tabs>
          <w:tab w:val="left" w:pos="1440"/>
        </w:tabs>
        <w:snapToGrid w:val="0"/>
        <w:spacing w:line="360" w:lineRule="auto"/>
        <w:rPr>
          <w:rFonts w:ascii="宋体" w:hAnsi="宋体"/>
        </w:rPr>
      </w:pPr>
      <w:r>
        <w:rPr>
          <w:rFonts w:hint="eastAsia" w:ascii="宋体" w:hAnsi="宋体"/>
          <w:szCs w:val="21"/>
        </w:rPr>
        <w:t>投标人应保证项目业主在中华人民共和国使用货物或货物的任何一部分时,项目业主免受第三方提出侵犯其专利权、商标权、著作权或其它知识产权的起诉，如有违反，造成项目业主任何经济损失的，由投标人承担全部赔偿责任。</w:t>
      </w:r>
    </w:p>
    <w:p>
      <w:pPr>
        <w:numPr>
          <w:ilvl w:val="2"/>
          <w:numId w:val="2"/>
        </w:numPr>
        <w:tabs>
          <w:tab w:val="left" w:pos="1440"/>
        </w:tabs>
        <w:snapToGrid w:val="0"/>
        <w:spacing w:line="360" w:lineRule="auto"/>
        <w:rPr>
          <w:rFonts w:ascii="宋体" w:hAnsi="宋体"/>
        </w:rPr>
      </w:pPr>
      <w:r>
        <w:rPr>
          <w:rFonts w:hint="eastAsia" w:ascii="宋体" w:hAnsi="宋体"/>
          <w:szCs w:val="21"/>
        </w:rPr>
        <w:t>投标人的投标价应包括所有应支付的对专利权、商标权和版权、设计或其他知识产权而需要向其他方支付的专利技术使用费和版税，如有违反，造成项目业主任何经济损失的，由投标人承担全部赔偿责任。</w:t>
      </w:r>
    </w:p>
    <w:p>
      <w:pPr>
        <w:numPr>
          <w:ilvl w:val="1"/>
          <w:numId w:val="2"/>
        </w:numPr>
        <w:snapToGrid w:val="0"/>
        <w:spacing w:line="360" w:lineRule="auto"/>
        <w:rPr>
          <w:rFonts w:ascii="宋体" w:hAnsi="宋体"/>
        </w:rPr>
      </w:pPr>
      <w:r>
        <w:rPr>
          <w:rFonts w:hint="eastAsia" w:ascii="宋体" w:hAnsi="宋体"/>
          <w:szCs w:val="21"/>
        </w:rPr>
        <w:t>本项目不接受投标人委托其他单位办理投标事宜。</w:t>
      </w:r>
    </w:p>
    <w:p>
      <w:pPr>
        <w:numPr>
          <w:ilvl w:val="1"/>
          <w:numId w:val="2"/>
        </w:numPr>
        <w:snapToGrid w:val="0"/>
        <w:spacing w:line="360" w:lineRule="auto"/>
        <w:rPr>
          <w:rFonts w:ascii="宋体" w:hAnsi="宋体"/>
          <w:b/>
          <w:szCs w:val="21"/>
        </w:rPr>
      </w:pPr>
      <w:r>
        <w:rPr>
          <w:rFonts w:ascii="宋体" w:hAnsi="宋体"/>
          <w:b/>
          <w:szCs w:val="21"/>
        </w:rPr>
        <w:t>投标会现场的企业、人员信息以交易中心系统信息为准，并一律采用投标当天凌晨1：00时的系统信息数据。</w:t>
      </w:r>
    </w:p>
    <w:p>
      <w:pPr>
        <w:pStyle w:val="5"/>
        <w:numPr>
          <w:ilvl w:val="0"/>
          <w:numId w:val="2"/>
        </w:numPr>
        <w:rPr>
          <w:rFonts w:ascii="宋体" w:hAnsi="宋体"/>
          <w:sz w:val="24"/>
          <w:szCs w:val="24"/>
        </w:rPr>
      </w:pPr>
      <w:bookmarkStart w:id="86" w:name="_Toc28651"/>
      <w:bookmarkStart w:id="87" w:name="_Toc11646"/>
      <w:bookmarkStart w:id="88" w:name="_Toc5566"/>
      <w:bookmarkStart w:id="89" w:name="_Toc17951"/>
      <w:bookmarkStart w:id="90" w:name="_Toc132814704"/>
      <w:bookmarkStart w:id="91" w:name="_Toc20495"/>
      <w:r>
        <w:rPr>
          <w:rFonts w:ascii="宋体" w:hAnsi="宋体"/>
          <w:sz w:val="24"/>
          <w:szCs w:val="24"/>
        </w:rPr>
        <w:t>现场踏勘</w:t>
      </w:r>
      <w:bookmarkEnd w:id="86"/>
      <w:bookmarkEnd w:id="87"/>
      <w:bookmarkEnd w:id="88"/>
      <w:bookmarkEnd w:id="89"/>
      <w:bookmarkEnd w:id="90"/>
      <w:bookmarkEnd w:id="91"/>
    </w:p>
    <w:p>
      <w:pPr>
        <w:numPr>
          <w:ilvl w:val="1"/>
          <w:numId w:val="2"/>
        </w:numPr>
        <w:snapToGrid w:val="0"/>
        <w:spacing w:line="360" w:lineRule="auto"/>
        <w:rPr>
          <w:rFonts w:ascii="宋体" w:hAnsi="宋体"/>
          <w:szCs w:val="21"/>
        </w:rPr>
      </w:pPr>
      <w:r>
        <w:rPr>
          <w:rFonts w:ascii="宋体" w:hAnsi="宋体"/>
        </w:rPr>
        <w:t>现场踏勘按前</w:t>
      </w:r>
      <w:bookmarkStart w:id="92" w:name="_Hlt109793869"/>
      <w:bookmarkEnd w:id="92"/>
      <w:bookmarkStart w:id="93" w:name="_Hlt109793867"/>
      <w:bookmarkEnd w:id="93"/>
      <w:r>
        <w:rPr>
          <w:rFonts w:ascii="宋体" w:hAnsi="宋体"/>
        </w:rPr>
        <w:t>附表规定的时间，投标人</w:t>
      </w:r>
      <w:r>
        <w:rPr>
          <w:rFonts w:hint="eastAsia" w:ascii="宋体" w:hAnsi="宋体"/>
        </w:rPr>
        <w:t>应</w:t>
      </w:r>
      <w:r>
        <w:rPr>
          <w:rFonts w:ascii="宋体" w:hAnsi="宋体"/>
        </w:rPr>
        <w:t>自行到项目现场进行踏勘</w:t>
      </w:r>
      <w:r>
        <w:rPr>
          <w:rFonts w:hint="eastAsia" w:ascii="宋体" w:hAnsi="宋体"/>
        </w:rPr>
        <w:t>，充分了解现场及项目建设进度</w:t>
      </w:r>
      <w:r>
        <w:rPr>
          <w:rFonts w:ascii="宋体" w:hAnsi="宋体"/>
        </w:rPr>
        <w:t>。</w:t>
      </w:r>
      <w:r>
        <w:rPr>
          <w:rFonts w:ascii="宋体" w:hAnsi="宋体"/>
          <w:szCs w:val="21"/>
        </w:rPr>
        <w:t>投标人进入现场踏勘时无须签到，也无须将单位名称、参与人员的姓名、联系电话等任何关于投标人的信息告知</w:t>
      </w:r>
      <w:r>
        <w:rPr>
          <w:rFonts w:hint="eastAsia" w:ascii="宋体" w:hAnsi="宋体"/>
          <w:szCs w:val="21"/>
        </w:rPr>
        <w:t>项目业主或</w:t>
      </w:r>
      <w:r>
        <w:rPr>
          <w:rFonts w:ascii="宋体" w:hAnsi="宋体"/>
          <w:szCs w:val="21"/>
        </w:rPr>
        <w:t>招标人。</w:t>
      </w:r>
    </w:p>
    <w:p>
      <w:pPr>
        <w:numPr>
          <w:ilvl w:val="1"/>
          <w:numId w:val="2"/>
        </w:numPr>
        <w:snapToGrid w:val="0"/>
        <w:spacing w:line="360" w:lineRule="auto"/>
        <w:rPr>
          <w:rFonts w:ascii="宋体" w:hAnsi="宋体"/>
        </w:rPr>
      </w:pPr>
      <w:bookmarkStart w:id="94" w:name="_Toc86653244"/>
      <w:bookmarkStart w:id="95" w:name="_Toc86654660"/>
      <w:bookmarkStart w:id="96" w:name="_Toc75751719"/>
      <w:bookmarkStart w:id="97" w:name="_Toc77496131"/>
      <w:bookmarkStart w:id="98" w:name="_Toc86654333"/>
      <w:r>
        <w:rPr>
          <w:rFonts w:ascii="宋体" w:hAnsi="宋体"/>
          <w:szCs w:val="21"/>
        </w:rPr>
        <w:t>投标人</w:t>
      </w:r>
      <w:r>
        <w:rPr>
          <w:rFonts w:hint="eastAsia" w:ascii="宋体" w:hAnsi="宋体"/>
          <w:szCs w:val="21"/>
        </w:rPr>
        <w:t>应</w:t>
      </w:r>
      <w:r>
        <w:rPr>
          <w:rFonts w:ascii="宋体" w:hAnsi="宋体"/>
          <w:szCs w:val="21"/>
        </w:rPr>
        <w:t>对项目现场和周围环境进行现场考察，以获取那些需自己负责的有关投标准备和签署本项目</w:t>
      </w:r>
      <w:r>
        <w:rPr>
          <w:rFonts w:hint="eastAsia" w:ascii="宋体" w:hAnsi="宋体"/>
          <w:szCs w:val="21"/>
        </w:rPr>
        <w:t>采购</w:t>
      </w:r>
      <w:r>
        <w:rPr>
          <w:rFonts w:ascii="宋体" w:hAnsi="宋体"/>
          <w:szCs w:val="21"/>
        </w:rPr>
        <w:t>合同所需的所有资料。</w:t>
      </w:r>
    </w:p>
    <w:p>
      <w:pPr>
        <w:numPr>
          <w:ilvl w:val="1"/>
          <w:numId w:val="2"/>
        </w:numPr>
        <w:snapToGrid w:val="0"/>
        <w:spacing w:line="360" w:lineRule="auto"/>
        <w:rPr>
          <w:rFonts w:ascii="宋体" w:hAnsi="宋体"/>
        </w:rPr>
      </w:pPr>
      <w:r>
        <w:rPr>
          <w:rFonts w:ascii="宋体" w:hAnsi="宋体"/>
          <w:szCs w:val="21"/>
        </w:rPr>
        <w:t>考察现场的一切费用由投标人自己承担。</w:t>
      </w:r>
      <w:bookmarkEnd w:id="94"/>
      <w:bookmarkEnd w:id="95"/>
      <w:bookmarkEnd w:id="96"/>
      <w:bookmarkEnd w:id="97"/>
      <w:bookmarkEnd w:id="98"/>
    </w:p>
    <w:p>
      <w:pPr>
        <w:numPr>
          <w:ilvl w:val="1"/>
          <w:numId w:val="2"/>
        </w:numPr>
        <w:snapToGrid w:val="0"/>
        <w:spacing w:line="360" w:lineRule="auto"/>
        <w:rPr>
          <w:rFonts w:ascii="宋体" w:hAnsi="宋体"/>
        </w:rPr>
      </w:pPr>
      <w:bookmarkStart w:id="99" w:name="_Toc86654334"/>
      <w:bookmarkStart w:id="100" w:name="_Toc86654661"/>
      <w:bookmarkStart w:id="101" w:name="_Toc86653245"/>
      <w:r>
        <w:rPr>
          <w:rFonts w:ascii="宋体" w:hAnsi="宋体"/>
          <w:szCs w:val="21"/>
        </w:rPr>
        <w:t>投标人及其代表为了考察现场</w:t>
      </w:r>
      <w:r>
        <w:rPr>
          <w:rFonts w:hint="eastAsia" w:ascii="宋体" w:hAnsi="宋体"/>
          <w:szCs w:val="21"/>
        </w:rPr>
        <w:t>可</w:t>
      </w:r>
      <w:r>
        <w:rPr>
          <w:rFonts w:ascii="宋体" w:hAnsi="宋体"/>
          <w:szCs w:val="21"/>
        </w:rPr>
        <w:t>进入现场和有关场地。但投标人及其代表应对由于现场考察而引起的人身伤亡、财产的损失或损坏，以及任何其它的损失、损坏费用负责，</w:t>
      </w:r>
      <w:r>
        <w:rPr>
          <w:rFonts w:hint="eastAsia" w:ascii="宋体" w:hAnsi="宋体"/>
          <w:szCs w:val="21"/>
        </w:rPr>
        <w:t>项目业主或</w:t>
      </w:r>
      <w:r>
        <w:rPr>
          <w:rFonts w:ascii="宋体" w:hAnsi="宋体"/>
          <w:szCs w:val="21"/>
        </w:rPr>
        <w:t>招标人不负任何责任。</w:t>
      </w:r>
      <w:bookmarkEnd w:id="99"/>
      <w:bookmarkEnd w:id="100"/>
      <w:bookmarkEnd w:id="101"/>
    </w:p>
    <w:p>
      <w:pPr>
        <w:numPr>
          <w:ilvl w:val="1"/>
          <w:numId w:val="2"/>
        </w:numPr>
        <w:snapToGrid w:val="0"/>
        <w:spacing w:line="360" w:lineRule="auto"/>
        <w:rPr>
          <w:rFonts w:ascii="宋体" w:hAnsi="宋体"/>
          <w:szCs w:val="21"/>
        </w:rPr>
      </w:pPr>
      <w:r>
        <w:rPr>
          <w:rFonts w:hint="eastAsia" w:ascii="宋体" w:hAnsi="宋体"/>
          <w:szCs w:val="21"/>
        </w:rPr>
        <w:t>项目业主或招标人在踏勘现场中介绍的工程场地和相关的周边环境情况，供投标人在编制投标文件时参考，项目业主或招标人不对投标人据此作出的判断和决策负责。</w:t>
      </w:r>
    </w:p>
    <w:p>
      <w:pPr>
        <w:pStyle w:val="5"/>
        <w:numPr>
          <w:ilvl w:val="0"/>
          <w:numId w:val="2"/>
        </w:numPr>
        <w:rPr>
          <w:rFonts w:ascii="宋体" w:hAnsi="宋体"/>
          <w:sz w:val="24"/>
          <w:szCs w:val="24"/>
        </w:rPr>
      </w:pPr>
      <w:bookmarkStart w:id="102" w:name="_Toc501452146"/>
      <w:bookmarkEnd w:id="102"/>
      <w:bookmarkStart w:id="103" w:name="_Toc132814705"/>
      <w:bookmarkStart w:id="104" w:name="_Toc12667"/>
      <w:bookmarkStart w:id="105" w:name="_Toc8178"/>
      <w:bookmarkStart w:id="106" w:name="_Toc12611"/>
      <w:bookmarkStart w:id="107" w:name="_Toc3121"/>
      <w:bookmarkStart w:id="108" w:name="_Toc10974"/>
      <w:r>
        <w:rPr>
          <w:rFonts w:ascii="宋体" w:hAnsi="宋体"/>
          <w:sz w:val="24"/>
          <w:szCs w:val="24"/>
        </w:rPr>
        <w:t>投标费用</w:t>
      </w:r>
      <w:bookmarkEnd w:id="82"/>
      <w:bookmarkEnd w:id="83"/>
      <w:bookmarkEnd w:id="84"/>
      <w:bookmarkEnd w:id="85"/>
      <w:bookmarkEnd w:id="103"/>
      <w:bookmarkEnd w:id="104"/>
      <w:bookmarkEnd w:id="105"/>
      <w:bookmarkEnd w:id="106"/>
      <w:bookmarkEnd w:id="107"/>
      <w:bookmarkEnd w:id="108"/>
    </w:p>
    <w:p>
      <w:pPr>
        <w:numPr>
          <w:ilvl w:val="1"/>
          <w:numId w:val="2"/>
        </w:numPr>
        <w:snapToGrid w:val="0"/>
        <w:spacing w:line="360" w:lineRule="auto"/>
        <w:rPr>
          <w:rFonts w:ascii="宋体" w:hAnsi="宋体"/>
        </w:rPr>
      </w:pPr>
      <w:r>
        <w:rPr>
          <w:rFonts w:ascii="宋体" w:hAnsi="宋体"/>
        </w:rPr>
        <w:t>投标人应承担其考察现场、编制投标文件与递交投标文件、参加投标会等活动所涉及的一切费用。不管投标结果如何，</w:t>
      </w:r>
      <w:r>
        <w:rPr>
          <w:rFonts w:hint="eastAsia" w:ascii="宋体" w:hAnsi="宋体"/>
          <w:szCs w:val="21"/>
        </w:rPr>
        <w:t>项目业主或</w:t>
      </w:r>
      <w:r>
        <w:rPr>
          <w:rFonts w:ascii="宋体" w:hAnsi="宋体"/>
        </w:rPr>
        <w:t>招标人对上述费用不负任何责任。</w:t>
      </w:r>
    </w:p>
    <w:p>
      <w:pPr>
        <w:pStyle w:val="4"/>
        <w:numPr>
          <w:ilvl w:val="1"/>
          <w:numId w:val="1"/>
        </w:numPr>
        <w:snapToGrid w:val="0"/>
        <w:spacing w:before="0" w:after="0" w:line="360" w:lineRule="auto"/>
        <w:jc w:val="center"/>
        <w:rPr>
          <w:rFonts w:ascii="宋体" w:hAnsi="宋体" w:eastAsia="宋体"/>
          <w:b w:val="0"/>
          <w:bCs w:val="0"/>
          <w:sz w:val="30"/>
          <w:szCs w:val="28"/>
        </w:rPr>
      </w:pPr>
      <w:bookmarkStart w:id="109" w:name="_Toc50920427"/>
      <w:bookmarkStart w:id="110" w:name="_Toc16558"/>
      <w:bookmarkStart w:id="111" w:name="_Toc50920584"/>
      <w:bookmarkStart w:id="112" w:name="_Toc19583"/>
      <w:bookmarkStart w:id="113" w:name="_Toc24337"/>
      <w:bookmarkStart w:id="114" w:name="_Toc72916305"/>
      <w:bookmarkStart w:id="115" w:name="_Toc77555186"/>
      <w:bookmarkStart w:id="116" w:name="_Toc132814706"/>
      <w:bookmarkStart w:id="117" w:name="_Toc22470"/>
      <w:bookmarkStart w:id="118" w:name="_Toc26309"/>
      <w:r>
        <w:rPr>
          <w:rFonts w:ascii="宋体" w:hAnsi="宋体" w:eastAsia="宋体"/>
          <w:b w:val="0"/>
          <w:bCs w:val="0"/>
          <w:sz w:val="30"/>
          <w:szCs w:val="28"/>
        </w:rPr>
        <w:t>招标文件</w:t>
      </w:r>
      <w:bookmarkEnd w:id="109"/>
      <w:bookmarkEnd w:id="110"/>
      <w:bookmarkEnd w:id="111"/>
      <w:bookmarkEnd w:id="112"/>
      <w:bookmarkEnd w:id="113"/>
      <w:bookmarkEnd w:id="114"/>
      <w:bookmarkEnd w:id="115"/>
      <w:bookmarkEnd w:id="116"/>
      <w:bookmarkEnd w:id="117"/>
      <w:bookmarkEnd w:id="118"/>
    </w:p>
    <w:p>
      <w:pPr>
        <w:pStyle w:val="5"/>
        <w:numPr>
          <w:ilvl w:val="0"/>
          <w:numId w:val="2"/>
        </w:numPr>
        <w:rPr>
          <w:rFonts w:ascii="宋体" w:hAnsi="宋体"/>
          <w:sz w:val="24"/>
          <w:szCs w:val="24"/>
        </w:rPr>
      </w:pPr>
      <w:bookmarkStart w:id="119" w:name="_Toc50920428"/>
      <w:bookmarkStart w:id="120" w:name="_Toc29685"/>
      <w:bookmarkStart w:id="121" w:name="_Toc10544"/>
      <w:bookmarkStart w:id="122" w:name="_Toc72916306"/>
      <w:bookmarkStart w:id="123" w:name="_Toc29180"/>
      <w:bookmarkStart w:id="124" w:name="_Toc50920585"/>
      <w:bookmarkStart w:id="125" w:name="_Toc18675"/>
      <w:bookmarkStart w:id="126" w:name="_Toc77555187"/>
      <w:bookmarkStart w:id="127" w:name="_Toc132814707"/>
      <w:bookmarkStart w:id="128" w:name="_Toc21306"/>
      <w:r>
        <w:rPr>
          <w:rFonts w:ascii="宋体" w:hAnsi="宋体"/>
          <w:sz w:val="24"/>
          <w:szCs w:val="24"/>
        </w:rPr>
        <w:t>招标文件的组成</w:t>
      </w:r>
      <w:bookmarkEnd w:id="119"/>
      <w:bookmarkEnd w:id="120"/>
      <w:bookmarkEnd w:id="121"/>
      <w:bookmarkEnd w:id="122"/>
      <w:bookmarkEnd w:id="123"/>
      <w:bookmarkEnd w:id="124"/>
      <w:bookmarkEnd w:id="125"/>
      <w:bookmarkEnd w:id="126"/>
      <w:bookmarkEnd w:id="127"/>
      <w:bookmarkEnd w:id="128"/>
    </w:p>
    <w:p>
      <w:pPr>
        <w:numPr>
          <w:ilvl w:val="1"/>
          <w:numId w:val="2"/>
        </w:numPr>
        <w:snapToGrid w:val="0"/>
        <w:spacing w:line="360" w:lineRule="auto"/>
        <w:rPr>
          <w:rFonts w:ascii="宋体" w:hAnsi="宋体"/>
        </w:rPr>
      </w:pPr>
      <w:r>
        <w:rPr>
          <w:rFonts w:ascii="宋体" w:hAnsi="宋体"/>
          <w:szCs w:val="21"/>
        </w:rPr>
        <w:t>用于招标目的而发出的本项目的招标文件包括下列文件及按本须知第8条、第9条发出的澄清或修改的补充通知书及在必要的情况下发出的补充通知，所有招标文件均对招标人和投标人起约束作用，招标文件包括以下内容：</w:t>
      </w:r>
    </w:p>
    <w:p>
      <w:pPr>
        <w:numPr>
          <w:ilvl w:val="2"/>
          <w:numId w:val="2"/>
        </w:numPr>
        <w:tabs>
          <w:tab w:val="left" w:pos="1440"/>
        </w:tabs>
        <w:snapToGrid w:val="0"/>
        <w:spacing w:line="360" w:lineRule="auto"/>
        <w:rPr>
          <w:rFonts w:ascii="宋体" w:hAnsi="宋体"/>
          <w:szCs w:val="21"/>
        </w:rPr>
      </w:pPr>
      <w:r>
        <w:rPr>
          <w:rFonts w:ascii="宋体" w:hAnsi="宋体"/>
          <w:szCs w:val="21"/>
        </w:rPr>
        <w:t>投标须知及投标须知前附表</w:t>
      </w:r>
    </w:p>
    <w:p>
      <w:pPr>
        <w:numPr>
          <w:ilvl w:val="2"/>
          <w:numId w:val="2"/>
        </w:numPr>
        <w:tabs>
          <w:tab w:val="left" w:pos="1440"/>
        </w:tabs>
        <w:snapToGrid w:val="0"/>
        <w:spacing w:line="360" w:lineRule="auto"/>
        <w:rPr>
          <w:rFonts w:ascii="宋体" w:hAnsi="宋体"/>
          <w:szCs w:val="21"/>
        </w:rPr>
      </w:pPr>
      <w:r>
        <w:rPr>
          <w:rFonts w:hint="eastAsia" w:ascii="宋体" w:hAnsi="宋体"/>
          <w:szCs w:val="21"/>
        </w:rPr>
        <w:t>用户需求书</w:t>
      </w:r>
    </w:p>
    <w:p>
      <w:pPr>
        <w:numPr>
          <w:ilvl w:val="2"/>
          <w:numId w:val="2"/>
        </w:numPr>
        <w:tabs>
          <w:tab w:val="left" w:pos="1440"/>
        </w:tabs>
        <w:snapToGrid w:val="0"/>
        <w:spacing w:line="360" w:lineRule="auto"/>
        <w:rPr>
          <w:rFonts w:ascii="宋体" w:hAnsi="宋体"/>
          <w:szCs w:val="21"/>
        </w:rPr>
      </w:pPr>
      <w:r>
        <w:rPr>
          <w:rFonts w:ascii="宋体" w:hAnsi="宋体"/>
          <w:szCs w:val="21"/>
        </w:rPr>
        <w:t>投标文件格式</w:t>
      </w:r>
    </w:p>
    <w:p>
      <w:pPr>
        <w:numPr>
          <w:ilvl w:val="2"/>
          <w:numId w:val="2"/>
        </w:numPr>
        <w:tabs>
          <w:tab w:val="left" w:pos="1440"/>
        </w:tabs>
        <w:snapToGrid w:val="0"/>
        <w:spacing w:line="360" w:lineRule="auto"/>
        <w:rPr>
          <w:rFonts w:ascii="宋体" w:hAnsi="宋体"/>
          <w:szCs w:val="21"/>
        </w:rPr>
      </w:pPr>
      <w:r>
        <w:rPr>
          <w:rFonts w:ascii="宋体" w:hAnsi="宋体"/>
          <w:szCs w:val="21"/>
        </w:rPr>
        <w:t>采购合同书格式</w:t>
      </w:r>
    </w:p>
    <w:p>
      <w:pPr>
        <w:numPr>
          <w:ilvl w:val="2"/>
          <w:numId w:val="2"/>
        </w:numPr>
        <w:tabs>
          <w:tab w:val="left" w:pos="1440"/>
        </w:tabs>
        <w:snapToGrid w:val="0"/>
        <w:spacing w:line="360" w:lineRule="auto"/>
        <w:rPr>
          <w:rFonts w:ascii="宋体" w:hAnsi="宋体"/>
          <w:szCs w:val="21"/>
        </w:rPr>
      </w:pPr>
      <w:r>
        <w:rPr>
          <w:rFonts w:ascii="宋体" w:hAnsi="宋体"/>
          <w:szCs w:val="21"/>
        </w:rPr>
        <w:t>补充文件（如果有）</w:t>
      </w:r>
    </w:p>
    <w:p>
      <w:pPr>
        <w:numPr>
          <w:ilvl w:val="1"/>
          <w:numId w:val="2"/>
        </w:numPr>
        <w:snapToGrid w:val="0"/>
        <w:spacing w:line="360" w:lineRule="auto"/>
        <w:rPr>
          <w:rFonts w:ascii="宋体" w:hAnsi="宋体"/>
          <w:b/>
        </w:rPr>
      </w:pPr>
      <w:r>
        <w:rPr>
          <w:rFonts w:ascii="宋体" w:hAnsi="宋体"/>
          <w:b/>
          <w:szCs w:val="21"/>
        </w:rPr>
        <w:t>投标人获取招标文件后，应仔细检查招标文件的所有内容，如有残缺等问题应在获得招标文件两日内向招标人提出，否则，由此引起的损失由投标人自</w:t>
      </w:r>
      <w:r>
        <w:rPr>
          <w:rFonts w:hint="eastAsia" w:ascii="宋体" w:hAnsi="宋体"/>
          <w:b/>
          <w:szCs w:val="21"/>
        </w:rPr>
        <w:t>行</w:t>
      </w:r>
      <w:r>
        <w:rPr>
          <w:rFonts w:ascii="宋体" w:hAnsi="宋体"/>
          <w:b/>
          <w:szCs w:val="21"/>
        </w:rPr>
        <w:t>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为无效</w:t>
      </w:r>
      <w:r>
        <w:rPr>
          <w:rFonts w:hint="eastAsia" w:ascii="宋体" w:hAnsi="宋体"/>
          <w:b/>
          <w:szCs w:val="21"/>
        </w:rPr>
        <w:t>投</w:t>
      </w:r>
      <w:r>
        <w:rPr>
          <w:rFonts w:ascii="宋体" w:hAnsi="宋体"/>
          <w:b/>
          <w:szCs w:val="21"/>
        </w:rPr>
        <w:t>标</w:t>
      </w:r>
      <w:r>
        <w:rPr>
          <w:rFonts w:ascii="宋体" w:hAnsi="宋体"/>
          <w:b/>
        </w:rPr>
        <w:t>。</w:t>
      </w:r>
    </w:p>
    <w:p>
      <w:pPr>
        <w:pStyle w:val="5"/>
        <w:numPr>
          <w:ilvl w:val="0"/>
          <w:numId w:val="2"/>
        </w:numPr>
        <w:rPr>
          <w:rFonts w:ascii="宋体" w:hAnsi="宋体"/>
          <w:sz w:val="24"/>
          <w:szCs w:val="24"/>
        </w:rPr>
      </w:pPr>
      <w:bookmarkStart w:id="129" w:name="_Hlt109794178"/>
      <w:bookmarkEnd w:id="129"/>
      <w:bookmarkStart w:id="130" w:name="_Toc50920429"/>
      <w:bookmarkStart w:id="131" w:name="_Toc50920586"/>
      <w:bookmarkStart w:id="132" w:name="_Toc23493"/>
      <w:bookmarkStart w:id="133" w:name="_Toc72916307"/>
      <w:bookmarkStart w:id="134" w:name="_Toc13453"/>
      <w:bookmarkStart w:id="135" w:name="_Toc17748"/>
      <w:bookmarkStart w:id="136" w:name="_Toc132814708"/>
      <w:bookmarkStart w:id="137" w:name="_Toc5900"/>
      <w:bookmarkStart w:id="138" w:name="_Toc77555188"/>
      <w:bookmarkStart w:id="139" w:name="_Toc13004"/>
      <w:r>
        <w:rPr>
          <w:rFonts w:ascii="宋体" w:hAnsi="宋体"/>
          <w:sz w:val="24"/>
          <w:szCs w:val="24"/>
        </w:rPr>
        <w:t>招标文件的澄清</w:t>
      </w:r>
      <w:bookmarkEnd w:id="130"/>
      <w:bookmarkEnd w:id="131"/>
      <w:bookmarkEnd w:id="132"/>
      <w:bookmarkEnd w:id="133"/>
      <w:bookmarkEnd w:id="134"/>
      <w:bookmarkEnd w:id="135"/>
      <w:bookmarkEnd w:id="136"/>
      <w:bookmarkEnd w:id="137"/>
      <w:bookmarkEnd w:id="138"/>
      <w:bookmarkEnd w:id="139"/>
    </w:p>
    <w:p>
      <w:pPr>
        <w:numPr>
          <w:ilvl w:val="1"/>
          <w:numId w:val="2"/>
        </w:numPr>
        <w:snapToGrid w:val="0"/>
        <w:spacing w:line="360" w:lineRule="auto"/>
        <w:rPr>
          <w:rFonts w:ascii="宋体" w:hAnsi="宋体"/>
          <w:szCs w:val="21"/>
        </w:rPr>
      </w:pPr>
      <w:bookmarkStart w:id="140" w:name="_Toc50920587"/>
      <w:bookmarkStart w:id="141" w:name="_Toc50920430"/>
      <w:r>
        <w:rPr>
          <w:rFonts w:hint="eastAsia" w:ascii="宋体" w:hAnsi="宋体"/>
          <w:szCs w:val="21"/>
        </w:rPr>
        <w:t>投标人应仔细阅读和检查招标文件的全部内容。如发现缺页或附件不全，应及时向招标人提出，以便补齐。如有疑问，应按本须知前附表所述限期前通过东莞市公共资源交易E 网通管理平台建设工程交易系统提出澄清要求。该澄清要求不得有任何泄露投标人身份（如投标人单位名称、经办人员签名、盖公章等）的字句或标记</w:t>
      </w:r>
      <w:r>
        <w:rPr>
          <w:rFonts w:hint="eastAsia" w:ascii="宋体" w:hAnsi="宋体"/>
          <w:bCs/>
          <w:szCs w:val="21"/>
          <w:lang w:val="zh-CN"/>
        </w:rPr>
        <w:t>。</w:t>
      </w:r>
    </w:p>
    <w:p>
      <w:pPr>
        <w:numPr>
          <w:ilvl w:val="1"/>
          <w:numId w:val="2"/>
        </w:numPr>
        <w:snapToGrid w:val="0"/>
        <w:spacing w:line="360" w:lineRule="auto"/>
        <w:rPr>
          <w:rFonts w:ascii="宋体" w:hAnsi="宋体"/>
          <w:szCs w:val="21"/>
        </w:rPr>
      </w:pPr>
      <w:r>
        <w:rPr>
          <w:rFonts w:ascii="宋体" w:hAnsi="宋体"/>
          <w:szCs w:val="21"/>
        </w:rPr>
        <w:t>无论是招标人根据需要主动对招标文件进行必要的澄清，或是根据投标人的要求对招标文件做出修改性的澄清，招标人都将于本须知第9.1款所述时间前以有编号的补充通知予以</w:t>
      </w:r>
      <w:r>
        <w:rPr>
          <w:rFonts w:hint="eastAsia" w:ascii="宋体" w:hAnsi="宋体"/>
          <w:szCs w:val="21"/>
        </w:rPr>
        <w:t>发布</w:t>
      </w:r>
      <w:r>
        <w:rPr>
          <w:rFonts w:ascii="宋体" w:hAnsi="宋体"/>
          <w:szCs w:val="21"/>
        </w:rPr>
        <w:t>，</w:t>
      </w:r>
      <w:r>
        <w:rPr>
          <w:rFonts w:hint="eastAsia" w:ascii="宋体" w:hAnsi="宋体"/>
          <w:szCs w:val="21"/>
        </w:rPr>
        <w:t>补充通知在本项目公告发布媒介上予以公告。</w:t>
      </w:r>
      <w:r>
        <w:rPr>
          <w:rFonts w:ascii="宋体" w:hAnsi="宋体"/>
          <w:szCs w:val="21"/>
        </w:rPr>
        <w:t>该补充通知作为招标文件的组成部分，具有约束作用。</w:t>
      </w:r>
      <w:r>
        <w:rPr>
          <w:rFonts w:hint="eastAsia" w:ascii="宋体" w:hAnsi="宋体"/>
          <w:szCs w:val="21"/>
        </w:rPr>
        <w:t>投标人必须密切留意本次招标的补充通知发放信息，并自行在上述网站中下载补充通知及相关资料。如投标人未留意或及时下载，一切后果由投标人自负。</w:t>
      </w:r>
    </w:p>
    <w:p>
      <w:pPr>
        <w:numPr>
          <w:ilvl w:val="1"/>
          <w:numId w:val="2"/>
        </w:numPr>
        <w:snapToGrid w:val="0"/>
        <w:spacing w:line="360" w:lineRule="auto"/>
        <w:rPr>
          <w:rFonts w:ascii="宋体" w:hAnsi="宋体"/>
          <w:szCs w:val="21"/>
        </w:rPr>
      </w:pPr>
      <w:r>
        <w:rPr>
          <w:rFonts w:ascii="宋体" w:hAnsi="宋体"/>
          <w:szCs w:val="21"/>
        </w:rPr>
        <w:t>投标人对招标人提供的招标文件所作出的推论、解释和结论，招标人概不负责；投标人由于对招标文件的任何推论和误解以及招标人对有关问题的口头解释所造成的后果，均由投标人自行负责。</w:t>
      </w:r>
    </w:p>
    <w:p>
      <w:pPr>
        <w:pStyle w:val="5"/>
        <w:numPr>
          <w:ilvl w:val="0"/>
          <w:numId w:val="2"/>
        </w:numPr>
        <w:rPr>
          <w:rFonts w:ascii="宋体" w:hAnsi="宋体"/>
          <w:sz w:val="24"/>
          <w:szCs w:val="24"/>
        </w:rPr>
      </w:pPr>
      <w:bookmarkStart w:id="142" w:name="_Toc19331"/>
      <w:bookmarkStart w:id="143" w:name="_Toc7793"/>
      <w:bookmarkStart w:id="144" w:name="_Toc485"/>
      <w:bookmarkStart w:id="145" w:name="_Toc132814709"/>
      <w:bookmarkStart w:id="146" w:name="_Toc72916308"/>
      <w:bookmarkStart w:id="147" w:name="_Toc27985"/>
      <w:bookmarkStart w:id="148" w:name="_Toc77555189"/>
      <w:bookmarkStart w:id="149" w:name="_Toc30320"/>
      <w:r>
        <w:rPr>
          <w:rFonts w:ascii="宋体" w:hAnsi="宋体"/>
          <w:sz w:val="24"/>
          <w:szCs w:val="24"/>
        </w:rPr>
        <w:t>招标文件的修改</w:t>
      </w:r>
      <w:bookmarkEnd w:id="140"/>
      <w:bookmarkEnd w:id="141"/>
      <w:bookmarkEnd w:id="142"/>
      <w:bookmarkEnd w:id="143"/>
      <w:bookmarkEnd w:id="144"/>
      <w:bookmarkEnd w:id="145"/>
      <w:bookmarkEnd w:id="146"/>
      <w:bookmarkEnd w:id="147"/>
      <w:bookmarkEnd w:id="148"/>
      <w:bookmarkEnd w:id="149"/>
    </w:p>
    <w:p>
      <w:pPr>
        <w:numPr>
          <w:ilvl w:val="1"/>
          <w:numId w:val="2"/>
        </w:numPr>
        <w:snapToGrid w:val="0"/>
        <w:spacing w:line="360" w:lineRule="auto"/>
        <w:rPr>
          <w:rFonts w:ascii="宋体" w:hAnsi="宋体"/>
          <w:szCs w:val="21"/>
        </w:rPr>
      </w:pPr>
      <w:bookmarkStart w:id="150" w:name="_Toc50920588"/>
      <w:bookmarkStart w:id="151" w:name="_Toc50920431"/>
      <w:r>
        <w:rPr>
          <w:rFonts w:hint="eastAsia" w:ascii="宋体" w:hAnsi="宋体"/>
        </w:rPr>
        <w:t>在投标截止日期前</w:t>
      </w:r>
      <w:r>
        <w:rPr>
          <w:rFonts w:ascii="宋体" w:hAnsi="宋体"/>
        </w:rPr>
        <w:t>，</w:t>
      </w:r>
      <w:r>
        <w:rPr>
          <w:rFonts w:ascii="宋体" w:hAnsi="宋体"/>
          <w:bCs/>
          <w:spacing w:val="6"/>
          <w:szCs w:val="21"/>
        </w:rPr>
        <w:t>招标人可能会因任何原因，包括按本须知第8条投标人要求对招标文件进行的修改性澄清和解答，以发出有编号的补充通知的形式对招标文件进行修改或补充。因此，投标人必须随时登</w:t>
      </w:r>
      <w:r>
        <w:rPr>
          <w:rFonts w:hint="eastAsia" w:ascii="宋体" w:hAnsi="宋体"/>
          <w:bCs/>
          <w:spacing w:val="6"/>
          <w:szCs w:val="21"/>
        </w:rPr>
        <w:t>录本项目公告发布媒介</w:t>
      </w:r>
      <w:r>
        <w:rPr>
          <w:rFonts w:ascii="宋体" w:hAnsi="宋体"/>
          <w:bCs/>
          <w:spacing w:val="6"/>
          <w:szCs w:val="21"/>
        </w:rPr>
        <w:t>，密切留意本</w:t>
      </w:r>
      <w:r>
        <w:rPr>
          <w:rFonts w:hint="eastAsia" w:ascii="宋体" w:hAnsi="宋体"/>
          <w:bCs/>
          <w:spacing w:val="6"/>
          <w:szCs w:val="21"/>
        </w:rPr>
        <w:t>项目</w:t>
      </w:r>
      <w:r>
        <w:rPr>
          <w:rFonts w:ascii="宋体" w:hAnsi="宋体"/>
          <w:bCs/>
          <w:spacing w:val="6"/>
          <w:szCs w:val="21"/>
        </w:rPr>
        <w:t>招标的补充通知发放信息，并自行在上述网站中下载补充通知及相关资料。如投标人未留意或按时下载，一切后果由投标人自负</w:t>
      </w:r>
      <w:r>
        <w:rPr>
          <w:rFonts w:ascii="宋体" w:hAnsi="宋体"/>
          <w:szCs w:val="21"/>
        </w:rPr>
        <w:t>。</w:t>
      </w:r>
    </w:p>
    <w:p>
      <w:pPr>
        <w:numPr>
          <w:ilvl w:val="1"/>
          <w:numId w:val="2"/>
        </w:numPr>
        <w:snapToGrid w:val="0"/>
        <w:spacing w:line="360" w:lineRule="auto"/>
        <w:rPr>
          <w:rFonts w:ascii="宋体" w:hAnsi="宋体"/>
          <w:szCs w:val="21"/>
        </w:rPr>
      </w:pPr>
      <w:r>
        <w:rPr>
          <w:rFonts w:ascii="宋体" w:hAnsi="宋体"/>
          <w:szCs w:val="21"/>
        </w:rPr>
        <w:t>补充通知中对招标文件的修改或补充内容作为招标文件的组成部分，具有约束作用。</w:t>
      </w:r>
    </w:p>
    <w:p>
      <w:pPr>
        <w:numPr>
          <w:ilvl w:val="1"/>
          <w:numId w:val="2"/>
        </w:numPr>
        <w:snapToGrid w:val="0"/>
        <w:spacing w:line="360" w:lineRule="auto"/>
        <w:rPr>
          <w:rFonts w:ascii="宋体" w:hAnsi="宋体"/>
          <w:szCs w:val="21"/>
        </w:rPr>
      </w:pPr>
      <w:r>
        <w:rPr>
          <w:rFonts w:ascii="宋体" w:hAnsi="宋体"/>
          <w:szCs w:val="21"/>
        </w:rPr>
        <w:t>招标文件的澄清、修改、补充等内容均以补充通知中明确的内容为准。当招标文件、招标文件的澄清、修改、补充等在同一内容的表述上不一致时，以最后发出的补充通知为准。</w:t>
      </w:r>
    </w:p>
    <w:p>
      <w:pPr>
        <w:numPr>
          <w:ilvl w:val="1"/>
          <w:numId w:val="2"/>
        </w:numPr>
        <w:snapToGrid w:val="0"/>
        <w:spacing w:line="360" w:lineRule="auto"/>
        <w:rPr>
          <w:rFonts w:ascii="宋体" w:hAnsi="宋体"/>
          <w:szCs w:val="21"/>
        </w:rPr>
      </w:pPr>
      <w:r>
        <w:rPr>
          <w:rFonts w:ascii="宋体" w:hAnsi="宋体"/>
          <w:szCs w:val="21"/>
        </w:rPr>
        <w:t>为使投标人在编制投标文件时有充分的时间对招标文件的澄清、修改、补充等内容进行研究，招标人将酌情延长提交投标文件的截止时间，具体时间将在补充通知中予以明确。</w:t>
      </w:r>
    </w:p>
    <w:p>
      <w:pPr>
        <w:pStyle w:val="4"/>
        <w:numPr>
          <w:ilvl w:val="1"/>
          <w:numId w:val="1"/>
        </w:numPr>
        <w:snapToGrid w:val="0"/>
        <w:spacing w:before="0" w:after="0" w:line="360" w:lineRule="auto"/>
        <w:jc w:val="center"/>
        <w:rPr>
          <w:rFonts w:ascii="宋体" w:hAnsi="宋体" w:eastAsia="宋体"/>
          <w:b w:val="0"/>
          <w:bCs w:val="0"/>
          <w:sz w:val="30"/>
          <w:szCs w:val="28"/>
        </w:rPr>
      </w:pPr>
      <w:bookmarkStart w:id="152" w:name="_Toc3928"/>
      <w:bookmarkStart w:id="153" w:name="_Toc14186"/>
      <w:bookmarkStart w:id="154" w:name="_Toc10336"/>
      <w:bookmarkStart w:id="155" w:name="_Toc13415"/>
      <w:bookmarkStart w:id="156" w:name="_Toc77555190"/>
      <w:bookmarkStart w:id="157" w:name="_Toc72916309"/>
      <w:bookmarkStart w:id="158" w:name="_Toc132814710"/>
      <w:bookmarkStart w:id="159" w:name="_Toc27638"/>
      <w:r>
        <w:rPr>
          <w:rFonts w:ascii="宋体" w:hAnsi="宋体" w:eastAsia="宋体"/>
          <w:b w:val="0"/>
          <w:bCs w:val="0"/>
          <w:sz w:val="30"/>
          <w:szCs w:val="28"/>
        </w:rPr>
        <w:t>投标文件的编制</w:t>
      </w:r>
      <w:bookmarkEnd w:id="150"/>
      <w:bookmarkEnd w:id="151"/>
      <w:bookmarkEnd w:id="152"/>
      <w:bookmarkEnd w:id="153"/>
      <w:bookmarkEnd w:id="154"/>
      <w:bookmarkEnd w:id="155"/>
      <w:bookmarkEnd w:id="156"/>
      <w:bookmarkEnd w:id="157"/>
      <w:bookmarkEnd w:id="158"/>
      <w:bookmarkEnd w:id="159"/>
    </w:p>
    <w:p>
      <w:pPr>
        <w:pStyle w:val="5"/>
        <w:numPr>
          <w:ilvl w:val="0"/>
          <w:numId w:val="2"/>
        </w:numPr>
        <w:rPr>
          <w:rFonts w:ascii="宋体" w:hAnsi="宋体"/>
          <w:sz w:val="24"/>
          <w:szCs w:val="24"/>
        </w:rPr>
      </w:pPr>
      <w:bookmarkStart w:id="160" w:name="_Toc50920589"/>
      <w:bookmarkStart w:id="161" w:name="_Toc50920432"/>
      <w:bookmarkStart w:id="162" w:name="_Toc10887"/>
      <w:bookmarkStart w:id="163" w:name="_Toc72916310"/>
      <w:bookmarkStart w:id="164" w:name="_Toc31548"/>
      <w:bookmarkStart w:id="165" w:name="_Toc7199"/>
      <w:bookmarkStart w:id="166" w:name="_Toc26801"/>
      <w:bookmarkStart w:id="167" w:name="_Toc132814711"/>
      <w:bookmarkStart w:id="168" w:name="_Toc77555191"/>
      <w:bookmarkStart w:id="169" w:name="_Toc4612"/>
      <w:r>
        <w:rPr>
          <w:rFonts w:ascii="宋体" w:hAnsi="宋体"/>
          <w:sz w:val="24"/>
          <w:szCs w:val="24"/>
        </w:rPr>
        <w:t>投标文件的语言</w:t>
      </w:r>
      <w:bookmarkEnd w:id="160"/>
      <w:bookmarkEnd w:id="161"/>
      <w:r>
        <w:rPr>
          <w:rFonts w:ascii="宋体" w:hAnsi="宋体"/>
          <w:sz w:val="24"/>
          <w:szCs w:val="24"/>
        </w:rPr>
        <w:t>及度量衡</w:t>
      </w:r>
      <w:bookmarkEnd w:id="162"/>
      <w:bookmarkEnd w:id="163"/>
      <w:bookmarkEnd w:id="164"/>
      <w:bookmarkEnd w:id="165"/>
      <w:bookmarkEnd w:id="166"/>
      <w:bookmarkEnd w:id="167"/>
      <w:bookmarkEnd w:id="168"/>
      <w:bookmarkEnd w:id="169"/>
    </w:p>
    <w:p>
      <w:pPr>
        <w:numPr>
          <w:ilvl w:val="1"/>
          <w:numId w:val="2"/>
        </w:numPr>
        <w:snapToGrid w:val="0"/>
        <w:spacing w:line="360" w:lineRule="auto"/>
        <w:rPr>
          <w:rFonts w:ascii="宋体" w:hAnsi="宋体"/>
          <w:szCs w:val="21"/>
        </w:rPr>
      </w:pPr>
      <w:r>
        <w:rPr>
          <w:rFonts w:ascii="宋体" w:hAnsi="宋体"/>
          <w:szCs w:val="21"/>
        </w:rPr>
        <w:t>招标人及投标人之间的来往函电和文件均应使用简体中文。投标人随投标文件提供的证明文件和产品说明书可以使用另一种语言，但应配有恰当的中文翻译，投标人应对翻译的准确性负责，投标文件的解释以中文为准。</w:t>
      </w:r>
    </w:p>
    <w:p>
      <w:pPr>
        <w:numPr>
          <w:ilvl w:val="1"/>
          <w:numId w:val="2"/>
        </w:numPr>
        <w:snapToGrid w:val="0"/>
        <w:spacing w:line="360" w:lineRule="auto"/>
        <w:rPr>
          <w:rFonts w:ascii="宋体" w:hAnsi="宋体"/>
          <w:szCs w:val="21"/>
        </w:rPr>
      </w:pPr>
      <w:r>
        <w:rPr>
          <w:rFonts w:ascii="宋体" w:hAnsi="宋体"/>
          <w:szCs w:val="21"/>
        </w:rPr>
        <w:t>除工程规范另有规定外，投标文件使用的度量，均采用中华人民共和国法定计量单位。</w:t>
      </w:r>
    </w:p>
    <w:p>
      <w:pPr>
        <w:pStyle w:val="5"/>
        <w:numPr>
          <w:ilvl w:val="0"/>
          <w:numId w:val="2"/>
        </w:numPr>
        <w:rPr>
          <w:rFonts w:ascii="宋体" w:hAnsi="宋体"/>
          <w:sz w:val="24"/>
          <w:szCs w:val="24"/>
        </w:rPr>
      </w:pPr>
      <w:bookmarkStart w:id="170" w:name="_Hlt110392249"/>
      <w:bookmarkEnd w:id="170"/>
      <w:bookmarkStart w:id="171" w:name="_Hlt110314025"/>
      <w:bookmarkEnd w:id="171"/>
      <w:bookmarkStart w:id="172" w:name="_Hlt110392282"/>
      <w:bookmarkEnd w:id="172"/>
      <w:bookmarkStart w:id="173" w:name="_Toc9067"/>
      <w:bookmarkStart w:id="174" w:name="_Toc132814712"/>
      <w:bookmarkStart w:id="175" w:name="_Toc32712"/>
      <w:bookmarkStart w:id="176" w:name="_Toc77555192"/>
      <w:bookmarkStart w:id="177" w:name="_Toc18806"/>
      <w:bookmarkStart w:id="178" w:name="_Toc72916311"/>
      <w:bookmarkStart w:id="179" w:name="_Toc10959"/>
      <w:bookmarkStart w:id="180" w:name="_Toc32560"/>
      <w:r>
        <w:rPr>
          <w:rFonts w:ascii="宋体" w:hAnsi="宋体"/>
          <w:sz w:val="24"/>
          <w:szCs w:val="24"/>
        </w:rPr>
        <w:t>投标文件的组成</w:t>
      </w:r>
      <w:bookmarkEnd w:id="173"/>
      <w:bookmarkEnd w:id="174"/>
      <w:bookmarkEnd w:id="175"/>
      <w:bookmarkEnd w:id="176"/>
      <w:bookmarkEnd w:id="177"/>
      <w:bookmarkEnd w:id="178"/>
      <w:bookmarkEnd w:id="179"/>
      <w:bookmarkEnd w:id="180"/>
    </w:p>
    <w:p>
      <w:pPr>
        <w:numPr>
          <w:ilvl w:val="1"/>
          <w:numId w:val="2"/>
        </w:numPr>
        <w:snapToGrid w:val="0"/>
        <w:spacing w:line="360" w:lineRule="auto"/>
        <w:rPr>
          <w:rFonts w:ascii="宋体" w:hAnsi="宋体"/>
          <w:b/>
          <w:szCs w:val="21"/>
        </w:rPr>
      </w:pPr>
      <w:r>
        <w:rPr>
          <w:rFonts w:ascii="宋体" w:hAnsi="宋体"/>
          <w:b/>
          <w:szCs w:val="21"/>
        </w:rPr>
        <w:t>投标文件由商务标</w:t>
      </w:r>
      <w:r>
        <w:rPr>
          <w:rFonts w:hint="eastAsia" w:ascii="宋体" w:hAnsi="宋体"/>
          <w:b/>
          <w:szCs w:val="21"/>
        </w:rPr>
        <w:t>、</w:t>
      </w:r>
      <w:r>
        <w:rPr>
          <w:rFonts w:ascii="宋体" w:hAnsi="宋体"/>
          <w:b/>
          <w:szCs w:val="21"/>
        </w:rPr>
        <w:t>技术标</w:t>
      </w:r>
      <w:r>
        <w:rPr>
          <w:rFonts w:hint="eastAsia" w:ascii="宋体" w:hAnsi="宋体"/>
          <w:b/>
          <w:szCs w:val="21"/>
        </w:rPr>
        <w:t>、报价信封及公示表格四</w:t>
      </w:r>
      <w:r>
        <w:rPr>
          <w:rFonts w:ascii="宋体" w:hAnsi="宋体"/>
          <w:b/>
          <w:szCs w:val="21"/>
        </w:rPr>
        <w:t>部分组成。</w:t>
      </w:r>
    </w:p>
    <w:p>
      <w:pPr>
        <w:numPr>
          <w:ilvl w:val="1"/>
          <w:numId w:val="2"/>
        </w:numPr>
        <w:snapToGrid w:val="0"/>
        <w:spacing w:line="360" w:lineRule="auto"/>
        <w:rPr>
          <w:rFonts w:ascii="宋体" w:hAnsi="宋体"/>
          <w:szCs w:val="21"/>
        </w:rPr>
      </w:pPr>
      <w:bookmarkStart w:id="181" w:name="_Hlk77100584"/>
      <w:r>
        <w:rPr>
          <w:rFonts w:ascii="宋体" w:hAnsi="宋体"/>
          <w:b/>
          <w:szCs w:val="21"/>
        </w:rPr>
        <w:t>商务标</w:t>
      </w:r>
      <w:r>
        <w:rPr>
          <w:rFonts w:ascii="宋体" w:hAnsi="宋体"/>
          <w:szCs w:val="21"/>
        </w:rPr>
        <w:t>，</w:t>
      </w:r>
      <w:r>
        <w:rPr>
          <w:rFonts w:ascii="宋体" w:hAnsi="宋体"/>
        </w:rPr>
        <w:t>内容</w:t>
      </w:r>
      <w:r>
        <w:rPr>
          <w:rFonts w:ascii="宋体" w:hAnsi="宋体"/>
          <w:szCs w:val="21"/>
        </w:rPr>
        <w:t>包括但不限于下列内容：</w:t>
      </w:r>
    </w:p>
    <w:p>
      <w:pPr>
        <w:numPr>
          <w:ilvl w:val="2"/>
          <w:numId w:val="2"/>
        </w:numPr>
        <w:tabs>
          <w:tab w:val="left" w:pos="1440"/>
          <w:tab w:val="left" w:pos="1701"/>
        </w:tabs>
        <w:snapToGrid w:val="0"/>
        <w:spacing w:line="360" w:lineRule="auto"/>
        <w:ind w:left="1701" w:hanging="708"/>
        <w:rPr>
          <w:rFonts w:ascii="宋体" w:hAnsi="宋体"/>
          <w:szCs w:val="21"/>
        </w:rPr>
      </w:pPr>
      <w:r>
        <w:rPr>
          <w:rFonts w:ascii="宋体" w:hAnsi="宋体"/>
          <w:szCs w:val="21"/>
        </w:rPr>
        <w:t>封面；</w:t>
      </w:r>
    </w:p>
    <w:p>
      <w:pPr>
        <w:numPr>
          <w:ilvl w:val="2"/>
          <w:numId w:val="2"/>
        </w:numPr>
        <w:tabs>
          <w:tab w:val="left" w:pos="1440"/>
          <w:tab w:val="left" w:pos="1701"/>
        </w:tabs>
        <w:snapToGrid w:val="0"/>
        <w:spacing w:line="360" w:lineRule="auto"/>
        <w:ind w:left="1701" w:hanging="708"/>
        <w:rPr>
          <w:rFonts w:ascii="宋体" w:hAnsi="宋体"/>
          <w:szCs w:val="21"/>
        </w:rPr>
      </w:pPr>
      <w:r>
        <w:rPr>
          <w:rFonts w:ascii="宋体" w:hAnsi="宋体"/>
          <w:szCs w:val="21"/>
        </w:rPr>
        <w:t>目录；</w:t>
      </w:r>
    </w:p>
    <w:p>
      <w:pPr>
        <w:numPr>
          <w:ilvl w:val="2"/>
          <w:numId w:val="2"/>
        </w:numPr>
        <w:tabs>
          <w:tab w:val="left" w:pos="1440"/>
          <w:tab w:val="left" w:pos="1701"/>
        </w:tabs>
        <w:snapToGrid w:val="0"/>
        <w:spacing w:line="360" w:lineRule="auto"/>
        <w:ind w:left="1701" w:hanging="708"/>
        <w:rPr>
          <w:rFonts w:ascii="宋体" w:hAnsi="宋体"/>
          <w:szCs w:val="21"/>
        </w:rPr>
      </w:pPr>
      <w:r>
        <w:rPr>
          <w:rFonts w:ascii="宋体" w:hAnsi="宋体"/>
          <w:szCs w:val="21"/>
        </w:rPr>
        <w:t>投标函</w:t>
      </w:r>
      <w:r>
        <w:rPr>
          <w:rFonts w:hint="eastAsia" w:ascii="宋体" w:hAnsi="宋体"/>
          <w:szCs w:val="21"/>
        </w:rPr>
        <w:t>、</w:t>
      </w:r>
      <w:r>
        <w:rPr>
          <w:rFonts w:hint="eastAsia" w:ascii="宋体" w:hAnsi="宋体" w:cs="宋体"/>
          <w:bCs/>
          <w:szCs w:val="21"/>
          <w:lang w:val="zh-CN"/>
        </w:rPr>
        <w:t>供货及/或提供服务过程承诺函</w:t>
      </w:r>
      <w:r>
        <w:rPr>
          <w:rFonts w:ascii="宋体" w:hAnsi="宋体"/>
          <w:szCs w:val="21"/>
        </w:rPr>
        <w:t>；</w:t>
      </w:r>
    </w:p>
    <w:p>
      <w:pPr>
        <w:numPr>
          <w:ilvl w:val="2"/>
          <w:numId w:val="2"/>
        </w:numPr>
        <w:tabs>
          <w:tab w:val="left" w:pos="1440"/>
          <w:tab w:val="left" w:pos="1701"/>
        </w:tabs>
        <w:snapToGrid w:val="0"/>
        <w:spacing w:line="360" w:lineRule="auto"/>
        <w:ind w:left="1701" w:hanging="708"/>
        <w:rPr>
          <w:rFonts w:ascii="宋体" w:hAnsi="宋体"/>
          <w:szCs w:val="21"/>
        </w:rPr>
      </w:pPr>
      <w:r>
        <w:rPr>
          <w:rFonts w:hint="eastAsia" w:ascii="宋体" w:hAnsi="宋体"/>
          <w:szCs w:val="21"/>
        </w:rPr>
        <w:t>分项报价表；</w:t>
      </w:r>
    </w:p>
    <w:p>
      <w:pPr>
        <w:numPr>
          <w:ilvl w:val="2"/>
          <w:numId w:val="2"/>
        </w:numPr>
        <w:tabs>
          <w:tab w:val="left" w:pos="1440"/>
          <w:tab w:val="left" w:pos="1701"/>
        </w:tabs>
        <w:snapToGrid w:val="0"/>
        <w:spacing w:line="360" w:lineRule="auto"/>
        <w:ind w:left="1701" w:hanging="708"/>
        <w:rPr>
          <w:rFonts w:ascii="宋体" w:hAnsi="宋体"/>
          <w:szCs w:val="21"/>
        </w:rPr>
      </w:pPr>
      <w:r>
        <w:rPr>
          <w:rFonts w:hint="eastAsia" w:ascii="宋体" w:hAnsi="宋体"/>
          <w:szCs w:val="21"/>
        </w:rPr>
        <w:t>东莞市沙田福禄沙污水处理厂二期工程刮泥机成套系统设备采购分项报价明细表及附表；</w:t>
      </w:r>
    </w:p>
    <w:p>
      <w:pPr>
        <w:numPr>
          <w:ilvl w:val="2"/>
          <w:numId w:val="2"/>
        </w:numPr>
        <w:tabs>
          <w:tab w:val="left" w:pos="1440"/>
          <w:tab w:val="left" w:pos="1701"/>
        </w:tabs>
        <w:snapToGrid w:val="0"/>
        <w:spacing w:line="360" w:lineRule="auto"/>
        <w:ind w:left="1701" w:hanging="708"/>
        <w:rPr>
          <w:rFonts w:ascii="宋体" w:hAnsi="宋体"/>
          <w:szCs w:val="21"/>
        </w:rPr>
      </w:pPr>
      <w:r>
        <w:rPr>
          <w:rFonts w:hint="eastAsia"/>
        </w:rPr>
        <w:t>东莞市清溪厦坭污水处理厂二期工程</w:t>
      </w:r>
      <w:r>
        <w:rPr>
          <w:rFonts w:hint="eastAsia"/>
          <w:szCs w:val="21"/>
        </w:rPr>
        <w:t>刮泥机成套系统设备采购</w:t>
      </w:r>
      <w:r>
        <w:rPr>
          <w:rFonts w:hint="eastAsia" w:ascii="宋体" w:hAnsi="宋体"/>
          <w:szCs w:val="21"/>
        </w:rPr>
        <w:t>分项报价明细表及附表；</w:t>
      </w:r>
    </w:p>
    <w:p>
      <w:pPr>
        <w:numPr>
          <w:ilvl w:val="2"/>
          <w:numId w:val="2"/>
        </w:numPr>
        <w:tabs>
          <w:tab w:val="left" w:pos="1440"/>
          <w:tab w:val="left" w:pos="1701"/>
        </w:tabs>
        <w:snapToGrid w:val="0"/>
        <w:spacing w:line="360" w:lineRule="auto"/>
        <w:ind w:left="1701" w:hanging="708"/>
        <w:rPr>
          <w:rFonts w:ascii="宋体" w:hAnsi="宋体"/>
          <w:szCs w:val="21"/>
        </w:rPr>
      </w:pPr>
      <w:r>
        <w:rPr>
          <w:rFonts w:hint="eastAsia"/>
        </w:rPr>
        <w:t>东莞市黄江梅塘南部污水处理厂一期工程</w:t>
      </w:r>
      <w:r>
        <w:rPr>
          <w:rFonts w:hint="eastAsia"/>
          <w:szCs w:val="21"/>
        </w:rPr>
        <w:t>刮泥机成套系统设备</w:t>
      </w:r>
      <w:r>
        <w:rPr>
          <w:rFonts w:hint="eastAsia" w:ascii="宋体" w:hAnsi="宋体"/>
          <w:szCs w:val="21"/>
        </w:rPr>
        <w:t>分项报价明细表及附表；</w:t>
      </w:r>
    </w:p>
    <w:p>
      <w:pPr>
        <w:numPr>
          <w:ilvl w:val="2"/>
          <w:numId w:val="2"/>
        </w:numPr>
        <w:tabs>
          <w:tab w:val="left" w:pos="1440"/>
          <w:tab w:val="left" w:pos="1701"/>
        </w:tabs>
        <w:snapToGrid w:val="0"/>
        <w:spacing w:line="360" w:lineRule="auto"/>
        <w:ind w:left="1701" w:hanging="708"/>
        <w:rPr>
          <w:rFonts w:ascii="宋体" w:hAnsi="宋体"/>
          <w:szCs w:val="21"/>
        </w:rPr>
      </w:pPr>
      <w:r>
        <w:rPr>
          <w:rFonts w:hint="eastAsia"/>
        </w:rPr>
        <w:t>东莞市凤岗竹塘污水处理厂三期工程</w:t>
      </w:r>
      <w:r>
        <w:rPr>
          <w:rFonts w:hint="eastAsia"/>
          <w:szCs w:val="21"/>
        </w:rPr>
        <w:t>刮泥机成套系统设备</w:t>
      </w:r>
      <w:r>
        <w:rPr>
          <w:rFonts w:hint="eastAsia" w:ascii="宋体" w:hAnsi="宋体"/>
          <w:szCs w:val="21"/>
        </w:rPr>
        <w:t>分项报价明细表及附表；</w:t>
      </w:r>
    </w:p>
    <w:p>
      <w:pPr>
        <w:numPr>
          <w:ilvl w:val="2"/>
          <w:numId w:val="2"/>
        </w:numPr>
        <w:tabs>
          <w:tab w:val="left" w:pos="1440"/>
          <w:tab w:val="left" w:pos="1701"/>
        </w:tabs>
        <w:snapToGrid w:val="0"/>
        <w:spacing w:line="360" w:lineRule="auto"/>
        <w:ind w:left="1701" w:hanging="708"/>
        <w:rPr>
          <w:rFonts w:ascii="宋体" w:hAnsi="宋体"/>
        </w:rPr>
      </w:pPr>
      <w:r>
        <w:rPr>
          <w:rFonts w:hint="eastAsia" w:hAnsi="宋体"/>
        </w:rPr>
        <w:t>法定</w:t>
      </w:r>
      <w:r>
        <w:rPr>
          <w:rFonts w:hint="eastAsia" w:ascii="宋体" w:hAnsi="宋体"/>
        </w:rPr>
        <w:t>代表</w:t>
      </w:r>
      <w:r>
        <w:rPr>
          <w:rFonts w:hint="eastAsia" w:ascii="宋体" w:hAnsi="宋体"/>
          <w:szCs w:val="21"/>
        </w:rPr>
        <w:t>人身份证明书（须附法定代表人身份证原件扫描件）；</w:t>
      </w:r>
    </w:p>
    <w:p>
      <w:pPr>
        <w:numPr>
          <w:ilvl w:val="2"/>
          <w:numId w:val="2"/>
        </w:numPr>
        <w:tabs>
          <w:tab w:val="left" w:pos="1060"/>
          <w:tab w:val="left" w:pos="1890"/>
          <w:tab w:val="clear" w:pos="1571"/>
        </w:tabs>
        <w:snapToGrid w:val="0"/>
        <w:spacing w:line="360" w:lineRule="auto"/>
        <w:ind w:left="850" w:leftChars="405" w:firstLine="207" w:firstLineChars="99"/>
      </w:pPr>
      <w:r>
        <w:rPr>
          <w:rFonts w:hint="eastAsia"/>
        </w:rPr>
        <w:t>法定代表人授权书</w:t>
      </w:r>
    </w:p>
    <w:p>
      <w:pPr>
        <w:numPr>
          <w:ilvl w:val="2"/>
          <w:numId w:val="2"/>
        </w:numPr>
        <w:tabs>
          <w:tab w:val="left" w:pos="1060"/>
          <w:tab w:val="left" w:pos="1890"/>
          <w:tab w:val="clear" w:pos="1571"/>
        </w:tabs>
        <w:snapToGrid w:val="0"/>
        <w:spacing w:line="360" w:lineRule="auto"/>
        <w:ind w:left="850" w:leftChars="405" w:firstLine="207" w:firstLineChars="99"/>
      </w:pPr>
      <w:r>
        <w:rPr>
          <w:rFonts w:hint="eastAsia"/>
        </w:rPr>
        <w:t>投标人资格证明文件：</w:t>
      </w:r>
    </w:p>
    <w:p>
      <w:pPr>
        <w:pStyle w:val="65"/>
        <w:snapToGrid w:val="0"/>
        <w:ind w:left="1054" w:leftChars="502" w:firstLine="4" w:firstLineChars="0"/>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pPr>
        <w:pStyle w:val="65"/>
        <w:snapToGrid w:val="0"/>
        <w:ind w:left="1054" w:leftChars="502" w:firstLine="4" w:firstLineChars="0"/>
        <w:rPr>
          <w:color w:val="auto"/>
        </w:rPr>
      </w:pPr>
      <w:r>
        <w:rPr>
          <w:rFonts w:hint="eastAsia"/>
          <w:color w:val="auto"/>
        </w:rPr>
        <w:t>（2）成套设备制造商资格声明</w:t>
      </w:r>
      <w:r>
        <w:rPr>
          <w:rFonts w:hint="eastAsia"/>
          <w:bCs/>
          <w:color w:val="auto"/>
        </w:rPr>
        <w:t>（格式详见第三章投标文件格式）</w:t>
      </w:r>
      <w:r>
        <w:rPr>
          <w:rFonts w:hint="eastAsia"/>
          <w:color w:val="auto"/>
        </w:rPr>
        <w:t>；</w:t>
      </w:r>
    </w:p>
    <w:p>
      <w:pPr>
        <w:numPr>
          <w:ilvl w:val="2"/>
          <w:numId w:val="2"/>
        </w:numPr>
        <w:tabs>
          <w:tab w:val="left" w:pos="1060"/>
          <w:tab w:val="left" w:pos="1890"/>
          <w:tab w:val="clear" w:pos="1571"/>
        </w:tabs>
        <w:snapToGrid w:val="0"/>
        <w:spacing w:line="360" w:lineRule="auto"/>
        <w:ind w:left="850" w:leftChars="405" w:firstLine="207" w:firstLineChars="99"/>
      </w:pPr>
      <w:r>
        <w:rPr>
          <w:rFonts w:hint="eastAsia"/>
        </w:rPr>
        <w:t>投标人基本情况、简介；</w:t>
      </w:r>
    </w:p>
    <w:p>
      <w:pPr>
        <w:numPr>
          <w:ilvl w:val="2"/>
          <w:numId w:val="2"/>
        </w:numPr>
        <w:tabs>
          <w:tab w:val="left" w:pos="1060"/>
          <w:tab w:val="left" w:pos="1440"/>
          <w:tab w:val="left" w:pos="1890"/>
          <w:tab w:val="clear" w:pos="1571"/>
        </w:tabs>
        <w:snapToGrid w:val="0"/>
        <w:spacing w:line="360" w:lineRule="auto"/>
        <w:ind w:left="850" w:leftChars="405" w:firstLine="207" w:firstLineChars="99"/>
      </w:pPr>
      <w:r>
        <w:rPr>
          <w:rFonts w:hint="eastAsia"/>
        </w:rPr>
        <w:t>投标人财务状况；</w:t>
      </w:r>
    </w:p>
    <w:p>
      <w:pPr>
        <w:numPr>
          <w:ilvl w:val="2"/>
          <w:numId w:val="2"/>
        </w:numPr>
        <w:tabs>
          <w:tab w:val="left" w:pos="1060"/>
          <w:tab w:val="left" w:pos="1440"/>
          <w:tab w:val="left" w:pos="1890"/>
          <w:tab w:val="clear" w:pos="1571"/>
        </w:tabs>
        <w:snapToGrid w:val="0"/>
        <w:spacing w:line="360" w:lineRule="auto"/>
        <w:ind w:left="850" w:leftChars="405" w:firstLine="207" w:firstLineChars="99"/>
      </w:pPr>
      <w:r>
        <w:rPr>
          <w:rFonts w:hint="eastAsia"/>
        </w:rPr>
        <w:t>合同条款响应程度（即合同条款偏离表）；</w:t>
      </w:r>
    </w:p>
    <w:p>
      <w:pPr>
        <w:numPr>
          <w:ilvl w:val="2"/>
          <w:numId w:val="2"/>
        </w:numPr>
        <w:tabs>
          <w:tab w:val="left" w:pos="1060"/>
          <w:tab w:val="left" w:pos="1440"/>
          <w:tab w:val="left" w:pos="1890"/>
          <w:tab w:val="clear" w:pos="1571"/>
        </w:tabs>
        <w:snapToGrid w:val="0"/>
        <w:spacing w:line="360" w:lineRule="auto"/>
        <w:ind w:left="850" w:leftChars="405" w:firstLine="207" w:firstLineChars="99"/>
      </w:pPr>
      <w:r>
        <w:rPr>
          <w:rFonts w:hint="eastAsia"/>
        </w:rPr>
        <w:t>资格业绩表（并按第三章投标文件格式要求附相关证明材料）。</w:t>
      </w:r>
    </w:p>
    <w:p>
      <w:pPr>
        <w:numPr>
          <w:ilvl w:val="2"/>
          <w:numId w:val="2"/>
        </w:numPr>
        <w:tabs>
          <w:tab w:val="left" w:pos="1060"/>
          <w:tab w:val="left" w:pos="1440"/>
          <w:tab w:val="left" w:pos="1890"/>
          <w:tab w:val="clear" w:pos="1571"/>
        </w:tabs>
        <w:snapToGrid w:val="0"/>
        <w:spacing w:line="360" w:lineRule="auto"/>
        <w:ind w:left="850" w:leftChars="405" w:firstLine="207" w:firstLineChars="99"/>
      </w:pPr>
      <w:r>
        <w:rPr>
          <w:rFonts w:hint="eastAsia"/>
        </w:rPr>
        <w:t>2018年1月1日至今投标人在国内完成的投标品牌的刮泥机系统成套设备的供货业绩表（并按第三章投标文件格式要求附相关证明材料）；</w:t>
      </w:r>
    </w:p>
    <w:p>
      <w:pPr>
        <w:numPr>
          <w:ilvl w:val="2"/>
          <w:numId w:val="2"/>
        </w:numPr>
        <w:tabs>
          <w:tab w:val="left" w:pos="1060"/>
          <w:tab w:val="left" w:pos="1440"/>
          <w:tab w:val="left" w:pos="1890"/>
          <w:tab w:val="clear" w:pos="1571"/>
        </w:tabs>
        <w:snapToGrid w:val="0"/>
        <w:spacing w:line="360" w:lineRule="auto"/>
        <w:ind w:left="850" w:leftChars="405" w:firstLine="207" w:firstLineChars="99"/>
      </w:pPr>
      <w:r>
        <w:rPr>
          <w:rFonts w:hint="eastAsia"/>
        </w:rPr>
        <w:t>反映投标人信誉和能力的其他资料（不做强制性提交要求）。</w:t>
      </w:r>
    </w:p>
    <w:p>
      <w:pPr>
        <w:numPr>
          <w:ilvl w:val="1"/>
          <w:numId w:val="2"/>
        </w:numPr>
        <w:snapToGrid w:val="0"/>
        <w:spacing w:line="360" w:lineRule="auto"/>
        <w:rPr>
          <w:rFonts w:ascii="宋体" w:hAnsi="宋体"/>
          <w:b/>
          <w:szCs w:val="21"/>
        </w:rPr>
      </w:pPr>
      <w:r>
        <w:rPr>
          <w:rFonts w:ascii="宋体" w:hAnsi="宋体"/>
          <w:b/>
          <w:szCs w:val="21"/>
        </w:rPr>
        <w:t>技术标，</w:t>
      </w:r>
      <w:r>
        <w:rPr>
          <w:rFonts w:ascii="宋体" w:hAnsi="宋体"/>
        </w:rPr>
        <w:t>内容</w:t>
      </w:r>
      <w:r>
        <w:rPr>
          <w:rFonts w:ascii="宋体" w:hAnsi="宋体"/>
          <w:szCs w:val="21"/>
        </w:rPr>
        <w:t>包括但不限于下列内容：</w:t>
      </w:r>
    </w:p>
    <w:p>
      <w:pPr>
        <w:snapToGrid w:val="0"/>
        <w:spacing w:line="360" w:lineRule="auto"/>
        <w:ind w:left="949" w:leftChars="452"/>
        <w:rPr>
          <w:rFonts w:ascii="宋体" w:hAnsi="宋体"/>
          <w:szCs w:val="21"/>
        </w:rPr>
      </w:pPr>
      <w:r>
        <w:rPr>
          <w:rFonts w:ascii="宋体" w:hAnsi="宋体"/>
        </w:rPr>
        <w:t>1</w:t>
      </w:r>
      <w:r>
        <w:rPr>
          <w:rFonts w:ascii="宋体" w:hAnsi="宋体"/>
          <w:szCs w:val="21"/>
        </w:rPr>
        <w:t>1.3.1</w:t>
      </w:r>
      <w:r>
        <w:rPr>
          <w:rFonts w:hint="eastAsia" w:ascii="宋体" w:hAnsi="宋体"/>
          <w:szCs w:val="21"/>
        </w:rPr>
        <w:t>封面；</w:t>
      </w:r>
    </w:p>
    <w:p>
      <w:pPr>
        <w:snapToGrid w:val="0"/>
        <w:spacing w:line="360" w:lineRule="auto"/>
        <w:ind w:left="949" w:leftChars="452"/>
        <w:rPr>
          <w:rFonts w:ascii="宋体" w:hAnsi="宋体"/>
          <w:szCs w:val="21"/>
        </w:rPr>
      </w:pPr>
      <w:r>
        <w:rPr>
          <w:rFonts w:ascii="宋体" w:hAnsi="宋体"/>
        </w:rPr>
        <w:t>1</w:t>
      </w:r>
      <w:r>
        <w:rPr>
          <w:rFonts w:ascii="宋体" w:hAnsi="宋体"/>
          <w:szCs w:val="21"/>
        </w:rPr>
        <w:t>1.3.</w:t>
      </w:r>
      <w:r>
        <w:rPr>
          <w:rFonts w:hint="eastAsia" w:ascii="宋体" w:hAnsi="宋体"/>
          <w:szCs w:val="21"/>
        </w:rPr>
        <w:t>2 目录；</w:t>
      </w:r>
    </w:p>
    <w:p>
      <w:pPr>
        <w:snapToGrid w:val="0"/>
        <w:spacing w:line="360" w:lineRule="auto"/>
        <w:ind w:left="1684" w:leftChars="452" w:hanging="735" w:hangingChars="3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3</w:t>
      </w:r>
      <w:r>
        <w:rPr>
          <w:rFonts w:hint="eastAsia" w:ascii="宋体" w:hAnsi="宋体"/>
          <w:szCs w:val="21"/>
          <w:lang w:val="zh-CN"/>
        </w:rPr>
        <w:t>技术响应程度（即技术规格偏离表）；</w:t>
      </w:r>
    </w:p>
    <w:p>
      <w:pPr>
        <w:snapToGrid w:val="0"/>
        <w:spacing w:line="360" w:lineRule="auto"/>
        <w:ind w:left="1635" w:leftChars="451" w:hanging="688" w:hangingChars="328"/>
        <w:rPr>
          <w:rFonts w:ascii="宋体" w:hAnsi="宋体"/>
          <w:szCs w:val="21"/>
          <w:lang w:val="zh-CN"/>
        </w:rPr>
      </w:pPr>
      <w:r>
        <w:rPr>
          <w:rFonts w:hint="eastAsia" w:ascii="宋体" w:hAnsi="宋体"/>
        </w:rPr>
        <w:t>11.3.4</w:t>
      </w:r>
      <w:r>
        <w:rPr>
          <w:rFonts w:hint="eastAsia" w:ascii="宋体" w:hAnsi="宋体"/>
          <w:szCs w:val="21"/>
          <w:lang w:val="zh-CN"/>
        </w:rPr>
        <w:t>供货货物清单（货物名称、品牌、规格型号、产地及数量等必须与分项报价明细表完全一致）；</w:t>
      </w:r>
    </w:p>
    <w:p>
      <w:pPr>
        <w:snapToGrid w:val="0"/>
        <w:spacing w:line="360" w:lineRule="auto"/>
        <w:ind w:firstLine="945" w:firstLineChars="4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5设备安装必需的配件供货清单；</w:t>
      </w:r>
    </w:p>
    <w:p>
      <w:pPr>
        <w:snapToGrid w:val="0"/>
        <w:spacing w:line="360" w:lineRule="auto"/>
        <w:ind w:left="1635" w:leftChars="451" w:hanging="688" w:hangingChars="328"/>
        <w:rPr>
          <w:rFonts w:ascii="宋体" w:hAnsi="宋体"/>
          <w:szCs w:val="21"/>
        </w:rPr>
      </w:pPr>
      <w:r>
        <w:rPr>
          <w:rFonts w:ascii="宋体" w:hAnsi="宋体"/>
          <w:szCs w:val="21"/>
        </w:rPr>
        <w:t>11.3.</w:t>
      </w:r>
      <w:r>
        <w:rPr>
          <w:rFonts w:hint="eastAsia" w:ascii="宋体" w:hAnsi="宋体"/>
          <w:szCs w:val="21"/>
        </w:rPr>
        <w:t>6</w:t>
      </w:r>
      <w:r>
        <w:rPr>
          <w:rFonts w:hint="eastAsia" w:ascii="宋体" w:hAnsi="宋体"/>
          <w:szCs w:val="21"/>
          <w:lang w:val="zh-CN"/>
        </w:rPr>
        <w:t>技术方案（</w:t>
      </w:r>
      <w:r>
        <w:rPr>
          <w:rFonts w:hint="eastAsia" w:ascii="宋体" w:hAnsi="宋体"/>
          <w:szCs w:val="21"/>
        </w:rPr>
        <w:t>内容应包括：①供货、安装计划及进度保证措施；②产品制造、运输等全过程质量管理及保证措施；③产品的测试、试验、</w:t>
      </w:r>
      <w:r>
        <w:rPr>
          <w:rFonts w:hint="eastAsia" w:ascii="宋体" w:hAnsi="宋体"/>
          <w:szCs w:val="21"/>
          <w:lang w:val="zh-CN"/>
        </w:rPr>
        <w:t>保险计划；</w:t>
      </w:r>
      <w:r>
        <w:rPr>
          <w:rFonts w:hint="eastAsia" w:ascii="宋体" w:hAnsi="宋体"/>
          <w:szCs w:val="21"/>
        </w:rPr>
        <w:t>④项目实施安装、单机试运转、指导及配合联合试运转的组织设计，产品的安装施工方法及工艺；⑤验收计划；⑥招标人所在地及项目现场培训计划；⑦售后服务方案；⑧</w:t>
      </w:r>
      <w:r>
        <w:rPr>
          <w:rFonts w:hint="eastAsia"/>
        </w:rPr>
        <w:t>安装时间、质保期、维修响应时间承诺表</w:t>
      </w:r>
      <w:r>
        <w:rPr>
          <w:rFonts w:hint="eastAsia" w:ascii="宋体" w:hAnsi="宋体"/>
          <w:szCs w:val="21"/>
        </w:rPr>
        <w:t>等）；</w:t>
      </w:r>
    </w:p>
    <w:p>
      <w:pPr>
        <w:snapToGrid w:val="0"/>
        <w:spacing w:line="360" w:lineRule="auto"/>
        <w:ind w:left="1635" w:leftChars="451" w:hanging="688" w:hangingChars="328"/>
        <w:rPr>
          <w:rFonts w:ascii="宋体" w:hAnsi="宋体"/>
          <w:szCs w:val="21"/>
        </w:rPr>
      </w:pPr>
      <w:r>
        <w:rPr>
          <w:rFonts w:hint="eastAsia" w:ascii="宋体" w:hAnsi="宋体"/>
          <w:szCs w:val="21"/>
          <w:lang w:val="zh-CN"/>
        </w:rPr>
        <w:t>11.3.7</w:t>
      </w:r>
      <w:r>
        <w:rPr>
          <w:rFonts w:hint="eastAsia" w:ascii="宋体" w:hAnsi="宋体"/>
          <w:szCs w:val="21"/>
        </w:rPr>
        <w:t>投标人所在地的培训计划及报价（不计入投标总价，项目业主视情况决定是否组织到投标人所在地进行培训）；</w:t>
      </w:r>
    </w:p>
    <w:p>
      <w:pPr>
        <w:snapToGrid w:val="0"/>
        <w:spacing w:line="360" w:lineRule="auto"/>
        <w:ind w:left="1635" w:leftChars="451" w:hanging="688" w:hangingChars="328"/>
        <w:rPr>
          <w:rFonts w:ascii="宋体" w:hAnsi="宋体"/>
          <w:szCs w:val="21"/>
        </w:rPr>
      </w:pPr>
      <w:r>
        <w:rPr>
          <w:rFonts w:hint="eastAsia" w:ascii="宋体" w:hAnsi="宋体"/>
          <w:szCs w:val="21"/>
          <w:lang w:val="zh-CN"/>
        </w:rPr>
        <w:t>11.3.8</w:t>
      </w:r>
      <w:r>
        <w:rPr>
          <w:rFonts w:hint="eastAsia" w:ascii="宋体" w:hAnsi="宋体"/>
          <w:szCs w:val="21"/>
        </w:rPr>
        <w:t>设备检测所需仪器仪表清单及报价（不计入投标总价，项目业主视情况决定是否采购该部分内容）；</w:t>
      </w:r>
    </w:p>
    <w:p>
      <w:pPr>
        <w:snapToGrid w:val="0"/>
        <w:spacing w:line="360" w:lineRule="auto"/>
        <w:ind w:left="1635" w:leftChars="451" w:hanging="688" w:hangingChars="328"/>
        <w:rPr>
          <w:rFonts w:ascii="宋体" w:hAnsi="宋体"/>
          <w:szCs w:val="21"/>
        </w:rPr>
      </w:pPr>
      <w:r>
        <w:rPr>
          <w:rFonts w:hint="eastAsia" w:ascii="宋体" w:hAnsi="宋体"/>
          <w:szCs w:val="21"/>
        </w:rPr>
        <w:t>11.3.9质保期后设备配件及专用工具报价表（不计入投标总价，项目业主视情况决定是否采购该部分内容）；</w:t>
      </w:r>
    </w:p>
    <w:p>
      <w:pPr>
        <w:snapToGrid w:val="0"/>
        <w:spacing w:line="360" w:lineRule="auto"/>
        <w:ind w:firstLine="945" w:firstLineChars="4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10</w:t>
      </w:r>
      <w:r>
        <w:rPr>
          <w:rFonts w:hint="eastAsia" w:ascii="宋体" w:hAnsi="宋体"/>
          <w:szCs w:val="21"/>
          <w:lang w:val="zh-CN"/>
        </w:rPr>
        <w:t>用户需求书要求提交的其他技术资料（含图纸、图表等）；</w:t>
      </w:r>
    </w:p>
    <w:p>
      <w:pPr>
        <w:snapToGrid w:val="0"/>
        <w:spacing w:line="360" w:lineRule="auto"/>
        <w:ind w:firstLine="945" w:firstLineChars="4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 xml:space="preserve">11 </w:t>
      </w:r>
      <w:r>
        <w:rPr>
          <w:rFonts w:hint="eastAsia" w:ascii="宋体" w:hAnsi="宋体"/>
          <w:szCs w:val="21"/>
          <w:lang w:val="zh-CN"/>
        </w:rPr>
        <w:t>投标人认为有需要提供的其他文件</w:t>
      </w:r>
      <w:r>
        <w:rPr>
          <w:rFonts w:hint="eastAsia" w:ascii="宋体" w:hAnsi="宋体"/>
          <w:szCs w:val="21"/>
        </w:rPr>
        <w:t>（不做强制性提交要求）。</w:t>
      </w:r>
      <w:bookmarkEnd w:id="181"/>
    </w:p>
    <w:p>
      <w:pPr>
        <w:numPr>
          <w:ilvl w:val="1"/>
          <w:numId w:val="2"/>
        </w:numPr>
        <w:snapToGrid w:val="0"/>
        <w:spacing w:line="360" w:lineRule="auto"/>
        <w:rPr>
          <w:rFonts w:ascii="宋体" w:hAnsi="宋体"/>
          <w:szCs w:val="21"/>
        </w:rPr>
      </w:pPr>
      <w:r>
        <w:rPr>
          <w:rFonts w:hint="eastAsia" w:ascii="宋体" w:hAnsi="宋体"/>
          <w:b/>
          <w:szCs w:val="21"/>
        </w:rPr>
        <w:t>报价信封</w:t>
      </w:r>
    </w:p>
    <w:p>
      <w:pPr>
        <w:numPr>
          <w:ilvl w:val="1"/>
          <w:numId w:val="2"/>
        </w:numPr>
        <w:snapToGrid w:val="0"/>
        <w:spacing w:line="360" w:lineRule="auto"/>
        <w:rPr>
          <w:rFonts w:ascii="宋体" w:hAnsi="宋体"/>
          <w:szCs w:val="21"/>
        </w:rPr>
      </w:pPr>
      <w:r>
        <w:rPr>
          <w:rFonts w:hint="eastAsia" w:ascii="宋体" w:hAnsi="宋体"/>
          <w:b/>
          <w:szCs w:val="21"/>
        </w:rPr>
        <w:t>公示表格</w:t>
      </w:r>
    </w:p>
    <w:p>
      <w:pPr>
        <w:numPr>
          <w:ilvl w:val="1"/>
          <w:numId w:val="2"/>
        </w:numPr>
        <w:snapToGrid w:val="0"/>
        <w:spacing w:line="360" w:lineRule="auto"/>
        <w:rPr>
          <w:rFonts w:ascii="宋体" w:hAnsi="宋体"/>
          <w:szCs w:val="21"/>
        </w:rPr>
      </w:pPr>
      <w:r>
        <w:rPr>
          <w:rFonts w:ascii="宋体" w:hAnsi="宋体"/>
          <w:szCs w:val="21"/>
        </w:rPr>
        <w:t>每个投标人只可提供一个</w:t>
      </w:r>
      <w:r>
        <w:rPr>
          <w:rFonts w:hint="eastAsia" w:ascii="宋体" w:hAnsi="宋体"/>
          <w:szCs w:val="21"/>
        </w:rPr>
        <w:t>投标</w:t>
      </w:r>
      <w:r>
        <w:rPr>
          <w:rFonts w:ascii="宋体" w:hAnsi="宋体"/>
          <w:szCs w:val="21"/>
        </w:rPr>
        <w:t>方案</w:t>
      </w:r>
    </w:p>
    <w:p>
      <w:pPr>
        <w:numPr>
          <w:ilvl w:val="1"/>
          <w:numId w:val="2"/>
        </w:numPr>
        <w:snapToGrid w:val="0"/>
        <w:spacing w:line="360" w:lineRule="auto"/>
        <w:rPr>
          <w:rFonts w:ascii="宋体" w:hAnsi="宋体"/>
          <w:b/>
          <w:szCs w:val="21"/>
        </w:rPr>
      </w:pPr>
      <w:r>
        <w:rPr>
          <w:rFonts w:ascii="宋体" w:hAnsi="宋体"/>
          <w:b/>
          <w:szCs w:val="21"/>
        </w:rPr>
        <w:t>投标人应认真阅读招标文件中所有的事项、格式、条款和技术规范等。投标人没有按照招标文件要求提交全部资料，或者投标没有对招标文件在各方面都做出实质性响应是投标人的风险，并可能导致其投标为无效</w:t>
      </w:r>
      <w:r>
        <w:rPr>
          <w:rFonts w:hint="eastAsia" w:ascii="宋体" w:hAnsi="宋体"/>
          <w:b/>
          <w:szCs w:val="21"/>
        </w:rPr>
        <w:t>投</w:t>
      </w:r>
      <w:r>
        <w:rPr>
          <w:rFonts w:ascii="宋体" w:hAnsi="宋体"/>
          <w:b/>
          <w:szCs w:val="21"/>
        </w:rPr>
        <w:t>标。</w:t>
      </w:r>
    </w:p>
    <w:p>
      <w:pPr>
        <w:pStyle w:val="5"/>
        <w:numPr>
          <w:ilvl w:val="0"/>
          <w:numId w:val="2"/>
        </w:numPr>
        <w:rPr>
          <w:rFonts w:ascii="宋体" w:hAnsi="宋体"/>
          <w:sz w:val="24"/>
          <w:szCs w:val="24"/>
        </w:rPr>
      </w:pPr>
      <w:bookmarkStart w:id="182" w:name="_Toc24110"/>
      <w:bookmarkStart w:id="183" w:name="_Toc72916312"/>
      <w:bookmarkStart w:id="184" w:name="_Toc24775"/>
      <w:bookmarkStart w:id="185" w:name="_Toc77555193"/>
      <w:bookmarkStart w:id="186" w:name="_Toc132814713"/>
      <w:bookmarkStart w:id="187" w:name="_Toc19109"/>
      <w:bookmarkStart w:id="188" w:name="_Toc8689"/>
      <w:bookmarkStart w:id="189" w:name="_Toc450"/>
      <w:r>
        <w:rPr>
          <w:rFonts w:ascii="宋体" w:hAnsi="宋体"/>
          <w:sz w:val="24"/>
          <w:szCs w:val="24"/>
        </w:rPr>
        <w:t>投标文件格式</w:t>
      </w:r>
      <w:bookmarkEnd w:id="182"/>
      <w:bookmarkEnd w:id="183"/>
      <w:bookmarkEnd w:id="184"/>
      <w:bookmarkEnd w:id="185"/>
      <w:bookmarkEnd w:id="186"/>
      <w:bookmarkEnd w:id="187"/>
      <w:bookmarkEnd w:id="188"/>
      <w:bookmarkEnd w:id="189"/>
      <w:r>
        <w:rPr>
          <w:rFonts w:ascii="宋体" w:hAnsi="宋体"/>
          <w:sz w:val="24"/>
          <w:szCs w:val="24"/>
        </w:rPr>
        <w:t xml:space="preserve"> </w:t>
      </w:r>
    </w:p>
    <w:p>
      <w:pPr>
        <w:numPr>
          <w:ilvl w:val="1"/>
          <w:numId w:val="2"/>
        </w:numPr>
        <w:snapToGrid w:val="0"/>
        <w:spacing w:line="360" w:lineRule="auto"/>
        <w:rPr>
          <w:rFonts w:ascii="宋体" w:hAnsi="宋体"/>
          <w:szCs w:val="21"/>
        </w:rPr>
      </w:pPr>
      <w:bookmarkStart w:id="190" w:name="_Toc50920435"/>
      <w:bookmarkStart w:id="191" w:name="_Toc77555194"/>
      <w:bookmarkStart w:id="192" w:name="_Toc72916313"/>
      <w:bookmarkStart w:id="193" w:name="_Toc50920592"/>
      <w:r>
        <w:rPr>
          <w:rFonts w:ascii="宋体" w:hAnsi="宋体"/>
          <w:szCs w:val="21"/>
        </w:rPr>
        <w:t>商务标必须按招标文件所附</w:t>
      </w:r>
      <w:r>
        <w:rPr>
          <w:rFonts w:hint="eastAsia" w:ascii="宋体" w:hAnsi="宋体"/>
          <w:szCs w:val="21"/>
        </w:rPr>
        <w:t>的</w:t>
      </w:r>
      <w:r>
        <w:rPr>
          <w:rFonts w:ascii="宋体" w:hAnsi="宋体"/>
          <w:szCs w:val="21"/>
        </w:rPr>
        <w:t>商务标格式编制（参见第三章）。</w:t>
      </w:r>
    </w:p>
    <w:p>
      <w:pPr>
        <w:numPr>
          <w:ilvl w:val="1"/>
          <w:numId w:val="2"/>
        </w:numPr>
        <w:snapToGrid w:val="0"/>
        <w:spacing w:line="360" w:lineRule="auto"/>
        <w:rPr>
          <w:rFonts w:ascii="宋体" w:hAnsi="宋体"/>
          <w:szCs w:val="21"/>
        </w:rPr>
      </w:pPr>
      <w:r>
        <w:rPr>
          <w:rFonts w:ascii="宋体" w:hAnsi="宋体"/>
          <w:szCs w:val="21"/>
        </w:rPr>
        <w:t>技术标必须按招标文件所附的技术标格式编制（参见第三章）。</w:t>
      </w:r>
    </w:p>
    <w:p>
      <w:pPr>
        <w:numPr>
          <w:ilvl w:val="1"/>
          <w:numId w:val="2"/>
        </w:numPr>
        <w:snapToGrid w:val="0"/>
        <w:spacing w:line="360" w:lineRule="auto"/>
        <w:rPr>
          <w:rFonts w:ascii="宋体" w:hAnsi="宋体"/>
          <w:b/>
          <w:szCs w:val="21"/>
        </w:rPr>
      </w:pPr>
      <w:r>
        <w:rPr>
          <w:rFonts w:hint="eastAsia" w:ascii="宋体" w:hAnsi="宋体"/>
          <w:b/>
          <w:szCs w:val="21"/>
        </w:rPr>
        <w:t>报价信封由投标人使用电子标书制作软件编制</w:t>
      </w:r>
      <w:r>
        <w:rPr>
          <w:rFonts w:ascii="宋体" w:hAnsi="宋体"/>
          <w:b/>
          <w:szCs w:val="21"/>
        </w:rPr>
        <w:t>（参见第三章）</w:t>
      </w:r>
      <w:r>
        <w:rPr>
          <w:rFonts w:hint="eastAsia" w:ascii="宋体" w:hAnsi="宋体"/>
          <w:b/>
          <w:szCs w:val="21"/>
          <w:lang w:val="zh-CN"/>
        </w:rPr>
        <w:t>。</w:t>
      </w:r>
    </w:p>
    <w:p>
      <w:pPr>
        <w:numPr>
          <w:ilvl w:val="1"/>
          <w:numId w:val="2"/>
        </w:numPr>
        <w:snapToGrid w:val="0"/>
        <w:spacing w:line="360" w:lineRule="auto"/>
        <w:rPr>
          <w:rFonts w:ascii="宋体" w:hAnsi="宋体"/>
          <w:b/>
          <w:szCs w:val="21"/>
        </w:rPr>
      </w:pPr>
      <w:r>
        <w:rPr>
          <w:rFonts w:hint="eastAsia" w:ascii="宋体" w:hAnsi="宋体"/>
          <w:b/>
          <w:szCs w:val="21"/>
        </w:rPr>
        <w:t>公示表格必须按招标文件所附的公示表格格式编制</w:t>
      </w:r>
      <w:r>
        <w:rPr>
          <w:rFonts w:ascii="宋体" w:hAnsi="宋体"/>
          <w:b/>
          <w:szCs w:val="21"/>
        </w:rPr>
        <w:t>（参见第三章）</w:t>
      </w:r>
      <w:r>
        <w:rPr>
          <w:rFonts w:hint="eastAsia" w:ascii="宋体" w:hAnsi="宋体"/>
          <w:b/>
          <w:szCs w:val="21"/>
          <w:lang w:val="zh-CN"/>
        </w:rPr>
        <w:t>。</w:t>
      </w:r>
      <w:r>
        <w:rPr>
          <w:rFonts w:hint="eastAsia" w:ascii="宋体" w:hAnsi="宋体"/>
          <w:b/>
          <w:bCs/>
          <w:szCs w:val="21"/>
        </w:rPr>
        <w:t xml:space="preserve"> </w:t>
      </w:r>
    </w:p>
    <w:bookmarkEnd w:id="190"/>
    <w:bookmarkEnd w:id="191"/>
    <w:bookmarkEnd w:id="192"/>
    <w:bookmarkEnd w:id="193"/>
    <w:p>
      <w:pPr>
        <w:pStyle w:val="5"/>
        <w:numPr>
          <w:ilvl w:val="0"/>
          <w:numId w:val="2"/>
        </w:numPr>
        <w:rPr>
          <w:rFonts w:ascii="宋体" w:hAnsi="宋体"/>
          <w:sz w:val="24"/>
          <w:szCs w:val="24"/>
        </w:rPr>
      </w:pPr>
      <w:bookmarkStart w:id="194" w:name="_Toc24538"/>
      <w:bookmarkStart w:id="195" w:name="_Toc2680"/>
      <w:bookmarkStart w:id="196" w:name="_Toc13293"/>
      <w:bookmarkStart w:id="197" w:name="_Toc13517"/>
      <w:bookmarkStart w:id="198" w:name="_Toc132814714"/>
      <w:bookmarkStart w:id="199" w:name="_Toc3327"/>
      <w:r>
        <w:rPr>
          <w:rFonts w:ascii="宋体" w:hAnsi="宋体"/>
          <w:sz w:val="24"/>
          <w:szCs w:val="24"/>
        </w:rPr>
        <w:t>投标报价</w:t>
      </w:r>
      <w:bookmarkEnd w:id="194"/>
      <w:bookmarkEnd w:id="195"/>
      <w:bookmarkEnd w:id="196"/>
      <w:bookmarkEnd w:id="197"/>
      <w:bookmarkEnd w:id="198"/>
      <w:bookmarkEnd w:id="199"/>
    </w:p>
    <w:p>
      <w:pPr>
        <w:numPr>
          <w:ilvl w:val="1"/>
          <w:numId w:val="2"/>
        </w:numPr>
        <w:snapToGrid w:val="0"/>
        <w:spacing w:line="360" w:lineRule="auto"/>
        <w:rPr>
          <w:rFonts w:ascii="宋体" w:hAnsi="宋体"/>
          <w:szCs w:val="21"/>
        </w:rPr>
      </w:pPr>
      <w:r>
        <w:rPr>
          <w:rFonts w:hint="eastAsia" w:ascii="宋体" w:hAnsi="宋体"/>
          <w:szCs w:val="21"/>
        </w:rPr>
        <w:t>投标人应按招标文件要求及企业的自身情况进行报价。</w:t>
      </w:r>
      <w:r>
        <w:rPr>
          <w:rFonts w:ascii="宋体" w:hAnsi="宋体"/>
          <w:szCs w:val="21"/>
        </w:rPr>
        <w:t>投标人的投标报价，应是完成本须知第2条</w:t>
      </w:r>
      <w:r>
        <w:rPr>
          <w:rFonts w:hint="eastAsia" w:ascii="宋体" w:hAnsi="宋体"/>
          <w:szCs w:val="21"/>
        </w:rPr>
        <w:t>和</w:t>
      </w:r>
      <w:r>
        <w:rPr>
          <w:rFonts w:ascii="宋体" w:hAnsi="宋体"/>
          <w:szCs w:val="21"/>
        </w:rPr>
        <w:t>合同条款上所列招标范围</w:t>
      </w:r>
      <w:r>
        <w:rPr>
          <w:rFonts w:hint="eastAsia" w:ascii="宋体" w:hAnsi="宋体"/>
          <w:szCs w:val="21"/>
        </w:rPr>
        <w:t>（供货范围）内全部内容</w:t>
      </w:r>
      <w:r>
        <w:rPr>
          <w:rFonts w:ascii="宋体" w:hAnsi="宋体"/>
          <w:szCs w:val="21"/>
        </w:rPr>
        <w:t>，不得以任何理由予以重复，作为投标人计算单价或总价的依据。</w:t>
      </w:r>
    </w:p>
    <w:p>
      <w:pPr>
        <w:numPr>
          <w:ilvl w:val="1"/>
          <w:numId w:val="2"/>
        </w:numPr>
        <w:snapToGrid w:val="0"/>
        <w:spacing w:line="360" w:lineRule="auto"/>
        <w:rPr>
          <w:rFonts w:ascii="宋体" w:hAnsi="宋体"/>
        </w:rPr>
      </w:pPr>
      <w:r>
        <w:rPr>
          <w:rFonts w:ascii="宋体" w:hAnsi="宋体"/>
          <w:szCs w:val="21"/>
        </w:rPr>
        <w:t>每一项目只允许有一个报价。任何有选择的报价将不予接受。投标人未填单价或合价的项目，在实施后，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pPr>
        <w:tabs>
          <w:tab w:val="left" w:pos="1107"/>
        </w:tabs>
        <w:snapToGrid w:val="0"/>
        <w:spacing w:line="360" w:lineRule="auto"/>
        <w:ind w:left="1170" w:leftChars="257" w:hanging="630" w:hangingChars="300"/>
        <w:rPr>
          <w:rFonts w:ascii="宋体" w:hAnsi="宋体"/>
          <w:szCs w:val="21"/>
        </w:rPr>
      </w:pPr>
      <w:r>
        <w:rPr>
          <w:rFonts w:hint="eastAsia" w:ascii="宋体" w:hAnsi="宋体"/>
          <w:szCs w:val="21"/>
        </w:rPr>
        <w:t>13.2.1若投标人出现超低报价，有可能影响服务质量和不能诚信履约的，评标委员会将要求该投标人作出书面说明并提供相关证明材料，以确定投标人是否以低于企业成本价报价。</w:t>
      </w:r>
    </w:p>
    <w:p>
      <w:pPr>
        <w:tabs>
          <w:tab w:val="left" w:pos="1107"/>
        </w:tabs>
        <w:snapToGrid w:val="0"/>
        <w:spacing w:line="360" w:lineRule="auto"/>
        <w:ind w:left="1155" w:leftChars="250" w:hanging="630" w:hangingChars="300"/>
        <w:rPr>
          <w:rFonts w:ascii="宋体" w:hAnsi="宋体"/>
          <w:szCs w:val="21"/>
        </w:rPr>
      </w:pPr>
      <w:r>
        <w:rPr>
          <w:rFonts w:hint="eastAsia" w:ascii="宋体" w:hAnsi="宋体"/>
          <w:szCs w:val="21"/>
        </w:rPr>
        <w:t>13.2.2</w:t>
      </w:r>
      <w:r>
        <w:rPr>
          <w:rFonts w:hint="eastAsia" w:ascii="宋体" w:hAnsi="宋体"/>
          <w:b/>
          <w:szCs w:val="21"/>
        </w:rPr>
        <w:t>若评标委员会认定投标人以低于企业成本价报价，且投标人不能合理说明或不能提供相关证明材料，导致</w:t>
      </w:r>
      <w:r>
        <w:rPr>
          <w:rFonts w:hint="eastAsia" w:ascii="宋体" w:hAnsi="宋体"/>
          <w:szCs w:val="21"/>
        </w:rPr>
        <w:t>项目业主或招标人</w:t>
      </w:r>
      <w:r>
        <w:rPr>
          <w:rFonts w:hint="eastAsia" w:ascii="宋体" w:hAnsi="宋体"/>
          <w:b/>
          <w:szCs w:val="21"/>
        </w:rPr>
        <w:t>的利益得不到保障，则该投标人的投标作为无效投标处理。</w:t>
      </w:r>
    </w:p>
    <w:p>
      <w:pPr>
        <w:tabs>
          <w:tab w:val="left" w:pos="1107"/>
        </w:tabs>
        <w:snapToGrid w:val="0"/>
        <w:spacing w:line="360" w:lineRule="auto"/>
        <w:ind w:left="1050" w:leftChars="250" w:hanging="525" w:hangingChars="250"/>
      </w:pPr>
      <w:r>
        <w:rPr>
          <w:rFonts w:hint="eastAsia" w:ascii="宋体" w:hAnsi="宋体"/>
          <w:szCs w:val="21"/>
        </w:rPr>
        <w:t>13.2.3对是否低于企业成本价报价的事宜有争议的投标文件，如评标委员会各成员意见不一致时，采用少数服从多数的形式予以书面签名确认，如评标委员会各成员需保留意见，则以书面形式形成记录。</w:t>
      </w:r>
    </w:p>
    <w:p>
      <w:pPr>
        <w:numPr>
          <w:ilvl w:val="1"/>
          <w:numId w:val="2"/>
        </w:numPr>
        <w:snapToGrid w:val="0"/>
        <w:spacing w:line="360" w:lineRule="auto"/>
        <w:rPr>
          <w:rFonts w:ascii="宋体" w:hAnsi="宋体"/>
          <w:szCs w:val="21"/>
        </w:rPr>
      </w:pPr>
      <w:r>
        <w:rPr>
          <w:rFonts w:ascii="宋体" w:hAnsi="宋体"/>
          <w:szCs w:val="21"/>
        </w:rPr>
        <w:t>投标人可先到工地踏勘以充分了解工地位置、情况、道路、储存空间、装卸限制及任何其他足以影响承包价的情况，任何因忽视或误解工地情况而导致的索赔或</w:t>
      </w:r>
      <w:r>
        <w:rPr>
          <w:rFonts w:hint="eastAsia" w:ascii="宋体" w:hAnsi="宋体"/>
          <w:szCs w:val="21"/>
        </w:rPr>
        <w:t>供货</w:t>
      </w:r>
      <w:r>
        <w:rPr>
          <w:rFonts w:ascii="宋体" w:hAnsi="宋体"/>
          <w:szCs w:val="21"/>
        </w:rPr>
        <w:t>期延长申请将不被批准。</w:t>
      </w:r>
    </w:p>
    <w:p>
      <w:pPr>
        <w:numPr>
          <w:ilvl w:val="1"/>
          <w:numId w:val="2"/>
        </w:numPr>
        <w:snapToGrid w:val="0"/>
        <w:spacing w:line="360" w:lineRule="auto"/>
        <w:rPr>
          <w:rFonts w:ascii="宋体" w:hAnsi="宋体"/>
          <w:b/>
          <w:szCs w:val="21"/>
        </w:rPr>
      </w:pPr>
      <w:r>
        <w:rPr>
          <w:rFonts w:hint="eastAsia" w:ascii="宋体" w:hAnsi="宋体"/>
          <w:b/>
          <w:szCs w:val="21"/>
        </w:rPr>
        <w:t>本项目的最高限价金额详见投标须知前附表。投标人的投标总报价不得高于最高限价，且投标人的子项目投标报价不得高于对应子项目的最高限价，否则作无效投标处理。</w:t>
      </w:r>
    </w:p>
    <w:p>
      <w:pPr>
        <w:numPr>
          <w:ilvl w:val="1"/>
          <w:numId w:val="2"/>
        </w:numPr>
        <w:snapToGrid w:val="0"/>
        <w:spacing w:line="360" w:lineRule="auto"/>
        <w:rPr>
          <w:rFonts w:ascii="宋体" w:hAnsi="宋体"/>
        </w:rPr>
      </w:pPr>
      <w:r>
        <w:rPr>
          <w:rFonts w:hint="eastAsia" w:hAnsi="宋体"/>
          <w:b/>
          <w:szCs w:val="21"/>
          <w:u w:val="single"/>
          <w:lang w:val="zh-CN"/>
        </w:rPr>
        <w:t>本项目投标报价为不含税价，即为《中华人民共和国增值税暂行条例》（国务院令第6</w:t>
      </w:r>
      <w:r>
        <w:rPr>
          <w:rFonts w:hAnsi="宋体"/>
          <w:b/>
          <w:szCs w:val="21"/>
          <w:u w:val="single"/>
          <w:lang w:val="zh-CN"/>
        </w:rPr>
        <w:t>91</w:t>
      </w:r>
      <w:r>
        <w:rPr>
          <w:rFonts w:hint="eastAsia" w:hAnsi="宋体"/>
          <w:b/>
          <w:szCs w:val="21"/>
          <w:u w:val="single"/>
          <w:lang w:val="zh-CN"/>
        </w:rPr>
        <w:t>号修订版）规定的销售额</w:t>
      </w:r>
      <w:r>
        <w:rPr>
          <w:rFonts w:hint="eastAsia" w:hAnsi="宋体"/>
          <w:szCs w:val="21"/>
          <w:lang w:val="zh-CN"/>
        </w:rPr>
        <w:t>。本招标文件所称的不含税价和合同价是指不含本采购项目投标人的销项税额，包含了投标人完成合同义务（含投标人代缴代扣、分包及委外服务、施工、采购货物等所产生的价税）的其他全部费用。本采购项目的销项税额由</w:t>
      </w:r>
      <w:r>
        <w:rPr>
          <w:rFonts w:hint="eastAsia" w:ascii="宋体" w:hAnsi="宋体"/>
          <w:szCs w:val="21"/>
        </w:rPr>
        <w:t>项目业主</w:t>
      </w:r>
      <w:r>
        <w:rPr>
          <w:rFonts w:hint="eastAsia" w:hAnsi="宋体"/>
          <w:szCs w:val="21"/>
          <w:lang w:val="zh-CN"/>
        </w:rPr>
        <w:t>承担，不计入投标报价。</w:t>
      </w:r>
      <w:r>
        <w:rPr>
          <w:rFonts w:hint="eastAsia" w:ascii="宋体" w:hAnsi="宋体"/>
          <w:szCs w:val="21"/>
        </w:rPr>
        <w:t>投标人须充分考虑各种因素报价，结合供货难度、服务期限等所有影响性因素作出最终投标报价，并承担所有相应风险。投标人的投标报价还应该包含有以下列明或其它完成本项目必须但未明确的费用：</w:t>
      </w:r>
    </w:p>
    <w:p>
      <w:pPr>
        <w:snapToGrid w:val="0"/>
        <w:spacing w:line="360" w:lineRule="auto"/>
        <w:ind w:left="1575" w:leftChars="350" w:hanging="840" w:hangingChars="400"/>
        <w:rPr>
          <w:rFonts w:ascii="宋体" w:hAnsi="宋体"/>
          <w:szCs w:val="21"/>
          <w:lang w:val="zh-CN"/>
        </w:rPr>
      </w:pPr>
      <w:r>
        <w:rPr>
          <w:rFonts w:hint="eastAsia" w:ascii="宋体" w:hAnsi="宋体"/>
        </w:rPr>
        <w:t xml:space="preserve"> </w:t>
      </w:r>
      <w:r>
        <w:rPr>
          <w:rFonts w:hint="eastAsia" w:ascii="宋体" w:hAnsi="宋体"/>
          <w:szCs w:val="21"/>
        </w:rPr>
        <w:t>13.5.1</w:t>
      </w:r>
      <w:r>
        <w:rPr>
          <w:rFonts w:hint="eastAsia" w:ascii="宋体" w:hAnsi="宋体"/>
          <w:szCs w:val="21"/>
          <w:lang w:val="zh-CN"/>
        </w:rPr>
        <w:t>招标范围内所有货物及其附件（含PLC程序、触摸屏程序等软件）的设计</w:t>
      </w:r>
      <w:r>
        <w:rPr>
          <w:rFonts w:hint="eastAsia"/>
          <w:szCs w:val="21"/>
          <w:lang w:val="zh-CN"/>
        </w:rPr>
        <w:t>（</w:t>
      </w:r>
      <w:r>
        <w:rPr>
          <w:rFonts w:hint="eastAsia"/>
          <w:szCs w:val="21"/>
        </w:rPr>
        <w:t>含二次深化设计</w:t>
      </w:r>
      <w:r>
        <w:rPr>
          <w:rFonts w:hint="eastAsia"/>
          <w:szCs w:val="21"/>
          <w:lang w:val="zh-CN"/>
        </w:rPr>
        <w:t>）</w:t>
      </w:r>
      <w:r>
        <w:rPr>
          <w:rFonts w:hint="eastAsia" w:ascii="宋体" w:hAnsi="宋体"/>
          <w:szCs w:val="21"/>
          <w:lang w:val="zh-CN"/>
        </w:rPr>
        <w:t>、采购、制造及系统集成、测试、试验、运输（至各子项目工地现场招标人指定地点）、保险、装卸、安装（含安全防护、文明施工措施）、</w:t>
      </w:r>
      <w:r>
        <w:rPr>
          <w:rFonts w:hint="eastAsia" w:ascii="宋体" w:hAnsi="宋体"/>
          <w:szCs w:val="21"/>
        </w:rPr>
        <w:t>单机试运转、指导及配合联合试运转</w:t>
      </w:r>
      <w:r>
        <w:rPr>
          <w:rFonts w:hint="eastAsia" w:ascii="宋体" w:hAnsi="宋体"/>
          <w:szCs w:val="21"/>
          <w:lang w:val="zh-CN"/>
        </w:rPr>
        <w:t>（含耗材）、验收、</w:t>
      </w:r>
      <w:r>
        <w:rPr>
          <w:rFonts w:hint="eastAsia" w:ascii="宋体" w:hAnsi="宋体"/>
          <w:b/>
          <w:szCs w:val="21"/>
          <w:lang w:val="zh-CN"/>
        </w:rPr>
        <w:t>BIM模型及技术服务</w:t>
      </w:r>
      <w:r>
        <w:rPr>
          <w:rFonts w:hint="eastAsia" w:ascii="宋体" w:hAnsi="宋体"/>
          <w:szCs w:val="21"/>
          <w:lang w:val="zh-CN"/>
        </w:rPr>
        <w:t>的费用；</w:t>
      </w:r>
    </w:p>
    <w:p>
      <w:pPr>
        <w:snapToGrid w:val="0"/>
        <w:spacing w:line="360" w:lineRule="auto"/>
        <w:ind w:left="1572" w:leftChars="405" w:hanging="722" w:hangingChars="344"/>
        <w:rPr>
          <w:rFonts w:ascii="宋体" w:hAnsi="宋体"/>
          <w:szCs w:val="21"/>
        </w:rPr>
      </w:pPr>
      <w:r>
        <w:rPr>
          <w:rFonts w:hint="eastAsia" w:ascii="宋体" w:hAnsi="宋体"/>
          <w:szCs w:val="21"/>
        </w:rPr>
        <w:t>13.5.</w:t>
      </w:r>
      <w:r>
        <w:rPr>
          <w:rFonts w:hint="eastAsia" w:ascii="宋体" w:hAnsi="宋体"/>
          <w:szCs w:val="21"/>
          <w:lang w:val="zh-CN"/>
        </w:rPr>
        <w:t>2按本用户需求书要求提供各阶段的纸质和电子版技术资料（含图纸），包括投标货物及其工艺</w:t>
      </w:r>
      <w:r>
        <w:rPr>
          <w:rFonts w:hint="eastAsia" w:ascii="宋体" w:hAnsi="宋体"/>
          <w:szCs w:val="21"/>
        </w:rPr>
        <w:t>所有制造方、使用方应支付的对</w:t>
      </w:r>
      <w:r>
        <w:rPr>
          <w:rFonts w:hint="eastAsia" w:hAnsi="宋体"/>
          <w:szCs w:val="21"/>
        </w:rPr>
        <w:t>商标权、</w:t>
      </w:r>
      <w:r>
        <w:rPr>
          <w:rFonts w:hint="eastAsia" w:ascii="宋体" w:hAnsi="宋体"/>
          <w:szCs w:val="21"/>
        </w:rPr>
        <w:t>专利权和版权、设计或其他知识产权而需要向其他方支付的版税及其他相关费用；</w:t>
      </w:r>
    </w:p>
    <w:p>
      <w:pPr>
        <w:snapToGrid w:val="0"/>
        <w:spacing w:line="360" w:lineRule="auto"/>
        <w:ind w:left="1572" w:leftChars="405" w:hanging="722" w:hangingChars="344"/>
        <w:rPr>
          <w:rFonts w:ascii="宋体" w:hAnsi="宋体" w:cs="Arial"/>
          <w:szCs w:val="21"/>
        </w:rPr>
      </w:pPr>
      <w:r>
        <w:rPr>
          <w:rFonts w:hint="eastAsia" w:ascii="宋体" w:hAnsi="宋体"/>
          <w:szCs w:val="21"/>
        </w:rPr>
        <w:t>13.5.</w:t>
      </w:r>
      <w:r>
        <w:rPr>
          <w:rFonts w:hint="eastAsia" w:ascii="宋体" w:hAnsi="宋体"/>
          <w:szCs w:val="21"/>
          <w:lang w:val="zh-CN"/>
        </w:rPr>
        <w:t>3</w:t>
      </w:r>
      <w:r>
        <w:rPr>
          <w:rFonts w:hint="eastAsia" w:ascii="宋体" w:hAnsi="宋体" w:cs="Arial"/>
          <w:szCs w:val="21"/>
        </w:rPr>
        <w:t>验收时为达到相关标准而可能增加的、不合格货物更换、零配件更换等</w:t>
      </w:r>
      <w:r>
        <w:rPr>
          <w:rFonts w:hint="eastAsia" w:ascii="宋体" w:hAnsi="宋体"/>
          <w:szCs w:val="21"/>
        </w:rPr>
        <w:t>费用</w:t>
      </w:r>
      <w:r>
        <w:rPr>
          <w:rFonts w:hint="eastAsia" w:ascii="宋体" w:hAnsi="宋体" w:cs="Arial"/>
          <w:szCs w:val="21"/>
        </w:rPr>
        <w:t>；</w:t>
      </w:r>
    </w:p>
    <w:p>
      <w:pPr>
        <w:snapToGrid w:val="0"/>
        <w:spacing w:line="360" w:lineRule="auto"/>
        <w:ind w:left="1572" w:leftChars="405" w:hanging="722" w:hangingChars="344"/>
        <w:rPr>
          <w:rFonts w:ascii="宋体" w:hAnsi="宋体"/>
          <w:szCs w:val="21"/>
          <w:lang w:val="zh-CN"/>
        </w:rPr>
      </w:pPr>
      <w:r>
        <w:rPr>
          <w:rFonts w:hint="eastAsia" w:ascii="宋体" w:hAnsi="宋体"/>
          <w:szCs w:val="21"/>
        </w:rPr>
        <w:t>13.5.</w:t>
      </w:r>
      <w:r>
        <w:rPr>
          <w:rFonts w:hint="eastAsia" w:ascii="宋体" w:hAnsi="宋体"/>
          <w:szCs w:val="21"/>
          <w:lang w:val="zh-CN"/>
        </w:rPr>
        <w:t>4</w:t>
      </w:r>
      <w:r>
        <w:rPr>
          <w:rFonts w:hint="eastAsia" w:ascii="宋体" w:hAnsi="宋体"/>
          <w:szCs w:val="21"/>
        </w:rPr>
        <w:t>招标人所在地及工地现场</w:t>
      </w:r>
      <w:r>
        <w:rPr>
          <w:rFonts w:hint="eastAsia" w:ascii="宋体" w:hAnsi="宋体"/>
          <w:szCs w:val="21"/>
          <w:lang w:val="zh-CN"/>
        </w:rPr>
        <w:t>培训全过程费用（含会务、资料、培训方及非中文培训师的翻译、投标人、招标人、项目业主涉及的所有费用），但本用户需求书中明确不包含在本次招标投标报价总价范围的投标人所在地培训除外；</w:t>
      </w:r>
    </w:p>
    <w:p>
      <w:pPr>
        <w:snapToGrid w:val="0"/>
        <w:spacing w:line="360" w:lineRule="auto"/>
        <w:ind w:left="1572" w:leftChars="405" w:hanging="722" w:hangingChars="344"/>
        <w:rPr>
          <w:rFonts w:ascii="宋体" w:hAnsi="宋体"/>
          <w:szCs w:val="21"/>
        </w:rPr>
      </w:pPr>
      <w:r>
        <w:rPr>
          <w:rFonts w:hint="eastAsia" w:ascii="宋体" w:hAnsi="宋体"/>
          <w:szCs w:val="21"/>
        </w:rPr>
        <w:t>13.5.5设备备品备件（含零配件）、设备拆装维修所需特殊专用工具购置费，但本用户需求书中明确不包含在本次招标投标报价总价范围的设备维修、检测所需仪器仪表除外；</w:t>
      </w:r>
    </w:p>
    <w:p>
      <w:pPr>
        <w:snapToGrid w:val="0"/>
        <w:spacing w:line="360" w:lineRule="auto"/>
        <w:ind w:left="1572" w:leftChars="405" w:hanging="722" w:hangingChars="344"/>
        <w:rPr>
          <w:rFonts w:ascii="宋体" w:hAnsi="宋体"/>
          <w:szCs w:val="21"/>
        </w:rPr>
      </w:pPr>
      <w:r>
        <w:rPr>
          <w:rFonts w:hint="eastAsia" w:ascii="宋体" w:hAnsi="宋体"/>
          <w:szCs w:val="21"/>
        </w:rPr>
        <w:t>13.5.6日常技术指导，免费的质保期保修服务，包括但不限于对设备的运行指导，免费维修、保修或更换配件，在设备出现严重故障、影响正常运行、修复有困难的情况下，对设备进行免费更换的费用；</w:t>
      </w:r>
    </w:p>
    <w:p>
      <w:pPr>
        <w:snapToGrid w:val="0"/>
        <w:spacing w:line="360" w:lineRule="auto"/>
        <w:ind w:left="1572" w:leftChars="405" w:hanging="722" w:hangingChars="344"/>
        <w:rPr>
          <w:rFonts w:ascii="宋体" w:hAnsi="宋体"/>
          <w:szCs w:val="21"/>
        </w:rPr>
      </w:pPr>
      <w:r>
        <w:rPr>
          <w:rFonts w:hint="eastAsia" w:ascii="宋体" w:hAnsi="宋体"/>
          <w:szCs w:val="21"/>
        </w:rPr>
        <w:t>13.5.7设计</w:t>
      </w:r>
      <w:r>
        <w:rPr>
          <w:rFonts w:hint="eastAsia" w:ascii="宋体" w:hAnsi="宋体"/>
          <w:szCs w:val="21"/>
          <w:lang w:val="zh-CN"/>
        </w:rPr>
        <w:t>联络，</w:t>
      </w:r>
      <w:r>
        <w:rPr>
          <w:rFonts w:hint="eastAsia" w:ascii="宋体" w:hAnsi="宋体"/>
          <w:szCs w:val="21"/>
        </w:rPr>
        <w:t>在施工图设计阶段，中标人有义务根据实际情况派遣技术人员到东莞市参加设计联络会议进行技术交流，包括参加设计会签及校核和审查会议，投标总价已包含完成施工图设计过程中的一切费用；</w:t>
      </w:r>
    </w:p>
    <w:p>
      <w:pPr>
        <w:snapToGrid w:val="0"/>
        <w:spacing w:line="360" w:lineRule="auto"/>
        <w:ind w:left="1572" w:leftChars="405" w:hanging="722" w:hangingChars="344"/>
        <w:rPr>
          <w:rFonts w:ascii="宋体" w:hAnsi="宋体"/>
          <w:szCs w:val="21"/>
        </w:rPr>
      </w:pPr>
      <w:r>
        <w:rPr>
          <w:rFonts w:hint="eastAsia" w:ascii="宋体" w:hAnsi="宋体"/>
          <w:szCs w:val="21"/>
        </w:rPr>
        <w:t>13.5.8招标设备清单虽未列出，但根据设计图纸或为满足设计功能所必需的设备材料购置费；</w:t>
      </w:r>
    </w:p>
    <w:p>
      <w:pPr>
        <w:snapToGrid w:val="0"/>
        <w:spacing w:line="360" w:lineRule="auto"/>
        <w:ind w:left="1572" w:leftChars="405" w:hanging="722" w:hangingChars="344"/>
        <w:rPr>
          <w:rFonts w:ascii="宋体" w:hAnsi="宋体"/>
          <w:szCs w:val="21"/>
        </w:rPr>
      </w:pPr>
      <w:r>
        <w:rPr>
          <w:rFonts w:hint="eastAsia" w:ascii="宋体" w:hAnsi="宋体"/>
          <w:szCs w:val="21"/>
        </w:rPr>
        <w:t>13.5.9合理利润、</w:t>
      </w:r>
      <w:r>
        <w:rPr>
          <w:rFonts w:hint="eastAsia" w:hAnsi="宋体"/>
          <w:szCs w:val="21"/>
          <w:lang w:val="zh-CN"/>
        </w:rPr>
        <w:t>投标人销项税额以外的税费</w:t>
      </w:r>
      <w:r>
        <w:rPr>
          <w:rFonts w:hint="eastAsia" w:ascii="宋体" w:hAnsi="宋体"/>
          <w:szCs w:val="21"/>
        </w:rPr>
        <w:t>等；</w:t>
      </w:r>
    </w:p>
    <w:p>
      <w:pPr>
        <w:snapToGrid w:val="0"/>
        <w:spacing w:line="360" w:lineRule="auto"/>
        <w:ind w:left="1572" w:leftChars="405" w:hanging="722" w:hangingChars="344"/>
        <w:rPr>
          <w:rFonts w:ascii="宋体" w:hAnsi="宋体"/>
          <w:szCs w:val="21"/>
          <w:lang w:val="zh-CN"/>
        </w:rPr>
      </w:pPr>
      <w:r>
        <w:rPr>
          <w:rFonts w:hint="eastAsia" w:ascii="宋体" w:hAnsi="宋体"/>
          <w:szCs w:val="21"/>
        </w:rPr>
        <w:t>13.5.10法律法规、</w:t>
      </w:r>
      <w:r>
        <w:rPr>
          <w:rFonts w:hint="eastAsia" w:ascii="宋体" w:hAnsi="宋体"/>
          <w:szCs w:val="21"/>
          <w:lang w:val="zh-CN"/>
        </w:rPr>
        <w:t>商业公认、招标文件规定由投标人承担的其他费用。</w:t>
      </w:r>
    </w:p>
    <w:p>
      <w:pPr>
        <w:numPr>
          <w:ilvl w:val="1"/>
          <w:numId w:val="2"/>
        </w:numPr>
        <w:snapToGrid w:val="0"/>
        <w:spacing w:line="360" w:lineRule="auto"/>
        <w:rPr>
          <w:rFonts w:ascii="宋体" w:hAnsi="宋体"/>
        </w:rPr>
      </w:pPr>
      <w:r>
        <w:rPr>
          <w:rFonts w:hint="eastAsia" w:ascii="宋体" w:hAnsi="宋体"/>
          <w:szCs w:val="21"/>
        </w:rPr>
        <w:t>投标人必须认真计算、填写投标报价，并核对所有数据。</w:t>
      </w:r>
    </w:p>
    <w:p>
      <w:pPr>
        <w:numPr>
          <w:ilvl w:val="1"/>
          <w:numId w:val="2"/>
        </w:numPr>
        <w:snapToGrid w:val="0"/>
        <w:spacing w:line="360" w:lineRule="auto"/>
        <w:rPr>
          <w:rFonts w:ascii="宋体" w:hAnsi="宋体"/>
          <w:szCs w:val="21"/>
        </w:rPr>
      </w:pPr>
      <w:r>
        <w:rPr>
          <w:rFonts w:hint="eastAsia" w:ascii="宋体" w:hAnsi="宋体"/>
          <w:szCs w:val="21"/>
        </w:rPr>
        <w:t>投标人中标后，本项目按本次招标范围及合同价一次包干，结算时不作调整（本招标文件约定可调整的费用除外）。</w:t>
      </w:r>
    </w:p>
    <w:p>
      <w:pPr>
        <w:numPr>
          <w:ilvl w:val="1"/>
          <w:numId w:val="2"/>
        </w:numPr>
        <w:snapToGrid w:val="0"/>
        <w:spacing w:line="360" w:lineRule="auto"/>
        <w:rPr>
          <w:rFonts w:ascii="宋体" w:hAnsi="宋体"/>
          <w:b/>
          <w:szCs w:val="21"/>
        </w:rPr>
      </w:pPr>
      <w:r>
        <w:rPr>
          <w:rFonts w:hint="eastAsia" w:ascii="宋体" w:hAnsi="宋体"/>
          <w:b/>
          <w:szCs w:val="21"/>
        </w:rPr>
        <w:t>项目业主或招标人已向施工总承包单位支付了总包服务费,投标人报价时无需考虑此项费用。</w:t>
      </w:r>
    </w:p>
    <w:p>
      <w:pPr>
        <w:pStyle w:val="5"/>
        <w:numPr>
          <w:ilvl w:val="0"/>
          <w:numId w:val="2"/>
        </w:numPr>
        <w:rPr>
          <w:rFonts w:ascii="宋体" w:hAnsi="宋体"/>
          <w:sz w:val="24"/>
          <w:szCs w:val="24"/>
        </w:rPr>
      </w:pPr>
      <w:bookmarkStart w:id="200" w:name="_Toc6349"/>
      <w:bookmarkStart w:id="201" w:name="_Toc26567"/>
      <w:bookmarkStart w:id="202" w:name="_Toc6099"/>
      <w:bookmarkStart w:id="203" w:name="_Toc10487"/>
      <w:bookmarkStart w:id="204" w:name="_Toc13028"/>
      <w:bookmarkStart w:id="205" w:name="_Toc132814715"/>
      <w:bookmarkStart w:id="206" w:name="_Toc72916314"/>
      <w:bookmarkStart w:id="207" w:name="_Toc77555195"/>
      <w:r>
        <w:rPr>
          <w:rFonts w:ascii="宋体" w:hAnsi="宋体"/>
          <w:sz w:val="24"/>
          <w:szCs w:val="24"/>
        </w:rPr>
        <w:t>投标货币</w:t>
      </w:r>
      <w:bookmarkEnd w:id="200"/>
      <w:bookmarkEnd w:id="201"/>
      <w:bookmarkEnd w:id="202"/>
      <w:bookmarkEnd w:id="203"/>
      <w:bookmarkEnd w:id="204"/>
      <w:bookmarkEnd w:id="205"/>
    </w:p>
    <w:p>
      <w:pPr>
        <w:numPr>
          <w:ilvl w:val="1"/>
          <w:numId w:val="2"/>
        </w:numPr>
        <w:snapToGrid w:val="0"/>
        <w:spacing w:line="360" w:lineRule="auto"/>
        <w:rPr>
          <w:rFonts w:ascii="宋体" w:hAnsi="宋体"/>
          <w:szCs w:val="21"/>
        </w:rPr>
      </w:pPr>
      <w:r>
        <w:rPr>
          <w:rFonts w:ascii="宋体" w:hAnsi="宋体"/>
          <w:szCs w:val="21"/>
        </w:rPr>
        <w:t>本项目投标报价采用的币种为人民币。</w:t>
      </w:r>
    </w:p>
    <w:p>
      <w:pPr>
        <w:pStyle w:val="5"/>
        <w:numPr>
          <w:ilvl w:val="0"/>
          <w:numId w:val="2"/>
        </w:numPr>
        <w:rPr>
          <w:rFonts w:ascii="宋体" w:hAnsi="宋体"/>
          <w:sz w:val="24"/>
          <w:szCs w:val="24"/>
        </w:rPr>
      </w:pPr>
      <w:bookmarkStart w:id="208" w:name="_Toc31666"/>
      <w:bookmarkStart w:id="209" w:name="_Toc132814716"/>
      <w:bookmarkStart w:id="210" w:name="_Toc4508"/>
      <w:bookmarkStart w:id="211" w:name="_Toc9719"/>
      <w:bookmarkStart w:id="212" w:name="_Toc5986"/>
      <w:bookmarkStart w:id="213" w:name="_Toc30281"/>
      <w:r>
        <w:rPr>
          <w:rFonts w:ascii="宋体" w:hAnsi="宋体"/>
          <w:sz w:val="24"/>
          <w:szCs w:val="24"/>
        </w:rPr>
        <w:t>投标有效期</w:t>
      </w:r>
      <w:bookmarkEnd w:id="206"/>
      <w:bookmarkEnd w:id="207"/>
      <w:bookmarkEnd w:id="208"/>
      <w:bookmarkEnd w:id="209"/>
      <w:bookmarkEnd w:id="210"/>
      <w:bookmarkEnd w:id="211"/>
      <w:bookmarkEnd w:id="212"/>
      <w:bookmarkEnd w:id="213"/>
    </w:p>
    <w:p>
      <w:pPr>
        <w:numPr>
          <w:ilvl w:val="1"/>
          <w:numId w:val="2"/>
        </w:numPr>
        <w:snapToGrid w:val="0"/>
        <w:spacing w:line="360" w:lineRule="auto"/>
        <w:rPr>
          <w:rFonts w:ascii="宋体" w:hAnsi="宋体"/>
          <w:szCs w:val="21"/>
        </w:rPr>
      </w:pPr>
      <w:r>
        <w:rPr>
          <w:rFonts w:ascii="宋体" w:hAnsi="宋体"/>
          <w:szCs w:val="21"/>
        </w:rPr>
        <w:t>投标有效期见投标须知前附表中所规定的期限，在此期限内，所有的投标文件均保持有效。</w:t>
      </w:r>
    </w:p>
    <w:p>
      <w:pPr>
        <w:numPr>
          <w:ilvl w:val="1"/>
          <w:numId w:val="2"/>
        </w:numPr>
        <w:snapToGrid w:val="0"/>
        <w:spacing w:line="360" w:lineRule="auto"/>
        <w:rPr>
          <w:rFonts w:ascii="宋体" w:hAnsi="宋体"/>
          <w:szCs w:val="21"/>
        </w:rPr>
      </w:pPr>
      <w:r>
        <w:rPr>
          <w:rFonts w:ascii="宋体" w:hAnsi="宋体"/>
          <w:szCs w:val="21"/>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w:t>
      </w:r>
      <w:r>
        <w:rPr>
          <w:rFonts w:hint="eastAsia" w:ascii="宋体" w:hAnsi="宋体"/>
          <w:szCs w:val="21"/>
        </w:rPr>
        <w:t>保证金</w:t>
      </w:r>
      <w:r>
        <w:rPr>
          <w:rFonts w:ascii="宋体" w:hAnsi="宋体"/>
          <w:szCs w:val="21"/>
        </w:rPr>
        <w:t>的有效期，在延长的投标有效期内本须知第16条关于投标</w:t>
      </w:r>
      <w:r>
        <w:rPr>
          <w:rFonts w:hint="eastAsia" w:ascii="宋体" w:hAnsi="宋体"/>
          <w:szCs w:val="21"/>
        </w:rPr>
        <w:t>保证金</w:t>
      </w:r>
      <w:r>
        <w:rPr>
          <w:rFonts w:ascii="宋体" w:hAnsi="宋体"/>
          <w:szCs w:val="21"/>
        </w:rPr>
        <w:t>的退还与没收的规定仍然适用。</w:t>
      </w:r>
    </w:p>
    <w:p>
      <w:pPr>
        <w:pStyle w:val="5"/>
        <w:numPr>
          <w:ilvl w:val="0"/>
          <w:numId w:val="2"/>
        </w:numPr>
        <w:rPr>
          <w:rFonts w:ascii="宋体" w:hAnsi="宋体"/>
          <w:sz w:val="24"/>
          <w:szCs w:val="24"/>
        </w:rPr>
      </w:pPr>
      <w:bookmarkStart w:id="214" w:name="_Toc50920436"/>
      <w:bookmarkStart w:id="215" w:name="_Toc3596"/>
      <w:bookmarkStart w:id="216" w:name="_Toc50920593"/>
      <w:bookmarkStart w:id="217" w:name="_Toc77555197"/>
      <w:bookmarkStart w:id="218" w:name="_Toc26014"/>
      <w:bookmarkStart w:id="219" w:name="_Toc21366"/>
      <w:bookmarkStart w:id="220" w:name="_Toc10185"/>
      <w:bookmarkStart w:id="221" w:name="_Toc132814717"/>
      <w:bookmarkStart w:id="222" w:name="_Toc25584"/>
      <w:r>
        <w:rPr>
          <w:rFonts w:ascii="宋体" w:hAnsi="宋体"/>
          <w:sz w:val="24"/>
          <w:szCs w:val="24"/>
        </w:rPr>
        <w:t>投标</w:t>
      </w:r>
      <w:bookmarkEnd w:id="214"/>
      <w:bookmarkEnd w:id="215"/>
      <w:bookmarkEnd w:id="216"/>
      <w:bookmarkEnd w:id="217"/>
      <w:bookmarkEnd w:id="218"/>
      <w:bookmarkEnd w:id="219"/>
      <w:bookmarkEnd w:id="220"/>
      <w:r>
        <w:rPr>
          <w:rFonts w:hint="eastAsia" w:ascii="宋体" w:hAnsi="宋体"/>
          <w:sz w:val="24"/>
          <w:szCs w:val="24"/>
        </w:rPr>
        <w:t>保证金</w:t>
      </w:r>
      <w:bookmarkEnd w:id="221"/>
      <w:bookmarkEnd w:id="222"/>
    </w:p>
    <w:p>
      <w:pPr>
        <w:numPr>
          <w:ilvl w:val="1"/>
          <w:numId w:val="2"/>
        </w:numPr>
        <w:snapToGrid w:val="0"/>
        <w:spacing w:line="360" w:lineRule="auto"/>
        <w:rPr>
          <w:rFonts w:ascii="宋体" w:hAnsi="宋体"/>
          <w:szCs w:val="21"/>
        </w:rPr>
      </w:pPr>
      <w:r>
        <w:rPr>
          <w:rFonts w:ascii="宋体" w:hAnsi="宋体"/>
          <w:szCs w:val="21"/>
        </w:rPr>
        <w:t>投标人在投标文件提交截止时间前，应按规定的数额提交投标保证</w:t>
      </w:r>
      <w:r>
        <w:rPr>
          <w:rFonts w:hint="eastAsia" w:ascii="宋体" w:hAnsi="宋体"/>
          <w:szCs w:val="21"/>
        </w:rPr>
        <w:t>金</w:t>
      </w:r>
      <w:r>
        <w:rPr>
          <w:rFonts w:ascii="宋体" w:hAnsi="宋体"/>
          <w:szCs w:val="21"/>
        </w:rPr>
        <w:t>。投标</w:t>
      </w:r>
      <w:r>
        <w:rPr>
          <w:rFonts w:hint="eastAsia" w:ascii="宋体" w:hAnsi="宋体"/>
          <w:szCs w:val="21"/>
        </w:rPr>
        <w:t>保证金</w:t>
      </w:r>
      <w:r>
        <w:rPr>
          <w:rFonts w:ascii="宋体" w:hAnsi="宋体"/>
          <w:szCs w:val="21"/>
        </w:rPr>
        <w:t>金额详见投标须知前附表。</w:t>
      </w:r>
    </w:p>
    <w:p>
      <w:pPr>
        <w:numPr>
          <w:ilvl w:val="1"/>
          <w:numId w:val="2"/>
        </w:numPr>
        <w:snapToGrid w:val="0"/>
        <w:spacing w:line="360" w:lineRule="auto"/>
        <w:rPr>
          <w:rFonts w:ascii="宋体" w:hAnsi="宋体"/>
          <w:szCs w:val="21"/>
        </w:rPr>
      </w:pPr>
      <w:r>
        <w:rPr>
          <w:rFonts w:ascii="宋体" w:hAnsi="宋体"/>
          <w:b/>
          <w:szCs w:val="21"/>
        </w:rPr>
        <w:t>本项目招标人接受的投标</w:t>
      </w:r>
      <w:r>
        <w:rPr>
          <w:rFonts w:hint="eastAsia" w:ascii="宋体" w:hAnsi="宋体"/>
          <w:b/>
          <w:szCs w:val="21"/>
        </w:rPr>
        <w:t>保证金</w:t>
      </w:r>
      <w:r>
        <w:rPr>
          <w:rFonts w:ascii="宋体" w:hAnsi="宋体"/>
          <w:b/>
          <w:szCs w:val="21"/>
        </w:rPr>
        <w:t>方式详见投标须知前附表，投标人必须在上述招标人接受的方式中任选一种提交投标</w:t>
      </w:r>
      <w:r>
        <w:rPr>
          <w:rFonts w:hint="eastAsia" w:ascii="宋体" w:hAnsi="宋体"/>
          <w:b/>
          <w:szCs w:val="21"/>
        </w:rPr>
        <w:t>保证金</w:t>
      </w:r>
      <w:r>
        <w:rPr>
          <w:rFonts w:ascii="宋体" w:hAnsi="宋体"/>
          <w:b/>
          <w:szCs w:val="21"/>
        </w:rPr>
        <w:t>。</w:t>
      </w:r>
      <w:r>
        <w:rPr>
          <w:rFonts w:hint="eastAsia" w:ascii="宋体" w:hAnsi="宋体"/>
          <w:b/>
          <w:szCs w:val="21"/>
        </w:rPr>
        <w:t>投标保证金到账时间应为单项投标保证金或银行电子保函或保险电子保单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r>
        <w:rPr>
          <w:rFonts w:ascii="宋体" w:hAnsi="宋体"/>
          <w:szCs w:val="21"/>
        </w:rPr>
        <w:t xml:space="preserve"> </w:t>
      </w:r>
    </w:p>
    <w:p>
      <w:pPr>
        <w:snapToGrid w:val="0"/>
        <w:spacing w:line="360" w:lineRule="auto"/>
        <w:ind w:left="1605" w:leftChars="406" w:hanging="752" w:hangingChars="339"/>
        <w:rPr>
          <w:rFonts w:ascii="宋体" w:hAnsi="宋体"/>
          <w:spacing w:val="6"/>
          <w:szCs w:val="21"/>
        </w:rPr>
      </w:pPr>
      <w:r>
        <w:rPr>
          <w:rFonts w:hint="eastAsia" w:ascii="宋体" w:hAnsi="宋体"/>
          <w:spacing w:val="6"/>
          <w:szCs w:val="21"/>
        </w:rPr>
        <w:t>16.2.1若采用单项投标保证金，投标人必须按</w:t>
      </w:r>
      <w:r>
        <w:rPr>
          <w:rFonts w:hint="eastAsia" w:ascii="宋体" w:hAnsi="宋体"/>
          <w:spacing w:val="6"/>
          <w:szCs w:val="21"/>
          <w:lang w:eastAsia="zh-CN"/>
        </w:rPr>
        <w:t>全国公共资源交易平台（广东省·东莞市）</w:t>
      </w:r>
      <w:r>
        <w:rPr>
          <w:rFonts w:hint="eastAsia" w:ascii="宋体" w:hAnsi="宋体"/>
          <w:spacing w:val="6"/>
          <w:szCs w:val="21"/>
        </w:rPr>
        <w:t>办事指南的规定及时向交易中心缴存单项投标保证金，并确保上述款项在投标文件提交截止时间前匹配到本项目，否则，其投标保证金视为无效。</w:t>
      </w:r>
    </w:p>
    <w:p>
      <w:pPr>
        <w:snapToGrid w:val="0"/>
        <w:spacing w:line="360" w:lineRule="auto"/>
        <w:ind w:left="1575" w:leftChars="750" w:firstLine="444" w:firstLineChars="200"/>
        <w:rPr>
          <w:rFonts w:ascii="宋体" w:hAnsi="宋体"/>
          <w:szCs w:val="21"/>
        </w:rPr>
      </w:pPr>
      <w:r>
        <w:rPr>
          <w:rFonts w:hint="eastAsia" w:ascii="宋体" w:hAnsi="宋体"/>
          <w:spacing w:val="6"/>
          <w:szCs w:val="21"/>
        </w:rPr>
        <w:t>投标截止时间前，已在公共资源交易企业库建档的投标人应将保证金关联至本项目。具体要求详见</w:t>
      </w:r>
      <w:r>
        <w:rPr>
          <w:rFonts w:hint="eastAsia" w:ascii="宋体" w:hAnsi="宋体"/>
          <w:spacing w:val="6"/>
          <w:szCs w:val="21"/>
          <w:lang w:eastAsia="zh-CN"/>
        </w:rPr>
        <w:t>全国公共资源交易平台（广东省·东莞市）</w:t>
      </w:r>
      <w:r>
        <w:rPr>
          <w:rFonts w:hint="eastAsia" w:ascii="宋体" w:hAnsi="宋体"/>
          <w:spacing w:val="6"/>
          <w:szCs w:val="21"/>
        </w:rPr>
        <w:t>办事指南中的相关规定。</w:t>
      </w:r>
    </w:p>
    <w:p>
      <w:pPr>
        <w:snapToGrid w:val="0"/>
        <w:spacing w:line="360" w:lineRule="auto"/>
        <w:ind w:left="1567" w:leftChars="405" w:hanging="717" w:hangingChars="323"/>
        <w:rPr>
          <w:rFonts w:ascii="宋体" w:hAnsi="宋体"/>
          <w:szCs w:val="21"/>
        </w:rPr>
      </w:pPr>
      <w:r>
        <w:rPr>
          <w:rFonts w:hint="eastAsia" w:ascii="宋体" w:hAnsi="宋体"/>
          <w:spacing w:val="6"/>
          <w:szCs w:val="21"/>
        </w:rPr>
        <w:t>16.2.2</w:t>
      </w:r>
      <w:r>
        <w:rPr>
          <w:rFonts w:hint="eastAsia" w:ascii="宋体" w:hAnsi="宋体"/>
          <w:szCs w:val="21"/>
        </w:rPr>
        <w:t>按《</w:t>
      </w:r>
      <w:r>
        <w:rPr>
          <w:rFonts w:ascii="宋体" w:hAnsi="宋体"/>
          <w:szCs w:val="21"/>
        </w:rPr>
        <w:t>关于实行投标保证金企业基本账户备案制度的通知</w:t>
      </w:r>
      <w:r>
        <w:rPr>
          <w:rFonts w:hint="eastAsia" w:ascii="宋体" w:hAnsi="宋体"/>
          <w:szCs w:val="21"/>
        </w:rPr>
        <w:t>》</w:t>
      </w:r>
      <w:r>
        <w:rPr>
          <w:rFonts w:ascii="宋体" w:hAnsi="宋体"/>
          <w:szCs w:val="21"/>
        </w:rPr>
        <w:t>(东建市〔2014〕18号)</w:t>
      </w:r>
      <w:r>
        <w:rPr>
          <w:rFonts w:hint="eastAsia" w:ascii="宋体" w:hAnsi="宋体"/>
          <w:szCs w:val="21"/>
        </w:rPr>
        <w:t>要求，</w:t>
      </w:r>
      <w:r>
        <w:rPr>
          <w:rFonts w:ascii="宋体" w:hAnsi="宋体"/>
          <w:szCs w:val="21"/>
        </w:rPr>
        <w:t>缴纳的投标保证金</w:t>
      </w:r>
      <w:r>
        <w:rPr>
          <w:rFonts w:hint="eastAsia" w:ascii="宋体" w:hAnsi="宋体"/>
          <w:szCs w:val="21"/>
        </w:rPr>
        <w:t>需</w:t>
      </w:r>
      <w:r>
        <w:rPr>
          <w:rFonts w:ascii="宋体" w:hAnsi="宋体"/>
          <w:szCs w:val="21"/>
        </w:rPr>
        <w:t>由</w:t>
      </w:r>
      <w:r>
        <w:rPr>
          <w:rFonts w:hint="eastAsia" w:ascii="宋体" w:hAnsi="宋体"/>
          <w:szCs w:val="21"/>
        </w:rPr>
        <w:t>投标人</w:t>
      </w:r>
      <w:r>
        <w:rPr>
          <w:rFonts w:ascii="宋体" w:hAnsi="宋体"/>
          <w:szCs w:val="21"/>
        </w:rPr>
        <w:t>基本账户转出</w:t>
      </w:r>
      <w:r>
        <w:rPr>
          <w:rFonts w:hint="eastAsia" w:ascii="宋体" w:hAnsi="宋体"/>
          <w:szCs w:val="21"/>
        </w:rPr>
        <w:t>。</w:t>
      </w:r>
      <w:r>
        <w:rPr>
          <w:rFonts w:ascii="宋体" w:hAnsi="宋体"/>
          <w:szCs w:val="21"/>
        </w:rPr>
        <w:t>投标保证金不由其基本账户转入的，</w:t>
      </w:r>
      <w:r>
        <w:rPr>
          <w:rFonts w:hint="eastAsia" w:ascii="宋体" w:hAnsi="宋体"/>
          <w:szCs w:val="21"/>
        </w:rPr>
        <w:t>东莞市公共资源交易中心</w:t>
      </w:r>
      <w:r>
        <w:rPr>
          <w:rFonts w:ascii="宋体" w:hAnsi="宋体"/>
          <w:szCs w:val="21"/>
        </w:rPr>
        <w:t>一律不予认定，无法参与投标的相关责任由</w:t>
      </w:r>
      <w:r>
        <w:rPr>
          <w:rFonts w:hint="eastAsia" w:ascii="宋体" w:hAnsi="宋体"/>
          <w:szCs w:val="21"/>
        </w:rPr>
        <w:t>投标人</w:t>
      </w:r>
      <w:r>
        <w:rPr>
          <w:rFonts w:ascii="宋体" w:hAnsi="宋体"/>
          <w:szCs w:val="21"/>
        </w:rPr>
        <w:t>自行</w:t>
      </w:r>
      <w:r>
        <w:rPr>
          <w:rFonts w:hint="eastAsia" w:ascii="宋体" w:hAnsi="宋体"/>
          <w:szCs w:val="21"/>
        </w:rPr>
        <w:t>承担</w:t>
      </w:r>
      <w:r>
        <w:rPr>
          <w:rFonts w:ascii="宋体" w:hAnsi="宋体"/>
          <w:szCs w:val="21"/>
        </w:rPr>
        <w:t>。</w:t>
      </w:r>
    </w:p>
    <w:p>
      <w:pPr>
        <w:snapToGrid w:val="0"/>
        <w:spacing w:line="360" w:lineRule="auto"/>
        <w:ind w:left="1567" w:leftChars="405" w:hanging="717" w:hangingChars="323"/>
        <w:rPr>
          <w:rFonts w:ascii="宋体" w:hAnsi="宋体" w:cs="宋体"/>
          <w:szCs w:val="21"/>
        </w:rPr>
      </w:pPr>
      <w:r>
        <w:rPr>
          <w:rFonts w:hint="eastAsia" w:ascii="宋体" w:hAnsi="宋体"/>
          <w:spacing w:val="6"/>
          <w:szCs w:val="21"/>
        </w:rPr>
        <w:t>16.2.3</w:t>
      </w:r>
      <w:r>
        <w:rPr>
          <w:rFonts w:ascii="宋体" w:hAnsi="宋体" w:cs="宋体"/>
          <w:szCs w:val="21"/>
        </w:rPr>
        <w:t>若采用银行出具的投标</w:t>
      </w:r>
      <w:r>
        <w:rPr>
          <w:rFonts w:hint="eastAsia" w:ascii="宋体" w:hAnsi="宋体" w:cs="宋体"/>
          <w:szCs w:val="21"/>
        </w:rPr>
        <w:t>电子</w:t>
      </w:r>
      <w:r>
        <w:rPr>
          <w:rFonts w:ascii="宋体" w:hAnsi="宋体" w:cs="宋体"/>
          <w:szCs w:val="21"/>
        </w:rPr>
        <w:t>保函，投标人</w:t>
      </w:r>
      <w:r>
        <w:rPr>
          <w:rFonts w:hint="eastAsia" w:ascii="宋体" w:hAnsi="宋体" w:cs="宋体"/>
          <w:szCs w:val="21"/>
        </w:rPr>
        <w:t>参照</w:t>
      </w:r>
      <w:r>
        <w:rPr>
          <w:rFonts w:ascii="宋体" w:hAnsi="宋体" w:cs="宋体"/>
          <w:szCs w:val="21"/>
        </w:rPr>
        <w:t>《</w:t>
      </w:r>
      <w:r>
        <w:rPr>
          <w:rFonts w:hint="eastAsia" w:ascii="宋体" w:hAnsi="宋体" w:cs="宋体"/>
          <w:szCs w:val="21"/>
        </w:rPr>
        <w:t>东莞市住房和城乡建设局关于我市房屋建筑和市政基础设施工程建设项目投标保证金使用银行电子保函及保险电子保单的通知》</w:t>
      </w:r>
      <w:r>
        <w:rPr>
          <w:rFonts w:ascii="宋体" w:hAnsi="宋体" w:cs="宋体"/>
          <w:szCs w:val="21"/>
        </w:rPr>
        <w:t>(东建市〔20</w:t>
      </w:r>
      <w:r>
        <w:rPr>
          <w:rFonts w:hint="eastAsia" w:ascii="宋体" w:hAnsi="宋体" w:cs="宋体"/>
          <w:szCs w:val="21"/>
        </w:rPr>
        <w:t>22</w:t>
      </w:r>
      <w:r>
        <w:rPr>
          <w:rFonts w:ascii="宋体" w:hAnsi="宋体" w:cs="宋体"/>
          <w:szCs w:val="21"/>
        </w:rPr>
        <w:t>〕</w:t>
      </w:r>
      <w:r>
        <w:rPr>
          <w:rFonts w:hint="eastAsia" w:ascii="宋体" w:hAnsi="宋体" w:cs="宋体"/>
          <w:szCs w:val="21"/>
        </w:rPr>
        <w:t>6</w:t>
      </w:r>
      <w:r>
        <w:rPr>
          <w:rFonts w:ascii="宋体" w:hAnsi="宋体" w:cs="宋体"/>
          <w:szCs w:val="21"/>
        </w:rPr>
        <w:t>号)规定办理，保证出具的银行电子保函有效。</w:t>
      </w:r>
      <w:r>
        <w:rPr>
          <w:rFonts w:hint="eastAsia" w:ascii="宋体" w:hAnsi="宋体" w:cs="宋体"/>
          <w:szCs w:val="21"/>
        </w:rPr>
        <w:t>投标保函可参考本须知附件中提供的格式。投标人开具银行电子保函存入的保证金及相关费用须从基本账户转出。银行电子保函在投标人签到时关联。</w:t>
      </w:r>
    </w:p>
    <w:p>
      <w:pPr>
        <w:snapToGrid w:val="0"/>
        <w:spacing w:line="360" w:lineRule="auto"/>
        <w:ind w:left="1605" w:leftChars="500" w:hanging="555" w:hangingChars="250"/>
        <w:rPr>
          <w:rFonts w:ascii="宋体" w:hAnsi="宋体"/>
          <w:spacing w:val="6"/>
          <w:szCs w:val="21"/>
        </w:rPr>
      </w:pPr>
      <w:r>
        <w:rPr>
          <w:rFonts w:hint="eastAsia" w:ascii="宋体" w:hAnsi="宋体"/>
          <w:spacing w:val="6"/>
          <w:szCs w:val="21"/>
        </w:rPr>
        <w:t>（1）投标人应当选择具备银行电子保函相关业务的银行开具投标保函。具备银行电子保函相关业务的银行应满足能与交易中心端口对接、关联基本账户、退款等条件，以保证电子指令的正常发送与接收。</w:t>
      </w:r>
    </w:p>
    <w:p>
      <w:pPr>
        <w:snapToGrid w:val="0"/>
        <w:spacing w:line="360" w:lineRule="auto"/>
        <w:ind w:left="1605" w:leftChars="500" w:hanging="555" w:hangingChars="250"/>
        <w:rPr>
          <w:rFonts w:ascii="宋体" w:hAnsi="宋体"/>
          <w:spacing w:val="6"/>
          <w:szCs w:val="21"/>
        </w:rPr>
      </w:pPr>
      <w:r>
        <w:rPr>
          <w:rFonts w:hint="eastAsia" w:ascii="宋体" w:hAnsi="宋体"/>
          <w:spacing w:val="6"/>
          <w:szCs w:val="21"/>
        </w:rPr>
        <w:t>（2）银行电子保函采用“电子保函+电子指令”模式，即银行向投标人开具电子保函的同时向交易中心发送经加密的电子指令，投标人自行登录交易系统进行确认。</w:t>
      </w:r>
    </w:p>
    <w:p>
      <w:pPr>
        <w:snapToGrid w:val="0"/>
        <w:spacing w:line="360" w:lineRule="auto"/>
        <w:ind w:left="1605" w:leftChars="500" w:hanging="555" w:hangingChars="250"/>
        <w:rPr>
          <w:rFonts w:ascii="宋体" w:hAnsi="宋体"/>
          <w:spacing w:val="6"/>
          <w:szCs w:val="21"/>
        </w:rPr>
      </w:pPr>
      <w:r>
        <w:rPr>
          <w:rFonts w:hint="eastAsia" w:ascii="宋体" w:hAnsi="宋体"/>
          <w:spacing w:val="6"/>
          <w:szCs w:val="21"/>
        </w:rPr>
        <w:t>（3）投标人需预留足够的时间，提前办理好银行电子保函，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pPr>
        <w:snapToGrid w:val="0"/>
        <w:spacing w:line="360" w:lineRule="auto"/>
        <w:ind w:left="1528" w:leftChars="405" w:hanging="678" w:hangingChars="323"/>
        <w:rPr>
          <w:rFonts w:ascii="宋体" w:hAnsi="宋体" w:cs="宋体"/>
          <w:szCs w:val="21"/>
        </w:rPr>
      </w:pPr>
      <w:r>
        <w:rPr>
          <w:rFonts w:hint="eastAsia" w:ascii="宋体" w:hAnsi="宋体"/>
          <w:szCs w:val="21"/>
        </w:rPr>
        <w:t>1</w:t>
      </w:r>
      <w:r>
        <w:rPr>
          <w:rFonts w:ascii="宋体" w:hAnsi="宋体"/>
          <w:szCs w:val="21"/>
        </w:rPr>
        <w:t>6.2.4</w:t>
      </w:r>
      <w:r>
        <w:rPr>
          <w:rFonts w:ascii="宋体" w:hAnsi="宋体" w:cs="宋体"/>
          <w:szCs w:val="21"/>
        </w:rPr>
        <w:t>若采用</w:t>
      </w:r>
      <w:r>
        <w:rPr>
          <w:rFonts w:hint="eastAsia" w:ascii="宋体" w:hAnsi="宋体" w:cs="宋体"/>
          <w:szCs w:val="21"/>
        </w:rPr>
        <w:t>保险公司</w:t>
      </w:r>
      <w:r>
        <w:rPr>
          <w:rFonts w:ascii="宋体" w:hAnsi="宋体" w:cs="宋体"/>
          <w:szCs w:val="21"/>
        </w:rPr>
        <w:t>出具的</w:t>
      </w:r>
      <w:r>
        <w:rPr>
          <w:rFonts w:hint="eastAsia" w:ascii="宋体" w:hAnsi="宋体" w:cs="宋体"/>
          <w:szCs w:val="21"/>
        </w:rPr>
        <w:t>保险电子保单</w:t>
      </w:r>
      <w:r>
        <w:rPr>
          <w:rFonts w:ascii="宋体" w:hAnsi="宋体" w:cs="宋体"/>
          <w:szCs w:val="21"/>
        </w:rPr>
        <w:t>，</w:t>
      </w:r>
      <w:r>
        <w:rPr>
          <w:rFonts w:hint="eastAsia" w:ascii="宋体" w:hAnsi="宋体" w:cs="宋体"/>
          <w:szCs w:val="21"/>
        </w:rPr>
        <w:t>投标人开具保险电子保单存入的保证金及相关费用须从基本账户转出。</w:t>
      </w:r>
      <w:r>
        <w:rPr>
          <w:rFonts w:ascii="宋体" w:hAnsi="宋体" w:cs="宋体"/>
          <w:szCs w:val="21"/>
        </w:rPr>
        <w:t>投标人</w:t>
      </w:r>
      <w:r>
        <w:rPr>
          <w:rFonts w:hint="eastAsia" w:ascii="宋体" w:hAnsi="宋体" w:cs="宋体"/>
          <w:szCs w:val="21"/>
        </w:rPr>
        <w:t>参照</w:t>
      </w:r>
      <w:r>
        <w:rPr>
          <w:rFonts w:ascii="宋体" w:hAnsi="宋体" w:cs="宋体"/>
          <w:szCs w:val="21"/>
        </w:rPr>
        <w:t>《</w:t>
      </w:r>
      <w:r>
        <w:rPr>
          <w:rFonts w:hint="eastAsia" w:ascii="宋体" w:hAnsi="宋体" w:cs="宋体"/>
          <w:szCs w:val="21"/>
        </w:rPr>
        <w:t>东莞市住房和城乡建设局关于我市房屋建筑和市政基础设施工程建设项目投标保证金使用银行电子保函及保险电子保单的通知》</w:t>
      </w:r>
      <w:r>
        <w:rPr>
          <w:rFonts w:ascii="宋体" w:hAnsi="宋体" w:cs="宋体"/>
          <w:szCs w:val="21"/>
        </w:rPr>
        <w:t>(东建市〔20</w:t>
      </w:r>
      <w:r>
        <w:rPr>
          <w:rFonts w:hint="eastAsia" w:ascii="宋体" w:hAnsi="宋体" w:cs="宋体"/>
          <w:szCs w:val="21"/>
        </w:rPr>
        <w:t>22</w:t>
      </w:r>
      <w:r>
        <w:rPr>
          <w:rFonts w:ascii="宋体" w:hAnsi="宋体" w:cs="宋体"/>
          <w:szCs w:val="21"/>
        </w:rPr>
        <w:t>〕</w:t>
      </w:r>
      <w:r>
        <w:rPr>
          <w:rFonts w:hint="eastAsia" w:ascii="宋体" w:hAnsi="宋体" w:cs="宋体"/>
          <w:szCs w:val="21"/>
        </w:rPr>
        <w:t>6</w:t>
      </w:r>
      <w:r>
        <w:rPr>
          <w:rFonts w:ascii="宋体" w:hAnsi="宋体" w:cs="宋体"/>
          <w:szCs w:val="21"/>
        </w:rPr>
        <w:t>号)规定办理，保证出具的</w:t>
      </w:r>
      <w:r>
        <w:rPr>
          <w:rFonts w:hint="eastAsia" w:ascii="宋体" w:hAnsi="宋体" w:cs="宋体"/>
          <w:szCs w:val="21"/>
        </w:rPr>
        <w:t>保险电子保单</w:t>
      </w:r>
      <w:r>
        <w:rPr>
          <w:rFonts w:ascii="宋体" w:hAnsi="宋体" w:cs="宋体"/>
          <w:szCs w:val="21"/>
        </w:rPr>
        <w:t>有效。</w:t>
      </w:r>
      <w:r>
        <w:rPr>
          <w:rFonts w:hint="eastAsia" w:ascii="宋体" w:hAnsi="宋体" w:cs="宋体"/>
          <w:szCs w:val="21"/>
        </w:rPr>
        <w:t>保险电子保单在投标人签到时关联。</w:t>
      </w:r>
    </w:p>
    <w:p>
      <w:pPr>
        <w:snapToGrid w:val="0"/>
        <w:spacing w:line="360" w:lineRule="auto"/>
        <w:ind w:left="1605" w:leftChars="500" w:hanging="555" w:hangingChars="250"/>
        <w:rPr>
          <w:rFonts w:ascii="宋体" w:hAnsi="宋体" w:cs="宋体"/>
          <w:szCs w:val="21"/>
        </w:rPr>
      </w:pPr>
      <w:r>
        <w:rPr>
          <w:rFonts w:hint="eastAsia" w:ascii="宋体" w:hAnsi="宋体"/>
          <w:spacing w:val="6"/>
          <w:szCs w:val="21"/>
        </w:rPr>
        <w:t>（1）保险公司</w:t>
      </w:r>
      <w:r>
        <w:rPr>
          <w:rFonts w:hint="eastAsia" w:ascii="宋体" w:hAnsi="宋体" w:cs="宋体"/>
        </w:rPr>
        <w:t>所提供的建设工程保证保险条款应当经中国银保监会批准、备案或注册，并在本公司门户网站主动公开单位信息、投保单（范本）以及保险合同含条款（范本）</w:t>
      </w:r>
      <w:r>
        <w:rPr>
          <w:rFonts w:ascii="宋体" w:hAnsi="宋体" w:cs="宋体"/>
          <w:szCs w:val="21"/>
        </w:rPr>
        <w:t>。</w:t>
      </w:r>
    </w:p>
    <w:p>
      <w:pPr>
        <w:snapToGrid w:val="0"/>
        <w:spacing w:line="360" w:lineRule="auto"/>
        <w:ind w:left="1605" w:leftChars="500" w:hanging="555" w:hangingChars="250"/>
        <w:rPr>
          <w:rFonts w:ascii="宋体" w:hAnsi="宋体"/>
          <w:spacing w:val="6"/>
          <w:szCs w:val="21"/>
        </w:rPr>
      </w:pPr>
      <w:r>
        <w:rPr>
          <w:rFonts w:hint="eastAsia" w:ascii="宋体" w:hAnsi="宋体"/>
          <w:spacing w:val="6"/>
          <w:szCs w:val="21"/>
        </w:rPr>
        <w:t>（</w:t>
      </w:r>
      <w:r>
        <w:rPr>
          <w:rFonts w:ascii="宋体" w:hAnsi="宋体"/>
          <w:spacing w:val="6"/>
          <w:szCs w:val="21"/>
        </w:rPr>
        <w:t>2</w:t>
      </w:r>
      <w:r>
        <w:rPr>
          <w:rFonts w:hint="eastAsia" w:ascii="宋体" w:hAnsi="宋体"/>
          <w:spacing w:val="6"/>
          <w:szCs w:val="21"/>
        </w:rPr>
        <w:t>）投标人应当选择具备</w:t>
      </w:r>
      <w:r>
        <w:rPr>
          <w:rFonts w:hint="eastAsia" w:ascii="宋体" w:hAnsi="宋体" w:cs="宋体"/>
          <w:szCs w:val="21"/>
        </w:rPr>
        <w:t>保险电子保单</w:t>
      </w:r>
      <w:r>
        <w:rPr>
          <w:rFonts w:hint="eastAsia" w:ascii="宋体" w:hAnsi="宋体"/>
          <w:spacing w:val="6"/>
          <w:szCs w:val="21"/>
        </w:rPr>
        <w:t>相关业务的保险公司开具投标保单。具备相关业务的保险公司应满足能与交易中心端口对接、关联基本账户、退款等条件，以保证电子指令的正常发送与接收。</w:t>
      </w:r>
    </w:p>
    <w:p>
      <w:pPr>
        <w:snapToGrid w:val="0"/>
        <w:spacing w:line="360" w:lineRule="auto"/>
        <w:ind w:left="1605" w:leftChars="500" w:hanging="555" w:hangingChars="250"/>
        <w:rPr>
          <w:rFonts w:ascii="宋体" w:hAnsi="宋体"/>
          <w:spacing w:val="6"/>
          <w:szCs w:val="21"/>
        </w:rPr>
      </w:pPr>
      <w:r>
        <w:rPr>
          <w:rFonts w:hint="eastAsia" w:ascii="宋体" w:hAnsi="宋体"/>
          <w:spacing w:val="6"/>
          <w:szCs w:val="21"/>
        </w:rPr>
        <w:t>（</w:t>
      </w:r>
      <w:r>
        <w:rPr>
          <w:rFonts w:ascii="宋体" w:hAnsi="宋体"/>
          <w:spacing w:val="6"/>
          <w:szCs w:val="21"/>
        </w:rPr>
        <w:t>3</w:t>
      </w:r>
      <w:r>
        <w:rPr>
          <w:rFonts w:hint="eastAsia" w:ascii="宋体" w:hAnsi="宋体"/>
          <w:spacing w:val="6"/>
          <w:szCs w:val="21"/>
        </w:rPr>
        <w:t>）</w:t>
      </w:r>
      <w:r>
        <w:rPr>
          <w:rFonts w:hint="eastAsia" w:ascii="宋体" w:hAnsi="宋体" w:cs="宋体"/>
          <w:szCs w:val="21"/>
        </w:rPr>
        <w:t>保险电子保单采用“</w:t>
      </w:r>
      <w:r>
        <w:rPr>
          <w:rFonts w:hint="eastAsia"/>
        </w:rPr>
        <w:t>电子保单+电子指令</w:t>
      </w:r>
      <w:r>
        <w:rPr>
          <w:rFonts w:hint="eastAsia" w:ascii="宋体" w:hAnsi="宋体" w:cs="宋体"/>
          <w:szCs w:val="21"/>
        </w:rPr>
        <w:t>”模式</w:t>
      </w:r>
      <w:r>
        <w:rPr>
          <w:rFonts w:hint="eastAsia" w:ascii="宋体" w:hAnsi="宋体"/>
          <w:spacing w:val="6"/>
          <w:szCs w:val="21"/>
        </w:rPr>
        <w:t>，即</w:t>
      </w:r>
      <w:r>
        <w:rPr>
          <w:rFonts w:hint="eastAsia" w:ascii="宋体" w:hAnsi="宋体" w:cs="宋体"/>
          <w:szCs w:val="21"/>
        </w:rPr>
        <w:t>保险公司</w:t>
      </w:r>
      <w:r>
        <w:rPr>
          <w:rFonts w:hint="eastAsia" w:ascii="宋体" w:hAnsi="宋体"/>
          <w:spacing w:val="6"/>
          <w:szCs w:val="21"/>
        </w:rPr>
        <w:t>向投标人开具电子保单的同时向交易中心发送经加密的电子指令，投标人自行登录交易系统进行确认。</w:t>
      </w:r>
    </w:p>
    <w:p>
      <w:pPr>
        <w:snapToGrid w:val="0"/>
        <w:spacing w:line="360" w:lineRule="auto"/>
        <w:ind w:left="1575" w:leftChars="500" w:hanging="525" w:hangingChars="250"/>
        <w:rPr>
          <w:rFonts w:ascii="宋体" w:hAnsi="宋体"/>
          <w:spacing w:val="6"/>
          <w:szCs w:val="21"/>
        </w:rPr>
      </w:pPr>
      <w:r>
        <w:rPr>
          <w:rFonts w:hint="eastAsia" w:ascii="宋体" w:hAnsi="宋体" w:cs="宋体"/>
          <w:szCs w:val="21"/>
        </w:rPr>
        <w:t>（4）投标人</w:t>
      </w:r>
      <w:r>
        <w:rPr>
          <w:rFonts w:hint="eastAsia" w:ascii="宋体" w:hAnsi="宋体"/>
          <w:spacing w:val="6"/>
          <w:szCs w:val="21"/>
        </w:rPr>
        <w:t>需预留足够的时间，提前办理好</w:t>
      </w:r>
      <w:r>
        <w:rPr>
          <w:rFonts w:hint="eastAsia" w:ascii="宋体" w:hAnsi="宋体" w:cs="宋体"/>
          <w:szCs w:val="21"/>
        </w:rPr>
        <w:t>保险电子保单</w:t>
      </w:r>
      <w:r>
        <w:rPr>
          <w:rFonts w:hint="eastAsia" w:ascii="宋体" w:hAnsi="宋体"/>
          <w:spacing w:val="6"/>
          <w:szCs w:val="21"/>
        </w:rPr>
        <w:t>，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pPr>
        <w:pStyle w:val="5"/>
        <w:ind w:left="1575" w:hanging="525"/>
      </w:pPr>
    </w:p>
    <w:p>
      <w:pPr>
        <w:numPr>
          <w:ilvl w:val="1"/>
          <w:numId w:val="2"/>
        </w:numPr>
        <w:snapToGrid w:val="0"/>
        <w:spacing w:line="360" w:lineRule="auto"/>
        <w:rPr>
          <w:rFonts w:ascii="宋体" w:hAnsi="宋体"/>
          <w:b/>
          <w:szCs w:val="21"/>
        </w:rPr>
      </w:pPr>
      <w:r>
        <w:rPr>
          <w:rFonts w:hint="eastAsia" w:ascii="宋体" w:hAnsi="宋体"/>
          <w:b/>
          <w:szCs w:val="21"/>
        </w:rPr>
        <w:t>投标人签到时应按本章第</w:t>
      </w:r>
      <w:r>
        <w:rPr>
          <w:rFonts w:ascii="宋体" w:hAnsi="宋体"/>
          <w:b/>
          <w:szCs w:val="21"/>
        </w:rPr>
        <w:t>16.2</w:t>
      </w:r>
      <w:r>
        <w:rPr>
          <w:rFonts w:hint="eastAsia" w:ascii="宋体" w:hAnsi="宋体"/>
          <w:b/>
          <w:szCs w:val="21"/>
        </w:rPr>
        <w:t>款要求提交投标保证金。投标截止时间前，投标人如果撤销签到，已关联的投标保证同步取消关联。投标截止后，已关联的单项保证金或银行电子保函或保险电子保单不能取消关联。投标人在本项目关联多项保证金时，至少一项保证金或银行电子保函或保险电子保单的保证金金额满足招标文件要求（即不可累计），否则为无效投标人。投标人需要重新关联保证金的，需撤销签到，重新签到并关联保证金。</w:t>
      </w:r>
    </w:p>
    <w:p>
      <w:pPr>
        <w:numPr>
          <w:ilvl w:val="1"/>
          <w:numId w:val="2"/>
        </w:numPr>
        <w:snapToGrid w:val="0"/>
        <w:spacing w:line="360" w:lineRule="auto"/>
        <w:rPr>
          <w:rFonts w:ascii="宋体" w:hAnsi="宋体"/>
          <w:szCs w:val="21"/>
        </w:rPr>
      </w:pPr>
      <w:r>
        <w:rPr>
          <w:rFonts w:ascii="宋体" w:hAnsi="宋体"/>
          <w:szCs w:val="21"/>
        </w:rPr>
        <w:t>投标</w:t>
      </w:r>
      <w:r>
        <w:rPr>
          <w:rFonts w:hint="eastAsia" w:ascii="宋体" w:hAnsi="宋体"/>
          <w:szCs w:val="21"/>
        </w:rPr>
        <w:t>保证金</w:t>
      </w:r>
      <w:r>
        <w:rPr>
          <w:rFonts w:ascii="宋体" w:hAnsi="宋体"/>
          <w:szCs w:val="21"/>
        </w:rPr>
        <w:t>在投标文件有效期满后30天内保持有效，招标人如果按本须知第15.2款的规定延长了投标文件有效期，则投标</w:t>
      </w:r>
      <w:r>
        <w:rPr>
          <w:rFonts w:hint="eastAsia" w:ascii="宋体" w:hAnsi="宋体"/>
          <w:szCs w:val="21"/>
        </w:rPr>
        <w:t>保证金</w:t>
      </w:r>
      <w:r>
        <w:rPr>
          <w:rFonts w:ascii="宋体" w:hAnsi="宋体"/>
          <w:szCs w:val="21"/>
        </w:rPr>
        <w:t>的有效期也相应延长。</w:t>
      </w:r>
    </w:p>
    <w:p>
      <w:pPr>
        <w:numPr>
          <w:ilvl w:val="1"/>
          <w:numId w:val="2"/>
        </w:numPr>
        <w:snapToGrid w:val="0"/>
        <w:spacing w:line="360" w:lineRule="auto"/>
        <w:rPr>
          <w:rFonts w:ascii="宋体" w:hAnsi="宋体"/>
          <w:spacing w:val="6"/>
          <w:szCs w:val="21"/>
        </w:rPr>
      </w:pPr>
      <w:r>
        <w:rPr>
          <w:rFonts w:hint="eastAsia" w:ascii="宋体" w:hAnsi="宋体"/>
          <w:szCs w:val="21"/>
        </w:rPr>
        <w:t>投标保证金退还程序</w:t>
      </w:r>
      <w:r>
        <w:rPr>
          <w:rFonts w:hint="eastAsia" w:ascii="宋体" w:hAnsi="宋体"/>
          <w:spacing w:val="6"/>
          <w:szCs w:val="21"/>
        </w:rPr>
        <w:t>。</w:t>
      </w:r>
    </w:p>
    <w:p>
      <w:pPr>
        <w:snapToGrid w:val="0"/>
        <w:spacing w:line="360" w:lineRule="auto"/>
        <w:ind w:left="1528" w:leftChars="405" w:hanging="678" w:hangingChars="323"/>
        <w:rPr>
          <w:rFonts w:ascii="宋体" w:hAnsi="宋体"/>
          <w:szCs w:val="21"/>
        </w:rPr>
      </w:pPr>
      <w:r>
        <w:rPr>
          <w:rFonts w:hint="eastAsia" w:ascii="宋体" w:hAnsi="宋体"/>
          <w:szCs w:val="21"/>
        </w:rPr>
        <w:t>16.5.1招标人签发中标通知书后3个工作日内向交易中心对未中标的投标人发起退还指令。</w:t>
      </w:r>
    </w:p>
    <w:p>
      <w:pPr>
        <w:snapToGrid w:val="0"/>
        <w:spacing w:line="360" w:lineRule="auto"/>
        <w:ind w:left="1528" w:leftChars="405" w:hanging="678" w:hangingChars="323"/>
        <w:rPr>
          <w:rFonts w:ascii="宋体" w:hAnsi="宋体"/>
          <w:szCs w:val="21"/>
        </w:rPr>
      </w:pPr>
      <w:r>
        <w:rPr>
          <w:rFonts w:hint="eastAsia" w:ascii="宋体" w:hAnsi="宋体"/>
          <w:szCs w:val="21"/>
        </w:rPr>
        <w:t>16.5.</w:t>
      </w:r>
      <w:r>
        <w:rPr>
          <w:rFonts w:ascii="宋体" w:hAnsi="宋体"/>
          <w:szCs w:val="21"/>
        </w:rPr>
        <w:t>2</w:t>
      </w:r>
      <w:r>
        <w:rPr>
          <w:rFonts w:hint="eastAsia" w:ascii="宋体" w:hAnsi="宋体"/>
          <w:szCs w:val="21"/>
        </w:rPr>
        <w:t>招标人与中标人在签订</w:t>
      </w:r>
      <w:r>
        <w:rPr>
          <w:rFonts w:ascii="宋体" w:hAnsi="宋体"/>
          <w:szCs w:val="21"/>
        </w:rPr>
        <w:t>书面合同后5</w:t>
      </w:r>
      <w:r>
        <w:rPr>
          <w:rFonts w:hint="eastAsia" w:ascii="宋体" w:hAnsi="宋体"/>
          <w:szCs w:val="21"/>
        </w:rPr>
        <w:t>日内向交易中心对中标人发起退还指令。</w:t>
      </w:r>
    </w:p>
    <w:p>
      <w:pPr>
        <w:numPr>
          <w:ilvl w:val="1"/>
          <w:numId w:val="2"/>
        </w:numPr>
        <w:snapToGrid w:val="0"/>
        <w:spacing w:line="360" w:lineRule="auto"/>
        <w:rPr>
          <w:rFonts w:ascii="宋体" w:hAnsi="宋体"/>
          <w:szCs w:val="21"/>
        </w:rPr>
      </w:pPr>
      <w:r>
        <w:rPr>
          <w:rFonts w:ascii="宋体" w:hAnsi="宋体"/>
          <w:szCs w:val="21"/>
        </w:rPr>
        <w:t>投标人如有下列情形之一的，将没收其投标保证</w:t>
      </w:r>
      <w:r>
        <w:rPr>
          <w:rFonts w:hint="eastAsia" w:ascii="宋体" w:hAnsi="宋体"/>
          <w:szCs w:val="21"/>
        </w:rPr>
        <w:t>金</w:t>
      </w:r>
      <w:r>
        <w:rPr>
          <w:rFonts w:ascii="宋体" w:hAnsi="宋体"/>
          <w:szCs w:val="21"/>
        </w:rPr>
        <w:t>：</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.1在投标截止时间至投标有效期满之前，投标人不得撤销其投标文件。投标截止后投标人撤销投标文件的，招标人没收其投标保证金（逾期未解密投标文件的除外）。</w:t>
      </w:r>
      <w:r>
        <w:rPr>
          <w:rFonts w:ascii="宋体" w:hAnsi="宋体"/>
          <w:szCs w:val="21"/>
        </w:rPr>
        <w:t xml:space="preserve"> </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.2</w:t>
      </w:r>
      <w:r>
        <w:rPr>
          <w:rFonts w:ascii="宋体" w:hAnsi="宋体"/>
          <w:szCs w:val="21"/>
        </w:rPr>
        <w:t>投标人不接受依据本须知的规定对其投标文件中细微偏差进行澄清和补正</w:t>
      </w:r>
      <w:r>
        <w:rPr>
          <w:rFonts w:hint="eastAsia" w:ascii="宋体" w:hAnsi="宋体"/>
          <w:szCs w:val="21"/>
        </w:rPr>
        <w:t>。</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 xml:space="preserve"> 中标人未能按本须知的规定提交履约担保或签订合同协议书。</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w:t>
      </w:r>
      <w:r>
        <w:rPr>
          <w:rFonts w:ascii="宋体" w:hAnsi="宋体"/>
          <w:szCs w:val="21"/>
        </w:rPr>
        <w:t>4</w:t>
      </w:r>
      <w:r>
        <w:rPr>
          <w:rFonts w:hint="eastAsia" w:ascii="宋体" w:hAnsi="宋体"/>
          <w:szCs w:val="21"/>
        </w:rPr>
        <w:t>投标人以他人名义投标、与他人串通投标、以行贿手段谋取中标、弄虚作假等行为。</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w:t>
      </w:r>
      <w:r>
        <w:rPr>
          <w:rFonts w:ascii="宋体" w:hAnsi="宋体"/>
          <w:szCs w:val="21"/>
        </w:rPr>
        <w:t>5</w:t>
      </w:r>
      <w:r>
        <w:rPr>
          <w:rFonts w:hint="eastAsia" w:ascii="宋体" w:hAnsi="宋体"/>
          <w:szCs w:val="21"/>
        </w:rPr>
        <w:t>经查实有行贿舞弊、串通抬价、以致损害国家或他人利益者。</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w:t>
      </w:r>
      <w:r>
        <w:rPr>
          <w:rFonts w:ascii="宋体" w:hAnsi="宋体"/>
          <w:szCs w:val="21"/>
        </w:rPr>
        <w:t>6</w:t>
      </w:r>
      <w:r>
        <w:rPr>
          <w:rFonts w:hint="eastAsia" w:ascii="宋体" w:hAnsi="宋体"/>
          <w:szCs w:val="21"/>
        </w:rPr>
        <w:t>中标企业提交虚假资料或无效资料中标，影响中标结果的。</w:t>
      </w:r>
    </w:p>
    <w:p>
      <w:pPr>
        <w:numPr>
          <w:ilvl w:val="1"/>
          <w:numId w:val="2"/>
        </w:numPr>
        <w:snapToGrid w:val="0"/>
        <w:spacing w:line="360" w:lineRule="auto"/>
        <w:rPr>
          <w:rFonts w:ascii="宋体" w:hAnsi="宋体"/>
          <w:spacing w:val="6"/>
          <w:szCs w:val="21"/>
        </w:rPr>
      </w:pPr>
      <w:r>
        <w:rPr>
          <w:rFonts w:hint="eastAsia" w:ascii="宋体" w:hAnsi="宋体"/>
          <w:b/>
          <w:szCs w:val="21"/>
        </w:rPr>
        <w:t>投标保证金缴存银行账户见</w:t>
      </w:r>
      <w:r>
        <w:rPr>
          <w:rFonts w:hint="eastAsia" w:ascii="宋体" w:hAnsi="宋体"/>
          <w:color w:val="000000"/>
          <w:kern w:val="2"/>
          <w:sz w:val="21"/>
          <w:szCs w:val="21"/>
        </w:rPr>
        <w:t>全国公共资源交易平台（广东省·东莞市）</w:t>
      </w:r>
      <w:r>
        <w:rPr>
          <w:rFonts w:hint="eastAsia" w:ascii="宋体" w:hAnsi="宋体"/>
          <w:b/>
          <w:szCs w:val="21"/>
        </w:rPr>
        <w:t>服务指南（</w:t>
      </w:r>
      <w:r>
        <w:rPr>
          <w:rFonts w:hint="eastAsia" w:ascii="宋体" w:hAnsi="宋体"/>
          <w:b/>
          <w:color w:val="000000"/>
          <w:szCs w:val="21"/>
        </w:rPr>
        <w:t>建设工程交易投标保证金缴交指南</w:t>
      </w:r>
      <w:r>
        <w:rPr>
          <w:rFonts w:hint="eastAsia" w:ascii="宋体" w:hAnsi="宋体"/>
          <w:b/>
          <w:szCs w:val="21"/>
        </w:rPr>
        <w:t>）、《关于变更建设工程交易投标保证金账户有关事项的通知》（东公资交〔2015〕41号）等最新通知公告。</w:t>
      </w:r>
      <w:r>
        <w:rPr>
          <w:rFonts w:ascii="宋体" w:hAnsi="宋体"/>
          <w:b/>
          <w:szCs w:val="21"/>
        </w:rPr>
        <w:t>招标公告期间东莞市公共资源交易中心有关于投标保证金收取银行、账号等调整的，以</w:t>
      </w:r>
      <w:r>
        <w:rPr>
          <w:rFonts w:hint="eastAsia" w:ascii="宋体" w:hAnsi="宋体"/>
          <w:color w:val="000000"/>
          <w:kern w:val="2"/>
          <w:sz w:val="21"/>
          <w:szCs w:val="21"/>
        </w:rPr>
        <w:t>全国公共资源交易平台（广东省·东莞市</w:t>
      </w:r>
      <w:r>
        <w:rPr>
          <w:rFonts w:hint="eastAsia" w:ascii="宋体" w:hAnsi="宋体"/>
          <w:color w:val="000000"/>
          <w:kern w:val="2"/>
          <w:sz w:val="21"/>
          <w:szCs w:val="21"/>
          <w:lang w:eastAsia="zh-CN"/>
        </w:rPr>
        <w:t>）</w:t>
      </w:r>
      <w:r>
        <w:rPr>
          <w:rFonts w:ascii="宋体" w:hAnsi="宋体"/>
          <w:b/>
          <w:szCs w:val="21"/>
        </w:rPr>
        <w:t>的最新通知为准</w:t>
      </w:r>
      <w:r>
        <w:rPr>
          <w:rFonts w:hint="eastAsia" w:ascii="宋体" w:hAnsi="宋体"/>
          <w:b/>
          <w:szCs w:val="21"/>
        </w:rPr>
        <w:t>。</w:t>
      </w:r>
    </w:p>
    <w:p>
      <w:pPr>
        <w:snapToGrid w:val="0"/>
        <w:spacing w:line="360" w:lineRule="auto"/>
        <w:rPr>
          <w:rFonts w:ascii="宋体" w:hAnsi="宋体"/>
          <w:spacing w:val="6"/>
          <w:szCs w:val="21"/>
        </w:rPr>
      </w:pPr>
    </w:p>
    <w:p>
      <w:pPr>
        <w:pStyle w:val="5"/>
        <w:numPr>
          <w:ilvl w:val="0"/>
          <w:numId w:val="2"/>
        </w:numPr>
        <w:rPr>
          <w:rFonts w:ascii="宋体" w:hAnsi="宋体"/>
          <w:sz w:val="24"/>
          <w:szCs w:val="24"/>
        </w:rPr>
      </w:pPr>
      <w:bookmarkStart w:id="223" w:name="_Toc501452160"/>
      <w:bookmarkEnd w:id="223"/>
      <w:bookmarkStart w:id="224" w:name="_Toc13554"/>
      <w:bookmarkStart w:id="225" w:name="_Toc3517"/>
      <w:bookmarkStart w:id="226" w:name="_Toc22239"/>
      <w:bookmarkStart w:id="227" w:name="_Toc132814718"/>
      <w:bookmarkStart w:id="228" w:name="_Toc4124"/>
      <w:bookmarkStart w:id="229" w:name="_Toc4041"/>
      <w:r>
        <w:rPr>
          <w:rFonts w:ascii="宋体" w:hAnsi="宋体"/>
          <w:sz w:val="24"/>
          <w:szCs w:val="24"/>
        </w:rPr>
        <w:t>投标人的替代方案</w:t>
      </w:r>
      <w:bookmarkEnd w:id="224"/>
      <w:bookmarkEnd w:id="225"/>
      <w:bookmarkEnd w:id="226"/>
      <w:bookmarkEnd w:id="227"/>
      <w:bookmarkEnd w:id="228"/>
      <w:bookmarkEnd w:id="229"/>
    </w:p>
    <w:p>
      <w:pPr>
        <w:tabs>
          <w:tab w:val="left" w:pos="1571"/>
        </w:tabs>
        <w:snapToGrid w:val="0"/>
        <w:spacing w:line="360" w:lineRule="auto"/>
        <w:ind w:left="425"/>
        <w:rPr>
          <w:rFonts w:ascii="宋体" w:hAnsi="宋体"/>
        </w:rPr>
      </w:pPr>
      <w:r>
        <w:rPr>
          <w:rFonts w:ascii="宋体" w:hAnsi="宋体"/>
        </w:rPr>
        <w:t>无</w:t>
      </w:r>
    </w:p>
    <w:p>
      <w:pPr>
        <w:pStyle w:val="5"/>
        <w:numPr>
          <w:ilvl w:val="0"/>
          <w:numId w:val="2"/>
        </w:numPr>
        <w:rPr>
          <w:rFonts w:ascii="宋体" w:hAnsi="宋体"/>
          <w:sz w:val="24"/>
          <w:szCs w:val="24"/>
        </w:rPr>
      </w:pPr>
      <w:bookmarkStart w:id="230" w:name="_Toc3298"/>
      <w:bookmarkStart w:id="231" w:name="_Toc30366"/>
      <w:bookmarkStart w:id="232" w:name="_Toc12009"/>
      <w:bookmarkStart w:id="233" w:name="_Toc4444"/>
      <w:bookmarkStart w:id="234" w:name="_Toc8272"/>
      <w:bookmarkStart w:id="235" w:name="_Toc132814719"/>
      <w:r>
        <w:rPr>
          <w:rFonts w:ascii="宋体" w:hAnsi="宋体"/>
          <w:sz w:val="24"/>
          <w:szCs w:val="24"/>
        </w:rPr>
        <w:t>投标文件的编制和签署</w:t>
      </w:r>
      <w:bookmarkEnd w:id="230"/>
      <w:bookmarkEnd w:id="231"/>
      <w:bookmarkEnd w:id="232"/>
      <w:bookmarkEnd w:id="233"/>
      <w:bookmarkEnd w:id="234"/>
      <w:bookmarkEnd w:id="235"/>
    </w:p>
    <w:p>
      <w:pPr>
        <w:numPr>
          <w:ilvl w:val="1"/>
          <w:numId w:val="2"/>
        </w:numPr>
        <w:snapToGrid w:val="0"/>
        <w:spacing w:line="360" w:lineRule="auto"/>
        <w:rPr>
          <w:rFonts w:ascii="宋体" w:hAnsi="宋体"/>
          <w:szCs w:val="21"/>
        </w:rPr>
      </w:pPr>
      <w:r>
        <w:rPr>
          <w:rFonts w:hint="eastAsia" w:ascii="宋体" w:hAnsi="宋体"/>
          <w:szCs w:val="21"/>
        </w:rPr>
        <w:t>投标文件采用电子标书形式编制。投标人使用网络上传投标文件。</w:t>
      </w:r>
    </w:p>
    <w:p>
      <w:pPr>
        <w:numPr>
          <w:ilvl w:val="1"/>
          <w:numId w:val="2"/>
        </w:numPr>
        <w:snapToGrid w:val="0"/>
        <w:spacing w:line="360" w:lineRule="auto"/>
        <w:rPr>
          <w:rFonts w:ascii="宋体" w:hAnsi="宋体"/>
          <w:spacing w:val="6"/>
          <w:szCs w:val="21"/>
        </w:rPr>
      </w:pPr>
      <w:r>
        <w:rPr>
          <w:rFonts w:hint="eastAsia" w:ascii="宋体" w:hAnsi="宋体"/>
          <w:spacing w:val="6"/>
          <w:szCs w:val="21"/>
        </w:rPr>
        <w:t>投标人应使用</w:t>
      </w:r>
      <w:r>
        <w:rPr>
          <w:rFonts w:hint="eastAsia" w:ascii="宋体" w:hAnsi="宋体"/>
          <w:color w:val="000000"/>
          <w:kern w:val="2"/>
          <w:sz w:val="21"/>
          <w:szCs w:val="21"/>
        </w:rPr>
        <w:t>全国公共资源交易平台（广东省·东莞市</w:t>
      </w:r>
      <w:r>
        <w:rPr>
          <w:rFonts w:hint="eastAsia" w:ascii="宋体" w:hAnsi="宋体"/>
          <w:spacing w:val="6"/>
          <w:szCs w:val="21"/>
        </w:rPr>
        <w:t>发布的投标文件电子标书制作软件（以下简称“电子标书制作软件”）进行投标文件的合成、电子签名工作。</w:t>
      </w:r>
    </w:p>
    <w:p>
      <w:pPr>
        <w:numPr>
          <w:ilvl w:val="1"/>
          <w:numId w:val="2"/>
        </w:numPr>
        <w:snapToGrid w:val="0"/>
        <w:spacing w:line="360" w:lineRule="auto"/>
        <w:rPr>
          <w:rFonts w:ascii="宋体" w:hAnsi="宋体"/>
          <w:spacing w:val="6"/>
          <w:szCs w:val="21"/>
        </w:rPr>
      </w:pPr>
      <w:r>
        <w:rPr>
          <w:rFonts w:hint="eastAsia" w:ascii="宋体" w:hAnsi="宋体"/>
          <w:spacing w:val="6"/>
          <w:szCs w:val="21"/>
        </w:rPr>
        <w:t>投标人应使用依法设立的电子认证服务提供者签发的电子签名认证证书对电子投标文件进行电子签名。该电子签名与手写签名或者盖章具有同等的法律效力。</w:t>
      </w:r>
    </w:p>
    <w:p>
      <w:pPr>
        <w:numPr>
          <w:ilvl w:val="1"/>
          <w:numId w:val="2"/>
        </w:numPr>
        <w:snapToGrid w:val="0"/>
        <w:spacing w:line="360" w:lineRule="auto"/>
        <w:rPr>
          <w:rFonts w:ascii="宋体" w:hAnsi="宋体"/>
          <w:spacing w:val="6"/>
          <w:szCs w:val="21"/>
        </w:rPr>
      </w:pPr>
      <w:r>
        <w:rPr>
          <w:rFonts w:hint="eastAsia" w:ascii="宋体" w:hAnsi="宋体"/>
          <w:spacing w:val="6"/>
          <w:szCs w:val="21"/>
        </w:rPr>
        <w:t>投标人使用电子标书制作软件编制电子投标文件时必须按招标文件相关条款及投标文件格式中的要求进行编制。</w:t>
      </w:r>
    </w:p>
    <w:p>
      <w:pPr>
        <w:numPr>
          <w:ilvl w:val="1"/>
          <w:numId w:val="2"/>
        </w:numPr>
        <w:snapToGrid w:val="0"/>
        <w:spacing w:line="360" w:lineRule="auto"/>
        <w:rPr>
          <w:rFonts w:ascii="宋体" w:hAnsi="宋体"/>
          <w:spacing w:val="6"/>
          <w:szCs w:val="21"/>
        </w:rPr>
      </w:pPr>
      <w:r>
        <w:rPr>
          <w:rFonts w:hint="eastAsia" w:ascii="宋体" w:hAnsi="宋体"/>
          <w:spacing w:val="6"/>
          <w:szCs w:val="21"/>
        </w:rPr>
        <w:t>投标文件应按上述编制的要求编制电子标书。如投标文件未按上述编制要求编制的，所引起交易系统无法检索、读取相关信息时，其结果将由投标人自行承担。</w:t>
      </w:r>
    </w:p>
    <w:p>
      <w:pPr>
        <w:numPr>
          <w:ilvl w:val="1"/>
          <w:numId w:val="2"/>
        </w:numPr>
        <w:snapToGrid w:val="0"/>
        <w:spacing w:line="360" w:lineRule="auto"/>
        <w:rPr>
          <w:rFonts w:ascii="宋体" w:hAnsi="宋体"/>
          <w:b/>
          <w:szCs w:val="21"/>
        </w:rPr>
      </w:pPr>
      <w:r>
        <w:rPr>
          <w:rFonts w:ascii="宋体" w:hAnsi="宋体"/>
          <w:b/>
          <w:szCs w:val="21"/>
        </w:rPr>
        <w:t>投标文件必须按下列要求编制、</w:t>
      </w:r>
      <w:r>
        <w:rPr>
          <w:rFonts w:hint="eastAsia" w:ascii="宋体" w:hAnsi="宋体"/>
          <w:b/>
          <w:szCs w:val="21"/>
        </w:rPr>
        <w:t>使用数字证书电子签名</w:t>
      </w:r>
      <w:r>
        <w:rPr>
          <w:rFonts w:hint="eastAsia" w:ascii="宋体" w:hAnsi="宋体" w:cs="Arial"/>
          <w:b/>
          <w:szCs w:val="21"/>
        </w:rPr>
        <w:t>，否则按无效投标文件处理。</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按本须知第10、11、12、14、17条的规定编制，按本须知第13条的规定填报投标报价，“投标文件的组成”中列明的内容在投标文件中不能有漏缺</w:t>
      </w:r>
      <w:r>
        <w:rPr>
          <w:rFonts w:hint="eastAsia" w:ascii="宋体" w:hAnsi="宋体"/>
          <w:szCs w:val="21"/>
        </w:rPr>
        <w:t>。</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w:t>
      </w:r>
      <w:r>
        <w:rPr>
          <w:rFonts w:hint="eastAsia" w:ascii="宋体" w:hAnsi="宋体"/>
          <w:szCs w:val="21"/>
        </w:rPr>
        <w:t>商务标、技术标</w:t>
      </w:r>
      <w:r>
        <w:rPr>
          <w:rFonts w:ascii="宋体" w:hAnsi="宋体"/>
          <w:szCs w:val="21"/>
        </w:rPr>
        <w:t>编制要求：</w:t>
      </w:r>
    </w:p>
    <w:p>
      <w:pPr>
        <w:snapToGrid w:val="0"/>
        <w:spacing w:line="360" w:lineRule="auto"/>
        <w:ind w:left="900"/>
        <w:rPr>
          <w:rFonts w:ascii="宋体" w:hAnsi="宋体"/>
          <w:szCs w:val="21"/>
        </w:rPr>
      </w:pPr>
      <w:r>
        <w:rPr>
          <w:rFonts w:ascii="宋体" w:hAnsi="宋体"/>
          <w:szCs w:val="21"/>
        </w:rPr>
        <w:t>（1）</w:t>
      </w:r>
      <w:r>
        <w:rPr>
          <w:rFonts w:hint="eastAsia" w:ascii="宋体" w:hAnsi="宋体"/>
          <w:szCs w:val="21"/>
        </w:rPr>
        <w:t>投标文件必须按招标文件中规定的投标文件格式编制，并转换成PDF格式合成到电子投标文件中</w:t>
      </w:r>
      <w:r>
        <w:rPr>
          <w:rFonts w:ascii="宋体" w:hAnsi="宋体"/>
          <w:szCs w:val="21"/>
        </w:rPr>
        <w:t>；</w:t>
      </w:r>
    </w:p>
    <w:p>
      <w:pPr>
        <w:snapToGrid w:val="0"/>
        <w:spacing w:line="360" w:lineRule="auto"/>
        <w:ind w:left="1426" w:leftChars="429" w:hanging="525" w:hangingChars="250"/>
        <w:rPr>
          <w:rFonts w:ascii="宋体" w:hAnsi="宋体"/>
          <w:szCs w:val="21"/>
        </w:rPr>
      </w:pPr>
      <w:r>
        <w:rPr>
          <w:rFonts w:ascii="宋体" w:hAnsi="宋体"/>
          <w:bCs/>
          <w:szCs w:val="21"/>
        </w:rPr>
        <w:t>（2）</w:t>
      </w:r>
      <w:r>
        <w:rPr>
          <w:rFonts w:hint="eastAsia" w:ascii="宋体" w:hAnsi="宋体"/>
          <w:spacing w:val="6"/>
          <w:szCs w:val="21"/>
        </w:rPr>
        <w:t>投标文件商务标、技术标必须按招标文件的规定填写，</w:t>
      </w:r>
      <w:r>
        <w:rPr>
          <w:rFonts w:ascii="宋体" w:hAnsi="宋体"/>
          <w:spacing w:val="6"/>
          <w:szCs w:val="21"/>
        </w:rPr>
        <w:t>不能出现缺项、缺页、手写、关键语句（或字）错误；</w:t>
      </w:r>
      <w:r>
        <w:rPr>
          <w:rFonts w:ascii="宋体" w:hAnsi="宋体"/>
          <w:szCs w:val="21"/>
        </w:rPr>
        <w:t xml:space="preserve"> </w:t>
      </w:r>
    </w:p>
    <w:p>
      <w:pPr>
        <w:snapToGrid w:val="0"/>
        <w:spacing w:line="360" w:lineRule="auto"/>
        <w:ind w:left="1426" w:leftChars="429" w:hanging="525" w:hangingChars="250"/>
        <w:rPr>
          <w:rFonts w:ascii="宋体" w:hAnsi="宋体"/>
          <w:szCs w:val="21"/>
        </w:rPr>
      </w:pPr>
      <w:r>
        <w:rPr>
          <w:rFonts w:ascii="宋体" w:hAnsi="宋体"/>
          <w:bCs/>
          <w:szCs w:val="21"/>
        </w:rPr>
        <w:t>（3）</w:t>
      </w:r>
      <w:r>
        <w:rPr>
          <w:rFonts w:ascii="宋体" w:hAnsi="宋体"/>
          <w:szCs w:val="21"/>
        </w:rPr>
        <w:t>投标文件的任何一页都不应有涂改、行间插字或删除；</w:t>
      </w:r>
    </w:p>
    <w:p>
      <w:pPr>
        <w:snapToGrid w:val="0"/>
        <w:spacing w:line="360" w:lineRule="auto"/>
        <w:ind w:left="1426" w:leftChars="429" w:hanging="525" w:hangingChars="250"/>
        <w:rPr>
          <w:rFonts w:ascii="宋体" w:hAnsi="宋体"/>
          <w:szCs w:val="21"/>
        </w:rPr>
      </w:pPr>
      <w:r>
        <w:rPr>
          <w:rFonts w:ascii="宋体" w:hAnsi="宋体"/>
          <w:bCs/>
          <w:szCs w:val="21"/>
        </w:rPr>
        <w:t>（</w:t>
      </w:r>
      <w:r>
        <w:rPr>
          <w:rFonts w:hint="eastAsia" w:ascii="宋体" w:hAnsi="宋体"/>
          <w:bCs/>
          <w:szCs w:val="21"/>
        </w:rPr>
        <w:t>4</w:t>
      </w:r>
      <w:r>
        <w:rPr>
          <w:rFonts w:ascii="宋体" w:hAnsi="宋体"/>
          <w:bCs/>
          <w:szCs w:val="21"/>
        </w:rPr>
        <w:t>）</w:t>
      </w:r>
      <w:r>
        <w:rPr>
          <w:rFonts w:hint="eastAsia" w:ascii="宋体" w:hAnsi="宋体"/>
          <w:szCs w:val="21"/>
        </w:rPr>
        <w:t>投标文件商务标、技术标应按其格式要求由投标人的法定代表人电子签名、企业数字证书电子签名；</w:t>
      </w:r>
    </w:p>
    <w:p>
      <w:pPr>
        <w:snapToGrid w:val="0"/>
        <w:spacing w:line="360" w:lineRule="auto"/>
        <w:ind w:left="1426" w:leftChars="429" w:hanging="525" w:hangingChars="250"/>
        <w:rPr>
          <w:rFonts w:ascii="宋体" w:hAnsi="宋体" w:cs="Arial"/>
          <w:szCs w:val="21"/>
        </w:rPr>
      </w:pPr>
      <w:r>
        <w:rPr>
          <w:rFonts w:hint="eastAsia" w:ascii="宋体" w:hAnsi="宋体"/>
          <w:szCs w:val="21"/>
        </w:rPr>
        <w:t>（</w:t>
      </w:r>
      <w:r>
        <w:rPr>
          <w:rFonts w:ascii="宋体" w:hAnsi="宋体"/>
          <w:szCs w:val="21"/>
        </w:rPr>
        <w:t>5</w:t>
      </w:r>
      <w:r>
        <w:rPr>
          <w:rFonts w:hint="eastAsia" w:ascii="宋体" w:hAnsi="宋体"/>
          <w:szCs w:val="21"/>
        </w:rPr>
        <w:t>） 严格按照第三章投标文件格式内的要求完整、真实的填写《</w:t>
      </w:r>
      <w:r>
        <w:rPr>
          <w:rFonts w:hint="eastAsia" w:ascii="宋体" w:hAnsi="宋体"/>
        </w:rPr>
        <w:t>合同条款偏离表》《</w:t>
      </w:r>
      <w:r>
        <w:rPr>
          <w:rFonts w:hint="eastAsia" w:ascii="宋体" w:hAnsi="宋体"/>
          <w:szCs w:val="21"/>
          <w:lang w:val="zh-CN"/>
        </w:rPr>
        <w:t>技术规格偏离表》</w:t>
      </w:r>
      <w:r>
        <w:rPr>
          <w:rFonts w:hint="eastAsia" w:ascii="宋体" w:hAnsi="宋体" w:cs="Arial"/>
          <w:szCs w:val="21"/>
        </w:rPr>
        <w:t>；</w:t>
      </w:r>
    </w:p>
    <w:p>
      <w:pPr>
        <w:snapToGrid w:val="0"/>
        <w:spacing w:line="360" w:lineRule="auto"/>
        <w:ind w:left="1426" w:leftChars="429" w:hanging="525" w:hangingChars="25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hint="eastAsia" w:ascii="宋体" w:hAnsi="宋体"/>
          <w:b/>
          <w:bCs/>
          <w:color w:val="auto"/>
          <w:szCs w:val="21"/>
          <w:highlight w:val="none"/>
        </w:rPr>
        <w:t>投标人要特别加以注意，必须严格按照第三章商务标格式的要求完整、真实的填写《资格业绩表》及提供对应证明资料</w:t>
      </w:r>
      <w:r>
        <w:rPr>
          <w:rFonts w:hint="eastAsia" w:ascii="宋体" w:hAnsi="宋体"/>
          <w:b w:val="0"/>
          <w:bCs/>
          <w:color w:val="auto"/>
          <w:szCs w:val="21"/>
          <w:highlight w:val="none"/>
        </w:rPr>
        <w:t>；</w:t>
      </w:r>
    </w:p>
    <w:p>
      <w:pPr>
        <w:snapToGrid w:val="0"/>
        <w:spacing w:line="360" w:lineRule="auto"/>
        <w:ind w:left="1426" w:leftChars="429" w:hanging="525" w:hangingChars="250"/>
        <w:rPr>
          <w:rFonts w:ascii="宋体" w:hAnsi="宋体"/>
          <w:szCs w:val="21"/>
        </w:rPr>
      </w:pPr>
      <w:r>
        <w:rPr>
          <w:rFonts w:hint="eastAsia" w:ascii="宋体" w:hAnsi="宋体"/>
          <w:szCs w:val="21"/>
        </w:rPr>
        <w:t>（7）投标文件技术标部分必须按招标文件第三章“技术标格式”编制。</w:t>
      </w:r>
    </w:p>
    <w:p>
      <w:pPr>
        <w:numPr>
          <w:ilvl w:val="2"/>
          <w:numId w:val="2"/>
        </w:numPr>
        <w:tabs>
          <w:tab w:val="left" w:pos="1440"/>
          <w:tab w:val="left" w:pos="1560"/>
          <w:tab w:val="clear" w:pos="1571"/>
        </w:tabs>
        <w:snapToGrid w:val="0"/>
        <w:spacing w:line="360" w:lineRule="auto"/>
        <w:ind w:left="1560" w:hanging="709"/>
        <w:rPr>
          <w:rFonts w:ascii="宋体" w:hAnsi="宋体"/>
          <w:szCs w:val="21"/>
        </w:rPr>
      </w:pPr>
      <w:bookmarkStart w:id="236" w:name="_Hlk89535717"/>
      <w:r>
        <w:rPr>
          <w:rFonts w:hint="eastAsia" w:ascii="宋体" w:hAnsi="宋体"/>
          <w:szCs w:val="21"/>
        </w:rPr>
        <w:t>投标文件报价信封编制要求：</w:t>
      </w:r>
    </w:p>
    <w:bookmarkEnd w:id="236"/>
    <w:p>
      <w:pPr>
        <w:snapToGrid w:val="0"/>
        <w:spacing w:line="360" w:lineRule="auto"/>
        <w:ind w:left="1426" w:leftChars="429" w:hanging="525" w:hangingChars="250"/>
        <w:rPr>
          <w:rFonts w:ascii="宋体" w:hAnsi="宋体"/>
          <w:szCs w:val="21"/>
        </w:rPr>
      </w:pPr>
      <w:r>
        <w:rPr>
          <w:rFonts w:hint="eastAsia" w:ascii="宋体" w:hAnsi="宋体"/>
          <w:szCs w:val="21"/>
        </w:rPr>
        <w:t>（1）投标人应使用电子标书制作软件编制并生成报价信封，内容根据招标文件设置的报价信封内容按实填报。</w:t>
      </w:r>
    </w:p>
    <w:p>
      <w:pPr>
        <w:snapToGrid w:val="0"/>
        <w:spacing w:line="360" w:lineRule="auto"/>
        <w:ind w:left="1426" w:leftChars="429" w:hanging="525" w:hangingChars="250"/>
        <w:rPr>
          <w:rFonts w:ascii="宋体" w:hAnsi="宋体"/>
          <w:szCs w:val="21"/>
        </w:rPr>
      </w:pPr>
      <w:r>
        <w:rPr>
          <w:rFonts w:hint="eastAsia" w:ascii="宋体" w:hAnsi="宋体"/>
          <w:szCs w:val="21"/>
        </w:rPr>
        <w:t>（2）大写金额数字用“零、壹、贰、叁、肆、伍、陆、柒、捌、玖、拾、佰、仟、万、亿”填写。投标值大写与小写不一致时，以大写数额为准，修正小写数额。</w:t>
      </w:r>
    </w:p>
    <w:p>
      <w:pPr>
        <w:snapToGrid w:val="0"/>
        <w:spacing w:line="360" w:lineRule="auto"/>
        <w:ind w:left="1426" w:leftChars="429" w:hanging="525" w:hangingChars="2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）投标文件价格部分应按其格式要求使用依法设立的电子认证服务提供者签发的电子签名认证证书对电子投标文件进行电子签名。该电子签名与手写签名或者盖章具有同等的法律效力。</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投标文件公示表格编制要求：</w:t>
      </w:r>
    </w:p>
    <w:p>
      <w:pPr>
        <w:snapToGrid w:val="0"/>
        <w:spacing w:line="360" w:lineRule="auto"/>
        <w:ind w:left="1426" w:leftChars="429" w:hanging="525" w:hangingChars="250"/>
        <w:rPr>
          <w:rFonts w:ascii="宋体" w:hAnsi="宋体"/>
          <w:szCs w:val="21"/>
        </w:rPr>
      </w:pPr>
      <w:r>
        <w:rPr>
          <w:rFonts w:hint="eastAsia" w:ascii="宋体" w:hAnsi="宋体"/>
          <w:szCs w:val="21"/>
        </w:rPr>
        <w:t>（1）投标文件公示表格必须按招标文件中规定的投标文件格式编制，并转换成PDF格式合成到电子投标文件中。</w:t>
      </w:r>
    </w:p>
    <w:p>
      <w:pPr>
        <w:snapToGrid w:val="0"/>
        <w:spacing w:line="360" w:lineRule="auto"/>
        <w:ind w:left="1426" w:leftChars="429" w:hanging="525" w:hangingChars="250"/>
      </w:pPr>
      <w:r>
        <w:rPr>
          <w:rFonts w:hint="eastAsia" w:ascii="宋体" w:hAnsi="宋体"/>
          <w:szCs w:val="21"/>
        </w:rPr>
        <w:t>（2）投标文件公示表格应按招标文件的要求填报，填报内容应当与对应提交的证明材料一致。</w:t>
      </w:r>
    </w:p>
    <w:p>
      <w:pPr>
        <w:numPr>
          <w:ilvl w:val="1"/>
          <w:numId w:val="2"/>
        </w:numPr>
        <w:snapToGrid w:val="0"/>
        <w:spacing w:line="360" w:lineRule="auto"/>
        <w:rPr>
          <w:rFonts w:ascii="宋体" w:hAnsi="宋体"/>
          <w:b/>
          <w:bCs/>
          <w:szCs w:val="21"/>
        </w:rPr>
      </w:pPr>
      <w:r>
        <w:rPr>
          <w:rFonts w:hint="eastAsia" w:ascii="宋体" w:hAnsi="宋体"/>
          <w:b/>
          <w:bCs/>
          <w:szCs w:val="21"/>
        </w:rPr>
        <w:t>投标文件的加密：投标人应使用依法设立的电子认证服务提供者签发的电子签名认证证书对电子投标文件进行电子签名并加密。</w:t>
      </w:r>
    </w:p>
    <w:p>
      <w:pPr>
        <w:pStyle w:val="4"/>
        <w:numPr>
          <w:ilvl w:val="1"/>
          <w:numId w:val="1"/>
        </w:numPr>
        <w:snapToGrid w:val="0"/>
        <w:spacing w:before="0" w:after="0" w:line="360" w:lineRule="auto"/>
        <w:jc w:val="center"/>
        <w:rPr>
          <w:rFonts w:ascii="宋体" w:hAnsi="宋体" w:eastAsia="宋体"/>
          <w:b w:val="0"/>
          <w:bCs w:val="0"/>
          <w:sz w:val="30"/>
          <w:szCs w:val="28"/>
        </w:rPr>
      </w:pPr>
      <w:bookmarkStart w:id="237" w:name="_Toc89552308"/>
      <w:bookmarkEnd w:id="237"/>
      <w:bookmarkStart w:id="238" w:name="_Toc89890464"/>
      <w:bookmarkEnd w:id="238"/>
      <w:bookmarkStart w:id="239" w:name="_Toc89887817"/>
      <w:bookmarkEnd w:id="239"/>
      <w:bookmarkStart w:id="240" w:name="_Toc89962508"/>
      <w:bookmarkEnd w:id="240"/>
      <w:bookmarkStart w:id="241" w:name="_Toc89890465"/>
      <w:bookmarkEnd w:id="241"/>
      <w:bookmarkStart w:id="242" w:name="_Toc89895658"/>
      <w:bookmarkEnd w:id="242"/>
      <w:bookmarkStart w:id="243" w:name="_Toc89895791"/>
      <w:bookmarkEnd w:id="243"/>
      <w:bookmarkStart w:id="244" w:name="_Toc89895657"/>
      <w:bookmarkEnd w:id="244"/>
      <w:bookmarkStart w:id="245" w:name="_Toc89887818"/>
      <w:bookmarkEnd w:id="245"/>
      <w:bookmarkStart w:id="246" w:name="_Toc89895792"/>
      <w:bookmarkEnd w:id="246"/>
      <w:bookmarkStart w:id="247" w:name="_Toc89962509"/>
      <w:bookmarkEnd w:id="247"/>
      <w:bookmarkStart w:id="248" w:name="_Toc89552309"/>
      <w:bookmarkEnd w:id="248"/>
      <w:bookmarkStart w:id="249" w:name="_Toc11672"/>
      <w:bookmarkStart w:id="250" w:name="_Toc77555201"/>
      <w:bookmarkStart w:id="251" w:name="_Toc5437"/>
      <w:bookmarkStart w:id="252" w:name="_Toc50920439"/>
      <w:bookmarkStart w:id="253" w:name="_Toc9302"/>
      <w:bookmarkStart w:id="254" w:name="_Toc50920596"/>
      <w:bookmarkStart w:id="255" w:name="_Toc15834"/>
      <w:bookmarkStart w:id="256" w:name="_Toc18836"/>
      <w:bookmarkStart w:id="257" w:name="_Toc132814720"/>
      <w:bookmarkStart w:id="258" w:name="_Toc72916320"/>
      <w:r>
        <w:rPr>
          <w:rFonts w:ascii="宋体" w:hAnsi="宋体" w:eastAsia="宋体"/>
          <w:b w:val="0"/>
          <w:bCs w:val="0"/>
          <w:sz w:val="30"/>
          <w:szCs w:val="28"/>
        </w:rPr>
        <w:t>投标文件的递交</w:t>
      </w:r>
      <w:bookmarkEnd w:id="249"/>
      <w:bookmarkEnd w:id="250"/>
      <w:bookmarkEnd w:id="251"/>
      <w:bookmarkEnd w:id="252"/>
      <w:bookmarkEnd w:id="253"/>
      <w:bookmarkEnd w:id="254"/>
      <w:bookmarkEnd w:id="255"/>
      <w:bookmarkEnd w:id="256"/>
      <w:bookmarkEnd w:id="257"/>
      <w:bookmarkEnd w:id="258"/>
    </w:p>
    <w:p>
      <w:pPr>
        <w:pStyle w:val="5"/>
        <w:numPr>
          <w:ilvl w:val="0"/>
          <w:numId w:val="2"/>
        </w:numPr>
        <w:rPr>
          <w:rFonts w:ascii="宋体" w:hAnsi="宋体"/>
          <w:sz w:val="24"/>
          <w:szCs w:val="24"/>
        </w:rPr>
      </w:pPr>
      <w:bookmarkStart w:id="259" w:name="_Toc72916321"/>
      <w:bookmarkStart w:id="260" w:name="_Toc50920597"/>
      <w:bookmarkStart w:id="261" w:name="_Toc50920440"/>
      <w:bookmarkStart w:id="262" w:name="_Toc13279"/>
      <w:bookmarkStart w:id="263" w:name="_Toc29597"/>
      <w:bookmarkStart w:id="264" w:name="_Toc132814721"/>
      <w:bookmarkStart w:id="265" w:name="_Toc2144"/>
      <w:bookmarkStart w:id="266" w:name="_Toc19404"/>
      <w:bookmarkStart w:id="267" w:name="_Toc800"/>
      <w:bookmarkStart w:id="268" w:name="_Toc77555202"/>
      <w:r>
        <w:rPr>
          <w:rFonts w:ascii="宋体" w:hAnsi="宋体"/>
          <w:sz w:val="24"/>
          <w:szCs w:val="24"/>
        </w:rPr>
        <w:t>投标文件的密封与标</w:t>
      </w:r>
      <w:bookmarkEnd w:id="259"/>
      <w:bookmarkEnd w:id="260"/>
      <w:bookmarkEnd w:id="261"/>
      <w:r>
        <w:rPr>
          <w:rFonts w:ascii="宋体" w:hAnsi="宋体"/>
          <w:sz w:val="24"/>
          <w:szCs w:val="24"/>
        </w:rPr>
        <w:t>记</w:t>
      </w:r>
      <w:bookmarkEnd w:id="262"/>
      <w:bookmarkEnd w:id="263"/>
      <w:bookmarkEnd w:id="264"/>
      <w:bookmarkEnd w:id="265"/>
      <w:bookmarkEnd w:id="266"/>
      <w:bookmarkEnd w:id="267"/>
      <w:bookmarkEnd w:id="268"/>
    </w:p>
    <w:p>
      <w:pPr>
        <w:ind w:left="425"/>
        <w:rPr>
          <w:sz w:val="24"/>
        </w:rPr>
      </w:pPr>
      <w:r>
        <w:rPr>
          <w:rFonts w:hint="eastAsia"/>
          <w:sz w:val="24"/>
        </w:rPr>
        <w:t>无</w:t>
      </w:r>
    </w:p>
    <w:p>
      <w:pPr>
        <w:pStyle w:val="5"/>
        <w:numPr>
          <w:ilvl w:val="0"/>
          <w:numId w:val="2"/>
        </w:numPr>
        <w:rPr>
          <w:rFonts w:ascii="宋体" w:hAnsi="宋体"/>
          <w:sz w:val="24"/>
          <w:szCs w:val="24"/>
        </w:rPr>
      </w:pPr>
      <w:bookmarkStart w:id="269" w:name="_Toc89552329"/>
      <w:bookmarkEnd w:id="269"/>
      <w:bookmarkStart w:id="270" w:name="_Toc89887823"/>
      <w:bookmarkEnd w:id="270"/>
      <w:bookmarkStart w:id="271" w:name="_Toc89552324"/>
      <w:bookmarkEnd w:id="271"/>
      <w:bookmarkStart w:id="272" w:name="_Toc89962530"/>
      <w:bookmarkEnd w:id="272"/>
      <w:bookmarkStart w:id="273" w:name="_Toc89962526"/>
      <w:bookmarkEnd w:id="273"/>
      <w:bookmarkStart w:id="274" w:name="_Toc89552327"/>
      <w:bookmarkEnd w:id="274"/>
      <w:bookmarkStart w:id="275" w:name="_Toc89890468"/>
      <w:bookmarkEnd w:id="275"/>
      <w:bookmarkStart w:id="276" w:name="_Toc89890486"/>
      <w:bookmarkEnd w:id="276"/>
      <w:bookmarkStart w:id="277" w:name="_Toc89890477"/>
      <w:bookmarkEnd w:id="277"/>
      <w:bookmarkStart w:id="278" w:name="_Toc89890485"/>
      <w:bookmarkEnd w:id="278"/>
      <w:bookmarkStart w:id="279" w:name="_Toc89895797"/>
      <w:bookmarkEnd w:id="279"/>
      <w:bookmarkStart w:id="280" w:name="_Toc89962515"/>
      <w:bookmarkEnd w:id="280"/>
      <w:bookmarkStart w:id="281" w:name="_Toc89890484"/>
      <w:bookmarkEnd w:id="281"/>
      <w:bookmarkStart w:id="282" w:name="_Toc89552322"/>
      <w:bookmarkEnd w:id="282"/>
      <w:bookmarkStart w:id="283" w:name="_Toc89552316"/>
      <w:bookmarkEnd w:id="283"/>
      <w:bookmarkStart w:id="284" w:name="_Toc89890478"/>
      <w:bookmarkEnd w:id="284"/>
      <w:bookmarkStart w:id="285" w:name="_Toc89887833"/>
      <w:bookmarkEnd w:id="285"/>
      <w:bookmarkStart w:id="286" w:name="_Toc89890482"/>
      <w:bookmarkEnd w:id="286"/>
      <w:bookmarkStart w:id="287" w:name="_Toc89895671"/>
      <w:bookmarkEnd w:id="287"/>
      <w:bookmarkStart w:id="288" w:name="_Toc89962519"/>
      <w:bookmarkEnd w:id="288"/>
      <w:bookmarkStart w:id="289" w:name="_Toc89887826"/>
      <w:bookmarkEnd w:id="289"/>
      <w:bookmarkStart w:id="290" w:name="_Toc89887831"/>
      <w:bookmarkEnd w:id="290"/>
      <w:bookmarkStart w:id="291" w:name="_Toc89962522"/>
      <w:bookmarkEnd w:id="291"/>
      <w:bookmarkStart w:id="292" w:name="_Toc89962531"/>
      <w:bookmarkEnd w:id="292"/>
      <w:bookmarkStart w:id="293" w:name="_Toc89887835"/>
      <w:bookmarkEnd w:id="293"/>
      <w:bookmarkStart w:id="294" w:name="_Toc89895810"/>
      <w:bookmarkEnd w:id="294"/>
      <w:bookmarkStart w:id="295" w:name="_Toc89890473"/>
      <w:bookmarkEnd w:id="295"/>
      <w:bookmarkStart w:id="296" w:name="_Toc89552331"/>
      <w:bookmarkEnd w:id="296"/>
      <w:bookmarkStart w:id="297" w:name="_Toc89552320"/>
      <w:bookmarkEnd w:id="297"/>
      <w:bookmarkStart w:id="298" w:name="_Toc89887830"/>
      <w:bookmarkEnd w:id="298"/>
      <w:bookmarkStart w:id="299" w:name="_Toc89895813"/>
      <w:bookmarkEnd w:id="299"/>
      <w:bookmarkStart w:id="300" w:name="_Toc89895804"/>
      <w:bookmarkEnd w:id="300"/>
      <w:bookmarkStart w:id="301" w:name="_Toc89895666"/>
      <w:bookmarkEnd w:id="301"/>
      <w:bookmarkStart w:id="302" w:name="_Toc89962512"/>
      <w:bookmarkEnd w:id="302"/>
      <w:bookmarkStart w:id="303" w:name="_Toc89552313"/>
      <w:bookmarkEnd w:id="303"/>
      <w:bookmarkStart w:id="304" w:name="_Toc89890483"/>
      <w:bookmarkEnd w:id="304"/>
      <w:bookmarkStart w:id="305" w:name="_Toc89895670"/>
      <w:bookmarkEnd w:id="305"/>
      <w:bookmarkStart w:id="306" w:name="_Toc89895662"/>
      <w:bookmarkEnd w:id="306"/>
      <w:bookmarkStart w:id="307" w:name="_Toc89962520"/>
      <w:bookmarkEnd w:id="307"/>
      <w:bookmarkStart w:id="308" w:name="_Toc89895669"/>
      <w:bookmarkEnd w:id="308"/>
      <w:bookmarkStart w:id="309" w:name="_Toc89895800"/>
      <w:bookmarkEnd w:id="309"/>
      <w:bookmarkStart w:id="310" w:name="_Toc89552326"/>
      <w:bookmarkEnd w:id="310"/>
      <w:bookmarkStart w:id="311" w:name="_Toc89962516"/>
      <w:bookmarkEnd w:id="311"/>
      <w:bookmarkStart w:id="312" w:name="_Toc89962524"/>
      <w:bookmarkEnd w:id="312"/>
      <w:bookmarkStart w:id="313" w:name="_Toc89895673"/>
      <w:bookmarkEnd w:id="313"/>
      <w:bookmarkStart w:id="314" w:name="_Toc89890481"/>
      <w:bookmarkEnd w:id="314"/>
      <w:bookmarkStart w:id="315" w:name="_Toc89895677"/>
      <w:bookmarkEnd w:id="315"/>
      <w:bookmarkStart w:id="316" w:name="_Toc89887837"/>
      <w:bookmarkEnd w:id="316"/>
      <w:bookmarkStart w:id="317" w:name="_Toc89552319"/>
      <w:bookmarkEnd w:id="317"/>
      <w:bookmarkStart w:id="318" w:name="_Toc89962521"/>
      <w:bookmarkEnd w:id="318"/>
      <w:bookmarkStart w:id="319" w:name="_Toc89887838"/>
      <w:bookmarkEnd w:id="319"/>
      <w:bookmarkStart w:id="320" w:name="_Toc89962525"/>
      <w:bookmarkEnd w:id="320"/>
      <w:bookmarkStart w:id="321" w:name="_Toc89890470"/>
      <w:bookmarkEnd w:id="321"/>
      <w:bookmarkStart w:id="322" w:name="_Toc89895679"/>
      <w:bookmarkEnd w:id="322"/>
      <w:bookmarkStart w:id="323" w:name="_Toc89552328"/>
      <w:bookmarkEnd w:id="323"/>
      <w:bookmarkStart w:id="324" w:name="_Toc89890472"/>
      <w:bookmarkEnd w:id="324"/>
      <w:bookmarkStart w:id="325" w:name="_Toc89895672"/>
      <w:bookmarkEnd w:id="325"/>
      <w:bookmarkStart w:id="326" w:name="_Toc89895805"/>
      <w:bookmarkEnd w:id="326"/>
      <w:bookmarkStart w:id="327" w:name="_Toc89895814"/>
      <w:bookmarkEnd w:id="327"/>
      <w:bookmarkStart w:id="328" w:name="_Toc89895809"/>
      <w:bookmarkEnd w:id="328"/>
      <w:bookmarkStart w:id="329" w:name="_Toc89895664"/>
      <w:bookmarkEnd w:id="329"/>
      <w:bookmarkStart w:id="330" w:name="_Toc89552312"/>
      <w:bookmarkEnd w:id="330"/>
      <w:bookmarkStart w:id="331" w:name="_Toc89890487"/>
      <w:bookmarkEnd w:id="331"/>
      <w:bookmarkStart w:id="332" w:name="_Toc89962529"/>
      <w:bookmarkEnd w:id="332"/>
      <w:bookmarkStart w:id="333" w:name="_Toc89895798"/>
      <w:bookmarkEnd w:id="333"/>
      <w:bookmarkStart w:id="334" w:name="_Toc89890476"/>
      <w:bookmarkEnd w:id="334"/>
      <w:bookmarkStart w:id="335" w:name="_Toc89895812"/>
      <w:bookmarkEnd w:id="335"/>
      <w:bookmarkStart w:id="336" w:name="_Toc89890471"/>
      <w:bookmarkEnd w:id="336"/>
      <w:bookmarkStart w:id="337" w:name="_Toc89895676"/>
      <w:bookmarkEnd w:id="337"/>
      <w:bookmarkStart w:id="338" w:name="_Toc89887824"/>
      <w:bookmarkEnd w:id="338"/>
      <w:bookmarkStart w:id="339" w:name="_Toc89552330"/>
      <w:bookmarkEnd w:id="339"/>
      <w:bookmarkStart w:id="340" w:name="_Toc89887822"/>
      <w:bookmarkEnd w:id="340"/>
      <w:bookmarkStart w:id="341" w:name="_Toc89895795"/>
      <w:bookmarkEnd w:id="341"/>
      <w:bookmarkStart w:id="342" w:name="_Toc89887828"/>
      <w:bookmarkEnd w:id="342"/>
      <w:bookmarkStart w:id="343" w:name="_Toc89895675"/>
      <w:bookmarkEnd w:id="343"/>
      <w:bookmarkStart w:id="344" w:name="_Toc89895796"/>
      <w:bookmarkEnd w:id="344"/>
      <w:bookmarkStart w:id="345" w:name="_Toc89890480"/>
      <w:bookmarkEnd w:id="345"/>
      <w:bookmarkStart w:id="346" w:name="_Toc89895802"/>
      <w:bookmarkEnd w:id="346"/>
      <w:bookmarkStart w:id="347" w:name="_Toc89890474"/>
      <w:bookmarkEnd w:id="347"/>
      <w:bookmarkStart w:id="348" w:name="_Toc89895801"/>
      <w:bookmarkEnd w:id="348"/>
      <w:bookmarkStart w:id="349" w:name="_Toc89887834"/>
      <w:bookmarkEnd w:id="349"/>
      <w:bookmarkStart w:id="350" w:name="_Toc89552325"/>
      <w:bookmarkEnd w:id="350"/>
      <w:bookmarkStart w:id="351" w:name="_Toc89552323"/>
      <w:bookmarkEnd w:id="351"/>
      <w:bookmarkStart w:id="352" w:name="_Toc89895661"/>
      <w:bookmarkEnd w:id="352"/>
      <w:bookmarkStart w:id="353" w:name="_Toc89895680"/>
      <w:bookmarkEnd w:id="353"/>
      <w:bookmarkStart w:id="354" w:name="_Toc89552314"/>
      <w:bookmarkEnd w:id="354"/>
      <w:bookmarkStart w:id="355" w:name="_Toc89895806"/>
      <w:bookmarkEnd w:id="355"/>
      <w:bookmarkStart w:id="356" w:name="_Toc89890469"/>
      <w:bookmarkEnd w:id="356"/>
      <w:bookmarkStart w:id="357" w:name="_Toc89552315"/>
      <w:bookmarkEnd w:id="357"/>
      <w:bookmarkStart w:id="358" w:name="_Toc89962514"/>
      <w:bookmarkEnd w:id="358"/>
      <w:bookmarkStart w:id="359" w:name="_Toc89895807"/>
      <w:bookmarkEnd w:id="359"/>
      <w:bookmarkStart w:id="360" w:name="_Toc89887827"/>
      <w:bookmarkEnd w:id="360"/>
      <w:bookmarkStart w:id="361" w:name="_Toc89895803"/>
      <w:bookmarkEnd w:id="361"/>
      <w:bookmarkStart w:id="362" w:name="_Toc89887821"/>
      <w:bookmarkEnd w:id="362"/>
      <w:bookmarkStart w:id="363" w:name="_Toc89890479"/>
      <w:bookmarkEnd w:id="363"/>
      <w:bookmarkStart w:id="364" w:name="_Toc89887829"/>
      <w:bookmarkEnd w:id="364"/>
      <w:bookmarkStart w:id="365" w:name="_Toc89895799"/>
      <w:bookmarkEnd w:id="365"/>
      <w:bookmarkStart w:id="366" w:name="_Toc89962528"/>
      <w:bookmarkEnd w:id="366"/>
      <w:bookmarkStart w:id="367" w:name="_Toc89895667"/>
      <w:bookmarkEnd w:id="367"/>
      <w:bookmarkStart w:id="368" w:name="_Toc89962517"/>
      <w:bookmarkEnd w:id="368"/>
      <w:bookmarkStart w:id="369" w:name="_Toc89895808"/>
      <w:bookmarkEnd w:id="369"/>
      <w:bookmarkStart w:id="370" w:name="_Toc89552318"/>
      <w:bookmarkEnd w:id="370"/>
      <w:bookmarkStart w:id="371" w:name="_Toc89887836"/>
      <w:bookmarkEnd w:id="371"/>
      <w:bookmarkStart w:id="372" w:name="_Toc89895668"/>
      <w:bookmarkEnd w:id="372"/>
      <w:bookmarkStart w:id="373" w:name="_Toc89887825"/>
      <w:bookmarkEnd w:id="373"/>
      <w:bookmarkStart w:id="374" w:name="_Toc89962513"/>
      <w:bookmarkEnd w:id="374"/>
      <w:bookmarkStart w:id="375" w:name="_Toc89895674"/>
      <w:bookmarkEnd w:id="375"/>
      <w:bookmarkStart w:id="376" w:name="_Toc89895811"/>
      <w:bookmarkEnd w:id="376"/>
      <w:bookmarkStart w:id="377" w:name="_Toc89895665"/>
      <w:bookmarkEnd w:id="377"/>
      <w:bookmarkStart w:id="378" w:name="_Toc89962523"/>
      <w:bookmarkEnd w:id="378"/>
      <w:bookmarkStart w:id="379" w:name="_Toc89962518"/>
      <w:bookmarkEnd w:id="379"/>
      <w:bookmarkStart w:id="380" w:name="_Toc89895678"/>
      <w:bookmarkEnd w:id="380"/>
      <w:bookmarkStart w:id="381" w:name="_Toc89887832"/>
      <w:bookmarkEnd w:id="381"/>
      <w:bookmarkStart w:id="382" w:name="_Toc89552321"/>
      <w:bookmarkEnd w:id="382"/>
      <w:bookmarkStart w:id="383" w:name="_Toc89552317"/>
      <w:bookmarkEnd w:id="383"/>
      <w:bookmarkStart w:id="384" w:name="_Toc89887839"/>
      <w:bookmarkEnd w:id="384"/>
      <w:bookmarkStart w:id="385" w:name="_Toc89962527"/>
      <w:bookmarkEnd w:id="385"/>
      <w:bookmarkStart w:id="386" w:name="_Toc89890475"/>
      <w:bookmarkEnd w:id="386"/>
      <w:bookmarkStart w:id="387" w:name="_Toc89895663"/>
      <w:bookmarkEnd w:id="387"/>
      <w:bookmarkStart w:id="388" w:name="_Toc89887840"/>
      <w:bookmarkEnd w:id="388"/>
      <w:bookmarkStart w:id="389" w:name="_Toc50920598"/>
      <w:bookmarkStart w:id="390" w:name="_Toc50920441"/>
      <w:bookmarkStart w:id="391" w:name="_Toc72916322"/>
      <w:bookmarkStart w:id="392" w:name="_Toc77555203"/>
      <w:bookmarkStart w:id="393" w:name="_Toc17299"/>
      <w:bookmarkStart w:id="394" w:name="_Toc17022"/>
      <w:bookmarkStart w:id="395" w:name="_Toc132814722"/>
      <w:bookmarkStart w:id="396" w:name="_Toc5709"/>
      <w:bookmarkStart w:id="397" w:name="_Toc472"/>
      <w:bookmarkStart w:id="398" w:name="_Toc29698"/>
      <w:r>
        <w:rPr>
          <w:rFonts w:ascii="宋体" w:hAnsi="宋体"/>
          <w:sz w:val="24"/>
          <w:szCs w:val="24"/>
        </w:rPr>
        <w:t>投标</w:t>
      </w:r>
      <w:bookmarkEnd w:id="389"/>
      <w:bookmarkEnd w:id="390"/>
      <w:bookmarkEnd w:id="391"/>
      <w:bookmarkEnd w:id="392"/>
      <w:r>
        <w:rPr>
          <w:rFonts w:ascii="宋体" w:hAnsi="宋体"/>
          <w:sz w:val="24"/>
          <w:szCs w:val="24"/>
        </w:rPr>
        <w:t>文件的提交</w:t>
      </w:r>
      <w:bookmarkEnd w:id="393"/>
      <w:bookmarkEnd w:id="394"/>
      <w:bookmarkEnd w:id="395"/>
      <w:bookmarkEnd w:id="396"/>
      <w:bookmarkEnd w:id="397"/>
      <w:bookmarkEnd w:id="398"/>
    </w:p>
    <w:p>
      <w:pPr>
        <w:numPr>
          <w:ilvl w:val="1"/>
          <w:numId w:val="2"/>
        </w:numPr>
        <w:snapToGrid w:val="0"/>
        <w:spacing w:line="360" w:lineRule="auto"/>
        <w:rPr>
          <w:rFonts w:ascii="宋体" w:hAnsi="宋体"/>
          <w:szCs w:val="21"/>
        </w:rPr>
      </w:pPr>
      <w:r>
        <w:rPr>
          <w:rFonts w:hint="eastAsia" w:ascii="宋体" w:hAnsi="宋体"/>
          <w:szCs w:val="21"/>
        </w:rPr>
        <w:t>投标人应在本须知前附表规定的投标截止时间前通过交易系统在线上传投标文件。上述方式外提交的投标文件，招标人将不予受理。</w:t>
      </w:r>
    </w:p>
    <w:p>
      <w:pPr>
        <w:numPr>
          <w:ilvl w:val="1"/>
          <w:numId w:val="2"/>
        </w:numPr>
        <w:snapToGrid w:val="0"/>
        <w:spacing w:line="360" w:lineRule="auto"/>
        <w:rPr>
          <w:rFonts w:ascii="宋体" w:hAnsi="宋体"/>
          <w:szCs w:val="21"/>
        </w:rPr>
      </w:pPr>
      <w:r>
        <w:rPr>
          <w:rFonts w:hint="eastAsia" w:ascii="宋体" w:hAnsi="宋体"/>
          <w:szCs w:val="21"/>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pPr>
        <w:numPr>
          <w:ilvl w:val="1"/>
          <w:numId w:val="2"/>
        </w:numPr>
        <w:snapToGrid w:val="0"/>
        <w:spacing w:line="360" w:lineRule="auto"/>
        <w:rPr>
          <w:rFonts w:ascii="宋体" w:hAnsi="宋体"/>
          <w:szCs w:val="21"/>
        </w:rPr>
      </w:pPr>
      <w:r>
        <w:rPr>
          <w:rFonts w:hint="eastAsia" w:ascii="宋体" w:hAnsi="宋体"/>
          <w:szCs w:val="21"/>
        </w:rPr>
        <w:t>投标文件成功上传后，交易系统将生成投标文件识别码。本识别码是投标人提交投标文件的唯一凭证，投标人须妥善保管。识别码丢失后，投标人将无法找回投标文件，需重新上传提交。</w:t>
      </w:r>
    </w:p>
    <w:p>
      <w:pPr>
        <w:numPr>
          <w:ilvl w:val="1"/>
          <w:numId w:val="2"/>
        </w:numPr>
        <w:snapToGrid w:val="0"/>
        <w:spacing w:line="360" w:lineRule="auto"/>
        <w:rPr>
          <w:rFonts w:ascii="宋体" w:hAnsi="宋体"/>
          <w:szCs w:val="21"/>
        </w:rPr>
      </w:pPr>
      <w:r>
        <w:rPr>
          <w:rFonts w:hint="eastAsia" w:ascii="宋体" w:hAnsi="宋体"/>
          <w:szCs w:val="21"/>
        </w:rPr>
        <w:t>投标会议地点：见投标人须知前附表。</w:t>
      </w:r>
    </w:p>
    <w:p>
      <w:pPr>
        <w:numPr>
          <w:ilvl w:val="1"/>
          <w:numId w:val="2"/>
        </w:numPr>
        <w:snapToGrid w:val="0"/>
        <w:spacing w:line="360" w:lineRule="auto"/>
        <w:rPr>
          <w:rFonts w:ascii="宋体" w:hAnsi="宋体"/>
          <w:szCs w:val="21"/>
        </w:rPr>
      </w:pPr>
      <w:r>
        <w:rPr>
          <w:rFonts w:hint="eastAsia" w:ascii="宋体" w:hAnsi="宋体"/>
          <w:szCs w:val="21"/>
        </w:rPr>
        <w:t>逾期送达的或者未按指定方式提交的投标文件，招标人不予受理。</w:t>
      </w:r>
    </w:p>
    <w:p>
      <w:pPr>
        <w:numPr>
          <w:ilvl w:val="1"/>
          <w:numId w:val="2"/>
        </w:numPr>
        <w:snapToGrid w:val="0"/>
        <w:spacing w:line="360" w:lineRule="auto"/>
        <w:rPr>
          <w:rFonts w:ascii="宋体" w:hAnsi="宋体"/>
          <w:szCs w:val="21"/>
        </w:rPr>
      </w:pPr>
      <w:r>
        <w:rPr>
          <w:rFonts w:hint="eastAsia" w:ascii="宋体" w:hAnsi="宋体"/>
          <w:szCs w:val="21"/>
        </w:rPr>
        <w:t>招标人在</w:t>
      </w:r>
      <w:r>
        <w:rPr>
          <w:rFonts w:ascii="宋体" w:hAnsi="宋体"/>
          <w:szCs w:val="21"/>
        </w:rPr>
        <w:t>20.1</w:t>
      </w:r>
      <w:r>
        <w:rPr>
          <w:rFonts w:hint="eastAsia" w:ascii="宋体" w:hAnsi="宋体"/>
          <w:szCs w:val="21"/>
        </w:rPr>
        <w:t>款规定的投标截止时间（开标时间）和</w:t>
      </w:r>
      <w:r>
        <w:rPr>
          <w:rFonts w:ascii="宋体" w:hAnsi="宋体"/>
          <w:szCs w:val="21"/>
        </w:rPr>
        <w:t>20.4</w:t>
      </w:r>
      <w:r>
        <w:rPr>
          <w:rFonts w:hint="eastAsia" w:ascii="宋体" w:hAnsi="宋体"/>
          <w:szCs w:val="21"/>
        </w:rPr>
        <w:t>款规定的地点召开投标会并公开开标，投标人可在规定的时间和地点参加投标会或通过登录交易系统在线查看开标过程相关信息。</w:t>
      </w:r>
    </w:p>
    <w:p>
      <w:pPr>
        <w:numPr>
          <w:ilvl w:val="1"/>
          <w:numId w:val="2"/>
        </w:numPr>
        <w:snapToGrid w:val="0"/>
        <w:spacing w:line="360" w:lineRule="auto"/>
        <w:rPr>
          <w:rFonts w:ascii="宋体" w:hAnsi="宋体"/>
          <w:szCs w:val="21"/>
        </w:rPr>
      </w:pPr>
      <w:r>
        <w:rPr>
          <w:rFonts w:hint="eastAsia" w:ascii="宋体" w:hAnsi="宋体"/>
          <w:szCs w:val="21"/>
        </w:rPr>
        <w:t>投标人网上签到时间为开标当天上午6时至投标截止时间，使用企业数字证书（机构证书或业务证书）登录交易系统在线完成响应招标项目要求的资质选择（如有）、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pPr>
        <w:pStyle w:val="5"/>
        <w:numPr>
          <w:ilvl w:val="0"/>
          <w:numId w:val="2"/>
        </w:numPr>
        <w:rPr>
          <w:rFonts w:ascii="宋体" w:hAnsi="宋体"/>
          <w:sz w:val="24"/>
          <w:szCs w:val="24"/>
        </w:rPr>
      </w:pPr>
      <w:bookmarkStart w:id="399" w:name="_Toc8622"/>
      <w:bookmarkStart w:id="400" w:name="_Toc23224"/>
      <w:bookmarkStart w:id="401" w:name="_Toc24933"/>
      <w:bookmarkStart w:id="402" w:name="_Toc132814723"/>
      <w:bookmarkStart w:id="403" w:name="_Toc3634"/>
      <w:bookmarkStart w:id="404" w:name="_Toc26209"/>
      <w:r>
        <w:rPr>
          <w:rFonts w:ascii="宋体" w:hAnsi="宋体"/>
          <w:sz w:val="24"/>
          <w:szCs w:val="24"/>
        </w:rPr>
        <w:t>投标会时间、地点及投标文件提交的截止时间</w:t>
      </w:r>
      <w:bookmarkEnd w:id="399"/>
      <w:bookmarkEnd w:id="400"/>
      <w:bookmarkEnd w:id="401"/>
      <w:bookmarkEnd w:id="402"/>
      <w:bookmarkEnd w:id="403"/>
      <w:bookmarkEnd w:id="404"/>
    </w:p>
    <w:p>
      <w:pPr>
        <w:numPr>
          <w:ilvl w:val="1"/>
          <w:numId w:val="2"/>
        </w:numPr>
        <w:snapToGrid w:val="0"/>
        <w:spacing w:line="360" w:lineRule="auto"/>
        <w:rPr>
          <w:rFonts w:ascii="宋体" w:hAnsi="宋体"/>
          <w:szCs w:val="21"/>
        </w:rPr>
      </w:pPr>
      <w:r>
        <w:rPr>
          <w:rFonts w:ascii="宋体" w:hAnsi="宋体"/>
          <w:szCs w:val="21"/>
        </w:rPr>
        <w:t>投标人应按前附表所述的时间、地点，或根据第9.4款规定所延长的日期和时间之前</w:t>
      </w:r>
      <w:r>
        <w:rPr>
          <w:rFonts w:hint="eastAsia" w:ascii="宋体" w:hAnsi="宋体"/>
          <w:szCs w:val="21"/>
        </w:rPr>
        <w:t>通过交易系统在线上传投标文件</w:t>
      </w:r>
      <w:r>
        <w:rPr>
          <w:rFonts w:ascii="宋体" w:hAnsi="宋体"/>
          <w:szCs w:val="21"/>
        </w:rPr>
        <w:t>。</w:t>
      </w:r>
      <w:r>
        <w:rPr>
          <w:rFonts w:hint="eastAsia" w:ascii="宋体" w:hAnsi="宋体"/>
          <w:szCs w:val="21"/>
        </w:rPr>
        <w:t xml:space="preserve"> </w:t>
      </w:r>
    </w:p>
    <w:p>
      <w:pPr>
        <w:numPr>
          <w:ilvl w:val="1"/>
          <w:numId w:val="2"/>
        </w:numPr>
        <w:snapToGrid w:val="0"/>
        <w:spacing w:line="360" w:lineRule="auto"/>
        <w:rPr>
          <w:rFonts w:ascii="宋体" w:hAnsi="宋体"/>
          <w:szCs w:val="21"/>
        </w:rPr>
      </w:pPr>
      <w:r>
        <w:rPr>
          <w:rFonts w:ascii="宋体" w:hAnsi="宋体"/>
          <w:szCs w:val="21"/>
        </w:rPr>
        <w:t>招标人有权按第9条的规定发出补充通知书，延长投标文件递交的截止时间。这时，原截止时间前，招标人与投标人的权利和义务相应延长至新的投标截止时间。</w:t>
      </w:r>
    </w:p>
    <w:p>
      <w:pPr>
        <w:pStyle w:val="5"/>
        <w:numPr>
          <w:ilvl w:val="0"/>
          <w:numId w:val="2"/>
        </w:numPr>
        <w:rPr>
          <w:rFonts w:ascii="宋体" w:hAnsi="宋体"/>
          <w:sz w:val="24"/>
          <w:szCs w:val="24"/>
        </w:rPr>
      </w:pPr>
      <w:bookmarkStart w:id="405" w:name="_Toc31814"/>
      <w:bookmarkStart w:id="406" w:name="_Toc24207"/>
      <w:bookmarkStart w:id="407" w:name="_Toc132814724"/>
      <w:bookmarkStart w:id="408" w:name="_Toc18455"/>
      <w:bookmarkStart w:id="409" w:name="_Toc14116"/>
      <w:bookmarkStart w:id="410" w:name="_Toc13617"/>
      <w:bookmarkStart w:id="411" w:name="_Toc77555204"/>
      <w:bookmarkStart w:id="412" w:name="_Toc50920442"/>
      <w:bookmarkStart w:id="413" w:name="_Toc72916323"/>
      <w:bookmarkStart w:id="414" w:name="_Toc50920599"/>
      <w:r>
        <w:rPr>
          <w:rFonts w:ascii="宋体" w:hAnsi="宋体"/>
          <w:sz w:val="24"/>
          <w:szCs w:val="24"/>
        </w:rPr>
        <w:t>投标文件的</w:t>
      </w:r>
      <w:r>
        <w:rPr>
          <w:rFonts w:hint="eastAsia" w:ascii="宋体" w:hAnsi="宋体"/>
          <w:sz w:val="24"/>
          <w:szCs w:val="24"/>
        </w:rPr>
        <w:t>拒绝</w:t>
      </w:r>
      <w:bookmarkEnd w:id="405"/>
      <w:bookmarkEnd w:id="406"/>
      <w:bookmarkEnd w:id="407"/>
      <w:bookmarkEnd w:id="408"/>
      <w:bookmarkEnd w:id="409"/>
      <w:bookmarkEnd w:id="410"/>
    </w:p>
    <w:p>
      <w:pPr>
        <w:numPr>
          <w:ilvl w:val="1"/>
          <w:numId w:val="2"/>
        </w:numPr>
        <w:snapToGrid w:val="0"/>
        <w:spacing w:line="360" w:lineRule="auto"/>
        <w:rPr>
          <w:rFonts w:ascii="宋体" w:hAnsi="宋体"/>
          <w:szCs w:val="21"/>
        </w:rPr>
      </w:pPr>
      <w:r>
        <w:rPr>
          <w:rFonts w:ascii="宋体" w:hAnsi="宋体"/>
          <w:szCs w:val="21"/>
        </w:rPr>
        <w:t>投标会</w:t>
      </w:r>
      <w:r>
        <w:rPr>
          <w:rFonts w:hint="eastAsia" w:ascii="宋体" w:hAnsi="宋体"/>
          <w:szCs w:val="21"/>
        </w:rPr>
        <w:t>上</w:t>
      </w:r>
      <w:r>
        <w:rPr>
          <w:rFonts w:ascii="宋体" w:hAnsi="宋体"/>
          <w:szCs w:val="21"/>
        </w:rPr>
        <w:t>，出现下列情形之一的投标文件，将被招标人拒绝：</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招标人在本须知第</w:t>
      </w:r>
      <w:r>
        <w:rPr>
          <w:rFonts w:ascii="宋体" w:hAnsi="宋体"/>
          <w:szCs w:val="21"/>
        </w:rPr>
        <w:t>20.1</w:t>
      </w:r>
      <w:r>
        <w:rPr>
          <w:rFonts w:hint="eastAsia" w:ascii="宋体" w:hAnsi="宋体"/>
          <w:szCs w:val="21"/>
        </w:rPr>
        <w:t>、</w:t>
      </w:r>
      <w:r>
        <w:rPr>
          <w:rFonts w:ascii="宋体" w:hAnsi="宋体"/>
          <w:szCs w:val="21"/>
        </w:rPr>
        <w:t>20.2</w:t>
      </w:r>
      <w:r>
        <w:rPr>
          <w:rFonts w:hint="eastAsia" w:ascii="宋体" w:hAnsi="宋体"/>
          <w:szCs w:val="21"/>
        </w:rPr>
        <w:t>、2</w:t>
      </w:r>
      <w:r>
        <w:rPr>
          <w:rFonts w:ascii="宋体" w:hAnsi="宋体"/>
          <w:szCs w:val="21"/>
        </w:rPr>
        <w:t>0.3</w:t>
      </w:r>
      <w:r>
        <w:rPr>
          <w:rFonts w:hint="eastAsia" w:ascii="宋体" w:hAnsi="宋体"/>
          <w:szCs w:val="21"/>
        </w:rPr>
        <w:t>、2</w:t>
      </w:r>
      <w:r>
        <w:rPr>
          <w:rFonts w:ascii="宋体" w:hAnsi="宋体"/>
          <w:szCs w:val="21"/>
        </w:rPr>
        <w:t>0.4</w:t>
      </w:r>
      <w:r>
        <w:rPr>
          <w:rFonts w:hint="eastAsia" w:ascii="宋体" w:hAnsi="宋体"/>
          <w:szCs w:val="21"/>
        </w:rPr>
        <w:t>款规定的投标截止时间以后或指定方式以外收到的投标文件。</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投标人未按本须知第</w:t>
      </w:r>
      <w:r>
        <w:rPr>
          <w:rFonts w:ascii="宋体" w:hAnsi="宋体"/>
          <w:szCs w:val="21"/>
        </w:rPr>
        <w:t>20.1</w:t>
      </w:r>
      <w:r>
        <w:rPr>
          <w:rFonts w:hint="eastAsia" w:ascii="宋体" w:hAnsi="宋体"/>
          <w:szCs w:val="21"/>
        </w:rPr>
        <w:t>、</w:t>
      </w:r>
      <w:r>
        <w:rPr>
          <w:rFonts w:ascii="宋体" w:hAnsi="宋体"/>
          <w:szCs w:val="21"/>
        </w:rPr>
        <w:t>20.2</w:t>
      </w:r>
      <w:r>
        <w:rPr>
          <w:rFonts w:hint="eastAsia" w:ascii="宋体" w:hAnsi="宋体"/>
          <w:szCs w:val="21"/>
        </w:rPr>
        <w:t>、2</w:t>
      </w:r>
      <w:r>
        <w:rPr>
          <w:rFonts w:ascii="宋体" w:hAnsi="宋体"/>
          <w:szCs w:val="21"/>
        </w:rPr>
        <w:t>0.3</w:t>
      </w:r>
      <w:r>
        <w:rPr>
          <w:rFonts w:hint="eastAsia" w:ascii="宋体" w:hAnsi="宋体"/>
          <w:szCs w:val="21"/>
        </w:rPr>
        <w:t>、2</w:t>
      </w:r>
      <w:r>
        <w:rPr>
          <w:rFonts w:ascii="宋体" w:hAnsi="宋体"/>
          <w:szCs w:val="21"/>
        </w:rPr>
        <w:t>0.4</w:t>
      </w:r>
      <w:r>
        <w:rPr>
          <w:rFonts w:hint="eastAsia" w:ascii="宋体" w:hAnsi="宋体"/>
          <w:szCs w:val="21"/>
        </w:rPr>
        <w:t>款规定提交的投标文件。</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投标文件提交截止时间凡在东莞市公共资源交易企业库登记资格条件等信息不符合本项目对投标人的资格条件要求，或未在公共资源交易企业库建档的，或投标人未在公共资源交易企业库建档的，或对应企业类型信用档案（如有）状态为“限制投标及承接工程”状态的投标人所递交的投标文件。</w:t>
      </w:r>
    </w:p>
    <w:p>
      <w:pPr>
        <w:numPr>
          <w:ilvl w:val="2"/>
          <w:numId w:val="2"/>
        </w:numPr>
        <w:tabs>
          <w:tab w:val="left" w:pos="1440"/>
        </w:tabs>
        <w:snapToGrid w:val="0"/>
        <w:spacing w:line="360" w:lineRule="auto"/>
        <w:ind w:left="1560" w:hanging="709"/>
        <w:rPr>
          <w:rFonts w:ascii="宋体" w:hAnsi="宋体"/>
          <w:szCs w:val="21"/>
        </w:rPr>
      </w:pPr>
      <w:r>
        <w:rPr>
          <w:rFonts w:hint="eastAsia" w:ascii="宋体" w:hAnsi="宋体"/>
          <w:szCs w:val="21"/>
        </w:rPr>
        <w:t>对已被行政监督部门记录有不良行为或者涉嫌串通投标并正在接受有关部门调查的投标人，招标人可以拒收其投标文件</w:t>
      </w:r>
      <w:r>
        <w:rPr>
          <w:rFonts w:ascii="宋体" w:hAnsi="宋体"/>
          <w:szCs w:val="21"/>
        </w:rPr>
        <w:t>并拒绝其参加投标。</w:t>
      </w:r>
    </w:p>
    <w:p>
      <w:pPr>
        <w:numPr>
          <w:ilvl w:val="2"/>
          <w:numId w:val="2"/>
        </w:numPr>
        <w:tabs>
          <w:tab w:val="left" w:pos="1440"/>
        </w:tabs>
        <w:snapToGrid w:val="0"/>
        <w:spacing w:line="360" w:lineRule="auto"/>
        <w:ind w:left="1560" w:hanging="709"/>
        <w:rPr>
          <w:rFonts w:ascii="宋体" w:hAnsi="宋体"/>
          <w:szCs w:val="21"/>
        </w:rPr>
      </w:pPr>
      <w:r>
        <w:rPr>
          <w:rFonts w:hint="eastAsia" w:ascii="宋体" w:hAnsi="宋体"/>
          <w:spacing w:val="6"/>
          <w:szCs w:val="21"/>
        </w:rPr>
        <w:t>经招标人及其委托的招标代理机构于开标会（投标会）现场通过“信用中国”网站（www.creditchina.gov.cn）查询企业的信用记录，投标人（含其不具有独立法人资格的分支机构）被列入“信用中国”网站（www.creditchina.gov.cn）失信被执行人、重大税收违法失信主体、严重违法失信行为记录名单的，招标人拒收其投标文件。</w:t>
      </w:r>
    </w:p>
    <w:p>
      <w:pPr>
        <w:pStyle w:val="5"/>
        <w:numPr>
          <w:ilvl w:val="0"/>
          <w:numId w:val="2"/>
        </w:numPr>
        <w:rPr>
          <w:rFonts w:ascii="宋体" w:hAnsi="宋体"/>
          <w:sz w:val="24"/>
          <w:szCs w:val="24"/>
        </w:rPr>
      </w:pPr>
      <w:bookmarkStart w:id="415" w:name="_Toc89895684"/>
      <w:bookmarkEnd w:id="415"/>
      <w:bookmarkStart w:id="416" w:name="_Toc89552336"/>
      <w:bookmarkEnd w:id="416"/>
      <w:bookmarkStart w:id="417" w:name="_Toc89552337"/>
      <w:bookmarkEnd w:id="417"/>
      <w:bookmarkStart w:id="418" w:name="_Toc89890491"/>
      <w:bookmarkEnd w:id="418"/>
      <w:bookmarkStart w:id="419" w:name="_Toc89962535"/>
      <w:bookmarkEnd w:id="419"/>
      <w:bookmarkStart w:id="420" w:name="_Toc89895820"/>
      <w:bookmarkEnd w:id="420"/>
      <w:bookmarkStart w:id="421" w:name="_Toc89890492"/>
      <w:bookmarkEnd w:id="421"/>
      <w:bookmarkStart w:id="422" w:name="_Toc89890493"/>
      <w:bookmarkEnd w:id="422"/>
      <w:bookmarkStart w:id="423" w:name="_Toc89895686"/>
      <w:bookmarkEnd w:id="423"/>
      <w:bookmarkStart w:id="424" w:name="_Toc89887845"/>
      <w:bookmarkEnd w:id="424"/>
      <w:bookmarkStart w:id="425" w:name="_Toc89895818"/>
      <w:bookmarkEnd w:id="425"/>
      <w:bookmarkStart w:id="426" w:name="_Toc89887844"/>
      <w:bookmarkEnd w:id="426"/>
      <w:bookmarkStart w:id="427" w:name="_Toc89962536"/>
      <w:bookmarkEnd w:id="427"/>
      <w:bookmarkStart w:id="428" w:name="_Toc89552335"/>
      <w:bookmarkEnd w:id="428"/>
      <w:bookmarkStart w:id="429" w:name="_Toc89895819"/>
      <w:bookmarkEnd w:id="429"/>
      <w:bookmarkStart w:id="430" w:name="_Toc89895685"/>
      <w:bookmarkEnd w:id="430"/>
      <w:bookmarkStart w:id="431" w:name="_Toc89887846"/>
      <w:bookmarkEnd w:id="431"/>
      <w:bookmarkStart w:id="432" w:name="_Toc89962537"/>
      <w:bookmarkEnd w:id="432"/>
      <w:bookmarkStart w:id="433" w:name="_Toc22228"/>
      <w:bookmarkStart w:id="434" w:name="_Toc4083"/>
      <w:bookmarkStart w:id="435" w:name="_Toc20451"/>
      <w:bookmarkStart w:id="436" w:name="_Toc27600"/>
      <w:bookmarkStart w:id="437" w:name="_Toc132814725"/>
      <w:bookmarkStart w:id="438" w:name="_Toc14344"/>
      <w:r>
        <w:rPr>
          <w:rFonts w:ascii="宋体" w:hAnsi="宋体"/>
          <w:sz w:val="24"/>
          <w:szCs w:val="24"/>
        </w:rPr>
        <w:t>投标文件的</w:t>
      </w:r>
      <w:bookmarkEnd w:id="411"/>
      <w:bookmarkEnd w:id="412"/>
      <w:bookmarkEnd w:id="413"/>
      <w:bookmarkEnd w:id="414"/>
      <w:r>
        <w:rPr>
          <w:rFonts w:ascii="宋体" w:hAnsi="宋体"/>
          <w:sz w:val="24"/>
          <w:szCs w:val="24"/>
        </w:rPr>
        <w:t>补充、修改与撤回</w:t>
      </w:r>
      <w:bookmarkEnd w:id="433"/>
      <w:bookmarkEnd w:id="434"/>
      <w:bookmarkEnd w:id="435"/>
      <w:bookmarkEnd w:id="436"/>
      <w:bookmarkEnd w:id="437"/>
      <w:bookmarkEnd w:id="438"/>
    </w:p>
    <w:p>
      <w:pPr>
        <w:numPr>
          <w:ilvl w:val="1"/>
          <w:numId w:val="2"/>
        </w:numPr>
        <w:snapToGrid w:val="0"/>
        <w:spacing w:line="360" w:lineRule="auto"/>
        <w:rPr>
          <w:rFonts w:ascii="宋体" w:hAnsi="宋体"/>
          <w:szCs w:val="21"/>
        </w:rPr>
      </w:pPr>
      <w:bookmarkStart w:id="439" w:name="_Toc72916326"/>
      <w:bookmarkStart w:id="440" w:name="_Toc50920444"/>
      <w:bookmarkStart w:id="441" w:name="_Toc77555207"/>
      <w:bookmarkStart w:id="442" w:name="_Toc50920601"/>
      <w:r>
        <w:rPr>
          <w:rFonts w:hint="eastAsia" w:ascii="宋体" w:hAnsi="宋体"/>
          <w:szCs w:val="21"/>
        </w:rPr>
        <w:t>在本须知第</w:t>
      </w:r>
      <w:r>
        <w:rPr>
          <w:rFonts w:ascii="宋体" w:hAnsi="宋体"/>
          <w:szCs w:val="21"/>
        </w:rPr>
        <w:t>20.1</w:t>
      </w:r>
      <w:r>
        <w:rPr>
          <w:rFonts w:hint="eastAsia" w:ascii="宋体" w:hAnsi="宋体"/>
          <w:szCs w:val="21"/>
        </w:rPr>
        <w:t>款规定的投标截止时间前，</w:t>
      </w:r>
      <w:r>
        <w:rPr>
          <w:rFonts w:hint="eastAsia" w:ascii="宋体" w:hAnsi="宋体" w:cs="宋体"/>
          <w:szCs w:val="21"/>
        </w:rPr>
        <w:t>投标人可以修改或撤回已递交的投标文件。在投标截止时间之后，投标人不得补充、修改投标文件。</w:t>
      </w:r>
    </w:p>
    <w:p>
      <w:pPr>
        <w:numPr>
          <w:ilvl w:val="1"/>
          <w:numId w:val="2"/>
        </w:numPr>
        <w:snapToGrid w:val="0"/>
        <w:spacing w:line="360" w:lineRule="auto"/>
        <w:rPr>
          <w:rFonts w:ascii="宋体" w:hAnsi="宋体"/>
          <w:szCs w:val="21"/>
        </w:rPr>
      </w:pPr>
      <w:r>
        <w:rPr>
          <w:rFonts w:hint="eastAsia" w:ascii="宋体" w:hAnsi="宋体"/>
          <w:szCs w:val="21"/>
        </w:rPr>
        <w:t>投标人应使用企业数字证书、投标文件识别码及投标文件查询密码通过网络撤回已递交投标文件。</w:t>
      </w:r>
    </w:p>
    <w:p>
      <w:pPr>
        <w:numPr>
          <w:ilvl w:val="1"/>
          <w:numId w:val="2"/>
        </w:numPr>
        <w:snapToGrid w:val="0"/>
        <w:spacing w:line="360" w:lineRule="auto"/>
        <w:rPr>
          <w:rFonts w:ascii="宋体" w:hAnsi="宋体"/>
          <w:szCs w:val="21"/>
        </w:rPr>
      </w:pPr>
      <w:r>
        <w:rPr>
          <w:rFonts w:hint="eastAsia" w:ascii="宋体" w:hAnsi="宋体"/>
          <w:szCs w:val="21"/>
        </w:rPr>
        <w:t>在投标截止时间至投标有效期满之前，投标人不得撤销其投标文件。投标截止后投标人撤销投标文件的，招标人没收其投标保证金（逾期未解密投标文件的除外）。</w:t>
      </w:r>
    </w:p>
    <w:p>
      <w:pPr>
        <w:pStyle w:val="4"/>
        <w:numPr>
          <w:ilvl w:val="1"/>
          <w:numId w:val="1"/>
        </w:numPr>
        <w:snapToGrid w:val="0"/>
        <w:spacing w:before="0" w:after="0" w:line="360" w:lineRule="auto"/>
        <w:jc w:val="center"/>
        <w:rPr>
          <w:rFonts w:ascii="宋体" w:hAnsi="宋体" w:eastAsia="宋体"/>
          <w:b w:val="0"/>
          <w:bCs w:val="0"/>
          <w:sz w:val="30"/>
          <w:szCs w:val="28"/>
        </w:rPr>
      </w:pPr>
      <w:bookmarkStart w:id="443" w:name="_Toc89552339"/>
      <w:bookmarkEnd w:id="443"/>
      <w:bookmarkStart w:id="444" w:name="_Toc89895688"/>
      <w:bookmarkEnd w:id="444"/>
      <w:bookmarkStart w:id="445" w:name="_Toc89887848"/>
      <w:bookmarkEnd w:id="445"/>
      <w:bookmarkStart w:id="446" w:name="_Toc89962539"/>
      <w:bookmarkEnd w:id="446"/>
      <w:bookmarkStart w:id="447" w:name="_Toc89890495"/>
      <w:bookmarkEnd w:id="447"/>
      <w:bookmarkStart w:id="448" w:name="_Toc89895822"/>
      <w:bookmarkEnd w:id="448"/>
      <w:bookmarkStart w:id="449" w:name="_Toc32313"/>
      <w:bookmarkStart w:id="450" w:name="_Toc27510"/>
      <w:bookmarkStart w:id="451" w:name="_Toc80"/>
      <w:bookmarkStart w:id="452" w:name="_Toc132814726"/>
      <w:bookmarkStart w:id="453" w:name="_Toc5518"/>
      <w:bookmarkStart w:id="454" w:name="_Toc17818"/>
      <w:r>
        <w:rPr>
          <w:rFonts w:ascii="宋体" w:hAnsi="宋体" w:eastAsia="宋体"/>
          <w:b w:val="0"/>
          <w:bCs w:val="0"/>
          <w:sz w:val="30"/>
          <w:szCs w:val="28"/>
        </w:rPr>
        <w:t>开标与评标</w:t>
      </w:r>
      <w:bookmarkEnd w:id="439"/>
      <w:bookmarkEnd w:id="440"/>
      <w:bookmarkEnd w:id="441"/>
      <w:bookmarkEnd w:id="442"/>
      <w:bookmarkEnd w:id="449"/>
      <w:bookmarkEnd w:id="450"/>
      <w:bookmarkEnd w:id="451"/>
      <w:bookmarkEnd w:id="452"/>
      <w:bookmarkEnd w:id="453"/>
      <w:bookmarkEnd w:id="454"/>
    </w:p>
    <w:p>
      <w:pPr>
        <w:pStyle w:val="5"/>
        <w:numPr>
          <w:ilvl w:val="0"/>
          <w:numId w:val="2"/>
        </w:numPr>
        <w:rPr>
          <w:rFonts w:ascii="宋体" w:hAnsi="宋体"/>
          <w:sz w:val="24"/>
          <w:szCs w:val="24"/>
        </w:rPr>
      </w:pPr>
      <w:bookmarkStart w:id="455" w:name="_Toc77555208"/>
      <w:bookmarkStart w:id="456" w:name="_Toc50920602"/>
      <w:bookmarkStart w:id="457" w:name="_Toc72916327"/>
      <w:bookmarkStart w:id="458" w:name="_Toc25617"/>
      <w:bookmarkStart w:id="459" w:name="_Toc22477"/>
      <w:bookmarkStart w:id="460" w:name="_Toc50920445"/>
      <w:bookmarkStart w:id="461" w:name="_Toc132814727"/>
      <w:bookmarkStart w:id="462" w:name="_Toc3140"/>
      <w:bookmarkStart w:id="463" w:name="_Toc28367"/>
      <w:bookmarkStart w:id="464" w:name="_Toc12937"/>
      <w:r>
        <w:rPr>
          <w:rFonts w:ascii="宋体" w:hAnsi="宋体"/>
          <w:sz w:val="24"/>
          <w:szCs w:val="24"/>
        </w:rPr>
        <w:t>开标</w:t>
      </w:r>
      <w:bookmarkEnd w:id="455"/>
      <w:bookmarkEnd w:id="456"/>
      <w:bookmarkEnd w:id="457"/>
      <w:bookmarkEnd w:id="458"/>
      <w:bookmarkEnd w:id="459"/>
      <w:bookmarkEnd w:id="460"/>
      <w:bookmarkEnd w:id="461"/>
      <w:bookmarkEnd w:id="462"/>
      <w:bookmarkEnd w:id="463"/>
      <w:bookmarkEnd w:id="464"/>
    </w:p>
    <w:p>
      <w:pPr>
        <w:numPr>
          <w:ilvl w:val="1"/>
          <w:numId w:val="2"/>
        </w:numPr>
        <w:snapToGrid w:val="0"/>
        <w:spacing w:line="360" w:lineRule="auto"/>
        <w:rPr>
          <w:rFonts w:ascii="宋体" w:hAnsi="宋体"/>
          <w:szCs w:val="21"/>
        </w:rPr>
      </w:pPr>
      <w:bookmarkStart w:id="465" w:name="_Toc72916328"/>
      <w:bookmarkStart w:id="466" w:name="_Toc50920603"/>
      <w:bookmarkStart w:id="467" w:name="_Toc77555209"/>
      <w:bookmarkStart w:id="468" w:name="_Toc50920446"/>
      <w:r>
        <w:rPr>
          <w:rFonts w:ascii="宋体" w:hAnsi="宋体"/>
          <w:szCs w:val="21"/>
        </w:rPr>
        <w:t>招标人将在投标会召开的同一地点按投标须知前附表所规定的时间进行开标。</w:t>
      </w:r>
    </w:p>
    <w:p>
      <w:pPr>
        <w:numPr>
          <w:ilvl w:val="1"/>
          <w:numId w:val="2"/>
        </w:numPr>
        <w:snapToGrid w:val="0"/>
        <w:spacing w:line="360" w:lineRule="auto"/>
        <w:rPr>
          <w:rFonts w:ascii="宋体" w:hAnsi="宋体"/>
          <w:szCs w:val="21"/>
        </w:rPr>
      </w:pPr>
      <w:r>
        <w:rPr>
          <w:rFonts w:ascii="宋体" w:hAnsi="宋体"/>
          <w:szCs w:val="21"/>
        </w:rPr>
        <w:t>投标会由招标人及其委托的招标代理机构主持，</w:t>
      </w:r>
      <w:r>
        <w:rPr>
          <w:rFonts w:hint="eastAsia" w:ascii="宋体" w:hAnsi="宋体"/>
          <w:szCs w:val="21"/>
        </w:rPr>
        <w:t>可邀请有关部门监督或公证机构进行公证。</w:t>
      </w:r>
    </w:p>
    <w:p>
      <w:pPr>
        <w:numPr>
          <w:ilvl w:val="1"/>
          <w:numId w:val="2"/>
        </w:numPr>
        <w:snapToGrid w:val="0"/>
        <w:spacing w:line="360" w:lineRule="auto"/>
        <w:rPr>
          <w:rFonts w:ascii="宋体" w:hAnsi="宋体"/>
          <w:szCs w:val="21"/>
        </w:rPr>
      </w:pPr>
      <w:r>
        <w:rPr>
          <w:rFonts w:hint="eastAsia" w:ascii="宋体" w:hAnsi="宋体"/>
          <w:szCs w:val="21"/>
        </w:rPr>
        <w:t>投标文件提交截止时间后，招标人按本须知第</w:t>
      </w:r>
      <w:r>
        <w:rPr>
          <w:rFonts w:ascii="宋体" w:hAnsi="宋体"/>
          <w:szCs w:val="21"/>
        </w:rPr>
        <w:t>22.1</w:t>
      </w:r>
      <w:r>
        <w:rPr>
          <w:rFonts w:hint="eastAsia" w:ascii="宋体" w:hAnsi="宋体"/>
          <w:szCs w:val="21"/>
        </w:rPr>
        <w:t>款规定拒绝不符合要求的投标文件。</w:t>
      </w:r>
    </w:p>
    <w:p>
      <w:pPr>
        <w:numPr>
          <w:ilvl w:val="1"/>
          <w:numId w:val="2"/>
        </w:numPr>
        <w:snapToGrid w:val="0"/>
        <w:spacing w:line="360" w:lineRule="auto"/>
        <w:rPr>
          <w:rFonts w:ascii="宋体" w:hAnsi="宋体"/>
          <w:szCs w:val="21"/>
        </w:rPr>
      </w:pPr>
      <w:r>
        <w:rPr>
          <w:rFonts w:hint="eastAsia" w:ascii="宋体" w:hAnsi="宋体"/>
          <w:szCs w:val="21"/>
        </w:rPr>
        <w:t>投标会上，招标人及其委托的招标代理机构首先核对交易系统中填写重要信息是否准确。招标人及其委托的招标代理机构审查各投标人在公共资源交易中心企业库登记信息是否符合本须知第</w:t>
      </w:r>
      <w:r>
        <w:rPr>
          <w:rFonts w:ascii="宋体" w:hAnsi="宋体"/>
          <w:szCs w:val="21"/>
        </w:rPr>
        <w:t>4.1</w:t>
      </w:r>
      <w:r>
        <w:rPr>
          <w:rFonts w:hint="eastAsia" w:ascii="宋体" w:hAnsi="宋体"/>
          <w:szCs w:val="21"/>
        </w:rPr>
        <w:t>款相关要求规定，是否按本须知第</w:t>
      </w:r>
      <w:r>
        <w:rPr>
          <w:rFonts w:ascii="宋体" w:hAnsi="宋体"/>
          <w:szCs w:val="21"/>
        </w:rPr>
        <w:t>16.1</w:t>
      </w:r>
      <w:r>
        <w:rPr>
          <w:rFonts w:hint="eastAsia" w:ascii="宋体" w:hAnsi="宋体"/>
          <w:szCs w:val="21"/>
        </w:rPr>
        <w:t>款要求提交投标保证金。</w:t>
      </w:r>
    </w:p>
    <w:p>
      <w:pPr>
        <w:numPr>
          <w:ilvl w:val="1"/>
          <w:numId w:val="2"/>
        </w:numPr>
        <w:snapToGrid w:val="0"/>
        <w:spacing w:line="360" w:lineRule="auto"/>
        <w:rPr>
          <w:rFonts w:ascii="宋体" w:hAnsi="宋体"/>
        </w:rPr>
      </w:pPr>
      <w:r>
        <w:rPr>
          <w:rFonts w:hint="eastAsia" w:ascii="宋体" w:hAnsi="宋体"/>
        </w:rPr>
        <w:t>解密投标文件的时间详见本须知前附表。投标会现场不受理投标人的投标文件解密等事项。因投标人原因造成投标文件未解密的，视为撤销其投标文件；非因投标人原因造成投标文件未解密的，视为撤回其投标文件。</w:t>
      </w:r>
    </w:p>
    <w:p>
      <w:pPr>
        <w:numPr>
          <w:ilvl w:val="1"/>
          <w:numId w:val="2"/>
        </w:numPr>
        <w:snapToGrid w:val="0"/>
        <w:spacing w:line="360" w:lineRule="auto"/>
        <w:rPr>
          <w:rFonts w:ascii="宋体" w:hAnsi="宋体"/>
        </w:rPr>
      </w:pPr>
      <w:r>
        <w:rPr>
          <w:rFonts w:hint="eastAsia" w:ascii="宋体" w:hAnsi="宋体"/>
        </w:rPr>
        <w:t>招标人确认交易系统辅助审查结果，公布通过审查有效的投标人名单及拒绝或否决投标的理由。投标人对审查结果有异议的，可在审查结果异议提出时间内向招标人或其委托的招标代理机构提出。如投标人未提出或未按投标人须知前附表的规定提出异议的，则认为已确认招标人宣读的审查结果。</w:t>
      </w:r>
    </w:p>
    <w:p>
      <w:pPr>
        <w:numPr>
          <w:ilvl w:val="1"/>
          <w:numId w:val="2"/>
        </w:numPr>
        <w:snapToGrid w:val="0"/>
        <w:spacing w:line="360" w:lineRule="auto"/>
        <w:rPr>
          <w:rFonts w:ascii="宋体" w:hAnsi="宋体"/>
          <w:szCs w:val="21"/>
        </w:rPr>
      </w:pPr>
      <w:r>
        <w:rPr>
          <w:rFonts w:hint="eastAsia" w:ascii="宋体" w:hAnsi="宋体"/>
          <w:szCs w:val="21"/>
        </w:rPr>
        <w:t>招标人将所有已解密且通过开标阶段由系统辅助审查的电子投标文件，按要求打包相关评标数据，并同步到交易系统。</w:t>
      </w:r>
    </w:p>
    <w:p>
      <w:pPr>
        <w:numPr>
          <w:ilvl w:val="1"/>
          <w:numId w:val="2"/>
        </w:numPr>
        <w:snapToGrid w:val="0"/>
        <w:spacing w:line="360" w:lineRule="auto"/>
        <w:rPr>
          <w:rFonts w:ascii="宋体" w:hAnsi="宋体"/>
        </w:rPr>
      </w:pPr>
      <w:r>
        <w:rPr>
          <w:rFonts w:ascii="宋体" w:hAnsi="宋体"/>
          <w:spacing w:val="6"/>
          <w:szCs w:val="21"/>
        </w:rPr>
        <w:t>评标结果公示前</w:t>
      </w:r>
      <w:r>
        <w:rPr>
          <w:rFonts w:hint="eastAsia" w:ascii="宋体" w:hAnsi="宋体"/>
          <w:spacing w:val="6"/>
          <w:szCs w:val="21"/>
        </w:rPr>
        <w:t>，</w:t>
      </w:r>
      <w:r>
        <w:rPr>
          <w:rFonts w:ascii="宋体" w:hAnsi="宋体"/>
          <w:spacing w:val="6"/>
          <w:szCs w:val="21"/>
        </w:rPr>
        <w:t>投标人</w:t>
      </w:r>
      <w:r>
        <w:rPr>
          <w:rFonts w:hint="eastAsia" w:ascii="宋体" w:hAnsi="宋体"/>
          <w:spacing w:val="6"/>
          <w:szCs w:val="21"/>
        </w:rPr>
        <w:t>联系人</w:t>
      </w:r>
      <w:r>
        <w:rPr>
          <w:rFonts w:ascii="宋体" w:hAnsi="宋体"/>
          <w:spacing w:val="6"/>
          <w:szCs w:val="21"/>
        </w:rPr>
        <w:t>的联系电话应保持开机状态，以便在评标期间，评标委员会要求投标人对投标文件进行澄清</w:t>
      </w:r>
      <w:r>
        <w:rPr>
          <w:rFonts w:hint="eastAsia" w:ascii="宋体" w:hAnsi="宋体"/>
          <w:spacing w:val="6"/>
          <w:szCs w:val="21"/>
        </w:rPr>
        <w:t>时</w:t>
      </w:r>
      <w:r>
        <w:rPr>
          <w:rFonts w:ascii="宋体" w:hAnsi="宋体"/>
          <w:spacing w:val="6"/>
          <w:szCs w:val="21"/>
        </w:rPr>
        <w:t>能够收到有关通知</w:t>
      </w:r>
      <w:r>
        <w:rPr>
          <w:rFonts w:hint="eastAsia" w:ascii="宋体" w:hAnsi="宋体"/>
          <w:spacing w:val="6"/>
          <w:szCs w:val="21"/>
        </w:rPr>
        <w:t>，否则</w:t>
      </w:r>
      <w:r>
        <w:rPr>
          <w:rFonts w:ascii="宋体" w:hAnsi="宋体"/>
          <w:spacing w:val="6"/>
          <w:szCs w:val="21"/>
        </w:rPr>
        <w:t>视为投标人放弃说明的权利</w:t>
      </w:r>
      <w:r>
        <w:rPr>
          <w:rFonts w:hint="eastAsia" w:ascii="宋体" w:hAnsi="宋体"/>
          <w:spacing w:val="6"/>
          <w:szCs w:val="21"/>
        </w:rPr>
        <w:t>，对评标委员会就该项内容的评审意见无异议</w:t>
      </w:r>
      <w:r>
        <w:rPr>
          <w:rFonts w:ascii="宋体" w:hAnsi="宋体"/>
        </w:rPr>
        <w:t>。</w:t>
      </w:r>
    </w:p>
    <w:p>
      <w:pPr>
        <w:numPr>
          <w:ilvl w:val="1"/>
          <w:numId w:val="2"/>
        </w:numPr>
        <w:snapToGrid w:val="0"/>
        <w:spacing w:line="360" w:lineRule="auto"/>
        <w:rPr>
          <w:rFonts w:ascii="宋体" w:hAnsi="宋体"/>
        </w:rPr>
      </w:pPr>
      <w:r>
        <w:rPr>
          <w:rFonts w:ascii="宋体" w:hAnsi="宋体"/>
        </w:rPr>
        <w:t>评标会上，评标委员会在监督部门</w:t>
      </w:r>
      <w:r>
        <w:rPr>
          <w:rFonts w:hint="eastAsia" w:ascii="宋体" w:hAnsi="宋体"/>
        </w:rPr>
        <w:t>或公证机构</w:t>
      </w:r>
      <w:r>
        <w:rPr>
          <w:rFonts w:ascii="宋体" w:hAnsi="宋体"/>
        </w:rPr>
        <w:t>的监督下，按招标文件投标人须知附件一《</w:t>
      </w:r>
      <w:r>
        <w:rPr>
          <w:rFonts w:hint="eastAsia" w:ascii="宋体" w:hAnsi="宋体"/>
          <w:szCs w:val="21"/>
        </w:rPr>
        <w:t>东莞市沙田福禄沙污水处理厂二期工程等四项工程刮泥机成套系统设备采购</w:t>
      </w:r>
      <w:r>
        <w:rPr>
          <w:rFonts w:ascii="宋体" w:hAnsi="宋体"/>
        </w:rPr>
        <w:t>招标评标办法》对投标文件进行评审，</w:t>
      </w:r>
      <w:r>
        <w:rPr>
          <w:rFonts w:hint="eastAsia" w:ascii="宋体" w:hAnsi="宋体"/>
        </w:rPr>
        <w:t>推荐中标候选人，并向招标人出具评标报告。</w:t>
      </w:r>
    </w:p>
    <w:p>
      <w:pPr>
        <w:numPr>
          <w:ilvl w:val="1"/>
          <w:numId w:val="2"/>
        </w:numPr>
        <w:snapToGrid w:val="0"/>
        <w:spacing w:line="360" w:lineRule="auto"/>
        <w:rPr>
          <w:rFonts w:ascii="宋体" w:hAnsi="宋体"/>
        </w:rPr>
      </w:pPr>
      <w:r>
        <w:rPr>
          <w:rFonts w:hint="eastAsia" w:ascii="宋体" w:hAnsi="宋体"/>
        </w:rPr>
        <w:tab/>
      </w:r>
      <w:r>
        <w:rPr>
          <w:rFonts w:hint="eastAsia" w:ascii="宋体" w:hAnsi="宋体"/>
        </w:rPr>
        <w:t>招标人代表（招标人和招标代理工作人员）、监督部门、公证</w:t>
      </w:r>
      <w:r>
        <w:rPr>
          <w:rFonts w:hint="eastAsia" w:ascii="宋体" w:hAnsi="宋体"/>
          <w:szCs w:val="21"/>
        </w:rPr>
        <w:t>机构</w:t>
      </w:r>
      <w:r>
        <w:rPr>
          <w:rFonts w:hint="eastAsia" w:ascii="宋体" w:hAnsi="宋体"/>
        </w:rPr>
        <w:t>、招标监督小组等有关人员在开标记录上签字确认，开标记录封存</w:t>
      </w:r>
      <w:r>
        <w:rPr>
          <w:rFonts w:ascii="宋体" w:hAnsi="宋体"/>
        </w:rPr>
        <w:t>。</w:t>
      </w:r>
    </w:p>
    <w:p>
      <w:pPr>
        <w:pStyle w:val="5"/>
        <w:numPr>
          <w:ilvl w:val="0"/>
          <w:numId w:val="2"/>
        </w:numPr>
        <w:rPr>
          <w:rFonts w:ascii="宋体" w:hAnsi="宋体"/>
          <w:sz w:val="24"/>
          <w:szCs w:val="24"/>
        </w:rPr>
      </w:pPr>
      <w:bookmarkStart w:id="469" w:name="_Toc465091995"/>
      <w:bookmarkEnd w:id="469"/>
      <w:bookmarkStart w:id="470" w:name="_Toc27313"/>
      <w:bookmarkStart w:id="471" w:name="_Toc26380"/>
      <w:bookmarkStart w:id="472" w:name="_Toc21244"/>
      <w:bookmarkStart w:id="473" w:name="_Toc3527"/>
      <w:bookmarkStart w:id="474" w:name="_Toc227"/>
      <w:bookmarkStart w:id="475" w:name="_Toc132814728"/>
      <w:r>
        <w:rPr>
          <w:rFonts w:ascii="宋体" w:hAnsi="宋体"/>
          <w:sz w:val="24"/>
          <w:szCs w:val="24"/>
        </w:rPr>
        <w:t>评标委员会</w:t>
      </w:r>
      <w:bookmarkEnd w:id="470"/>
      <w:bookmarkEnd w:id="471"/>
      <w:bookmarkEnd w:id="472"/>
      <w:bookmarkEnd w:id="473"/>
      <w:bookmarkEnd w:id="474"/>
      <w:bookmarkEnd w:id="475"/>
    </w:p>
    <w:p>
      <w:pPr>
        <w:numPr>
          <w:ilvl w:val="1"/>
          <w:numId w:val="2"/>
        </w:numPr>
        <w:snapToGrid w:val="0"/>
        <w:spacing w:line="360" w:lineRule="auto"/>
        <w:rPr>
          <w:rFonts w:ascii="宋体" w:hAnsi="宋体"/>
        </w:rPr>
      </w:pPr>
      <w:r>
        <w:rPr>
          <w:rFonts w:ascii="宋体" w:hAnsi="宋体"/>
        </w:rPr>
        <w:t>本次招标依法组建评标委员会。</w:t>
      </w:r>
    </w:p>
    <w:p>
      <w:pPr>
        <w:numPr>
          <w:ilvl w:val="1"/>
          <w:numId w:val="2"/>
        </w:numPr>
        <w:snapToGrid w:val="0"/>
        <w:spacing w:line="360" w:lineRule="auto"/>
        <w:rPr>
          <w:rFonts w:ascii="宋体" w:hAnsi="宋体"/>
        </w:rPr>
      </w:pPr>
      <w:r>
        <w:rPr>
          <w:rFonts w:ascii="宋体" w:hAnsi="宋体"/>
        </w:rPr>
        <w:t>评标委员会根据招标文件的规定（见本招标文件投标须知附件一《</w:t>
      </w:r>
      <w:r>
        <w:rPr>
          <w:rFonts w:hint="eastAsia"/>
        </w:rPr>
        <w:t>东莞市沙田福禄沙污水处理厂二期工程</w:t>
      </w:r>
      <w:r>
        <w:rPr>
          <w:rFonts w:hint="eastAsia" w:ascii="宋体" w:hAnsi="宋体"/>
          <w:szCs w:val="21"/>
        </w:rPr>
        <w:t>等四项工程刮泥机成套系统设备采购</w:t>
      </w:r>
      <w:r>
        <w:rPr>
          <w:rFonts w:ascii="宋体" w:hAnsi="宋体"/>
        </w:rPr>
        <w:t>招标评标办法》）进行投标文件的评审和比较，并向招标人出具书面评标报告。</w:t>
      </w:r>
    </w:p>
    <w:p>
      <w:pPr>
        <w:pStyle w:val="5"/>
        <w:numPr>
          <w:ilvl w:val="0"/>
          <w:numId w:val="2"/>
        </w:numPr>
        <w:rPr>
          <w:rFonts w:ascii="宋体" w:hAnsi="宋体"/>
          <w:sz w:val="24"/>
          <w:szCs w:val="24"/>
        </w:rPr>
      </w:pPr>
      <w:bookmarkStart w:id="476" w:name="_Toc4684"/>
      <w:bookmarkStart w:id="477" w:name="_Toc4054"/>
      <w:bookmarkStart w:id="478" w:name="_Toc10806"/>
      <w:bookmarkStart w:id="479" w:name="_Toc8800"/>
      <w:bookmarkStart w:id="480" w:name="_Toc132814729"/>
      <w:bookmarkStart w:id="481" w:name="_Toc22338"/>
      <w:r>
        <w:rPr>
          <w:rFonts w:ascii="宋体" w:hAnsi="宋体"/>
          <w:sz w:val="24"/>
          <w:szCs w:val="24"/>
        </w:rPr>
        <w:t>投标文件的有效性</w:t>
      </w:r>
      <w:bookmarkEnd w:id="465"/>
      <w:bookmarkEnd w:id="466"/>
      <w:bookmarkEnd w:id="467"/>
      <w:bookmarkEnd w:id="468"/>
      <w:bookmarkEnd w:id="476"/>
      <w:bookmarkEnd w:id="477"/>
      <w:bookmarkEnd w:id="478"/>
      <w:bookmarkEnd w:id="479"/>
      <w:bookmarkEnd w:id="480"/>
      <w:bookmarkEnd w:id="481"/>
    </w:p>
    <w:p>
      <w:pPr>
        <w:numPr>
          <w:ilvl w:val="1"/>
          <w:numId w:val="2"/>
        </w:numPr>
        <w:snapToGrid w:val="0"/>
        <w:spacing w:line="360" w:lineRule="auto"/>
        <w:rPr>
          <w:rFonts w:ascii="宋体" w:hAnsi="宋体"/>
        </w:rPr>
      </w:pPr>
      <w:r>
        <w:rPr>
          <w:rFonts w:ascii="宋体" w:hAnsi="宋体"/>
        </w:rPr>
        <w:t>开标</w:t>
      </w:r>
      <w:r>
        <w:rPr>
          <w:rFonts w:hint="eastAsia" w:ascii="宋体" w:hAnsi="宋体"/>
        </w:rPr>
        <w:t>（</w:t>
      </w:r>
      <w:r>
        <w:rPr>
          <w:rFonts w:ascii="宋体" w:hAnsi="宋体"/>
        </w:rPr>
        <w:t>评标</w:t>
      </w:r>
      <w:r>
        <w:rPr>
          <w:rFonts w:hint="eastAsia" w:ascii="宋体" w:hAnsi="宋体"/>
        </w:rPr>
        <w:t>）</w:t>
      </w:r>
      <w:r>
        <w:rPr>
          <w:rFonts w:ascii="宋体" w:hAnsi="宋体"/>
        </w:rPr>
        <w:t>时，投标文件出现下列情形之一的，应当作为无效投标文件：</w:t>
      </w:r>
    </w:p>
    <w:p>
      <w:pPr>
        <w:numPr>
          <w:ilvl w:val="2"/>
          <w:numId w:val="2"/>
        </w:numPr>
        <w:tabs>
          <w:tab w:val="left" w:pos="1440"/>
          <w:tab w:val="left" w:pos="1560"/>
          <w:tab w:val="clear" w:pos="1571"/>
        </w:tabs>
        <w:snapToGrid w:val="0"/>
        <w:spacing w:line="360" w:lineRule="auto"/>
        <w:ind w:left="1560" w:hanging="709"/>
        <w:rPr>
          <w:rFonts w:ascii="宋体" w:hAnsi="宋体"/>
          <w:szCs w:val="21"/>
        </w:rPr>
      </w:pPr>
      <w:bookmarkStart w:id="482" w:name="_Hlt86920360"/>
      <w:bookmarkStart w:id="483" w:name="_Hlt86920394"/>
      <w:r>
        <w:rPr>
          <w:rFonts w:hint="eastAsia" w:ascii="宋体" w:hAnsi="宋体"/>
          <w:szCs w:val="21"/>
        </w:rPr>
        <w:t>投标人资格不满足本须知第</w:t>
      </w:r>
      <w:r>
        <w:rPr>
          <w:rFonts w:ascii="宋体" w:hAnsi="宋体"/>
          <w:szCs w:val="21"/>
        </w:rPr>
        <w:t>4.1</w:t>
      </w:r>
      <w:r>
        <w:rPr>
          <w:rFonts w:hint="eastAsia" w:ascii="宋体" w:hAnsi="宋体"/>
          <w:szCs w:val="21"/>
        </w:rPr>
        <w:t>款的要求</w:t>
      </w:r>
      <w:r>
        <w:rPr>
          <w:rFonts w:ascii="宋体" w:hAnsi="宋体"/>
          <w:szCs w:val="21"/>
        </w:rPr>
        <w:t>；</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上传的投标文件损坏或无法读取的；</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未按本须知第16条规定提交投标保证</w:t>
      </w:r>
      <w:r>
        <w:rPr>
          <w:rFonts w:hint="eastAsia" w:ascii="宋体" w:hAnsi="宋体"/>
          <w:szCs w:val="21"/>
        </w:rPr>
        <w:t>金</w:t>
      </w:r>
      <w:r>
        <w:rPr>
          <w:rFonts w:ascii="宋体" w:hAnsi="宋体"/>
          <w:szCs w:val="21"/>
        </w:rPr>
        <w:t>的；</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经招标人确认，投标人在公共资源交易企业库填报的与本项目密切相关的信息与事实不相符的。</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投标文件未按本须知第18条的要求编制、</w:t>
      </w:r>
      <w:r>
        <w:rPr>
          <w:rFonts w:hint="eastAsia" w:ascii="宋体" w:hAnsi="宋体"/>
          <w:szCs w:val="21"/>
        </w:rPr>
        <w:t>使用企业数字证书或个人数字证书电子签名</w:t>
      </w:r>
      <w:r>
        <w:rPr>
          <w:rFonts w:ascii="宋体" w:hAnsi="宋体"/>
          <w:szCs w:val="21"/>
        </w:rPr>
        <w:t>的；</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hint="eastAsia" w:ascii="宋体" w:hAnsi="宋体"/>
          <w:szCs w:val="21"/>
        </w:rPr>
        <w:t>投标文件中的投标总价高于最高限价，或投标文件中的子项目投标报价（报价可根据招标文件已明确的修正原则进行修正的，本处指修正后的报价）高于对应子项目的最高限价，或投标文件未对全部污水处理厂招标范围内的全部设备进行投标报价的；</w:t>
      </w:r>
    </w:p>
    <w:p>
      <w:pPr>
        <w:numPr>
          <w:ilvl w:val="2"/>
          <w:numId w:val="2"/>
        </w:numPr>
        <w:tabs>
          <w:tab w:val="left" w:pos="1440"/>
          <w:tab w:val="left" w:pos="1560"/>
          <w:tab w:val="clear" w:pos="1571"/>
        </w:tabs>
        <w:snapToGrid w:val="0"/>
        <w:spacing w:line="360" w:lineRule="auto"/>
        <w:ind w:left="1549" w:hanging="709"/>
      </w:pPr>
      <w:r>
        <w:rPr>
          <w:rFonts w:hint="eastAsia" w:ascii="宋体" w:hAnsi="宋体"/>
          <w:szCs w:val="21"/>
        </w:rPr>
        <w:t>投标人以低于企业成本价报价且投标人不能合理说明或不能提供相关证明材料，导致项目业主或招标人的利益得不到保障的；</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投标文件没有对招标文件做出实质性响应；</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pacing w:val="6"/>
          <w:szCs w:val="21"/>
        </w:rPr>
        <w:t>投标文件上标明的投标人与通过资格预审的投标申请人</w:t>
      </w:r>
      <w:r>
        <w:rPr>
          <w:rFonts w:ascii="宋体" w:hAnsi="宋体"/>
          <w:szCs w:val="21"/>
        </w:rPr>
        <w:t>发生实质性的改变；</w:t>
      </w:r>
    </w:p>
    <w:p>
      <w:pPr>
        <w:numPr>
          <w:ilvl w:val="2"/>
          <w:numId w:val="2"/>
        </w:numPr>
        <w:tabs>
          <w:tab w:val="left" w:pos="1440"/>
          <w:tab w:val="left" w:pos="1560"/>
          <w:tab w:val="clear" w:pos="1571"/>
        </w:tabs>
        <w:snapToGrid w:val="0"/>
        <w:spacing w:line="360" w:lineRule="auto"/>
        <w:ind w:left="1624" w:hanging="773"/>
        <w:rPr>
          <w:rFonts w:ascii="宋体" w:hAnsi="宋体"/>
          <w:spacing w:val="6"/>
          <w:szCs w:val="21"/>
        </w:rPr>
      </w:pPr>
      <w:r>
        <w:rPr>
          <w:rFonts w:ascii="宋体" w:hAnsi="宋体"/>
          <w:szCs w:val="21"/>
        </w:rPr>
        <w:t>投标</w:t>
      </w:r>
      <w:r>
        <w:rPr>
          <w:rFonts w:ascii="宋体" w:hAnsi="宋体"/>
          <w:spacing w:val="6"/>
          <w:szCs w:val="21"/>
        </w:rPr>
        <w:t>文件附有招标人不能接受的条件</w:t>
      </w:r>
      <w:r>
        <w:rPr>
          <w:rFonts w:hint="eastAsia" w:ascii="宋体" w:hAnsi="宋体"/>
          <w:szCs w:val="21"/>
        </w:rPr>
        <w:t>（如:不满足本须知第2.1款完工期的要求，或减短本须知第15.1款规定的投标有效期）</w:t>
      </w:r>
      <w:r>
        <w:rPr>
          <w:rFonts w:ascii="宋体" w:hAnsi="宋体"/>
          <w:spacing w:val="6"/>
          <w:szCs w:val="21"/>
        </w:rPr>
        <w:t>；</w:t>
      </w:r>
    </w:p>
    <w:p>
      <w:pPr>
        <w:numPr>
          <w:ilvl w:val="2"/>
          <w:numId w:val="2"/>
        </w:numPr>
        <w:tabs>
          <w:tab w:val="left" w:pos="1440"/>
          <w:tab w:val="left" w:pos="1560"/>
          <w:tab w:val="clear" w:pos="1571"/>
        </w:tabs>
        <w:snapToGrid w:val="0"/>
        <w:spacing w:line="360" w:lineRule="auto"/>
        <w:ind w:left="1560" w:hanging="709"/>
        <w:rPr>
          <w:rFonts w:ascii="宋体" w:hAnsi="宋体"/>
          <w:spacing w:val="6"/>
          <w:szCs w:val="21"/>
        </w:rPr>
      </w:pPr>
      <w:r>
        <w:rPr>
          <w:rFonts w:ascii="宋体" w:hAnsi="宋体"/>
          <w:spacing w:val="6"/>
          <w:szCs w:val="21"/>
        </w:rPr>
        <w:t>经评标委员会认定</w:t>
      </w:r>
      <w:r>
        <w:rPr>
          <w:rFonts w:hint="eastAsia" w:ascii="宋体" w:hAnsi="宋体"/>
          <w:spacing w:val="6"/>
          <w:szCs w:val="21"/>
        </w:rPr>
        <w:t>投标</w:t>
      </w:r>
      <w:r>
        <w:rPr>
          <w:rFonts w:ascii="宋体" w:hAnsi="宋体"/>
          <w:spacing w:val="6"/>
          <w:szCs w:val="21"/>
        </w:rPr>
        <w:t>方案有明显抄袭行为的；</w:t>
      </w:r>
    </w:p>
    <w:p>
      <w:pPr>
        <w:numPr>
          <w:ilvl w:val="2"/>
          <w:numId w:val="2"/>
        </w:numPr>
        <w:tabs>
          <w:tab w:val="left" w:pos="1440"/>
          <w:tab w:val="left" w:pos="1560"/>
          <w:tab w:val="clear" w:pos="1571"/>
        </w:tabs>
        <w:snapToGrid w:val="0"/>
        <w:spacing w:line="360" w:lineRule="auto"/>
        <w:ind w:left="1624" w:hanging="773"/>
        <w:rPr>
          <w:rFonts w:ascii="宋体" w:hAnsi="宋体"/>
          <w:spacing w:val="6"/>
          <w:szCs w:val="21"/>
        </w:rPr>
      </w:pPr>
      <w:r>
        <w:rPr>
          <w:rFonts w:hint="eastAsia" w:ascii="宋体" w:hAnsi="宋体"/>
          <w:szCs w:val="21"/>
        </w:rPr>
        <w:t>投标文件签名使用的数字证书与签到的投标人名称不一致的</w:t>
      </w:r>
      <w:r>
        <w:rPr>
          <w:rFonts w:hint="eastAsia" w:ascii="宋体" w:hAnsi="宋体"/>
          <w:spacing w:val="6"/>
          <w:szCs w:val="21"/>
        </w:rPr>
        <w:t>；</w:t>
      </w:r>
    </w:p>
    <w:p>
      <w:pPr>
        <w:numPr>
          <w:ilvl w:val="2"/>
          <w:numId w:val="2"/>
        </w:numPr>
        <w:tabs>
          <w:tab w:val="left" w:pos="1440"/>
          <w:tab w:val="left" w:pos="1560"/>
          <w:tab w:val="clear" w:pos="1571"/>
        </w:tabs>
        <w:snapToGrid w:val="0"/>
        <w:spacing w:line="360" w:lineRule="auto"/>
        <w:ind w:left="1624" w:hanging="773"/>
        <w:rPr>
          <w:rFonts w:ascii="宋体" w:hAnsi="宋体"/>
          <w:szCs w:val="21"/>
        </w:rPr>
      </w:pPr>
      <w:r>
        <w:rPr>
          <w:rFonts w:hint="eastAsia" w:ascii="宋体" w:hAnsi="宋体"/>
          <w:szCs w:val="21"/>
        </w:rPr>
        <w:t>投标文件中填报的投标报价不符合本须知第</w:t>
      </w:r>
      <w:r>
        <w:rPr>
          <w:rFonts w:ascii="宋体" w:hAnsi="宋体"/>
          <w:szCs w:val="21"/>
        </w:rPr>
        <w:t>13</w:t>
      </w:r>
      <w:r>
        <w:rPr>
          <w:rFonts w:hint="eastAsia" w:ascii="宋体" w:hAnsi="宋体"/>
          <w:szCs w:val="21"/>
        </w:rPr>
        <w:t>条规定的；或在一份投标文件中对同一招标项目报有两个或多个报价，且未书面声明哪一个有效的（以数字表示的投标报价与以文字表示的不一致的情况除外，投标报价以文字表示的为准）；</w:t>
      </w:r>
    </w:p>
    <w:p>
      <w:pPr>
        <w:numPr>
          <w:ilvl w:val="2"/>
          <w:numId w:val="2"/>
        </w:numPr>
        <w:tabs>
          <w:tab w:val="left" w:pos="1440"/>
          <w:tab w:val="left" w:pos="1560"/>
          <w:tab w:val="clear" w:pos="1571"/>
        </w:tabs>
        <w:snapToGrid w:val="0"/>
        <w:spacing w:line="360" w:lineRule="auto"/>
        <w:ind w:left="1624" w:hanging="773"/>
        <w:rPr>
          <w:rFonts w:ascii="宋体" w:hAnsi="宋体"/>
          <w:szCs w:val="21"/>
        </w:rPr>
      </w:pPr>
      <w:r>
        <w:rPr>
          <w:rFonts w:hint="eastAsia" w:ascii="宋体" w:hAnsi="宋体"/>
          <w:szCs w:val="21"/>
        </w:rPr>
        <w:t>投标文件附有招标人不能接受的条件的；</w:t>
      </w:r>
    </w:p>
    <w:p>
      <w:pPr>
        <w:numPr>
          <w:ilvl w:val="2"/>
          <w:numId w:val="2"/>
        </w:numPr>
        <w:tabs>
          <w:tab w:val="left" w:pos="1440"/>
          <w:tab w:val="left" w:pos="1560"/>
          <w:tab w:val="clear" w:pos="1571"/>
        </w:tabs>
        <w:snapToGrid w:val="0"/>
        <w:spacing w:line="360" w:lineRule="auto"/>
        <w:ind w:left="1624" w:hanging="773"/>
        <w:rPr>
          <w:rFonts w:ascii="宋体" w:hAnsi="宋体"/>
          <w:szCs w:val="21"/>
        </w:rPr>
      </w:pPr>
      <w:r>
        <w:rPr>
          <w:rFonts w:hint="eastAsia" w:ascii="宋体" w:hAnsi="宋体"/>
          <w:szCs w:val="21"/>
        </w:rPr>
        <w:t>经评标委员会评审，未通过有效性审查的；</w:t>
      </w:r>
    </w:p>
    <w:p>
      <w:pPr>
        <w:numPr>
          <w:ilvl w:val="2"/>
          <w:numId w:val="2"/>
        </w:numPr>
        <w:tabs>
          <w:tab w:val="left" w:pos="1440"/>
          <w:tab w:val="left" w:pos="1560"/>
          <w:tab w:val="clear" w:pos="1571"/>
        </w:tabs>
        <w:snapToGrid w:val="0"/>
        <w:spacing w:line="360" w:lineRule="auto"/>
        <w:ind w:left="1624" w:hanging="773"/>
        <w:rPr>
          <w:rFonts w:ascii="宋体" w:hAnsi="宋体"/>
          <w:spacing w:val="6"/>
          <w:szCs w:val="21"/>
        </w:rPr>
      </w:pPr>
      <w:r>
        <w:rPr>
          <w:rFonts w:hint="eastAsia" w:ascii="宋体" w:hAnsi="宋体"/>
          <w:spacing w:val="6"/>
          <w:szCs w:val="21"/>
        </w:rPr>
        <w:t>投标人（含其不具有独立法人资格的分支机构）被列入“信用中国”网站（www.creditchina.gov.cn）失信被执行人、重大税收违法失信主体、严重违法失信行为记录名单；</w:t>
      </w:r>
    </w:p>
    <w:p>
      <w:pPr>
        <w:numPr>
          <w:ilvl w:val="2"/>
          <w:numId w:val="2"/>
        </w:numPr>
        <w:tabs>
          <w:tab w:val="left" w:pos="1440"/>
        </w:tabs>
        <w:snapToGrid w:val="0"/>
        <w:spacing w:line="360" w:lineRule="auto"/>
        <w:ind w:left="1624" w:hanging="773"/>
        <w:rPr>
          <w:sz w:val="24"/>
        </w:rPr>
      </w:pPr>
      <w:r>
        <w:rPr>
          <w:rFonts w:hint="eastAsia" w:ascii="宋体" w:hAnsi="宋体"/>
          <w:spacing w:val="6"/>
          <w:szCs w:val="21"/>
        </w:rPr>
        <w:t>投标文件中使用的本项目招标文件版本，与</w:t>
      </w:r>
      <w:r>
        <w:rPr>
          <w:rFonts w:hint="eastAsia" w:ascii="宋体" w:hAnsi="宋体"/>
          <w:spacing w:val="6"/>
          <w:szCs w:val="21"/>
          <w:lang w:eastAsia="zh-CN"/>
        </w:rPr>
        <w:t>全国公共资源交易平台（广东省·东莞市）</w:t>
      </w:r>
      <w:r>
        <w:rPr>
          <w:rFonts w:hint="eastAsia" w:ascii="宋体" w:hAnsi="宋体"/>
          <w:spacing w:val="6"/>
          <w:szCs w:val="21"/>
        </w:rPr>
        <w:t>上发布的本项目招标文件的最新版本不一致的</w:t>
      </w:r>
      <w:r>
        <w:rPr>
          <w:rFonts w:hint="eastAsia" w:ascii="宋体" w:hAnsi="宋体" w:cs="宋体"/>
          <w:szCs w:val="21"/>
        </w:rPr>
        <w:t>；</w:t>
      </w:r>
    </w:p>
    <w:p>
      <w:pPr>
        <w:numPr>
          <w:ilvl w:val="2"/>
          <w:numId w:val="2"/>
        </w:numPr>
        <w:tabs>
          <w:tab w:val="left" w:pos="1440"/>
        </w:tabs>
        <w:snapToGrid w:val="0"/>
        <w:spacing w:line="360" w:lineRule="auto"/>
        <w:ind w:left="1624" w:hanging="773"/>
        <w:rPr>
          <w:sz w:val="24"/>
        </w:rPr>
      </w:pPr>
      <w:r>
        <w:rPr>
          <w:rFonts w:hint="eastAsia" w:ascii="宋体" w:hAnsi="宋体" w:cs="宋体"/>
          <w:szCs w:val="21"/>
        </w:rPr>
        <w:t>投标人的投标编制MAC信息、投标编制CPU序列号、投标编制硬盘序列号均相同的；</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pacing w:val="6"/>
          <w:szCs w:val="21"/>
        </w:rPr>
        <w:t>出现招标文件其他条款中定义为无</w:t>
      </w:r>
      <w:r>
        <w:rPr>
          <w:rFonts w:ascii="宋体" w:hAnsi="宋体"/>
          <w:szCs w:val="21"/>
        </w:rPr>
        <w:t>效投标文件的情况。</w:t>
      </w:r>
    </w:p>
    <w:bookmarkEnd w:id="482"/>
    <w:bookmarkEnd w:id="483"/>
    <w:p>
      <w:pPr>
        <w:pStyle w:val="5"/>
        <w:numPr>
          <w:ilvl w:val="0"/>
          <w:numId w:val="2"/>
        </w:numPr>
        <w:rPr>
          <w:rFonts w:ascii="宋体" w:hAnsi="宋体"/>
          <w:sz w:val="24"/>
          <w:szCs w:val="24"/>
        </w:rPr>
      </w:pPr>
      <w:bookmarkStart w:id="484" w:name="_Toc15937"/>
      <w:bookmarkStart w:id="485" w:name="_Toc132814730"/>
      <w:bookmarkStart w:id="486" w:name="_Toc2836"/>
      <w:bookmarkStart w:id="487" w:name="_Toc50920447"/>
      <w:bookmarkStart w:id="488" w:name="_Toc50920604"/>
      <w:bookmarkStart w:id="489" w:name="_Toc19780"/>
      <w:bookmarkStart w:id="490" w:name="_Toc24213"/>
      <w:bookmarkStart w:id="491" w:name="_Toc18761"/>
      <w:bookmarkStart w:id="492" w:name="_Toc77555210"/>
      <w:bookmarkStart w:id="493" w:name="_Toc72916329"/>
      <w:r>
        <w:rPr>
          <w:rFonts w:ascii="宋体" w:hAnsi="宋体"/>
          <w:sz w:val="24"/>
          <w:szCs w:val="24"/>
        </w:rPr>
        <w:t>过程保密</w:t>
      </w:r>
      <w:bookmarkEnd w:id="484"/>
      <w:bookmarkEnd w:id="485"/>
      <w:bookmarkEnd w:id="486"/>
      <w:bookmarkEnd w:id="487"/>
      <w:bookmarkEnd w:id="488"/>
      <w:bookmarkEnd w:id="489"/>
      <w:bookmarkEnd w:id="490"/>
      <w:bookmarkEnd w:id="491"/>
      <w:bookmarkEnd w:id="492"/>
      <w:bookmarkEnd w:id="493"/>
    </w:p>
    <w:p>
      <w:pPr>
        <w:numPr>
          <w:ilvl w:val="1"/>
          <w:numId w:val="2"/>
        </w:numPr>
        <w:snapToGrid w:val="0"/>
        <w:spacing w:line="360" w:lineRule="auto"/>
        <w:rPr>
          <w:rFonts w:ascii="宋体" w:hAnsi="宋体"/>
        </w:rPr>
      </w:pPr>
      <w:bookmarkStart w:id="494" w:name="_Toc50920605"/>
      <w:bookmarkStart w:id="495" w:name="_Toc50920448"/>
      <w:r>
        <w:rPr>
          <w:rFonts w:hint="eastAsia" w:ascii="宋体" w:hAnsi="宋体"/>
        </w:rPr>
        <w:t>评标委员会成员和与评标活动有关的工作人员不得透露对投标文件的评审和比较、中标候选人的推荐情况以及与评标有关的其他情况。</w:t>
      </w:r>
    </w:p>
    <w:p>
      <w:pPr>
        <w:pStyle w:val="5"/>
        <w:numPr>
          <w:ilvl w:val="0"/>
          <w:numId w:val="2"/>
        </w:numPr>
        <w:rPr>
          <w:rFonts w:ascii="宋体" w:hAnsi="宋体"/>
          <w:sz w:val="24"/>
          <w:szCs w:val="24"/>
        </w:rPr>
      </w:pPr>
      <w:bookmarkStart w:id="496" w:name="_Toc26230"/>
      <w:bookmarkStart w:id="497" w:name="_Toc24740"/>
      <w:bookmarkStart w:id="498" w:name="_Toc132814731"/>
      <w:bookmarkStart w:id="499" w:name="_Toc72916330"/>
      <w:bookmarkStart w:id="500" w:name="_Toc77555211"/>
      <w:bookmarkStart w:id="501" w:name="_Toc14259"/>
      <w:bookmarkStart w:id="502" w:name="_Toc25359"/>
      <w:bookmarkStart w:id="503" w:name="_Toc7874"/>
      <w:r>
        <w:rPr>
          <w:rFonts w:ascii="宋体" w:hAnsi="宋体"/>
          <w:sz w:val="24"/>
          <w:szCs w:val="24"/>
        </w:rPr>
        <w:t>投标文件的澄清</w:t>
      </w:r>
      <w:bookmarkEnd w:id="494"/>
      <w:bookmarkEnd w:id="495"/>
      <w:bookmarkEnd w:id="496"/>
      <w:bookmarkEnd w:id="497"/>
      <w:bookmarkEnd w:id="498"/>
      <w:bookmarkEnd w:id="499"/>
      <w:bookmarkEnd w:id="500"/>
      <w:bookmarkEnd w:id="501"/>
      <w:bookmarkEnd w:id="502"/>
      <w:bookmarkEnd w:id="503"/>
    </w:p>
    <w:p>
      <w:pPr>
        <w:numPr>
          <w:ilvl w:val="1"/>
          <w:numId w:val="2"/>
        </w:numPr>
        <w:snapToGrid w:val="0"/>
        <w:spacing w:line="360" w:lineRule="auto"/>
        <w:rPr>
          <w:rFonts w:ascii="宋体" w:hAnsi="宋体"/>
        </w:rPr>
      </w:pPr>
      <w:bookmarkStart w:id="504" w:name="_Toc50920449"/>
      <w:bookmarkStart w:id="505" w:name="_Toc50920606"/>
      <w:r>
        <w:rPr>
          <w:rFonts w:ascii="宋体" w:hAnsi="宋体"/>
        </w:rPr>
        <w:t>为有助于投标文件的审查、评价和比较，评标委员会或招标人可以书面形式要求投标人对投标文件含义不明确的内容作必要的澄清或说明，投标人应采用书面形式进行澄清或说明，但不得超出投标文件的范围或改变投标文件的实质性内容。</w:t>
      </w:r>
    </w:p>
    <w:bookmarkEnd w:id="504"/>
    <w:bookmarkEnd w:id="505"/>
    <w:p>
      <w:pPr>
        <w:pStyle w:val="5"/>
        <w:numPr>
          <w:ilvl w:val="0"/>
          <w:numId w:val="2"/>
        </w:numPr>
        <w:rPr>
          <w:rFonts w:ascii="宋体" w:hAnsi="宋体"/>
          <w:sz w:val="24"/>
          <w:szCs w:val="24"/>
        </w:rPr>
      </w:pPr>
      <w:bookmarkStart w:id="506" w:name="_Toc25609"/>
      <w:bookmarkStart w:id="507" w:name="_Toc26475"/>
      <w:bookmarkStart w:id="508" w:name="_Toc20647"/>
      <w:bookmarkStart w:id="509" w:name="_Toc9677"/>
      <w:bookmarkStart w:id="510" w:name="_Toc132814732"/>
      <w:bookmarkStart w:id="511" w:name="_Toc11"/>
      <w:bookmarkStart w:id="512" w:name="_Toc50920450"/>
      <w:bookmarkStart w:id="513" w:name="_Toc50920607"/>
      <w:r>
        <w:rPr>
          <w:rFonts w:ascii="宋体" w:hAnsi="宋体"/>
          <w:sz w:val="24"/>
          <w:szCs w:val="24"/>
        </w:rPr>
        <w:t>评标和定标原则</w:t>
      </w:r>
      <w:bookmarkEnd w:id="506"/>
      <w:bookmarkEnd w:id="507"/>
      <w:bookmarkEnd w:id="508"/>
      <w:bookmarkEnd w:id="509"/>
      <w:bookmarkEnd w:id="510"/>
      <w:bookmarkEnd w:id="511"/>
    </w:p>
    <w:p>
      <w:pPr>
        <w:numPr>
          <w:ilvl w:val="1"/>
          <w:numId w:val="2"/>
        </w:numPr>
        <w:snapToGrid w:val="0"/>
        <w:spacing w:line="360" w:lineRule="auto"/>
        <w:rPr>
          <w:rFonts w:ascii="宋体" w:hAnsi="宋体"/>
        </w:rPr>
      </w:pPr>
      <w:r>
        <w:rPr>
          <w:rFonts w:ascii="宋体" w:hAnsi="宋体"/>
        </w:rPr>
        <w:t>基本原则：依据《中华人民共和国招标投标法》《中华人民共和国招标投标法实施条例》《广东省实施〈中华人民共和国招标投标法〉办法》和各级政府有关招标投标法规的有关规定，</w:t>
      </w:r>
      <w:r>
        <w:rPr>
          <w:rFonts w:hint="eastAsia" w:ascii="宋体" w:hAnsi="宋体"/>
          <w:szCs w:val="21"/>
        </w:rPr>
        <w:t>遵循“公平、公正、择优、信用”的原则进行。评标委员会将按照规定只对有效投标文件进行评价和比较。</w:t>
      </w:r>
    </w:p>
    <w:p>
      <w:pPr>
        <w:numPr>
          <w:ilvl w:val="1"/>
          <w:numId w:val="2"/>
        </w:numPr>
        <w:snapToGrid w:val="0"/>
        <w:spacing w:line="360" w:lineRule="auto"/>
        <w:rPr>
          <w:rFonts w:ascii="宋体" w:hAnsi="宋体"/>
        </w:rPr>
      </w:pPr>
      <w:r>
        <w:rPr>
          <w:rFonts w:ascii="宋体" w:hAnsi="宋体"/>
        </w:rPr>
        <w:t>评标方法：本次招标的评标方法采用综合评估法。总分采用百分制计分。详见附件一《</w:t>
      </w:r>
      <w:r>
        <w:rPr>
          <w:rFonts w:hint="eastAsia" w:ascii="宋体" w:hAnsi="宋体"/>
          <w:szCs w:val="21"/>
        </w:rPr>
        <w:t>东莞市沙田福禄沙污水处理厂二期工程等四项工程刮泥机成套系统设备采购</w:t>
      </w:r>
      <w:r>
        <w:rPr>
          <w:rFonts w:ascii="宋体" w:hAnsi="宋体"/>
        </w:rPr>
        <w:t>招标评标办法》。</w:t>
      </w:r>
    </w:p>
    <w:p>
      <w:pPr>
        <w:numPr>
          <w:ilvl w:val="1"/>
          <w:numId w:val="2"/>
        </w:numPr>
        <w:snapToGrid w:val="0"/>
        <w:spacing w:line="360" w:lineRule="auto"/>
        <w:rPr>
          <w:rFonts w:ascii="宋体" w:hAnsi="宋体"/>
        </w:rPr>
      </w:pPr>
      <w:r>
        <w:rPr>
          <w:rFonts w:hint="eastAsia" w:ascii="宋体" w:hAnsi="宋体"/>
        </w:rPr>
        <w:t>投标文件经评审后综合得分最高的前两名投标人为中标候选人（最后综合得分排名第一、第二的投标人分别为第一、第二中标候选人）</w:t>
      </w:r>
      <w:r>
        <w:rPr>
          <w:rFonts w:ascii="宋体" w:hAnsi="宋体"/>
        </w:rPr>
        <w:t>。</w:t>
      </w:r>
    </w:p>
    <w:p>
      <w:pPr>
        <w:pStyle w:val="5"/>
        <w:numPr>
          <w:ilvl w:val="0"/>
          <w:numId w:val="2"/>
        </w:numPr>
        <w:rPr>
          <w:rFonts w:ascii="宋体" w:hAnsi="宋体"/>
          <w:sz w:val="24"/>
          <w:szCs w:val="24"/>
        </w:rPr>
      </w:pPr>
      <w:bookmarkStart w:id="514" w:name="_Toc30634"/>
      <w:bookmarkStart w:id="515" w:name="_Toc29995"/>
      <w:bookmarkStart w:id="516" w:name="_Toc10015"/>
      <w:bookmarkStart w:id="517" w:name="_Toc132814733"/>
      <w:bookmarkStart w:id="518" w:name="_Toc27070"/>
      <w:bookmarkStart w:id="519" w:name="_Toc2271"/>
      <w:r>
        <w:rPr>
          <w:rFonts w:hint="eastAsia" w:ascii="宋体" w:hAnsi="宋体"/>
          <w:sz w:val="24"/>
          <w:szCs w:val="24"/>
        </w:rPr>
        <w:t>评标结果公示及异议、投诉</w:t>
      </w:r>
      <w:bookmarkEnd w:id="514"/>
      <w:bookmarkEnd w:id="515"/>
      <w:bookmarkEnd w:id="516"/>
      <w:bookmarkEnd w:id="517"/>
      <w:bookmarkEnd w:id="518"/>
      <w:bookmarkEnd w:id="519"/>
    </w:p>
    <w:p>
      <w:pPr>
        <w:numPr>
          <w:ilvl w:val="1"/>
          <w:numId w:val="2"/>
        </w:numPr>
        <w:snapToGrid w:val="0"/>
        <w:spacing w:line="360" w:lineRule="auto"/>
        <w:rPr>
          <w:rFonts w:ascii="宋体" w:hAnsi="宋体"/>
          <w:szCs w:val="21"/>
          <w:lang w:val="zh-CN"/>
        </w:rPr>
      </w:pPr>
      <w:r>
        <w:rPr>
          <w:rFonts w:hint="eastAsia" w:ascii="宋体" w:hAnsi="宋体"/>
        </w:rPr>
        <w:t>评标工作结束后，招标人</w:t>
      </w:r>
      <w:r>
        <w:rPr>
          <w:rFonts w:ascii="宋体" w:hAnsi="宋体"/>
        </w:rPr>
        <w:t>将在</w:t>
      </w:r>
      <w:r>
        <w:rPr>
          <w:rFonts w:hint="eastAsia" w:ascii="宋体" w:hAnsi="宋体"/>
          <w:lang w:eastAsia="zh-CN"/>
        </w:rPr>
        <w:t>全国公共资源交易平台（广东省·东莞市）</w:t>
      </w:r>
      <w:r>
        <w:rPr>
          <w:rFonts w:ascii="宋体" w:hAnsi="宋体"/>
        </w:rPr>
        <w:t>上予以</w:t>
      </w:r>
      <w:r>
        <w:rPr>
          <w:rFonts w:hint="eastAsia" w:ascii="宋体" w:hAnsi="宋体"/>
        </w:rPr>
        <w:t>结果公示</w:t>
      </w:r>
      <w:r>
        <w:rPr>
          <w:rFonts w:ascii="宋体" w:hAnsi="宋体"/>
        </w:rPr>
        <w:t>，</w:t>
      </w:r>
      <w:r>
        <w:rPr>
          <w:rFonts w:hint="eastAsia" w:ascii="宋体" w:hAnsi="宋体"/>
        </w:rPr>
        <w:t>结果</w:t>
      </w:r>
      <w:r>
        <w:rPr>
          <w:rFonts w:ascii="宋体" w:hAnsi="宋体"/>
        </w:rPr>
        <w:t>公示期</w:t>
      </w:r>
      <w:r>
        <w:rPr>
          <w:rFonts w:hint="eastAsia" w:ascii="宋体" w:hAnsi="宋体"/>
        </w:rPr>
        <w:t>为</w:t>
      </w:r>
      <w:r>
        <w:rPr>
          <w:rFonts w:ascii="宋体" w:hAnsi="宋体"/>
        </w:rPr>
        <w:t>3日。</w:t>
      </w:r>
      <w:r>
        <w:rPr>
          <w:rFonts w:hint="eastAsia" w:ascii="宋体" w:hAnsi="宋体"/>
        </w:rPr>
        <w:t>投标人或者其他利害关系人对本招标项目的评标结果有异议的，应当在结果公示期间</w:t>
      </w:r>
      <w:r>
        <w:rPr>
          <w:rFonts w:ascii="宋体" w:hAnsi="宋体"/>
          <w:szCs w:val="21"/>
          <w:lang w:val="zh-CN"/>
        </w:rPr>
        <w:t>以书面形式</w:t>
      </w:r>
      <w:r>
        <w:rPr>
          <w:rFonts w:hint="eastAsia" w:ascii="宋体" w:hAnsi="宋体"/>
          <w:szCs w:val="21"/>
          <w:lang w:val="zh-CN"/>
        </w:rPr>
        <w:t>向招标人委托的</w:t>
      </w:r>
      <w:r>
        <w:rPr>
          <w:rFonts w:hint="eastAsia" w:ascii="宋体" w:hAnsi="宋体"/>
        </w:rPr>
        <w:t>招标代理机构提出，</w:t>
      </w:r>
      <w:r>
        <w:rPr>
          <w:rFonts w:ascii="宋体" w:hAnsi="宋体"/>
          <w:szCs w:val="21"/>
          <w:lang w:val="zh-CN"/>
        </w:rPr>
        <w:t>并</w:t>
      </w:r>
      <w:r>
        <w:rPr>
          <w:rFonts w:hint="eastAsia" w:ascii="宋体" w:hAnsi="宋体"/>
          <w:szCs w:val="21"/>
          <w:lang w:val="zh-CN"/>
        </w:rPr>
        <w:t>将完整的异议书面材料原件</w:t>
      </w:r>
      <w:r>
        <w:rPr>
          <w:rFonts w:ascii="宋体" w:hAnsi="宋体"/>
          <w:szCs w:val="21"/>
          <w:lang w:val="zh-CN"/>
        </w:rPr>
        <w:t>送</w:t>
      </w:r>
      <w:r>
        <w:rPr>
          <w:rFonts w:hint="eastAsia" w:ascii="宋体" w:hAnsi="宋体"/>
          <w:szCs w:val="21"/>
          <w:lang w:val="zh-CN"/>
        </w:rPr>
        <w:t>达招标代理机构，</w:t>
      </w:r>
      <w:r>
        <w:rPr>
          <w:rFonts w:ascii="宋体" w:hAnsi="宋体"/>
          <w:szCs w:val="21"/>
          <w:lang w:val="zh-CN"/>
        </w:rPr>
        <w:t>逾期则视为</w:t>
      </w:r>
      <w:r>
        <w:rPr>
          <w:rFonts w:hint="eastAsia" w:ascii="宋体" w:hAnsi="宋体"/>
          <w:szCs w:val="21"/>
          <w:lang w:val="zh-CN"/>
        </w:rPr>
        <w:t>对评标结果无异议。超出提交异议截止时间而提出的任何疑问，招标代理机构可不予答复。</w:t>
      </w:r>
    </w:p>
    <w:p>
      <w:pPr>
        <w:snapToGrid w:val="0"/>
        <w:spacing w:line="360" w:lineRule="auto"/>
        <w:ind w:left="1107" w:leftChars="527" w:firstLine="420" w:firstLineChars="200"/>
        <w:rPr>
          <w:rFonts w:ascii="宋体" w:hAnsi="宋体"/>
          <w:szCs w:val="21"/>
          <w:lang w:val="zh-CN"/>
        </w:rPr>
      </w:pPr>
      <w:r>
        <w:rPr>
          <w:rFonts w:hint="eastAsia" w:ascii="宋体" w:hAnsi="宋体"/>
          <w:szCs w:val="21"/>
          <w:lang w:val="zh-CN"/>
        </w:rPr>
        <w:t>招标代理机构将拒收未能提供完整异议书面材料的异议，完整的异议书面材料必须同时包含：异议书原件（加盖法人公章，注明联系人、联系电话、联系地址）、授权提交异议的法定代表人授权书原件、反映异议人主体资格的营业执照复印件（加盖法人公章）、以及合法来源的证据证明材料。</w:t>
      </w:r>
    </w:p>
    <w:p>
      <w:pPr>
        <w:numPr>
          <w:ilvl w:val="1"/>
          <w:numId w:val="2"/>
        </w:numPr>
        <w:snapToGrid w:val="0"/>
        <w:spacing w:line="360" w:lineRule="auto"/>
        <w:rPr>
          <w:rFonts w:ascii="宋体" w:hAnsi="宋体"/>
          <w:szCs w:val="21"/>
        </w:rPr>
      </w:pPr>
      <w:r>
        <w:rPr>
          <w:rFonts w:hint="eastAsia" w:ascii="宋体" w:hAnsi="宋体"/>
          <w:szCs w:val="21"/>
        </w:rPr>
        <w:t>结果公告后，公示的第一中标候选人有义务在结果公示之日起</w:t>
      </w:r>
      <w:r>
        <w:rPr>
          <w:rFonts w:ascii="宋体" w:hAnsi="宋体"/>
          <w:szCs w:val="21"/>
        </w:rPr>
        <w:t>5</w:t>
      </w:r>
      <w:r>
        <w:rPr>
          <w:rFonts w:hint="eastAsia" w:ascii="宋体" w:hAnsi="宋体"/>
          <w:szCs w:val="21"/>
        </w:rPr>
        <w:t>日内提交投标文件中所提供的</w:t>
      </w:r>
      <w:r>
        <w:rPr>
          <w:rFonts w:hint="eastAsia" w:ascii="宋体" w:hAnsi="宋体"/>
        </w:rPr>
        <w:t>资格证明文件、业绩证明文件、对招标文件实质性条款响应文件、履约能力证明文件</w:t>
      </w:r>
      <w:r>
        <w:rPr>
          <w:rFonts w:hint="eastAsia" w:ascii="宋体" w:hAnsi="宋体"/>
          <w:szCs w:val="21"/>
        </w:rPr>
        <w:t>的原件供招标人核查。招标人如有需要，投标人有义务提供投标文件外其他相关证明资料原件（包括但不限于业绩合同对应的发票等）供招标人核查。招标人如发现投标人提供虚假</w:t>
      </w:r>
      <w:r>
        <w:rPr>
          <w:rFonts w:hint="eastAsia" w:ascii="宋体" w:hAnsi="宋体"/>
        </w:rPr>
        <w:t>证明文件、虚假响应文件等弄虚作假行为骗取中标的，</w:t>
      </w:r>
      <w:r>
        <w:rPr>
          <w:rFonts w:hint="eastAsia" w:ascii="宋体" w:hAnsi="宋体"/>
          <w:szCs w:val="21"/>
        </w:rPr>
        <w:t>经上报行政主管部门（或监督管理部门）后，招标人有权</w:t>
      </w:r>
      <w:r>
        <w:rPr>
          <w:rFonts w:hint="eastAsia" w:hAnsi="Calibri" w:cs="宋体"/>
          <w:szCs w:val="21"/>
        </w:rPr>
        <w:t>按照评标委员会推荐的中标候选人名单排序依次确定其他中标候选人为中标人或重新招标</w:t>
      </w:r>
      <w:r>
        <w:rPr>
          <w:rFonts w:hint="eastAsia" w:ascii="宋体" w:hAnsi="宋体"/>
          <w:szCs w:val="21"/>
        </w:rPr>
        <w:t>，并没收其投标保证金。涉嫌违法犯罪的，将</w:t>
      </w:r>
      <w:r>
        <w:rPr>
          <w:rFonts w:ascii="宋体" w:hAnsi="宋体"/>
          <w:szCs w:val="21"/>
        </w:rPr>
        <w:t>移交司法机关处理</w:t>
      </w:r>
      <w:r>
        <w:rPr>
          <w:rFonts w:hint="eastAsia" w:ascii="宋体" w:hAnsi="宋体"/>
          <w:szCs w:val="21"/>
        </w:rPr>
        <w:t>。</w:t>
      </w:r>
    </w:p>
    <w:p>
      <w:pPr>
        <w:snapToGrid w:val="0"/>
        <w:spacing w:line="360" w:lineRule="auto"/>
        <w:ind w:left="1107" w:leftChars="527" w:firstLine="420" w:firstLineChars="200"/>
        <w:rPr>
          <w:rFonts w:ascii="宋体" w:hAnsi="宋体"/>
          <w:szCs w:val="21"/>
        </w:rPr>
      </w:pPr>
      <w:r>
        <w:rPr>
          <w:rFonts w:hint="eastAsia" w:ascii="宋体" w:hAnsi="宋体"/>
          <w:szCs w:val="21"/>
        </w:rPr>
        <w:t>必要时，当招标人（或其委托的招标代理机构）向第一中标候选人发出提供上述证明资料原件</w:t>
      </w:r>
      <w:r>
        <w:rPr>
          <w:rFonts w:hint="eastAsia" w:hAnsi="宋体"/>
          <w:szCs w:val="21"/>
        </w:rPr>
        <w:t>（包括但不限于业绩合同对应的发票等）</w:t>
      </w:r>
      <w:r>
        <w:rPr>
          <w:rFonts w:hint="eastAsia" w:ascii="宋体" w:hAnsi="宋体"/>
          <w:szCs w:val="21"/>
        </w:rPr>
        <w:t>进行核查的书面通知后，第一中标候选人未能在招标人（或其委托的招标代理机构) 书面要求的时间(一般不少于三个工作日) 内提供完整的材料原件进行核查的，视为其无法提供真实的资料，经上报行政主管部门（或监督管理部门）后，招标人有权</w:t>
      </w:r>
      <w:r>
        <w:rPr>
          <w:rFonts w:hint="eastAsia" w:hAnsi="Calibri" w:cs="宋体"/>
          <w:szCs w:val="21"/>
        </w:rPr>
        <w:t>按照评标委员会推荐的中标候选人名单排序依次确定其他中标候选人为中标人或重新招标</w:t>
      </w:r>
      <w:r>
        <w:rPr>
          <w:rFonts w:hint="eastAsia" w:ascii="宋体" w:hAnsi="宋体"/>
        </w:rPr>
        <w:t>。</w:t>
      </w:r>
    </w:p>
    <w:p>
      <w:pPr>
        <w:numPr>
          <w:ilvl w:val="1"/>
          <w:numId w:val="2"/>
        </w:numPr>
        <w:snapToGrid w:val="0"/>
        <w:spacing w:line="360" w:lineRule="auto"/>
        <w:rPr>
          <w:rFonts w:ascii="宋体" w:hAnsi="宋体"/>
        </w:rPr>
      </w:pPr>
      <w:r>
        <w:rPr>
          <w:rFonts w:hint="eastAsia" w:ascii="宋体" w:hAnsi="宋体"/>
        </w:rPr>
        <w:t>投标人</w:t>
      </w:r>
      <w:r>
        <w:rPr>
          <w:rFonts w:hint="eastAsia" w:ascii="宋体" w:hAnsi="宋体"/>
          <w:szCs w:val="21"/>
          <w:lang w:val="zh-CN"/>
        </w:rPr>
        <w:t>或者</w:t>
      </w:r>
      <w:r>
        <w:rPr>
          <w:rFonts w:hint="eastAsia" w:ascii="宋体" w:hAnsi="宋体"/>
        </w:rPr>
        <w:t>其他</w:t>
      </w:r>
      <w:r>
        <w:rPr>
          <w:rFonts w:hint="eastAsia" w:ascii="宋体" w:hAnsi="宋体"/>
          <w:szCs w:val="21"/>
          <w:lang w:val="zh-CN"/>
        </w:rPr>
        <w:t>利害关系人认为招标投标活动不符合法律、行政法规规定的，可以自知道或者应当知道之日起10日内向监督部门投诉。投诉应当有明确的请求和必要的证明材料。</w:t>
      </w:r>
    </w:p>
    <w:p>
      <w:pPr>
        <w:numPr>
          <w:ilvl w:val="1"/>
          <w:numId w:val="2"/>
        </w:numPr>
        <w:snapToGrid w:val="0"/>
        <w:spacing w:line="360" w:lineRule="auto"/>
        <w:rPr>
          <w:rFonts w:ascii="宋体" w:hAnsi="宋体"/>
        </w:rPr>
      </w:pPr>
      <w:r>
        <w:rPr>
          <w:rFonts w:ascii="宋体" w:hAnsi="宋体"/>
        </w:rPr>
        <w:t>出现下列情形之一的，招标人应当重新招标：</w:t>
      </w:r>
    </w:p>
    <w:p>
      <w:pPr>
        <w:numPr>
          <w:ilvl w:val="2"/>
          <w:numId w:val="2"/>
        </w:numPr>
        <w:tabs>
          <w:tab w:val="left" w:pos="1440"/>
          <w:tab w:val="left" w:pos="1560"/>
          <w:tab w:val="clear" w:pos="1571"/>
        </w:tabs>
        <w:snapToGrid w:val="0"/>
        <w:spacing w:line="360" w:lineRule="auto"/>
        <w:rPr>
          <w:rFonts w:ascii="宋体" w:hAnsi="宋体"/>
          <w:szCs w:val="21"/>
        </w:rPr>
      </w:pPr>
      <w:r>
        <w:rPr>
          <w:rFonts w:hint="eastAsia" w:ascii="宋体" w:hAnsi="宋体"/>
          <w:szCs w:val="21"/>
        </w:rPr>
        <w:t>投标文件提交截止时间止，提交投标文件的投标人少于三个</w:t>
      </w:r>
      <w:r>
        <w:rPr>
          <w:rFonts w:ascii="宋体" w:hAnsi="宋体"/>
          <w:szCs w:val="21"/>
        </w:rPr>
        <w:t>；</w:t>
      </w:r>
    </w:p>
    <w:p>
      <w:pPr>
        <w:numPr>
          <w:ilvl w:val="2"/>
          <w:numId w:val="2"/>
        </w:numPr>
        <w:tabs>
          <w:tab w:val="left" w:pos="1440"/>
          <w:tab w:val="left" w:pos="1560"/>
          <w:tab w:val="clear" w:pos="1571"/>
        </w:tabs>
        <w:snapToGrid w:val="0"/>
        <w:spacing w:line="360" w:lineRule="auto"/>
        <w:rPr>
          <w:rFonts w:ascii="宋体" w:hAnsi="宋体"/>
          <w:szCs w:val="21"/>
        </w:rPr>
      </w:pPr>
      <w:r>
        <w:rPr>
          <w:rFonts w:hint="eastAsia" w:ascii="宋体" w:hAnsi="宋体"/>
          <w:szCs w:val="21"/>
        </w:rPr>
        <w:t>有效投标文件少于三个；</w:t>
      </w:r>
    </w:p>
    <w:p>
      <w:pPr>
        <w:numPr>
          <w:ilvl w:val="2"/>
          <w:numId w:val="2"/>
        </w:numPr>
        <w:tabs>
          <w:tab w:val="left" w:pos="1440"/>
          <w:tab w:val="left" w:pos="1560"/>
          <w:tab w:val="clear" w:pos="1571"/>
        </w:tabs>
        <w:snapToGrid w:val="0"/>
        <w:spacing w:line="360" w:lineRule="auto"/>
        <w:rPr>
          <w:rFonts w:ascii="宋体" w:hAnsi="宋体"/>
          <w:szCs w:val="21"/>
        </w:rPr>
      </w:pPr>
      <w:r>
        <w:rPr>
          <w:rFonts w:ascii="宋体" w:hAnsi="宋体"/>
          <w:szCs w:val="21"/>
        </w:rPr>
        <w:t>存在影响招标公正的违法、违规行为</w:t>
      </w:r>
      <w:r>
        <w:rPr>
          <w:rFonts w:ascii="宋体" w:hAnsi="宋体"/>
        </w:rPr>
        <w:t>。</w:t>
      </w:r>
    </w:p>
    <w:p>
      <w:pPr>
        <w:pStyle w:val="5"/>
        <w:numPr>
          <w:ilvl w:val="0"/>
          <w:numId w:val="2"/>
        </w:numPr>
        <w:rPr>
          <w:rFonts w:ascii="宋体" w:hAnsi="宋体"/>
          <w:sz w:val="24"/>
          <w:szCs w:val="24"/>
        </w:rPr>
      </w:pPr>
      <w:bookmarkStart w:id="520" w:name="_Toc27801"/>
      <w:bookmarkStart w:id="521" w:name="_Toc25397"/>
      <w:bookmarkStart w:id="522" w:name="_Toc9921"/>
      <w:bookmarkStart w:id="523" w:name="_Toc132814734"/>
      <w:bookmarkStart w:id="524" w:name="_Toc2900"/>
      <w:bookmarkStart w:id="525" w:name="_Toc32051"/>
      <w:r>
        <w:rPr>
          <w:rFonts w:hint="eastAsia" w:ascii="宋体" w:hAnsi="宋体"/>
          <w:sz w:val="24"/>
          <w:szCs w:val="24"/>
        </w:rPr>
        <w:t>中标原则及</w:t>
      </w:r>
      <w:r>
        <w:rPr>
          <w:rFonts w:ascii="宋体" w:hAnsi="宋体"/>
          <w:sz w:val="24"/>
          <w:szCs w:val="24"/>
        </w:rPr>
        <w:t>中标通知书</w:t>
      </w:r>
      <w:bookmarkEnd w:id="520"/>
      <w:bookmarkEnd w:id="521"/>
      <w:bookmarkEnd w:id="522"/>
      <w:bookmarkEnd w:id="523"/>
      <w:bookmarkEnd w:id="524"/>
      <w:bookmarkEnd w:id="525"/>
    </w:p>
    <w:p>
      <w:pPr>
        <w:numPr>
          <w:ilvl w:val="1"/>
          <w:numId w:val="2"/>
        </w:numPr>
        <w:snapToGrid w:val="0"/>
        <w:spacing w:line="360" w:lineRule="auto"/>
        <w:rPr>
          <w:rFonts w:ascii="宋体" w:hAnsi="宋体"/>
        </w:rPr>
      </w:pPr>
      <w:r>
        <w:rPr>
          <w:rFonts w:ascii="宋体" w:hAnsi="宋体"/>
        </w:rPr>
        <w:t>中标原则见前附表。</w:t>
      </w:r>
    </w:p>
    <w:p>
      <w:pPr>
        <w:numPr>
          <w:ilvl w:val="1"/>
          <w:numId w:val="2"/>
        </w:numPr>
        <w:snapToGrid w:val="0"/>
        <w:spacing w:line="360" w:lineRule="auto"/>
        <w:rPr>
          <w:rFonts w:ascii="宋体" w:hAnsi="宋体"/>
        </w:rPr>
      </w:pPr>
      <w:r>
        <w:rPr>
          <w:rFonts w:ascii="宋体" w:hAnsi="宋体"/>
        </w:rPr>
        <w:t>招标人在确定中标人7天内，以书面形式向中标人发出中标通知书。</w:t>
      </w:r>
    </w:p>
    <w:p>
      <w:pPr>
        <w:numPr>
          <w:ilvl w:val="1"/>
          <w:numId w:val="2"/>
        </w:numPr>
        <w:snapToGrid w:val="0"/>
        <w:spacing w:line="360" w:lineRule="auto"/>
        <w:rPr>
          <w:rFonts w:ascii="宋体" w:hAnsi="宋体"/>
        </w:rPr>
      </w:pPr>
      <w:r>
        <w:rPr>
          <w:rFonts w:ascii="宋体" w:hAnsi="宋体"/>
        </w:rPr>
        <w:t>中标通知书将成为合同的组成部分。</w:t>
      </w:r>
    </w:p>
    <w:p>
      <w:pPr>
        <w:numPr>
          <w:ilvl w:val="1"/>
          <w:numId w:val="2"/>
        </w:numPr>
        <w:snapToGrid w:val="0"/>
        <w:spacing w:line="360" w:lineRule="auto"/>
        <w:rPr>
          <w:rFonts w:ascii="宋体" w:hAnsi="宋体"/>
        </w:rPr>
      </w:pPr>
      <w:r>
        <w:rPr>
          <w:rFonts w:ascii="宋体" w:hAnsi="宋体"/>
        </w:rPr>
        <w:t>招标人在确定中标人之日起15日内向</w:t>
      </w:r>
      <w:r>
        <w:rPr>
          <w:rFonts w:hint="eastAsia" w:ascii="宋体" w:hAnsi="宋体"/>
        </w:rPr>
        <w:t>监督</w:t>
      </w:r>
      <w:r>
        <w:rPr>
          <w:rFonts w:ascii="宋体" w:hAnsi="宋体"/>
        </w:rPr>
        <w:t>管理部门提交招标投标情况报告备案。</w:t>
      </w:r>
    </w:p>
    <w:bookmarkEnd w:id="512"/>
    <w:bookmarkEnd w:id="513"/>
    <w:p>
      <w:pPr>
        <w:pStyle w:val="4"/>
        <w:numPr>
          <w:ilvl w:val="1"/>
          <w:numId w:val="1"/>
        </w:numPr>
        <w:snapToGrid w:val="0"/>
        <w:spacing w:before="0" w:after="0" w:line="360" w:lineRule="auto"/>
        <w:jc w:val="center"/>
        <w:rPr>
          <w:rFonts w:ascii="宋体" w:hAnsi="宋体" w:eastAsia="宋体"/>
          <w:b w:val="0"/>
          <w:bCs w:val="0"/>
          <w:sz w:val="30"/>
          <w:szCs w:val="28"/>
        </w:rPr>
      </w:pPr>
      <w:bookmarkStart w:id="526" w:name="_Toc30080"/>
      <w:bookmarkStart w:id="527" w:name="_Toc132814735"/>
      <w:bookmarkStart w:id="528" w:name="_Toc11465"/>
      <w:bookmarkStart w:id="529" w:name="_Toc24334"/>
      <w:bookmarkStart w:id="530" w:name="_Toc19544"/>
      <w:bookmarkStart w:id="531" w:name="_Toc5156"/>
      <w:bookmarkStart w:id="532" w:name="_Toc50920609"/>
      <w:bookmarkStart w:id="533" w:name="_Toc50920452"/>
      <w:bookmarkStart w:id="534" w:name="_Toc72916334"/>
      <w:bookmarkStart w:id="535" w:name="_Toc77555215"/>
      <w:r>
        <w:rPr>
          <w:rFonts w:ascii="宋体" w:hAnsi="宋体" w:eastAsia="宋体"/>
          <w:b w:val="0"/>
          <w:bCs w:val="0"/>
          <w:sz w:val="30"/>
          <w:szCs w:val="28"/>
        </w:rPr>
        <w:t>授予合同</w:t>
      </w:r>
      <w:bookmarkEnd w:id="526"/>
      <w:bookmarkEnd w:id="527"/>
      <w:bookmarkEnd w:id="528"/>
      <w:bookmarkEnd w:id="529"/>
      <w:bookmarkEnd w:id="530"/>
      <w:bookmarkEnd w:id="531"/>
    </w:p>
    <w:bookmarkEnd w:id="532"/>
    <w:bookmarkEnd w:id="533"/>
    <w:bookmarkEnd w:id="534"/>
    <w:bookmarkEnd w:id="535"/>
    <w:p>
      <w:pPr>
        <w:pStyle w:val="5"/>
        <w:numPr>
          <w:ilvl w:val="0"/>
          <w:numId w:val="2"/>
        </w:numPr>
        <w:rPr>
          <w:rFonts w:ascii="宋体" w:hAnsi="宋体"/>
          <w:sz w:val="24"/>
          <w:szCs w:val="24"/>
        </w:rPr>
      </w:pPr>
      <w:bookmarkStart w:id="536" w:name="_Toc8519"/>
      <w:bookmarkStart w:id="537" w:name="_Toc20377"/>
      <w:bookmarkStart w:id="538" w:name="_Toc50920453"/>
      <w:bookmarkStart w:id="539" w:name="_Toc8904"/>
      <w:bookmarkStart w:id="540" w:name="_Toc132814736"/>
      <w:bookmarkStart w:id="541" w:name="_Toc50920610"/>
      <w:bookmarkStart w:id="542" w:name="_Toc10041"/>
      <w:bookmarkStart w:id="543" w:name="_Toc31623"/>
      <w:bookmarkStart w:id="544" w:name="_Toc72916335"/>
      <w:bookmarkStart w:id="545" w:name="_Toc77555216"/>
      <w:r>
        <w:rPr>
          <w:rFonts w:ascii="宋体" w:hAnsi="宋体"/>
          <w:sz w:val="24"/>
          <w:szCs w:val="24"/>
        </w:rPr>
        <w:t>合同授予标准</w:t>
      </w:r>
      <w:bookmarkEnd w:id="536"/>
      <w:bookmarkEnd w:id="537"/>
      <w:bookmarkEnd w:id="538"/>
      <w:bookmarkEnd w:id="539"/>
      <w:bookmarkEnd w:id="540"/>
      <w:bookmarkEnd w:id="541"/>
      <w:bookmarkEnd w:id="542"/>
      <w:bookmarkEnd w:id="543"/>
      <w:bookmarkEnd w:id="544"/>
      <w:bookmarkEnd w:id="545"/>
    </w:p>
    <w:p>
      <w:pPr>
        <w:numPr>
          <w:ilvl w:val="1"/>
          <w:numId w:val="2"/>
        </w:numPr>
        <w:snapToGrid w:val="0"/>
        <w:spacing w:line="360" w:lineRule="auto"/>
        <w:rPr>
          <w:rFonts w:ascii="宋体" w:hAnsi="宋体"/>
        </w:rPr>
      </w:pPr>
      <w:bookmarkStart w:id="546" w:name="_Toc86654668"/>
      <w:bookmarkStart w:id="547" w:name="_Toc86654341"/>
      <w:bookmarkStart w:id="548" w:name="_Toc86653252"/>
      <w:r>
        <w:rPr>
          <w:rFonts w:ascii="宋体" w:hAnsi="宋体"/>
        </w:rPr>
        <w:t>本</w:t>
      </w:r>
      <w:r>
        <w:rPr>
          <w:rFonts w:hint="eastAsia" w:ascii="宋体" w:hAnsi="宋体"/>
        </w:rPr>
        <w:t>项目</w:t>
      </w:r>
      <w:r>
        <w:rPr>
          <w:rFonts w:ascii="宋体" w:hAnsi="宋体"/>
        </w:rPr>
        <w:t>的</w:t>
      </w:r>
      <w:r>
        <w:rPr>
          <w:rFonts w:hint="eastAsia" w:ascii="宋体" w:hAnsi="宋体"/>
        </w:rPr>
        <w:t>设备采购</w:t>
      </w:r>
      <w:r>
        <w:rPr>
          <w:rFonts w:ascii="宋体" w:hAnsi="宋体"/>
        </w:rPr>
        <w:t>合同将授予被确定的中标人。</w:t>
      </w:r>
      <w:bookmarkEnd w:id="546"/>
      <w:bookmarkEnd w:id="547"/>
      <w:bookmarkEnd w:id="548"/>
    </w:p>
    <w:p>
      <w:pPr>
        <w:pStyle w:val="5"/>
        <w:numPr>
          <w:ilvl w:val="0"/>
          <w:numId w:val="2"/>
        </w:numPr>
        <w:rPr>
          <w:rFonts w:ascii="宋体" w:hAnsi="宋体"/>
          <w:sz w:val="24"/>
          <w:szCs w:val="24"/>
        </w:rPr>
      </w:pPr>
      <w:bookmarkStart w:id="549" w:name="_Toc465092005"/>
      <w:bookmarkEnd w:id="549"/>
      <w:bookmarkStart w:id="550" w:name="_Toc465092008"/>
      <w:bookmarkEnd w:id="550"/>
      <w:bookmarkStart w:id="551" w:name="_Toc465092006"/>
      <w:bookmarkEnd w:id="551"/>
      <w:bookmarkStart w:id="552" w:name="_Toc465092007"/>
      <w:bookmarkEnd w:id="552"/>
      <w:bookmarkStart w:id="553" w:name="_Toc27454"/>
      <w:bookmarkStart w:id="554" w:name="_Toc21424"/>
      <w:bookmarkStart w:id="555" w:name="_Toc27179"/>
      <w:bookmarkStart w:id="556" w:name="_Toc27618"/>
      <w:bookmarkStart w:id="557" w:name="_Toc72916338"/>
      <w:bookmarkStart w:id="558" w:name="_Toc18495"/>
      <w:bookmarkStart w:id="559" w:name="_Toc132814737"/>
      <w:bookmarkStart w:id="560" w:name="_Toc50920613"/>
      <w:bookmarkStart w:id="561" w:name="_Toc77555219"/>
      <w:bookmarkStart w:id="562" w:name="_Toc50920456"/>
      <w:r>
        <w:rPr>
          <w:rFonts w:ascii="宋体" w:hAnsi="宋体"/>
          <w:sz w:val="24"/>
          <w:szCs w:val="24"/>
        </w:rPr>
        <w:t>合同的签署</w:t>
      </w:r>
      <w:bookmarkEnd w:id="553"/>
      <w:bookmarkEnd w:id="554"/>
      <w:bookmarkEnd w:id="555"/>
      <w:bookmarkEnd w:id="556"/>
      <w:bookmarkEnd w:id="557"/>
      <w:bookmarkEnd w:id="558"/>
      <w:bookmarkEnd w:id="559"/>
      <w:bookmarkEnd w:id="560"/>
      <w:bookmarkEnd w:id="561"/>
      <w:bookmarkEnd w:id="562"/>
    </w:p>
    <w:p>
      <w:pPr>
        <w:numPr>
          <w:ilvl w:val="1"/>
          <w:numId w:val="2"/>
        </w:numPr>
        <w:snapToGrid w:val="0"/>
        <w:spacing w:line="360" w:lineRule="auto"/>
        <w:rPr>
          <w:rFonts w:ascii="宋体" w:hAnsi="宋体"/>
        </w:rPr>
      </w:pPr>
      <w:bookmarkStart w:id="563" w:name="_Toc86654673"/>
      <w:bookmarkStart w:id="564" w:name="_Toc86654346"/>
      <w:bookmarkStart w:id="565" w:name="_Toc86653257"/>
      <w:bookmarkStart w:id="566" w:name="_Toc50920614"/>
      <w:bookmarkStart w:id="567" w:name="_Toc50920457"/>
      <w:r>
        <w:rPr>
          <w:rFonts w:hint="eastAsia" w:ascii="宋体" w:hAnsi="宋体"/>
        </w:rPr>
        <w:t>项目业主</w:t>
      </w:r>
      <w:r>
        <w:rPr>
          <w:rFonts w:hint="eastAsia" w:ascii="宋体" w:hAnsi="宋体"/>
          <w:szCs w:val="21"/>
          <w:lang w:val="zh-CN"/>
        </w:rPr>
        <w:t>、</w:t>
      </w:r>
      <w:r>
        <w:rPr>
          <w:rFonts w:ascii="宋体" w:hAnsi="宋体"/>
        </w:rPr>
        <w:t>招标人与中标人将于中标通知书发出之日起30日内，按照招标文件和中标人的投标文件订立书面</w:t>
      </w:r>
      <w:r>
        <w:rPr>
          <w:rFonts w:hint="eastAsia" w:ascii="宋体" w:hAnsi="宋体"/>
        </w:rPr>
        <w:t>采购</w:t>
      </w:r>
      <w:r>
        <w:rPr>
          <w:rFonts w:ascii="宋体" w:hAnsi="宋体"/>
        </w:rPr>
        <w:t>合同，</w:t>
      </w:r>
      <w:r>
        <w:rPr>
          <w:rFonts w:hint="eastAsia" w:ascii="宋体" w:hAnsi="宋体"/>
        </w:rPr>
        <w:t>项目业主</w:t>
      </w:r>
      <w:r>
        <w:rPr>
          <w:rFonts w:hint="eastAsia" w:ascii="宋体" w:hAnsi="宋体"/>
          <w:szCs w:val="21"/>
          <w:lang w:val="zh-CN"/>
        </w:rPr>
        <w:t>、</w:t>
      </w:r>
      <w:r>
        <w:rPr>
          <w:rFonts w:ascii="宋体" w:hAnsi="宋体"/>
        </w:rPr>
        <w:t>招标人和中标人不得再另行订立背离合同实质性内容的其他协议。</w:t>
      </w:r>
      <w:bookmarkEnd w:id="563"/>
      <w:bookmarkEnd w:id="564"/>
      <w:bookmarkEnd w:id="565"/>
    </w:p>
    <w:p>
      <w:pPr>
        <w:numPr>
          <w:ilvl w:val="1"/>
          <w:numId w:val="2"/>
        </w:numPr>
        <w:snapToGrid w:val="0"/>
        <w:spacing w:line="360" w:lineRule="auto"/>
        <w:rPr>
          <w:rFonts w:ascii="宋体" w:hAnsi="宋体"/>
        </w:rPr>
      </w:pPr>
      <w:bookmarkStart w:id="568" w:name="_Toc86654347"/>
      <w:bookmarkStart w:id="569" w:name="_Toc86653258"/>
      <w:bookmarkStart w:id="570" w:name="_Toc86654674"/>
      <w:r>
        <w:rPr>
          <w:rFonts w:hint="eastAsia" w:ascii="宋体" w:hAnsi="宋体"/>
        </w:rPr>
        <w:t>在签署合同前，项目业主</w:t>
      </w:r>
      <w:r>
        <w:rPr>
          <w:rFonts w:hint="eastAsia" w:ascii="宋体" w:hAnsi="宋体"/>
          <w:szCs w:val="21"/>
          <w:lang w:val="zh-CN"/>
        </w:rPr>
        <w:t>、</w:t>
      </w:r>
      <w:r>
        <w:rPr>
          <w:rFonts w:hint="eastAsia" w:ascii="宋体" w:hAnsi="宋体"/>
        </w:rPr>
        <w:t>招标人可对中标人投标报价明细及附表内的算术性错误、货物漏项漏量进行修正，修正原则为⑴ 当以数字表示的金额与以文字表示的金额不一致时，以文字表示的金额为准；⑵ 当各子项目内的各子目合价累计不等于总价（即该子项目的投标报价），保持总价不变，按比例修正各子项目内的子目合价；⑶ 当单价与数量的乘积不等于子目合价时，保持子目合价不变，修正单价；</w:t>
      </w:r>
      <w:r>
        <w:rPr>
          <w:rFonts w:ascii="宋体" w:hAnsi="宋体"/>
        </w:rPr>
        <w:fldChar w:fldCharType="begin"/>
      </w:r>
      <w:r>
        <w:rPr>
          <w:rFonts w:ascii="宋体" w:hAnsi="宋体"/>
        </w:rPr>
        <w:instrText xml:space="preserve"> </w:instrText>
      </w:r>
      <w:r>
        <w:rPr>
          <w:rFonts w:hint="eastAsia" w:ascii="宋体" w:hAnsi="宋体"/>
        </w:rPr>
        <w:instrText xml:space="preserve">= 4 \* GB2</w:instrText>
      </w:r>
      <w:r>
        <w:rPr>
          <w:rFonts w:ascii="宋体" w:hAnsi="宋体"/>
        </w:rPr>
        <w:instrText xml:space="preserve"> </w:instrText>
      </w:r>
      <w:r>
        <w:rPr>
          <w:rFonts w:ascii="宋体" w:hAnsi="宋体"/>
        </w:rPr>
        <w:fldChar w:fldCharType="separate"/>
      </w:r>
      <w:r>
        <w:rPr>
          <w:rFonts w:hint="eastAsia" w:ascii="宋体" w:hAnsi="宋体"/>
        </w:rPr>
        <w:t>⑷</w:t>
      </w:r>
      <w:r>
        <w:rPr>
          <w:rFonts w:ascii="宋体" w:hAnsi="宋体"/>
        </w:rPr>
        <w:fldChar w:fldCharType="end"/>
      </w:r>
      <w:r>
        <w:rPr>
          <w:rFonts w:hint="eastAsia" w:ascii="宋体" w:hAnsi="宋体"/>
        </w:rPr>
        <w:t>当货物详细报价表内的货物出现漏量时，报价表内补齐漏量的货物后，保持子目合价不变，修正单价；</w:t>
      </w:r>
      <w:r>
        <w:rPr>
          <w:rFonts w:ascii="宋体" w:hAnsi="宋体"/>
        </w:rPr>
        <w:fldChar w:fldCharType="begin"/>
      </w:r>
      <w:r>
        <w:rPr>
          <w:rFonts w:ascii="宋体" w:hAnsi="宋体"/>
        </w:rPr>
        <w:instrText xml:space="preserve"> </w:instrText>
      </w:r>
      <w:r>
        <w:rPr>
          <w:rFonts w:hint="eastAsia" w:ascii="宋体" w:hAnsi="宋体"/>
        </w:rPr>
        <w:instrText xml:space="preserve">= 5 \* GB2</w:instrText>
      </w:r>
      <w:r>
        <w:rPr>
          <w:rFonts w:ascii="宋体" w:hAnsi="宋体"/>
        </w:rPr>
        <w:instrText xml:space="preserve"> </w:instrText>
      </w:r>
      <w:r>
        <w:rPr>
          <w:rFonts w:ascii="宋体" w:hAnsi="宋体"/>
        </w:rPr>
        <w:fldChar w:fldCharType="separate"/>
      </w:r>
      <w:r>
        <w:rPr>
          <w:rFonts w:hint="eastAsia" w:ascii="宋体" w:hAnsi="宋体"/>
        </w:rPr>
        <w:t>⑸</w:t>
      </w:r>
      <w:r>
        <w:rPr>
          <w:rFonts w:ascii="宋体" w:hAnsi="宋体"/>
        </w:rPr>
        <w:fldChar w:fldCharType="end"/>
      </w:r>
      <w:r>
        <w:rPr>
          <w:rFonts w:hint="eastAsia" w:ascii="宋体" w:hAnsi="宋体"/>
        </w:rPr>
        <w:t>当货物详细报价表内的货物出现漏项时，报价表内补齐漏项的货物后，视为该项报价已包含在其他货物的单价内，项目总价不变。按前述修正原则排序依次进行修正至唯一值后的报价表经三方确认后，作为合同文件的组成部分。</w:t>
      </w:r>
    </w:p>
    <w:p>
      <w:pPr>
        <w:numPr>
          <w:ilvl w:val="1"/>
          <w:numId w:val="2"/>
        </w:numPr>
        <w:snapToGrid w:val="0"/>
        <w:spacing w:line="360" w:lineRule="auto"/>
        <w:rPr>
          <w:rFonts w:ascii="宋体" w:hAnsi="宋体"/>
        </w:rPr>
      </w:pPr>
      <w:r>
        <w:rPr>
          <w:rFonts w:ascii="宋体" w:hAnsi="宋体"/>
        </w:rPr>
        <w:t>中标人如</w:t>
      </w:r>
      <w:r>
        <w:rPr>
          <w:rFonts w:hint="eastAsia" w:ascii="宋体" w:hAnsi="宋体"/>
        </w:rPr>
        <w:t>未</w:t>
      </w:r>
      <w:r>
        <w:rPr>
          <w:rFonts w:ascii="宋体" w:hAnsi="宋体"/>
        </w:rPr>
        <w:t>按本投标须知的规定提交不可撤销的银行履约保函（或履约保证金，</w:t>
      </w:r>
      <w:r>
        <w:rPr>
          <w:rFonts w:hint="eastAsia" w:ascii="宋体" w:hAnsi="宋体"/>
        </w:rPr>
        <w:t>或担保公司履约担保书</w:t>
      </w:r>
      <w:r>
        <w:rPr>
          <w:rFonts w:ascii="宋体" w:hAnsi="宋体"/>
        </w:rPr>
        <w:t>）</w:t>
      </w:r>
      <w:r>
        <w:rPr>
          <w:rFonts w:hint="eastAsia" w:ascii="宋体" w:hAnsi="宋体"/>
        </w:rPr>
        <w:t>，或</w:t>
      </w:r>
      <w:r>
        <w:rPr>
          <w:rFonts w:ascii="宋体" w:hAnsi="宋体"/>
        </w:rPr>
        <w:t>不按本投标须知的规定与</w:t>
      </w:r>
      <w:r>
        <w:rPr>
          <w:rFonts w:hint="eastAsia" w:ascii="宋体" w:hAnsi="宋体"/>
        </w:rPr>
        <w:t>项目业主</w:t>
      </w:r>
      <w:r>
        <w:rPr>
          <w:rFonts w:hint="eastAsia" w:ascii="宋体" w:hAnsi="宋体"/>
          <w:szCs w:val="21"/>
          <w:lang w:val="zh-CN"/>
        </w:rPr>
        <w:t>、</w:t>
      </w:r>
      <w:r>
        <w:rPr>
          <w:rFonts w:ascii="宋体" w:hAnsi="宋体"/>
        </w:rPr>
        <w:t>招标人订立合同</w:t>
      </w:r>
      <w:r>
        <w:rPr>
          <w:rFonts w:hint="eastAsia" w:ascii="宋体" w:hAnsi="宋体"/>
        </w:rPr>
        <w:t>，</w:t>
      </w:r>
      <w:r>
        <w:rPr>
          <w:rFonts w:ascii="宋体" w:hAnsi="宋体"/>
        </w:rPr>
        <w:t>则招标人将取消其中标资格，投标</w:t>
      </w:r>
      <w:r>
        <w:rPr>
          <w:rFonts w:hint="eastAsia" w:ascii="宋体" w:hAnsi="宋体"/>
        </w:rPr>
        <w:t>保证金</w:t>
      </w:r>
      <w:r>
        <w:rPr>
          <w:rFonts w:ascii="宋体" w:hAnsi="宋体"/>
        </w:rPr>
        <w:t>不予退还，给</w:t>
      </w:r>
      <w:r>
        <w:rPr>
          <w:rFonts w:hint="eastAsia" w:ascii="宋体" w:hAnsi="宋体"/>
        </w:rPr>
        <w:t>项目业主</w:t>
      </w:r>
      <w:r>
        <w:rPr>
          <w:rFonts w:hint="eastAsia" w:ascii="宋体" w:hAnsi="宋体"/>
          <w:szCs w:val="21"/>
          <w:lang w:val="zh-CN"/>
        </w:rPr>
        <w:t>或</w:t>
      </w:r>
      <w:r>
        <w:rPr>
          <w:rFonts w:ascii="宋体" w:hAnsi="宋体"/>
        </w:rPr>
        <w:t>招标人造成的损失超过投标</w:t>
      </w:r>
      <w:r>
        <w:rPr>
          <w:rFonts w:hint="eastAsia" w:ascii="宋体" w:hAnsi="宋体"/>
        </w:rPr>
        <w:t>保证金</w:t>
      </w:r>
      <w:r>
        <w:rPr>
          <w:rFonts w:ascii="宋体" w:hAnsi="宋体"/>
        </w:rPr>
        <w:t>数额的，还应当对超过部分予以赔偿，同时依法承担相应法律责任。</w:t>
      </w:r>
      <w:bookmarkEnd w:id="568"/>
      <w:bookmarkEnd w:id="569"/>
      <w:bookmarkEnd w:id="570"/>
    </w:p>
    <w:bookmarkEnd w:id="566"/>
    <w:bookmarkEnd w:id="567"/>
    <w:p>
      <w:pPr>
        <w:numPr>
          <w:ilvl w:val="1"/>
          <w:numId w:val="2"/>
        </w:numPr>
        <w:snapToGrid w:val="0"/>
        <w:spacing w:line="360" w:lineRule="auto"/>
        <w:rPr>
          <w:rFonts w:ascii="宋体" w:hAnsi="宋体"/>
        </w:rPr>
      </w:pPr>
      <w:r>
        <w:rPr>
          <w:rFonts w:ascii="宋体" w:hAnsi="宋体"/>
        </w:rPr>
        <w:t>文件的真实性</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在招标投标过程中，招标人如发现投标人提供假公章</w:t>
      </w:r>
      <w:r>
        <w:rPr>
          <w:rFonts w:hint="eastAsia" w:ascii="宋体" w:hAnsi="宋体"/>
          <w:szCs w:val="21"/>
        </w:rPr>
        <w:t>、</w:t>
      </w:r>
      <w:r>
        <w:rPr>
          <w:rFonts w:ascii="宋体" w:hAnsi="宋体"/>
          <w:szCs w:val="21"/>
        </w:rPr>
        <w:t>虚假证明资料（如假营业执照、假资质证书、虚假业绩材料等）的，招标人有权</w:t>
      </w:r>
      <w:r>
        <w:rPr>
          <w:rFonts w:hint="eastAsia" w:ascii="宋体" w:hAnsi="宋体"/>
          <w:szCs w:val="21"/>
        </w:rPr>
        <w:t>拒绝</w:t>
      </w:r>
      <w:r>
        <w:rPr>
          <w:rFonts w:ascii="宋体" w:hAnsi="宋体"/>
          <w:szCs w:val="21"/>
        </w:rPr>
        <w:t>投标人的投标，没收其投标保证金</w:t>
      </w:r>
      <w:r>
        <w:rPr>
          <w:rFonts w:hint="eastAsia" w:ascii="宋体" w:hAnsi="宋体"/>
          <w:szCs w:val="21"/>
        </w:rPr>
        <w:t>。涉嫌违法犯罪的，将</w:t>
      </w:r>
      <w:r>
        <w:rPr>
          <w:rFonts w:ascii="宋体" w:hAnsi="宋体"/>
          <w:szCs w:val="21"/>
        </w:rPr>
        <w:t>移交司法机关处理。</w:t>
      </w:r>
    </w:p>
    <w:p>
      <w:pPr>
        <w:numPr>
          <w:ilvl w:val="2"/>
          <w:numId w:val="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在合同履行过程中，</w:t>
      </w:r>
      <w:r>
        <w:rPr>
          <w:rFonts w:hint="eastAsia" w:ascii="宋体" w:hAnsi="宋体"/>
          <w:szCs w:val="21"/>
        </w:rPr>
        <w:t>项目业主或招标</w:t>
      </w:r>
      <w:r>
        <w:rPr>
          <w:rFonts w:ascii="宋体" w:hAnsi="宋体"/>
          <w:szCs w:val="21"/>
        </w:rPr>
        <w:t>人如发现中标人在投标时提供假公章</w:t>
      </w:r>
      <w:r>
        <w:rPr>
          <w:rFonts w:hint="eastAsia" w:ascii="宋体" w:hAnsi="宋体"/>
          <w:szCs w:val="21"/>
        </w:rPr>
        <w:t>、</w:t>
      </w:r>
      <w:r>
        <w:rPr>
          <w:rFonts w:ascii="宋体" w:hAnsi="宋体"/>
          <w:szCs w:val="21"/>
        </w:rPr>
        <w:t>虚假证明资料（如假营业执照、假资质证书、虚假业绩材料等）骗取中标的，</w:t>
      </w:r>
      <w:r>
        <w:rPr>
          <w:rFonts w:hint="eastAsia" w:ascii="宋体" w:hAnsi="宋体"/>
          <w:szCs w:val="21"/>
        </w:rPr>
        <w:t>项目业主或</w:t>
      </w:r>
      <w:r>
        <w:rPr>
          <w:rFonts w:ascii="宋体" w:hAnsi="宋体"/>
          <w:szCs w:val="21"/>
        </w:rPr>
        <w:t>招标人有权解除合同，没收其履约</w:t>
      </w:r>
      <w:r>
        <w:rPr>
          <w:rFonts w:hint="eastAsia" w:ascii="宋体" w:hAnsi="宋体"/>
          <w:szCs w:val="21"/>
        </w:rPr>
        <w:t>担保。涉嫌违法犯罪的，将</w:t>
      </w:r>
      <w:r>
        <w:rPr>
          <w:rFonts w:ascii="宋体" w:hAnsi="宋体"/>
          <w:szCs w:val="21"/>
        </w:rPr>
        <w:t>移交司法机关处理。</w:t>
      </w:r>
    </w:p>
    <w:p>
      <w:pPr>
        <w:numPr>
          <w:ilvl w:val="1"/>
          <w:numId w:val="2"/>
        </w:numPr>
        <w:snapToGrid w:val="0"/>
        <w:spacing w:line="360" w:lineRule="auto"/>
        <w:rPr>
          <w:rFonts w:ascii="宋体" w:hAnsi="宋体"/>
          <w:b/>
        </w:rPr>
      </w:pPr>
      <w:r>
        <w:rPr>
          <w:rFonts w:hint="eastAsia" w:ascii="宋体" w:hAnsi="宋体"/>
          <w:b/>
        </w:rPr>
        <w:t>本项目以子项目为单位签署合同（即</w:t>
      </w:r>
      <w:r>
        <w:rPr>
          <w:rFonts w:hint="eastAsia" w:ascii="宋体" w:hAnsi="宋体"/>
          <w:szCs w:val="21"/>
        </w:rPr>
        <w:t>项目业主、</w:t>
      </w:r>
      <w:r>
        <w:rPr>
          <w:rFonts w:hint="eastAsia" w:ascii="宋体" w:hAnsi="宋体"/>
          <w:b/>
        </w:rPr>
        <w:t>招标人将在招标文件提供的合同格式基础上，根据投标文件的响应内容与中标人签署多个单项合同），并有权要求中标人分别对应子项目办理单项合同履约担保。</w:t>
      </w:r>
    </w:p>
    <w:p>
      <w:pPr>
        <w:pStyle w:val="4"/>
        <w:numPr>
          <w:ilvl w:val="1"/>
          <w:numId w:val="1"/>
        </w:numPr>
        <w:snapToGrid w:val="0"/>
        <w:spacing w:before="0" w:after="0" w:line="360" w:lineRule="auto"/>
        <w:jc w:val="center"/>
        <w:rPr>
          <w:rFonts w:ascii="宋体" w:hAnsi="宋体" w:eastAsia="宋体"/>
          <w:b w:val="0"/>
          <w:bCs w:val="0"/>
          <w:sz w:val="30"/>
          <w:szCs w:val="28"/>
        </w:rPr>
      </w:pPr>
      <w:bookmarkStart w:id="571" w:name="_Toc9591"/>
      <w:bookmarkStart w:id="572" w:name="_Toc5931"/>
      <w:bookmarkStart w:id="573" w:name="_Toc9007"/>
      <w:bookmarkStart w:id="574" w:name="_Toc25348"/>
      <w:bookmarkStart w:id="575" w:name="_Toc10087"/>
      <w:bookmarkStart w:id="576" w:name="_Toc132814738"/>
      <w:r>
        <w:rPr>
          <w:rFonts w:ascii="宋体" w:hAnsi="宋体" w:eastAsia="宋体"/>
          <w:b w:val="0"/>
          <w:bCs w:val="0"/>
          <w:sz w:val="30"/>
          <w:szCs w:val="28"/>
        </w:rPr>
        <w:t>其他</w:t>
      </w:r>
      <w:bookmarkEnd w:id="571"/>
      <w:bookmarkEnd w:id="572"/>
      <w:bookmarkEnd w:id="573"/>
      <w:bookmarkEnd w:id="574"/>
      <w:bookmarkEnd w:id="575"/>
      <w:bookmarkEnd w:id="576"/>
    </w:p>
    <w:p>
      <w:pPr>
        <w:pStyle w:val="5"/>
        <w:numPr>
          <w:ilvl w:val="0"/>
          <w:numId w:val="2"/>
        </w:numPr>
        <w:rPr>
          <w:rFonts w:ascii="宋体" w:hAnsi="宋体"/>
          <w:sz w:val="24"/>
          <w:szCs w:val="24"/>
        </w:rPr>
      </w:pPr>
      <w:bookmarkStart w:id="577" w:name="_Toc5128"/>
      <w:bookmarkStart w:id="578" w:name="_Toc334572725"/>
      <w:bookmarkStart w:id="579" w:name="_Toc132814739"/>
      <w:bookmarkStart w:id="580" w:name="_Toc72916339"/>
      <w:bookmarkStart w:id="581" w:name="_Toc17187"/>
      <w:bookmarkStart w:id="582" w:name="_Toc10460"/>
      <w:bookmarkStart w:id="583" w:name="_Toc77555220"/>
      <w:bookmarkStart w:id="584" w:name="_Toc7994"/>
      <w:bookmarkStart w:id="585" w:name="_Toc4602"/>
      <w:r>
        <w:rPr>
          <w:rFonts w:ascii="宋体" w:hAnsi="宋体"/>
          <w:sz w:val="24"/>
          <w:szCs w:val="24"/>
        </w:rPr>
        <w:t>履约担保</w:t>
      </w:r>
      <w:bookmarkEnd w:id="577"/>
      <w:bookmarkEnd w:id="578"/>
      <w:bookmarkEnd w:id="579"/>
      <w:bookmarkEnd w:id="580"/>
      <w:bookmarkEnd w:id="581"/>
      <w:bookmarkEnd w:id="582"/>
      <w:bookmarkEnd w:id="583"/>
      <w:bookmarkEnd w:id="584"/>
      <w:bookmarkEnd w:id="585"/>
    </w:p>
    <w:p>
      <w:pPr>
        <w:numPr>
          <w:ilvl w:val="1"/>
          <w:numId w:val="2"/>
        </w:numPr>
        <w:snapToGrid w:val="0"/>
        <w:spacing w:line="360" w:lineRule="auto"/>
        <w:rPr>
          <w:rFonts w:ascii="宋体" w:hAnsi="宋体"/>
        </w:rPr>
      </w:pPr>
      <w:bookmarkStart w:id="586" w:name="_Toc86654349"/>
      <w:bookmarkStart w:id="587" w:name="_Toc86654676"/>
      <w:bookmarkStart w:id="588" w:name="_Toc86653260"/>
      <w:r>
        <w:rPr>
          <w:rFonts w:ascii="宋体" w:hAnsi="宋体"/>
        </w:rPr>
        <w:t>在签订合同</w:t>
      </w:r>
      <w:r>
        <w:rPr>
          <w:rFonts w:hint="eastAsia" w:ascii="宋体" w:hAnsi="宋体"/>
        </w:rPr>
        <w:t>前</w:t>
      </w:r>
      <w:r>
        <w:rPr>
          <w:rFonts w:ascii="宋体" w:hAnsi="宋体"/>
        </w:rPr>
        <w:t>，</w:t>
      </w:r>
      <w:bookmarkEnd w:id="586"/>
      <w:bookmarkEnd w:id="587"/>
      <w:bookmarkEnd w:id="588"/>
      <w:r>
        <w:rPr>
          <w:rFonts w:ascii="宋体" w:hAnsi="宋体"/>
        </w:rPr>
        <w:t>中标人应按本</w:t>
      </w:r>
      <w:r>
        <w:rPr>
          <w:rFonts w:hint="eastAsia" w:ascii="宋体" w:hAnsi="宋体"/>
        </w:rPr>
        <w:t>招标文件</w:t>
      </w:r>
      <w:r>
        <w:rPr>
          <w:rFonts w:ascii="宋体" w:hAnsi="宋体"/>
        </w:rPr>
        <w:t>规定金额</w:t>
      </w:r>
      <w:r>
        <w:rPr>
          <w:rFonts w:hint="eastAsia" w:ascii="宋体" w:hAnsi="宋体"/>
        </w:rPr>
        <w:t>及形式要求，</w:t>
      </w:r>
      <w:r>
        <w:rPr>
          <w:rFonts w:ascii="宋体" w:hAnsi="宋体"/>
        </w:rPr>
        <w:t>向招标人提交不可撤销的银行履约保函（或履约保证金，</w:t>
      </w:r>
      <w:r>
        <w:rPr>
          <w:rFonts w:hint="eastAsia" w:ascii="宋体" w:hAnsi="宋体"/>
        </w:rPr>
        <w:t>或担保公司履约担保书</w:t>
      </w:r>
      <w:r>
        <w:rPr>
          <w:rFonts w:ascii="宋体" w:hAnsi="宋体"/>
        </w:rPr>
        <w:t>），作为履约保证担保（所需费用由中标人自行承担）</w:t>
      </w:r>
      <w:r>
        <w:rPr>
          <w:rFonts w:hint="eastAsia" w:ascii="宋体" w:hAnsi="宋体"/>
        </w:rPr>
        <w:t>。</w:t>
      </w:r>
    </w:p>
    <w:p>
      <w:pPr>
        <w:numPr>
          <w:ilvl w:val="1"/>
          <w:numId w:val="2"/>
        </w:numPr>
        <w:snapToGrid w:val="0"/>
        <w:spacing w:line="360" w:lineRule="auto"/>
        <w:rPr>
          <w:rFonts w:ascii="宋体" w:hAnsi="宋体"/>
        </w:rPr>
      </w:pPr>
      <w:r>
        <w:rPr>
          <w:rFonts w:ascii="宋体" w:hAnsi="宋体"/>
        </w:rPr>
        <w:t>若中标人不能按本须知第34.1款的规定执行，招标人将有权取消中标人的中标资格，并没收其投标</w:t>
      </w:r>
      <w:r>
        <w:rPr>
          <w:rFonts w:hint="eastAsia" w:ascii="宋体" w:hAnsi="宋体"/>
        </w:rPr>
        <w:t>保证金</w:t>
      </w:r>
      <w:r>
        <w:rPr>
          <w:rFonts w:ascii="宋体" w:hAnsi="宋体"/>
        </w:rPr>
        <w:t>，给</w:t>
      </w:r>
      <w:r>
        <w:rPr>
          <w:rFonts w:hint="eastAsia" w:ascii="宋体" w:hAnsi="宋体"/>
        </w:rPr>
        <w:t>项目业主或</w:t>
      </w:r>
      <w:r>
        <w:rPr>
          <w:rFonts w:ascii="宋体" w:hAnsi="宋体"/>
        </w:rPr>
        <w:t>招标人造成的损失如果超过投标</w:t>
      </w:r>
      <w:r>
        <w:rPr>
          <w:rFonts w:hint="eastAsia" w:ascii="宋体" w:hAnsi="宋体"/>
        </w:rPr>
        <w:t>保证金</w:t>
      </w:r>
      <w:r>
        <w:rPr>
          <w:rFonts w:ascii="宋体" w:hAnsi="宋体"/>
        </w:rPr>
        <w:t>数额的，还应当对超过部分予以赔偿。</w:t>
      </w:r>
    </w:p>
    <w:p>
      <w:pPr>
        <w:numPr>
          <w:ilvl w:val="1"/>
          <w:numId w:val="2"/>
        </w:numPr>
        <w:snapToGrid w:val="0"/>
        <w:spacing w:line="360" w:lineRule="auto"/>
        <w:rPr>
          <w:rFonts w:ascii="宋体" w:hAnsi="宋体"/>
        </w:rPr>
      </w:pPr>
      <w:r>
        <w:rPr>
          <w:rFonts w:ascii="宋体" w:hAnsi="宋体"/>
        </w:rPr>
        <w:t>履约担保的形式：见本须知前附表。</w:t>
      </w:r>
    </w:p>
    <w:p>
      <w:pPr>
        <w:numPr>
          <w:ilvl w:val="1"/>
          <w:numId w:val="2"/>
        </w:numPr>
        <w:snapToGrid w:val="0"/>
        <w:spacing w:line="360" w:lineRule="auto"/>
        <w:rPr>
          <w:rFonts w:ascii="宋体" w:hAnsi="宋体"/>
        </w:rPr>
      </w:pPr>
      <w:r>
        <w:rPr>
          <w:rFonts w:ascii="宋体" w:hAnsi="宋体"/>
        </w:rPr>
        <w:t>履约担保应符合如下规定：</w:t>
      </w:r>
    </w:p>
    <w:p>
      <w:pPr>
        <w:numPr>
          <w:ilvl w:val="2"/>
          <w:numId w:val="2"/>
        </w:numPr>
        <w:tabs>
          <w:tab w:val="left" w:pos="1418"/>
          <w:tab w:val="clear" w:pos="1571"/>
        </w:tabs>
        <w:snapToGrid w:val="0"/>
        <w:spacing w:line="360" w:lineRule="auto"/>
        <w:rPr>
          <w:rFonts w:ascii="宋体" w:hAnsi="宋体"/>
          <w:szCs w:val="21"/>
        </w:rPr>
      </w:pPr>
      <w:r>
        <w:rPr>
          <w:rFonts w:ascii="宋体" w:hAnsi="宋体"/>
          <w:szCs w:val="21"/>
        </w:rPr>
        <w:t>出具履约保函的银行必须是</w:t>
      </w:r>
      <w:r>
        <w:rPr>
          <w:rFonts w:hint="eastAsia" w:ascii="宋体" w:hAnsi="宋体"/>
          <w:szCs w:val="21"/>
        </w:rPr>
        <w:t>境内</w:t>
      </w:r>
      <w:r>
        <w:rPr>
          <w:rFonts w:ascii="宋体" w:hAnsi="宋体"/>
          <w:szCs w:val="21"/>
        </w:rPr>
        <w:t>支行一级以上机构，并经招标人同意，如果提交的是</w:t>
      </w:r>
      <w:r>
        <w:rPr>
          <w:rFonts w:hint="eastAsia" w:ascii="宋体" w:hAnsi="宋体"/>
          <w:szCs w:val="21"/>
        </w:rPr>
        <w:t>境</w:t>
      </w:r>
      <w:r>
        <w:rPr>
          <w:rFonts w:ascii="宋体" w:hAnsi="宋体"/>
          <w:szCs w:val="21"/>
        </w:rPr>
        <w:t>内非东莞市行政区域的银行出具的履约保函需经担保银行所在地公证机关公证并出具公证书（格式参见第四章），执行本款时所发生的费用由中标人负担。</w:t>
      </w:r>
    </w:p>
    <w:p>
      <w:pPr>
        <w:numPr>
          <w:ilvl w:val="2"/>
          <w:numId w:val="2"/>
        </w:numPr>
        <w:tabs>
          <w:tab w:val="left" w:pos="1418"/>
          <w:tab w:val="clear" w:pos="1571"/>
        </w:tabs>
        <w:snapToGrid w:val="0"/>
        <w:spacing w:line="360" w:lineRule="auto"/>
        <w:rPr>
          <w:rFonts w:ascii="宋体" w:hAnsi="宋体"/>
          <w:szCs w:val="21"/>
        </w:rPr>
      </w:pPr>
      <w:r>
        <w:rPr>
          <w:rFonts w:ascii="宋体" w:hAnsi="宋体"/>
          <w:szCs w:val="21"/>
        </w:rPr>
        <w:t>履约担保格式应采用招标文件中提供的（格式参见第四章），</w:t>
      </w:r>
      <w:r>
        <w:rPr>
          <w:rFonts w:hint="eastAsia" w:ascii="宋体" w:hAnsi="宋体"/>
          <w:szCs w:val="21"/>
        </w:rPr>
        <w:t>投标人如以履约保函（或履约担保书）形式提供履约担保的，应当下载本招标文件后提前自行向其拟申请开具保函的银行（或担保）机构落实履约保函（或履约担保书）格式情况，以确保能按本招标文件规定的格式提供保函。</w:t>
      </w:r>
      <w:r>
        <w:rPr>
          <w:rFonts w:ascii="宋体" w:hAnsi="宋体"/>
          <w:szCs w:val="21"/>
        </w:rPr>
        <w:t>如使用其他格式的履约保函</w:t>
      </w:r>
      <w:r>
        <w:rPr>
          <w:rFonts w:hint="eastAsia" w:ascii="宋体" w:hAnsi="宋体"/>
          <w:szCs w:val="21"/>
        </w:rPr>
        <w:t>（或履约担保书）</w:t>
      </w:r>
      <w:r>
        <w:rPr>
          <w:rFonts w:ascii="宋体" w:hAnsi="宋体"/>
          <w:szCs w:val="21"/>
        </w:rPr>
        <w:t>，须事先经招标人的书面</w:t>
      </w:r>
      <w:r>
        <w:rPr>
          <w:rFonts w:hint="eastAsia" w:ascii="宋体" w:hAnsi="宋体"/>
          <w:szCs w:val="21"/>
        </w:rPr>
        <w:t>同意</w:t>
      </w:r>
      <w:r>
        <w:rPr>
          <w:rFonts w:ascii="宋体" w:hAnsi="宋体"/>
          <w:szCs w:val="21"/>
        </w:rPr>
        <w:t>。</w:t>
      </w:r>
    </w:p>
    <w:p>
      <w:pPr>
        <w:numPr>
          <w:ilvl w:val="2"/>
          <w:numId w:val="2"/>
        </w:numPr>
        <w:tabs>
          <w:tab w:val="left" w:pos="1418"/>
        </w:tabs>
        <w:snapToGrid w:val="0"/>
        <w:spacing w:line="360" w:lineRule="auto"/>
        <w:rPr>
          <w:rFonts w:ascii="宋体" w:hAnsi="宋体"/>
          <w:szCs w:val="21"/>
        </w:rPr>
      </w:pPr>
      <w:r>
        <w:rPr>
          <w:rFonts w:hint="eastAsia" w:ascii="宋体" w:hAnsi="宋体"/>
          <w:szCs w:val="21"/>
        </w:rPr>
        <w:t>提供担保的担保机构经济性质须为本市国有企业，或政府性融资担保机构（中标人须提供能证明其属于政府性融资担保机构的证明文件），</w:t>
      </w:r>
      <w:r>
        <w:rPr>
          <w:rFonts w:ascii="宋体" w:hAnsi="宋体"/>
          <w:szCs w:val="21"/>
        </w:rPr>
        <w:t>并经招标人同意，</w:t>
      </w:r>
      <w:r>
        <w:rPr>
          <w:rFonts w:hint="eastAsia" w:ascii="宋体" w:hAnsi="宋体"/>
          <w:szCs w:val="21"/>
        </w:rPr>
        <w:t>如果提交的是境内非东莞市行政区域的担保机构出具的履约担保书需经担保机构所在地公证机关公证并出具公证书（格式参见第四章），</w:t>
      </w:r>
      <w:r>
        <w:rPr>
          <w:rFonts w:ascii="宋体" w:hAnsi="宋体"/>
          <w:szCs w:val="21"/>
        </w:rPr>
        <w:t>执行本款时所发生的费用由中标人负担。</w:t>
      </w:r>
    </w:p>
    <w:p>
      <w:pPr>
        <w:numPr>
          <w:ilvl w:val="2"/>
          <w:numId w:val="2"/>
        </w:numPr>
        <w:tabs>
          <w:tab w:val="left" w:pos="1418"/>
          <w:tab w:val="clear" w:pos="1571"/>
        </w:tabs>
        <w:snapToGrid w:val="0"/>
        <w:spacing w:line="360" w:lineRule="auto"/>
        <w:rPr>
          <w:rFonts w:ascii="宋体" w:hAnsi="宋体"/>
          <w:szCs w:val="21"/>
        </w:rPr>
      </w:pPr>
      <w:r>
        <w:rPr>
          <w:rFonts w:ascii="宋体" w:hAnsi="宋体"/>
          <w:szCs w:val="21"/>
        </w:rPr>
        <w:t>同一银行分支机构或专业担保公司不得为同一项目提供履约保证担保和支付保证担保。</w:t>
      </w:r>
    </w:p>
    <w:p>
      <w:pPr>
        <w:numPr>
          <w:ilvl w:val="2"/>
          <w:numId w:val="2"/>
        </w:numPr>
        <w:tabs>
          <w:tab w:val="left" w:pos="1418"/>
        </w:tabs>
        <w:snapToGrid w:val="0"/>
        <w:spacing w:line="360" w:lineRule="auto"/>
        <w:rPr>
          <w:rFonts w:ascii="宋体" w:hAnsi="宋体"/>
          <w:szCs w:val="21"/>
        </w:rPr>
      </w:pPr>
      <w:r>
        <w:rPr>
          <w:rFonts w:ascii="宋体" w:hAnsi="宋体"/>
          <w:szCs w:val="21"/>
        </w:rPr>
        <w:t>如果</w:t>
      </w:r>
      <w:r>
        <w:rPr>
          <w:rFonts w:hint="eastAsia" w:ascii="宋体" w:hAnsi="宋体"/>
          <w:szCs w:val="21"/>
        </w:rPr>
        <w:t>中标</w:t>
      </w:r>
      <w:r>
        <w:rPr>
          <w:rFonts w:ascii="宋体" w:hAnsi="宋体"/>
          <w:szCs w:val="21"/>
        </w:rPr>
        <w:t>人提交的履约担保的有效期届满时间先于招标文件、合同文件要求的，</w:t>
      </w:r>
      <w:r>
        <w:rPr>
          <w:rFonts w:hint="eastAsia" w:ascii="宋体" w:hAnsi="宋体"/>
          <w:szCs w:val="21"/>
        </w:rPr>
        <w:t>中标</w:t>
      </w:r>
      <w:r>
        <w:rPr>
          <w:rFonts w:ascii="宋体" w:hAnsi="宋体"/>
          <w:szCs w:val="21"/>
        </w:rPr>
        <w:t>人应在</w:t>
      </w:r>
      <w:r>
        <w:rPr>
          <w:rFonts w:hint="eastAsia" w:ascii="宋体" w:hAnsi="宋体"/>
          <w:szCs w:val="21"/>
        </w:rPr>
        <w:t>不可撤销银行履约保函或担保公司履约担保书到期15日前无条件办理办妥</w:t>
      </w:r>
      <w:r>
        <w:rPr>
          <w:rFonts w:hint="eastAsia" w:hAnsi="宋体"/>
          <w:szCs w:val="21"/>
        </w:rPr>
        <w:t>符合招标人要求的</w:t>
      </w:r>
      <w:r>
        <w:rPr>
          <w:rFonts w:hint="eastAsia" w:ascii="宋体" w:hAnsi="宋体"/>
          <w:szCs w:val="21"/>
        </w:rPr>
        <w:t>延期手续或重新提供不可撤销银行履约保函或担保公司履约担保书</w:t>
      </w:r>
      <w:r>
        <w:rPr>
          <w:rFonts w:ascii="宋体" w:hAnsi="宋体"/>
          <w:szCs w:val="21"/>
        </w:rPr>
        <w:t>，否则视为</w:t>
      </w:r>
      <w:r>
        <w:rPr>
          <w:rFonts w:hint="eastAsia" w:ascii="宋体" w:hAnsi="宋体"/>
          <w:szCs w:val="21"/>
        </w:rPr>
        <w:t>中标</w:t>
      </w:r>
      <w:r>
        <w:rPr>
          <w:rFonts w:ascii="宋体" w:hAnsi="宋体"/>
          <w:szCs w:val="21"/>
        </w:rPr>
        <w:t>人违约，</w:t>
      </w:r>
      <w:r>
        <w:rPr>
          <w:rFonts w:hint="eastAsia" w:ascii="宋体" w:hAnsi="宋体"/>
          <w:szCs w:val="21"/>
        </w:rPr>
        <w:t>招标</w:t>
      </w:r>
      <w:r>
        <w:rPr>
          <w:rFonts w:ascii="宋体" w:hAnsi="宋体"/>
          <w:szCs w:val="21"/>
        </w:rPr>
        <w:t>人有权</w:t>
      </w:r>
      <w:r>
        <w:rPr>
          <w:rFonts w:hint="eastAsia" w:ascii="宋体" w:hAnsi="宋体" w:cs="宋体"/>
          <w:szCs w:val="21"/>
        </w:rPr>
        <w:t>在</w:t>
      </w:r>
      <w:r>
        <w:rPr>
          <w:rFonts w:hint="eastAsia" w:ascii="宋体" w:hAnsi="宋体"/>
          <w:szCs w:val="21"/>
        </w:rPr>
        <w:t>不可撤销银行履约保函或担保公司履约担保书</w:t>
      </w:r>
      <w:r>
        <w:rPr>
          <w:rFonts w:hint="eastAsia" w:ascii="宋体" w:hAnsi="宋体" w:cs="宋体"/>
          <w:szCs w:val="21"/>
        </w:rPr>
        <w:t>到期前向出具履约担保的机构提取履约担保金</w:t>
      </w:r>
      <w:r>
        <w:rPr>
          <w:rFonts w:ascii="宋体" w:hAnsi="宋体"/>
          <w:szCs w:val="21"/>
        </w:rPr>
        <w:t>。</w:t>
      </w:r>
      <w:r>
        <w:rPr>
          <w:rFonts w:hint="eastAsia" w:ascii="宋体" w:hAnsi="宋体"/>
          <w:szCs w:val="21"/>
        </w:rPr>
        <w:t>在不可撤销银行履约保函或担保公司履约担保书到期后中标</w:t>
      </w:r>
      <w:r>
        <w:rPr>
          <w:rFonts w:ascii="宋体" w:hAnsi="宋体"/>
          <w:szCs w:val="21"/>
        </w:rPr>
        <w:t>人</w:t>
      </w:r>
      <w:r>
        <w:rPr>
          <w:rFonts w:hint="eastAsia" w:ascii="宋体" w:hAnsi="宋体"/>
          <w:szCs w:val="21"/>
        </w:rPr>
        <w:t>未按招标人要求重新提供的，招标人有权要求中标</w:t>
      </w:r>
      <w:r>
        <w:rPr>
          <w:rFonts w:ascii="宋体" w:hAnsi="宋体"/>
          <w:szCs w:val="21"/>
        </w:rPr>
        <w:t>人</w:t>
      </w:r>
      <w:r>
        <w:rPr>
          <w:rFonts w:hint="eastAsia" w:ascii="宋体" w:hAnsi="宋体"/>
          <w:szCs w:val="21"/>
        </w:rPr>
        <w:t>以履约担保金额为限承担违约金，违约金可直接从未付采购合同费用中扣除</w:t>
      </w:r>
      <w:r>
        <w:rPr>
          <w:rFonts w:ascii="宋体" w:hAnsi="宋体"/>
          <w:szCs w:val="21"/>
        </w:rPr>
        <w:t>。</w:t>
      </w:r>
    </w:p>
    <w:p>
      <w:pPr>
        <w:numPr>
          <w:ilvl w:val="2"/>
          <w:numId w:val="2"/>
        </w:numPr>
        <w:tabs>
          <w:tab w:val="left" w:pos="1418"/>
        </w:tabs>
        <w:snapToGrid w:val="0"/>
        <w:spacing w:line="360" w:lineRule="auto"/>
        <w:rPr>
          <w:rFonts w:ascii="宋体" w:hAnsi="宋体"/>
          <w:szCs w:val="21"/>
        </w:rPr>
      </w:pPr>
      <w:r>
        <w:rPr>
          <w:rFonts w:hint="eastAsia" w:ascii="宋体" w:hAnsi="宋体"/>
          <w:szCs w:val="21"/>
        </w:rPr>
        <w:t>在合同履行期间应保证履约担保有效及金额符合招标文件要求，因采购内容变更、保证金使用等原因导致履约担保金额不满足招标文件要求的，中标人应当在履约担保金额不足之日起15天内予以补足；如违反的，招标人有权按所不足部分金额为限要求承担违约金，违约金可直接从未付采购费用中扣除。</w:t>
      </w:r>
    </w:p>
    <w:p>
      <w:pPr>
        <w:numPr>
          <w:ilvl w:val="2"/>
          <w:numId w:val="2"/>
        </w:numPr>
        <w:tabs>
          <w:tab w:val="left" w:pos="1418"/>
          <w:tab w:val="clear" w:pos="1571"/>
        </w:tabs>
        <w:snapToGrid w:val="0"/>
        <w:spacing w:line="360" w:lineRule="auto"/>
        <w:rPr>
          <w:rFonts w:ascii="宋体" w:hAnsi="宋体"/>
          <w:szCs w:val="21"/>
        </w:rPr>
      </w:pPr>
      <w:r>
        <w:rPr>
          <w:rFonts w:ascii="宋体" w:hAnsi="宋体"/>
          <w:szCs w:val="21"/>
        </w:rPr>
        <w:t>本须知第34.3款约定接受履约保证金时，中标人也可以按招标文件约定的额度和时间，向招标人交纳同等数额的履约保证金作为履约担保。如中标人提交的履约保证金是其分支机构以现金、转账等形式转入的，要提交投标人的法人书面授权，不接受由私人账户和其它单位转入的保证金。无论是履约保证金以何种形式转入，保证金一律以银行转账的形式退回到投标人的账户。履约保证金应以存入招标人指定的银行账户为准。投标人应凭履约保证金缴纳银行回单到招标人处换取履约保证金收据，作为履约保证金缴纳凭据加入合同附件。招标人指定的履约保证金账号详见本须知前附表。</w:t>
      </w:r>
    </w:p>
    <w:p>
      <w:pPr>
        <w:numPr>
          <w:ilvl w:val="1"/>
          <w:numId w:val="2"/>
        </w:numPr>
        <w:snapToGrid w:val="0"/>
        <w:spacing w:line="360" w:lineRule="auto"/>
        <w:rPr>
          <w:rFonts w:ascii="宋体" w:hAnsi="宋体"/>
        </w:rPr>
      </w:pPr>
      <w:r>
        <w:rPr>
          <w:rFonts w:ascii="宋体" w:hAnsi="宋体"/>
        </w:rPr>
        <w:t>按《东莞市建设工程保证担保制度暂行办法》（东府</w:t>
      </w:r>
      <w:r>
        <w:rPr>
          <w:rFonts w:hint="eastAsia" w:ascii="宋体" w:hAnsi="宋体"/>
        </w:rPr>
        <w:t>〔</w:t>
      </w:r>
      <w:r>
        <w:rPr>
          <w:rFonts w:ascii="宋体" w:hAnsi="宋体"/>
        </w:rPr>
        <w:t>2005</w:t>
      </w:r>
      <w:r>
        <w:rPr>
          <w:rFonts w:hint="eastAsia" w:ascii="宋体" w:hAnsi="宋体"/>
        </w:rPr>
        <w:t>〕</w:t>
      </w:r>
      <w:r>
        <w:rPr>
          <w:rFonts w:ascii="宋体" w:hAnsi="宋体"/>
        </w:rPr>
        <w:t>57号）第二十一条规定，中标人提交履约担保的，招标人应当同时向中标人提交同等数额的支付保证担保。本项目已由资金相关部门出具资金证明，不另行提供支付保证担保。</w:t>
      </w:r>
    </w:p>
    <w:p>
      <w:pPr>
        <w:pStyle w:val="5"/>
        <w:numPr>
          <w:ilvl w:val="0"/>
          <w:numId w:val="2"/>
        </w:numPr>
        <w:rPr>
          <w:rFonts w:ascii="宋体" w:hAnsi="宋体"/>
          <w:sz w:val="24"/>
          <w:szCs w:val="24"/>
        </w:rPr>
      </w:pPr>
      <w:bookmarkStart w:id="589" w:name="_Hlt142304392"/>
      <w:bookmarkEnd w:id="589"/>
      <w:bookmarkStart w:id="590" w:name="_Toc197338316"/>
      <w:bookmarkEnd w:id="590"/>
      <w:bookmarkStart w:id="591" w:name="_Toc197338318"/>
      <w:bookmarkEnd w:id="591"/>
      <w:bookmarkStart w:id="592" w:name="_Toc197338317"/>
      <w:bookmarkEnd w:id="592"/>
      <w:bookmarkStart w:id="593" w:name="_Toc132814740"/>
      <w:bookmarkStart w:id="594" w:name="_Toc31477"/>
      <w:bookmarkStart w:id="595" w:name="_Toc29763"/>
      <w:bookmarkStart w:id="596" w:name="_Toc1800"/>
      <w:bookmarkStart w:id="597" w:name="_Toc18819"/>
      <w:bookmarkStart w:id="598" w:name="_Toc15138"/>
      <w:r>
        <w:rPr>
          <w:rFonts w:ascii="宋体" w:hAnsi="宋体"/>
          <w:sz w:val="24"/>
          <w:szCs w:val="24"/>
        </w:rPr>
        <w:t>知识产权</w:t>
      </w:r>
      <w:bookmarkEnd w:id="593"/>
      <w:bookmarkEnd w:id="594"/>
      <w:bookmarkEnd w:id="595"/>
      <w:bookmarkEnd w:id="596"/>
      <w:bookmarkEnd w:id="597"/>
      <w:bookmarkEnd w:id="598"/>
    </w:p>
    <w:p>
      <w:pPr>
        <w:numPr>
          <w:ilvl w:val="1"/>
          <w:numId w:val="2"/>
        </w:numPr>
        <w:snapToGrid w:val="0"/>
        <w:spacing w:line="360" w:lineRule="auto"/>
        <w:rPr>
          <w:rFonts w:ascii="宋体" w:hAnsi="宋体"/>
        </w:rPr>
      </w:pPr>
      <w:r>
        <w:rPr>
          <w:rFonts w:ascii="宋体" w:hAnsi="宋体"/>
        </w:rPr>
        <w:t>投标人须保证投标文件及资料均未侵犯他人的知识产权，否则必须承担全部责任。</w:t>
      </w:r>
    </w:p>
    <w:p>
      <w:pPr>
        <w:numPr>
          <w:ilvl w:val="1"/>
          <w:numId w:val="2"/>
        </w:numPr>
        <w:snapToGrid w:val="0"/>
        <w:spacing w:line="360" w:lineRule="auto"/>
        <w:rPr>
          <w:rFonts w:ascii="宋体" w:hAnsi="宋体"/>
        </w:rPr>
      </w:pPr>
      <w:r>
        <w:rPr>
          <w:rFonts w:ascii="宋体" w:hAnsi="宋体"/>
        </w:rPr>
        <w:t>若投标人在投标方案中使用了他人的</w:t>
      </w:r>
      <w:r>
        <w:rPr>
          <w:rFonts w:hint="eastAsia" w:ascii="宋体" w:hAnsi="宋体"/>
        </w:rPr>
        <w:t>商标、</w:t>
      </w:r>
      <w:r>
        <w:rPr>
          <w:rFonts w:ascii="宋体" w:hAnsi="宋体"/>
        </w:rPr>
        <w:t>专利、专有技术</w:t>
      </w:r>
      <w:r>
        <w:rPr>
          <w:rFonts w:hint="eastAsia" w:ascii="宋体" w:hAnsi="宋体"/>
        </w:rPr>
        <w:t>、版权、设计及其他权利等</w:t>
      </w:r>
      <w:r>
        <w:rPr>
          <w:rFonts w:ascii="宋体" w:hAnsi="宋体"/>
        </w:rPr>
        <w:t>，涉及的全部费用或应承担的责任均由投标人</w:t>
      </w:r>
      <w:r>
        <w:rPr>
          <w:rFonts w:hint="eastAsia" w:ascii="宋体" w:hAnsi="宋体"/>
        </w:rPr>
        <w:t>自行</w:t>
      </w:r>
      <w:r>
        <w:rPr>
          <w:rFonts w:ascii="宋体" w:hAnsi="宋体"/>
        </w:rPr>
        <w:t>负责。</w:t>
      </w:r>
    </w:p>
    <w:p>
      <w:pPr>
        <w:numPr>
          <w:ilvl w:val="1"/>
          <w:numId w:val="2"/>
        </w:numPr>
        <w:snapToGrid w:val="0"/>
        <w:spacing w:line="360" w:lineRule="auto"/>
        <w:rPr>
          <w:rFonts w:ascii="宋体" w:hAnsi="宋体"/>
        </w:rPr>
      </w:pPr>
      <w:r>
        <w:rPr>
          <w:rFonts w:ascii="宋体" w:hAnsi="宋体"/>
        </w:rPr>
        <w:t>招标人向投标人提供的任何</w:t>
      </w:r>
      <w:r>
        <w:rPr>
          <w:rFonts w:hint="eastAsia" w:ascii="宋体" w:hAnsi="宋体"/>
        </w:rPr>
        <w:t>项目业主或</w:t>
      </w:r>
      <w:r>
        <w:rPr>
          <w:rFonts w:ascii="宋体" w:hAnsi="宋体"/>
        </w:rPr>
        <w:t>招标人的基础资料，其知识产权或所有权归</w:t>
      </w:r>
      <w:r>
        <w:rPr>
          <w:rFonts w:hint="eastAsia" w:ascii="宋体" w:hAnsi="宋体"/>
        </w:rPr>
        <w:t>项目业主或</w:t>
      </w:r>
      <w:r>
        <w:rPr>
          <w:rFonts w:ascii="宋体" w:hAnsi="宋体"/>
        </w:rPr>
        <w:t>招标人所有。未经</w:t>
      </w:r>
      <w:r>
        <w:rPr>
          <w:rFonts w:hint="eastAsia" w:ascii="宋体" w:hAnsi="宋体"/>
        </w:rPr>
        <w:t>项目业主或</w:t>
      </w:r>
      <w:r>
        <w:rPr>
          <w:rFonts w:ascii="宋体" w:hAnsi="宋体"/>
        </w:rPr>
        <w:t>招标人授权，投标人不得将招标人提供的任何资料在投标范围以外引用、转载或复制、外借、转让。</w:t>
      </w:r>
    </w:p>
    <w:p>
      <w:pPr>
        <w:numPr>
          <w:ilvl w:val="1"/>
          <w:numId w:val="2"/>
        </w:numPr>
        <w:snapToGrid w:val="0"/>
        <w:spacing w:line="360" w:lineRule="auto"/>
        <w:rPr>
          <w:rFonts w:ascii="宋体" w:hAnsi="宋体"/>
        </w:rPr>
      </w:pPr>
      <w:r>
        <w:rPr>
          <w:rFonts w:hint="eastAsia" w:ascii="宋体" w:hAnsi="宋体"/>
        </w:rPr>
        <w:t>项目业主或</w:t>
      </w:r>
      <w:r>
        <w:rPr>
          <w:rFonts w:ascii="宋体" w:hAnsi="宋体"/>
        </w:rPr>
        <w:t>招标人有权无须事先征求中标人的同意而披露关于中标人的名称、地址、合同条款。</w:t>
      </w:r>
    </w:p>
    <w:p>
      <w:pPr>
        <w:pStyle w:val="5"/>
        <w:numPr>
          <w:ilvl w:val="0"/>
          <w:numId w:val="2"/>
        </w:numPr>
        <w:rPr>
          <w:rFonts w:ascii="宋体" w:hAnsi="宋体"/>
          <w:sz w:val="24"/>
          <w:szCs w:val="24"/>
        </w:rPr>
      </w:pPr>
      <w:bookmarkStart w:id="599" w:name="_Toc15853"/>
      <w:bookmarkStart w:id="600" w:name="_Toc5918"/>
      <w:bookmarkStart w:id="601" w:name="_Toc7885"/>
      <w:bookmarkStart w:id="602" w:name="_Toc132814741"/>
      <w:bookmarkStart w:id="603" w:name="_Toc30970"/>
      <w:bookmarkStart w:id="604" w:name="_Toc23308"/>
      <w:r>
        <w:rPr>
          <w:rFonts w:ascii="宋体" w:hAnsi="宋体"/>
          <w:sz w:val="24"/>
          <w:szCs w:val="24"/>
        </w:rPr>
        <w:t>其他说明</w:t>
      </w:r>
      <w:bookmarkEnd w:id="599"/>
      <w:bookmarkEnd w:id="600"/>
      <w:bookmarkEnd w:id="601"/>
      <w:bookmarkEnd w:id="602"/>
      <w:bookmarkEnd w:id="603"/>
      <w:bookmarkEnd w:id="604"/>
    </w:p>
    <w:p>
      <w:pPr>
        <w:numPr>
          <w:ilvl w:val="1"/>
          <w:numId w:val="2"/>
        </w:numPr>
        <w:snapToGrid w:val="0"/>
        <w:spacing w:line="360" w:lineRule="auto"/>
        <w:rPr>
          <w:rFonts w:ascii="宋体" w:hAnsi="宋体"/>
        </w:rPr>
      </w:pPr>
      <w:r>
        <w:rPr>
          <w:rFonts w:ascii="宋体" w:hAnsi="宋体"/>
        </w:rPr>
        <w:t>本招标文件中提到的“买方”即为本</w:t>
      </w:r>
      <w:r>
        <w:rPr>
          <w:rFonts w:hint="eastAsia" w:ascii="宋体" w:hAnsi="宋体"/>
        </w:rPr>
        <w:t>招标</w:t>
      </w:r>
      <w:r>
        <w:rPr>
          <w:rFonts w:ascii="宋体" w:hAnsi="宋体"/>
        </w:rPr>
        <w:t>项目的</w:t>
      </w:r>
      <w:r>
        <w:rPr>
          <w:rFonts w:hint="eastAsia" w:ascii="宋体" w:hAnsi="宋体"/>
        </w:rPr>
        <w:t>项目业主</w:t>
      </w:r>
      <w:r>
        <w:rPr>
          <w:rFonts w:ascii="宋体" w:hAnsi="宋体"/>
        </w:rPr>
        <w:t>，</w:t>
      </w:r>
      <w:r>
        <w:rPr>
          <w:rFonts w:hint="eastAsia" w:ascii="宋体" w:hAnsi="宋体"/>
        </w:rPr>
        <w:t>本招标文件中提到的“受益人”即为本招标项目的招标人，</w:t>
      </w:r>
      <w:r>
        <w:rPr>
          <w:rFonts w:ascii="宋体" w:hAnsi="宋体"/>
        </w:rPr>
        <w:t>“</w:t>
      </w:r>
      <w:r>
        <w:rPr>
          <w:rFonts w:hint="eastAsia" w:ascii="宋体" w:hAnsi="宋体"/>
        </w:rPr>
        <w:t>卖方</w:t>
      </w:r>
      <w:r>
        <w:rPr>
          <w:rFonts w:ascii="宋体" w:hAnsi="宋体"/>
        </w:rPr>
        <w:t>”即为中标通知书中确认的中标人。</w:t>
      </w:r>
      <w:bookmarkStart w:id="605" w:name="_Hlt109794189"/>
      <w:bookmarkEnd w:id="605"/>
      <w:bookmarkStart w:id="606" w:name="_Toc85546444"/>
    </w:p>
    <w:p>
      <w:pPr>
        <w:numPr>
          <w:ilvl w:val="1"/>
          <w:numId w:val="2"/>
        </w:numPr>
        <w:snapToGrid w:val="0"/>
        <w:spacing w:line="360" w:lineRule="auto"/>
        <w:rPr>
          <w:rFonts w:ascii="宋体" w:hAnsi="宋体"/>
          <w:b/>
          <w:szCs w:val="21"/>
        </w:rPr>
      </w:pPr>
      <w:r>
        <w:rPr>
          <w:rFonts w:hint="eastAsia" w:ascii="宋体" w:hAnsi="宋体"/>
          <w:b/>
          <w:szCs w:val="21"/>
        </w:rPr>
        <w:t>投标人应注意本招标文件在《用户需求书》中对货物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用户需求书中所有列出的相关货物技术要求、品牌不是唯一指定，仅作参考，即投标人可就设备提出替代标准，只要投标人提供的货物满足项目业主和招标人的功能要求、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文件处理。</w:t>
      </w:r>
    </w:p>
    <w:p>
      <w:pPr>
        <w:numPr>
          <w:ilvl w:val="1"/>
          <w:numId w:val="2"/>
        </w:numPr>
        <w:snapToGrid w:val="0"/>
        <w:spacing w:line="360" w:lineRule="auto"/>
        <w:rPr>
          <w:rFonts w:ascii="宋体" w:hAnsi="宋体"/>
          <w:szCs w:val="21"/>
        </w:rPr>
      </w:pPr>
      <w:r>
        <w:rPr>
          <w:rFonts w:hint="eastAsia" w:ascii="宋体" w:hAnsi="宋体"/>
        </w:rPr>
        <w:t>招标人（或其委托的招标代理机构）、评标委员会有权对中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其提供虚假证明文件、虚假响应文件等弄虚作假行为的，或经审查确认其经营、财务状况发生较大变化（或者存在违法行为）导致无法按照投标文件的承诺履约的，或其明确表示不按照投标文件承诺履约的等影响中标结果的行为，经上报行政主管部门（或监督管理部门）后，评标委员会有权取消其中标候选人资格，</w:t>
      </w:r>
      <w:r>
        <w:rPr>
          <w:rFonts w:hint="eastAsia" w:hAnsi="Calibri" w:cs="宋体"/>
          <w:szCs w:val="21"/>
        </w:rPr>
        <w:t>招标人有权按照评标委员会推荐的中标候选人名单排序依次确定其他中标候选人为中标人或重新招标</w:t>
      </w:r>
      <w:r>
        <w:rPr>
          <w:rFonts w:hint="eastAsia" w:ascii="宋体" w:hAnsi="宋体"/>
        </w:rPr>
        <w:t>。</w:t>
      </w:r>
    </w:p>
    <w:p>
      <w:pPr>
        <w:snapToGrid w:val="0"/>
        <w:spacing w:line="360" w:lineRule="auto"/>
        <w:ind w:left="1134" w:firstLine="426"/>
        <w:rPr>
          <w:rFonts w:ascii="宋体" w:hAnsi="宋体"/>
          <w:szCs w:val="21"/>
        </w:rPr>
      </w:pPr>
      <w:r>
        <w:rPr>
          <w:rFonts w:hint="eastAsia" w:ascii="宋体" w:hAnsi="宋体"/>
        </w:rPr>
        <w:t>中标人在招标人（或其委托的招标代理机构）、评标委员会</w:t>
      </w:r>
      <w:r>
        <w:rPr>
          <w:rFonts w:hint="eastAsia" w:ascii="宋体" w:hAnsi="宋体"/>
          <w:szCs w:val="21"/>
        </w:rPr>
        <w:t>通知其提供上述证明资料原件</w:t>
      </w:r>
      <w:r>
        <w:rPr>
          <w:rFonts w:hint="eastAsia" w:hAnsi="宋体"/>
          <w:szCs w:val="21"/>
        </w:rPr>
        <w:t>（包括但不限于业绩合同对应的发票等）</w:t>
      </w:r>
      <w:r>
        <w:rPr>
          <w:rFonts w:hint="eastAsia" w:ascii="宋体" w:hAnsi="宋体"/>
          <w:szCs w:val="21"/>
        </w:rPr>
        <w:t>进行核查的要求后，未能在约定的时间内提供原件进行核查的，视为</w:t>
      </w:r>
      <w:r>
        <w:rPr>
          <w:rFonts w:hint="eastAsia" w:ascii="宋体" w:hAnsi="宋体"/>
        </w:rPr>
        <w:t>中标人</w:t>
      </w:r>
      <w:r>
        <w:rPr>
          <w:rFonts w:hint="eastAsia" w:ascii="宋体" w:hAnsi="宋体"/>
          <w:szCs w:val="21"/>
        </w:rPr>
        <w:t>无法提供真实的资料，经上报行政主管部门（或监督管理部门）后，</w:t>
      </w:r>
      <w:r>
        <w:rPr>
          <w:rFonts w:hint="eastAsia" w:hAnsi="Calibri" w:cs="宋体"/>
          <w:szCs w:val="21"/>
        </w:rPr>
        <w:t>招标人有权按照评标委员会推荐的中标候选人名单排序依次确定其他中标候选人为中标人或重新招标。</w:t>
      </w:r>
    </w:p>
    <w:p>
      <w:pPr>
        <w:numPr>
          <w:ilvl w:val="1"/>
          <w:numId w:val="2"/>
        </w:numPr>
        <w:snapToGrid w:val="0"/>
        <w:spacing w:line="360" w:lineRule="auto"/>
        <w:rPr>
          <w:rFonts w:ascii="宋体" w:hAnsi="宋体"/>
          <w:szCs w:val="21"/>
        </w:rPr>
      </w:pPr>
      <w:r>
        <w:rPr>
          <w:rFonts w:hint="eastAsia" w:ascii="宋体" w:hAnsi="宋体"/>
        </w:rPr>
        <w:t>本招标文件中的“境内”特指中华人民共和国海关关境以内，“境外”特指中华人民共和国海关关境以外。</w:t>
      </w:r>
    </w:p>
    <w:p>
      <w:pPr>
        <w:numPr>
          <w:ilvl w:val="1"/>
          <w:numId w:val="2"/>
        </w:numPr>
        <w:snapToGrid w:val="0"/>
        <w:spacing w:line="360" w:lineRule="auto"/>
        <w:rPr>
          <w:rFonts w:ascii="宋体" w:hAnsi="宋体"/>
        </w:rPr>
      </w:pPr>
      <w:r>
        <w:rPr>
          <w:rFonts w:hint="eastAsia" w:ascii="宋体" w:hAnsi="宋体"/>
        </w:rPr>
        <w:t>本招标文件所称的“成套设备”，是指能够完整完成本阶段用户需求的功能或处理工艺的部件、单体设备有机组合后的整体系统，系统的部件、核心设备尚未构成成套设备。</w:t>
      </w:r>
    </w:p>
    <w:p>
      <w:pPr>
        <w:numPr>
          <w:ilvl w:val="1"/>
          <w:numId w:val="2"/>
        </w:numPr>
        <w:snapToGrid w:val="0"/>
        <w:spacing w:line="360" w:lineRule="auto"/>
        <w:rPr>
          <w:rFonts w:ascii="宋体" w:hAnsi="宋体"/>
          <w:b/>
        </w:rPr>
      </w:pPr>
      <w:r>
        <w:rPr>
          <w:rFonts w:hint="eastAsia" w:ascii="宋体" w:hAnsi="宋体"/>
          <w:b/>
        </w:rPr>
        <w:t>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投标人的销项税额由项目业主承担，不计入投标报价。</w:t>
      </w:r>
    </w:p>
    <w:p>
      <w:pPr>
        <w:numPr>
          <w:ilvl w:val="1"/>
          <w:numId w:val="2"/>
        </w:numPr>
        <w:snapToGrid w:val="0"/>
        <w:spacing w:line="360" w:lineRule="auto"/>
        <w:rPr>
          <w:rFonts w:ascii="宋体" w:hAnsi="宋体"/>
          <w:b/>
        </w:rPr>
      </w:pPr>
      <w:r>
        <w:rPr>
          <w:rFonts w:hint="eastAsia" w:ascii="宋体" w:hAnsi="宋体"/>
          <w:b/>
        </w:rPr>
        <w:t>投标人必须对全部污水处理厂招标范围内的全部设备进行投标报价。投标人不得只对其中一个污水处理厂的设备进行投标报价、或只对本次招标范围内污水处理厂的部分设备进行投标报价等拆开投标，否则按无效投标文件处理。</w:t>
      </w:r>
    </w:p>
    <w:p>
      <w:pPr>
        <w:numPr>
          <w:ilvl w:val="1"/>
          <w:numId w:val="2"/>
        </w:numPr>
        <w:snapToGrid w:val="0"/>
        <w:spacing w:line="360" w:lineRule="auto"/>
        <w:rPr>
          <w:rFonts w:ascii="宋体" w:hAnsi="宋体"/>
          <w:szCs w:val="21"/>
          <w:shd w:val="clear" w:color="auto" w:fill="FFFFFF"/>
        </w:rPr>
      </w:pPr>
      <w:r>
        <w:rPr>
          <w:rFonts w:ascii="宋体" w:hAnsi="宋体" w:cs="宋体"/>
          <w:kern w:val="0"/>
          <w:szCs w:val="21"/>
        </w:rPr>
        <w:t>本项目为设备采购，对投标人无</w:t>
      </w:r>
      <w:r>
        <w:rPr>
          <w:rFonts w:hint="eastAsia" w:ascii="宋体" w:hAnsi="宋体" w:cs="宋体"/>
          <w:kern w:val="0"/>
          <w:szCs w:val="21"/>
        </w:rPr>
        <w:t>强制</w:t>
      </w:r>
      <w:r>
        <w:rPr>
          <w:rFonts w:ascii="宋体" w:hAnsi="宋体" w:cs="宋体"/>
          <w:kern w:val="0"/>
          <w:szCs w:val="21"/>
        </w:rPr>
        <w:t>“</w:t>
      </w:r>
      <w:r>
        <w:rPr>
          <w:rFonts w:hint="eastAsia" w:ascii="宋体" w:hAnsi="宋体" w:cs="宋体"/>
          <w:kern w:val="0"/>
          <w:szCs w:val="21"/>
        </w:rPr>
        <w:t>投标单位</w:t>
      </w:r>
      <w:r>
        <w:rPr>
          <w:rFonts w:ascii="宋体" w:hAnsi="宋体" w:cs="宋体"/>
          <w:kern w:val="0"/>
          <w:szCs w:val="21"/>
        </w:rPr>
        <w:t>资质等级要求”</w:t>
      </w:r>
      <w:r>
        <w:rPr>
          <w:rFonts w:hint="eastAsia" w:ascii="宋体" w:hAnsi="宋体" w:cs="宋体"/>
          <w:kern w:val="0"/>
          <w:szCs w:val="21"/>
        </w:rPr>
        <w:t>、无强制“</w:t>
      </w:r>
      <w:r>
        <w:rPr>
          <w:rFonts w:ascii="宋体" w:hAnsi="宋体" w:cs="宋体"/>
          <w:kern w:val="0"/>
          <w:szCs w:val="21"/>
        </w:rPr>
        <w:t>项目经理资质等级要求</w:t>
      </w:r>
      <w:r>
        <w:rPr>
          <w:rFonts w:hint="eastAsia" w:ascii="宋体" w:hAnsi="宋体" w:cs="宋体"/>
          <w:kern w:val="0"/>
          <w:szCs w:val="21"/>
        </w:rPr>
        <w:t>”。</w:t>
      </w:r>
    </w:p>
    <w:p>
      <w:pPr>
        <w:numPr>
          <w:ilvl w:val="1"/>
          <w:numId w:val="2"/>
        </w:numPr>
        <w:snapToGrid w:val="0"/>
        <w:spacing w:line="360" w:lineRule="auto"/>
      </w:pPr>
      <w:r>
        <w:rPr>
          <w:rFonts w:hint="eastAsia" w:ascii="宋体"/>
          <w:bCs/>
          <w:szCs w:val="21"/>
        </w:rPr>
        <w:t>若投标人出现超低报价，有可能影响服务质量和不能诚信履约的，评标委员会将要求该投标人作出书面说明并提供相关证明材料，以确定投标人是否以低于企业成本价报价。</w:t>
      </w:r>
      <w:r>
        <w:rPr>
          <w:rFonts w:hint="eastAsia" w:ascii="宋体"/>
          <w:b/>
          <w:bCs/>
          <w:szCs w:val="21"/>
        </w:rPr>
        <w:t>若评标委员会认定投标人以低于企业成本价报价且投标人不能合理说明或不能提供相关证明材料，导致</w:t>
      </w:r>
      <w:r>
        <w:rPr>
          <w:rFonts w:hint="eastAsia" w:ascii="宋体" w:hAnsi="宋体"/>
          <w:b/>
        </w:rPr>
        <w:t>项目业主或</w:t>
      </w:r>
      <w:r>
        <w:rPr>
          <w:rFonts w:hint="eastAsia" w:ascii="宋体"/>
          <w:b/>
          <w:bCs/>
          <w:szCs w:val="21"/>
        </w:rPr>
        <w:t>招标人的利益得不到保障，则该投标人的投标作为无效投标处理。</w:t>
      </w:r>
    </w:p>
    <w:p>
      <w:pPr>
        <w:numPr>
          <w:ilvl w:val="1"/>
          <w:numId w:val="2"/>
        </w:numPr>
        <w:snapToGrid w:val="0"/>
        <w:spacing w:line="360" w:lineRule="auto"/>
        <w:rPr>
          <w:rFonts w:ascii="宋体" w:hAnsi="宋体"/>
        </w:rPr>
      </w:pPr>
      <w:r>
        <w:rPr>
          <w:rFonts w:hint="eastAsia" w:ascii="宋体"/>
          <w:bCs/>
          <w:szCs w:val="21"/>
        </w:rPr>
        <w:t>本项目中标服务费由</w:t>
      </w:r>
      <w:r>
        <w:rPr>
          <w:rFonts w:hint="eastAsia" w:ascii="宋体" w:hAnsi="宋体"/>
          <w:b/>
        </w:rPr>
        <w:t>项目业主</w:t>
      </w:r>
      <w:r>
        <w:rPr>
          <w:rFonts w:hint="eastAsia" w:ascii="宋体"/>
          <w:bCs/>
          <w:szCs w:val="21"/>
        </w:rPr>
        <w:t>向招标代理机构支付（参照国家计委文件“计价格[2002]1980号文”、发改办价格[2003]857号文和发改价格[2011]534号文规定的费用计算方法和标准货物类按80%收取，以中标通知书上不含税中标总价金额作为中标服务费的计算基数）</w:t>
      </w:r>
      <w:r>
        <w:rPr>
          <w:rFonts w:hint="eastAsia" w:ascii="宋体" w:hAnsi="宋体"/>
        </w:rPr>
        <w:t>。</w:t>
      </w: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bookmarkEnd w:id="606"/>
    <w:p>
      <w:pPr>
        <w:pStyle w:val="4"/>
        <w:spacing w:before="312" w:beforeLines="100" w:after="0" w:line="360" w:lineRule="auto"/>
        <w:jc w:val="center"/>
        <w:rPr>
          <w:rFonts w:ascii="宋体" w:hAnsi="宋体" w:eastAsia="宋体"/>
          <w:b w:val="0"/>
          <w:bCs w:val="0"/>
          <w:sz w:val="30"/>
          <w:szCs w:val="28"/>
        </w:rPr>
      </w:pPr>
      <w:bookmarkStart w:id="607" w:name="_Toc196805276"/>
      <w:bookmarkStart w:id="608" w:name="_Toc164481521"/>
      <w:bookmarkStart w:id="609" w:name="_Toc23370"/>
      <w:bookmarkStart w:id="610" w:name="_Toc132814742"/>
      <w:bookmarkStart w:id="611" w:name="_Toc26379"/>
      <w:bookmarkStart w:id="612" w:name="_Toc21322"/>
      <w:bookmarkStart w:id="613" w:name="_Toc15634"/>
      <w:bookmarkStart w:id="614" w:name="_Toc16015"/>
      <w:bookmarkStart w:id="615" w:name="_Toc238203308"/>
      <w:r>
        <w:rPr>
          <w:rFonts w:ascii="宋体" w:hAnsi="宋体" w:eastAsia="宋体"/>
          <w:b w:val="0"/>
          <w:bCs w:val="0"/>
          <w:sz w:val="30"/>
          <w:szCs w:val="28"/>
        </w:rPr>
        <w:t>附件</w:t>
      </w:r>
      <w:r>
        <w:rPr>
          <w:rFonts w:hint="eastAsia" w:ascii="宋体" w:hAnsi="宋体" w:eastAsia="宋体"/>
          <w:b w:val="0"/>
          <w:bCs w:val="0"/>
          <w:sz w:val="30"/>
          <w:szCs w:val="28"/>
        </w:rPr>
        <w:t>一</w:t>
      </w:r>
      <w:r>
        <w:rPr>
          <w:rFonts w:ascii="宋体" w:hAnsi="宋体" w:eastAsia="宋体"/>
          <w:b w:val="0"/>
          <w:bCs w:val="0"/>
          <w:sz w:val="30"/>
          <w:szCs w:val="28"/>
        </w:rPr>
        <w:t xml:space="preserve">  </w:t>
      </w:r>
      <w:bookmarkEnd w:id="607"/>
      <w:bookmarkEnd w:id="608"/>
      <w:bookmarkStart w:id="616" w:name="_Toc277928774"/>
      <w:r>
        <w:rPr>
          <w:rFonts w:hint="eastAsia" w:ascii="宋体" w:hAnsi="宋体" w:eastAsia="宋体"/>
          <w:b w:val="0"/>
          <w:bCs w:val="0"/>
          <w:sz w:val="30"/>
          <w:szCs w:val="28"/>
        </w:rPr>
        <w:t>东莞市沙田福禄沙污水处理厂二期工程等四项工程刮泥机成套系统设备采购</w:t>
      </w:r>
      <w:r>
        <w:rPr>
          <w:rFonts w:ascii="宋体" w:hAnsi="宋体" w:eastAsia="宋体"/>
          <w:b w:val="0"/>
          <w:bCs w:val="0"/>
          <w:sz w:val="30"/>
          <w:szCs w:val="28"/>
        </w:rPr>
        <w:t>招标评标办法</w:t>
      </w:r>
      <w:bookmarkEnd w:id="609"/>
      <w:bookmarkEnd w:id="610"/>
      <w:bookmarkEnd w:id="611"/>
      <w:bookmarkEnd w:id="612"/>
      <w:bookmarkEnd w:id="613"/>
      <w:bookmarkEnd w:id="614"/>
      <w:bookmarkEnd w:id="616"/>
    </w:p>
    <w:p>
      <w:pPr>
        <w:pStyle w:val="5"/>
        <w:rPr>
          <w:rFonts w:ascii="宋体" w:hAnsi="宋体"/>
          <w:sz w:val="24"/>
          <w:szCs w:val="24"/>
        </w:rPr>
      </w:pPr>
      <w:bookmarkStart w:id="617" w:name="_Toc196805277"/>
      <w:bookmarkStart w:id="618" w:name="_Toc164481523"/>
      <w:bookmarkStart w:id="619" w:name="_Toc28675"/>
      <w:bookmarkStart w:id="620" w:name="_Toc10196"/>
      <w:bookmarkStart w:id="621" w:name="_Toc22194"/>
      <w:bookmarkStart w:id="622" w:name="_Toc277928775"/>
      <w:bookmarkStart w:id="623" w:name="_Toc132814743"/>
      <w:bookmarkStart w:id="624" w:name="_Toc15167"/>
      <w:bookmarkStart w:id="625" w:name="_Toc13770"/>
      <w:r>
        <w:rPr>
          <w:rFonts w:ascii="宋体" w:hAnsi="宋体"/>
          <w:sz w:val="24"/>
          <w:szCs w:val="24"/>
        </w:rPr>
        <w:t>一、评标依据</w:t>
      </w:r>
      <w:bookmarkEnd w:id="617"/>
      <w:bookmarkEnd w:id="618"/>
      <w:bookmarkEnd w:id="619"/>
      <w:bookmarkEnd w:id="620"/>
      <w:bookmarkEnd w:id="621"/>
      <w:bookmarkEnd w:id="622"/>
      <w:bookmarkEnd w:id="623"/>
      <w:bookmarkEnd w:id="624"/>
      <w:bookmarkEnd w:id="625"/>
    </w:p>
    <w:p>
      <w:pPr>
        <w:snapToGrid w:val="0"/>
        <w:spacing w:line="360" w:lineRule="auto"/>
        <w:ind w:firstLine="480"/>
        <w:rPr>
          <w:rFonts w:ascii="宋体" w:hAnsi="宋体"/>
          <w:szCs w:val="21"/>
        </w:rPr>
      </w:pPr>
      <w:r>
        <w:rPr>
          <w:rFonts w:ascii="宋体" w:hAnsi="宋体"/>
          <w:szCs w:val="21"/>
        </w:rPr>
        <w:t>1.本次评标依据下列文件进行：</w:t>
      </w:r>
    </w:p>
    <w:p>
      <w:pPr>
        <w:snapToGrid w:val="0"/>
        <w:spacing w:line="360" w:lineRule="auto"/>
        <w:ind w:firstLine="480"/>
        <w:rPr>
          <w:rFonts w:ascii="宋体" w:hAnsi="宋体"/>
          <w:szCs w:val="21"/>
        </w:rPr>
      </w:pPr>
      <w:r>
        <w:rPr>
          <w:rFonts w:ascii="宋体" w:hAnsi="宋体"/>
          <w:szCs w:val="21"/>
        </w:rPr>
        <w:t>1.1 《中华人民共和国招标投标法》；</w:t>
      </w:r>
    </w:p>
    <w:p>
      <w:pPr>
        <w:snapToGrid w:val="0"/>
        <w:spacing w:line="360" w:lineRule="auto"/>
        <w:ind w:firstLine="480"/>
        <w:rPr>
          <w:rFonts w:ascii="宋体" w:hAnsi="宋体"/>
          <w:szCs w:val="21"/>
        </w:rPr>
      </w:pPr>
      <w:r>
        <w:rPr>
          <w:rFonts w:ascii="宋体" w:hAnsi="宋体"/>
          <w:szCs w:val="21"/>
        </w:rPr>
        <w:t>1.2</w:t>
      </w:r>
      <w:r>
        <w:rPr>
          <w:rFonts w:hint="eastAsia" w:ascii="宋体" w:hAnsi="宋体"/>
          <w:szCs w:val="21"/>
        </w:rPr>
        <w:t xml:space="preserve"> </w:t>
      </w:r>
      <w:r>
        <w:rPr>
          <w:rFonts w:ascii="宋体" w:hAnsi="宋体"/>
          <w:szCs w:val="21"/>
        </w:rPr>
        <w:t>《中华人民共和国招标投标法实施条例》；</w:t>
      </w:r>
    </w:p>
    <w:p>
      <w:pPr>
        <w:snapToGrid w:val="0"/>
        <w:spacing w:line="360" w:lineRule="auto"/>
        <w:ind w:firstLine="480"/>
        <w:rPr>
          <w:rFonts w:ascii="宋体" w:hAnsi="宋体"/>
          <w:szCs w:val="21"/>
        </w:rPr>
      </w:pPr>
      <w:r>
        <w:rPr>
          <w:rFonts w:ascii="宋体" w:hAnsi="宋体"/>
          <w:szCs w:val="21"/>
        </w:rPr>
        <w:t>1.3 《</w:t>
      </w:r>
      <w:r>
        <w:rPr>
          <w:rFonts w:hint="eastAsia" w:ascii="宋体" w:hAnsi="宋体"/>
          <w:szCs w:val="21"/>
        </w:rPr>
        <w:t>工程</w:t>
      </w:r>
      <w:r>
        <w:rPr>
          <w:rFonts w:ascii="宋体" w:hAnsi="宋体"/>
          <w:szCs w:val="21"/>
        </w:rPr>
        <w:t>建设项目货物招标投标办法》</w:t>
      </w:r>
      <w:r>
        <w:rPr>
          <w:rFonts w:hint="eastAsia" w:ascii="宋体" w:hAnsi="宋体"/>
          <w:szCs w:val="21"/>
        </w:rPr>
        <w:t>；</w:t>
      </w:r>
    </w:p>
    <w:p>
      <w:pPr>
        <w:snapToGrid w:val="0"/>
        <w:spacing w:line="360" w:lineRule="auto"/>
        <w:ind w:firstLine="480"/>
        <w:rPr>
          <w:rFonts w:ascii="宋体" w:hAnsi="宋体"/>
          <w:szCs w:val="21"/>
        </w:rPr>
      </w:pPr>
      <w:r>
        <w:rPr>
          <w:rFonts w:ascii="宋体" w:hAnsi="宋体"/>
          <w:szCs w:val="21"/>
        </w:rPr>
        <w:t>1.</w:t>
      </w:r>
      <w:r>
        <w:rPr>
          <w:rFonts w:hint="eastAsia" w:ascii="宋体" w:hAnsi="宋体"/>
          <w:szCs w:val="21"/>
        </w:rPr>
        <w:t>4</w:t>
      </w:r>
      <w:r>
        <w:rPr>
          <w:rFonts w:ascii="宋体" w:hAnsi="宋体"/>
          <w:szCs w:val="21"/>
        </w:rPr>
        <w:t xml:space="preserve"> 《评标委员会和评标方法暂行规定》；</w:t>
      </w:r>
    </w:p>
    <w:p>
      <w:pPr>
        <w:snapToGrid w:val="0"/>
        <w:spacing w:line="360" w:lineRule="auto"/>
        <w:ind w:firstLine="480"/>
        <w:rPr>
          <w:rFonts w:ascii="宋体" w:hAnsi="宋体"/>
          <w:szCs w:val="21"/>
        </w:rPr>
      </w:pPr>
      <w:r>
        <w:rPr>
          <w:rFonts w:ascii="宋体" w:hAnsi="宋体"/>
          <w:szCs w:val="21"/>
        </w:rPr>
        <w:t>1.</w:t>
      </w:r>
      <w:r>
        <w:rPr>
          <w:rFonts w:hint="eastAsia" w:ascii="宋体" w:hAnsi="宋体"/>
          <w:szCs w:val="21"/>
        </w:rPr>
        <w:t>5</w:t>
      </w:r>
      <w:r>
        <w:rPr>
          <w:rFonts w:ascii="宋体" w:hAnsi="宋体"/>
          <w:szCs w:val="21"/>
        </w:rPr>
        <w:t xml:space="preserve"> 《中华人民共和国</w:t>
      </w:r>
      <w:r>
        <w:rPr>
          <w:rFonts w:hint="eastAsia" w:ascii="宋体" w:hAnsi="宋体"/>
          <w:szCs w:val="21"/>
        </w:rPr>
        <w:t>民法典</w:t>
      </w:r>
      <w:r>
        <w:rPr>
          <w:rFonts w:ascii="宋体" w:hAnsi="宋体"/>
          <w:szCs w:val="21"/>
        </w:rPr>
        <w:t>》；</w:t>
      </w:r>
    </w:p>
    <w:p>
      <w:pPr>
        <w:snapToGrid w:val="0"/>
        <w:spacing w:line="360" w:lineRule="auto"/>
        <w:ind w:firstLine="480"/>
        <w:rPr>
          <w:rFonts w:ascii="宋体" w:hAnsi="宋体"/>
          <w:szCs w:val="21"/>
        </w:rPr>
      </w:pPr>
      <w:r>
        <w:rPr>
          <w:rFonts w:hint="eastAsia" w:ascii="宋体" w:hAnsi="宋体"/>
          <w:szCs w:val="21"/>
        </w:rPr>
        <w:t>1.6  用户需求书；</w:t>
      </w:r>
    </w:p>
    <w:p>
      <w:pPr>
        <w:snapToGrid w:val="0"/>
        <w:spacing w:line="360" w:lineRule="auto"/>
        <w:ind w:firstLine="480"/>
        <w:rPr>
          <w:rFonts w:ascii="宋体" w:hAnsi="宋体"/>
          <w:szCs w:val="21"/>
        </w:rPr>
      </w:pPr>
      <w:r>
        <w:rPr>
          <w:rFonts w:ascii="宋体" w:hAnsi="宋体"/>
          <w:szCs w:val="21"/>
        </w:rPr>
        <w:t>1.</w:t>
      </w:r>
      <w:r>
        <w:rPr>
          <w:rFonts w:hint="eastAsia" w:ascii="宋体" w:hAnsi="宋体"/>
          <w:szCs w:val="21"/>
        </w:rPr>
        <w:t>7</w:t>
      </w:r>
      <w:r>
        <w:rPr>
          <w:rFonts w:ascii="宋体" w:hAnsi="宋体"/>
          <w:szCs w:val="21"/>
        </w:rPr>
        <w:t xml:space="preserve">  本招标文件及其补充通知和补充资料。</w:t>
      </w:r>
    </w:p>
    <w:p>
      <w:pPr>
        <w:pStyle w:val="5"/>
        <w:rPr>
          <w:rFonts w:ascii="宋体" w:hAnsi="宋体"/>
          <w:sz w:val="24"/>
          <w:szCs w:val="24"/>
        </w:rPr>
      </w:pPr>
      <w:bookmarkStart w:id="626" w:name="_Toc164481525"/>
      <w:bookmarkStart w:id="627" w:name="_Toc196805279"/>
      <w:bookmarkStart w:id="628" w:name="_Toc277928776"/>
      <w:bookmarkStart w:id="629" w:name="_Toc132814744"/>
      <w:bookmarkStart w:id="630" w:name="_Toc19810"/>
      <w:bookmarkStart w:id="631" w:name="_Toc27009"/>
      <w:bookmarkStart w:id="632" w:name="_Toc15789"/>
      <w:bookmarkStart w:id="633" w:name="_Toc24012"/>
      <w:bookmarkStart w:id="634" w:name="_Toc22275"/>
      <w:r>
        <w:rPr>
          <w:rFonts w:ascii="宋体" w:hAnsi="宋体"/>
          <w:sz w:val="24"/>
          <w:szCs w:val="24"/>
        </w:rPr>
        <w:t>二、</w:t>
      </w:r>
      <w:bookmarkEnd w:id="626"/>
      <w:bookmarkEnd w:id="627"/>
      <w:r>
        <w:rPr>
          <w:rFonts w:ascii="宋体" w:hAnsi="宋体"/>
          <w:sz w:val="24"/>
          <w:szCs w:val="24"/>
        </w:rPr>
        <w:t>评标原则</w:t>
      </w:r>
      <w:bookmarkEnd w:id="628"/>
      <w:r>
        <w:rPr>
          <w:rFonts w:ascii="宋体" w:hAnsi="宋体"/>
          <w:sz w:val="24"/>
          <w:szCs w:val="24"/>
        </w:rPr>
        <w:t>和目的</w:t>
      </w:r>
      <w:bookmarkEnd w:id="629"/>
      <w:bookmarkEnd w:id="630"/>
      <w:bookmarkEnd w:id="631"/>
      <w:bookmarkEnd w:id="632"/>
      <w:bookmarkEnd w:id="633"/>
      <w:bookmarkEnd w:id="634"/>
    </w:p>
    <w:p>
      <w:pPr>
        <w:widowControl/>
        <w:numPr>
          <w:ilvl w:val="0"/>
          <w:numId w:val="3"/>
        </w:numPr>
        <w:tabs>
          <w:tab w:val="left" w:pos="210"/>
          <w:tab w:val="clear" w:pos="1310"/>
        </w:tabs>
        <w:snapToGrid w:val="0"/>
        <w:spacing w:line="360" w:lineRule="auto"/>
        <w:ind w:left="0" w:firstLine="420" w:firstLineChars="200"/>
        <w:jc w:val="left"/>
        <w:rPr>
          <w:rFonts w:ascii="宋体" w:hAnsi="宋体"/>
          <w:szCs w:val="21"/>
        </w:rPr>
      </w:pPr>
      <w:bookmarkStart w:id="635" w:name="_Toc277928777"/>
      <w:bookmarkStart w:id="636" w:name="_Toc196805280"/>
      <w:bookmarkStart w:id="637" w:name="_Toc164481526"/>
      <w:r>
        <w:rPr>
          <w:rFonts w:ascii="宋体" w:hAnsi="宋体"/>
          <w:szCs w:val="21"/>
        </w:rPr>
        <w:t>根据评标的标准和方法，只对有效投标人（指扣除被取消投标资格和</w:t>
      </w:r>
      <w:r>
        <w:rPr>
          <w:rFonts w:ascii="宋体" w:hAnsi="宋体"/>
        </w:rPr>
        <w:t>无效投标文件</w:t>
      </w:r>
      <w:r>
        <w:rPr>
          <w:rFonts w:ascii="宋体" w:hAnsi="宋体"/>
          <w:szCs w:val="21"/>
        </w:rPr>
        <w:t>以外的投标人）的投标文件进行评审比较。</w:t>
      </w:r>
    </w:p>
    <w:p>
      <w:pPr>
        <w:widowControl/>
        <w:numPr>
          <w:ilvl w:val="0"/>
          <w:numId w:val="3"/>
        </w:numPr>
        <w:tabs>
          <w:tab w:val="left" w:pos="210"/>
          <w:tab w:val="clear" w:pos="1310"/>
        </w:tabs>
        <w:snapToGrid w:val="0"/>
        <w:spacing w:line="360" w:lineRule="auto"/>
        <w:ind w:left="0" w:firstLine="420" w:firstLineChars="200"/>
        <w:jc w:val="left"/>
        <w:rPr>
          <w:rFonts w:ascii="宋体" w:hAnsi="宋体"/>
          <w:szCs w:val="21"/>
        </w:rPr>
      </w:pPr>
      <w:r>
        <w:rPr>
          <w:rFonts w:ascii="宋体" w:hAnsi="宋体"/>
          <w:szCs w:val="21"/>
        </w:rPr>
        <w:t>评标活动遵循</w:t>
      </w:r>
      <w:r>
        <w:rPr>
          <w:rFonts w:hint="eastAsia" w:ascii="宋体" w:hAnsi="宋体"/>
          <w:szCs w:val="21"/>
        </w:rPr>
        <w:t>“</w:t>
      </w:r>
      <w:r>
        <w:rPr>
          <w:rFonts w:ascii="宋体" w:hAnsi="宋体"/>
          <w:szCs w:val="21"/>
        </w:rPr>
        <w:t>公平、公正、科学、择优</w:t>
      </w:r>
      <w:r>
        <w:rPr>
          <w:rFonts w:hint="eastAsia" w:ascii="宋体" w:hAnsi="宋体"/>
          <w:szCs w:val="21"/>
        </w:rPr>
        <w:t>”</w:t>
      </w:r>
      <w:r>
        <w:rPr>
          <w:rFonts w:ascii="宋体" w:hAnsi="宋体"/>
          <w:szCs w:val="21"/>
        </w:rPr>
        <w:t>的原则。</w:t>
      </w:r>
    </w:p>
    <w:p>
      <w:pPr>
        <w:widowControl/>
        <w:numPr>
          <w:ilvl w:val="0"/>
          <w:numId w:val="3"/>
        </w:numPr>
        <w:tabs>
          <w:tab w:val="left" w:pos="210"/>
          <w:tab w:val="clear" w:pos="1310"/>
        </w:tabs>
        <w:snapToGrid w:val="0"/>
        <w:spacing w:line="360" w:lineRule="auto"/>
        <w:ind w:left="0" w:firstLine="420" w:firstLineChars="200"/>
        <w:jc w:val="left"/>
        <w:rPr>
          <w:rFonts w:ascii="宋体" w:hAnsi="宋体"/>
          <w:szCs w:val="21"/>
        </w:rPr>
      </w:pPr>
      <w:r>
        <w:rPr>
          <w:rFonts w:hint="eastAsia" w:ascii="宋体" w:hAnsi="宋体"/>
          <w:szCs w:val="21"/>
        </w:rPr>
        <w:t>由评标委员会评选出投标文件最后综合得分最高的前两名投标人，并向招标人推荐最后综合得分最高的前两名投标人为中标候选人（最后综合得分排名第一、第二的投标人分别为第一、第二中标候选人），招标人将确定第一中标候选人为中标人</w:t>
      </w:r>
      <w:r>
        <w:rPr>
          <w:rFonts w:ascii="宋体" w:hAnsi="宋体"/>
          <w:szCs w:val="21"/>
        </w:rPr>
        <w:t>。</w:t>
      </w:r>
    </w:p>
    <w:p>
      <w:pPr>
        <w:pStyle w:val="5"/>
        <w:rPr>
          <w:rFonts w:ascii="宋体" w:hAnsi="宋体"/>
          <w:sz w:val="24"/>
          <w:szCs w:val="24"/>
        </w:rPr>
      </w:pPr>
      <w:bookmarkStart w:id="638" w:name="_Toc1356"/>
      <w:bookmarkStart w:id="639" w:name="_Toc3246"/>
      <w:bookmarkStart w:id="640" w:name="_Toc27475"/>
      <w:bookmarkStart w:id="641" w:name="_Toc17150"/>
      <w:bookmarkStart w:id="642" w:name="_Toc132814745"/>
      <w:bookmarkStart w:id="643" w:name="_Toc27035"/>
      <w:r>
        <w:rPr>
          <w:rFonts w:ascii="宋体" w:hAnsi="宋体"/>
          <w:sz w:val="24"/>
          <w:szCs w:val="24"/>
        </w:rPr>
        <w:t>三、评审细则</w:t>
      </w:r>
      <w:bookmarkEnd w:id="638"/>
      <w:bookmarkEnd w:id="639"/>
      <w:bookmarkEnd w:id="640"/>
      <w:bookmarkEnd w:id="641"/>
      <w:bookmarkEnd w:id="642"/>
      <w:bookmarkEnd w:id="643"/>
    </w:p>
    <w:p>
      <w:pPr>
        <w:snapToGrid w:val="0"/>
        <w:spacing w:line="360" w:lineRule="auto"/>
        <w:ind w:firstLine="480"/>
        <w:rPr>
          <w:rFonts w:ascii="宋体" w:hAnsi="宋体"/>
          <w:szCs w:val="21"/>
        </w:rPr>
      </w:pPr>
      <w:r>
        <w:rPr>
          <w:rFonts w:ascii="宋体" w:hAnsi="宋体"/>
          <w:szCs w:val="21"/>
        </w:rPr>
        <w:t>3.1评标组织机构</w:t>
      </w:r>
    </w:p>
    <w:p>
      <w:pPr>
        <w:snapToGrid w:val="0"/>
        <w:spacing w:line="360" w:lineRule="auto"/>
        <w:ind w:firstLine="480"/>
        <w:rPr>
          <w:rFonts w:ascii="宋体" w:hAnsi="宋体"/>
          <w:szCs w:val="21"/>
        </w:rPr>
      </w:pPr>
      <w:r>
        <w:rPr>
          <w:rFonts w:ascii="宋体" w:hAnsi="宋体"/>
          <w:szCs w:val="21"/>
        </w:rPr>
        <w:t>3.1.1</w:t>
      </w:r>
      <w:r>
        <w:rPr>
          <w:rFonts w:hint="eastAsia" w:ascii="宋体" w:hAnsi="宋体"/>
          <w:szCs w:val="21"/>
        </w:rPr>
        <w:t>本项目的评标组织机构为评标委员会，评标委员会成员人数为7人，由招标人代表和专家组成，其中招标人代表为2人，专家成员人数为5人，由招标人负责依法组建。</w:t>
      </w:r>
      <w:r>
        <w:rPr>
          <w:rFonts w:ascii="宋体" w:hAnsi="宋体"/>
        </w:rPr>
        <w:t>评标委员会的成员在评标过程中必须严格遵守</w:t>
      </w:r>
      <w:r>
        <w:rPr>
          <w:rFonts w:hint="eastAsia" w:ascii="宋体" w:hAnsi="宋体"/>
          <w:szCs w:val="21"/>
          <w:lang w:val="zh-CN"/>
        </w:rPr>
        <w:t>国家及招标投标的有关规定。</w:t>
      </w:r>
      <w:r>
        <w:rPr>
          <w:rFonts w:hint="eastAsia" w:ascii="宋体" w:hAnsi="宋体"/>
        </w:rPr>
        <w:t>专家成员</w:t>
      </w:r>
      <w:r>
        <w:rPr>
          <w:rFonts w:hint="eastAsia" w:ascii="宋体" w:hAnsi="宋体"/>
          <w:szCs w:val="21"/>
        </w:rPr>
        <w:t>依法从广东省综合评标评审专家库中随机抽取产生。</w:t>
      </w:r>
    </w:p>
    <w:p>
      <w:pPr>
        <w:snapToGrid w:val="0"/>
        <w:spacing w:line="360" w:lineRule="auto"/>
        <w:ind w:firstLine="480"/>
        <w:rPr>
          <w:rFonts w:ascii="宋体" w:hAnsi="宋体"/>
          <w:szCs w:val="21"/>
        </w:rPr>
      </w:pPr>
      <w:r>
        <w:rPr>
          <w:rFonts w:ascii="宋体" w:hAnsi="宋体"/>
          <w:szCs w:val="21"/>
        </w:rPr>
        <w:t>3.1.2 评标委员会组长将由</w:t>
      </w:r>
      <w:r>
        <w:rPr>
          <w:rFonts w:hint="eastAsia" w:ascii="宋体" w:hAnsi="宋体"/>
          <w:szCs w:val="21"/>
        </w:rPr>
        <w:t>评标委员会</w:t>
      </w:r>
      <w:r>
        <w:rPr>
          <w:rFonts w:ascii="宋体" w:hAnsi="宋体"/>
          <w:szCs w:val="21"/>
        </w:rPr>
        <w:t>成员推举产生，与</w:t>
      </w:r>
      <w:r>
        <w:rPr>
          <w:rFonts w:hint="eastAsia" w:ascii="宋体" w:hAnsi="宋体"/>
          <w:szCs w:val="21"/>
        </w:rPr>
        <w:t>评标委员会</w:t>
      </w:r>
      <w:r>
        <w:rPr>
          <w:rFonts w:ascii="宋体" w:hAnsi="宋体"/>
          <w:szCs w:val="21"/>
        </w:rPr>
        <w:t>的其他成员有同等的表决权。</w:t>
      </w:r>
      <w:r>
        <w:rPr>
          <w:rFonts w:hint="eastAsia" w:ascii="宋体" w:hAnsi="宋体"/>
          <w:szCs w:val="21"/>
        </w:rPr>
        <w:t>评标委员会</w:t>
      </w:r>
      <w:r>
        <w:rPr>
          <w:rFonts w:ascii="宋体" w:hAnsi="宋体"/>
          <w:szCs w:val="21"/>
        </w:rPr>
        <w:t>组长兼任评标委员会负责人，负责组织本次评标的全部工作。</w:t>
      </w:r>
    </w:p>
    <w:p>
      <w:pPr>
        <w:snapToGrid w:val="0"/>
        <w:spacing w:line="360" w:lineRule="auto"/>
        <w:ind w:firstLine="480"/>
        <w:rPr>
          <w:rFonts w:ascii="宋体" w:hAnsi="宋体"/>
          <w:szCs w:val="21"/>
        </w:rPr>
      </w:pPr>
      <w:r>
        <w:rPr>
          <w:rFonts w:ascii="宋体" w:hAnsi="宋体"/>
          <w:szCs w:val="21"/>
        </w:rPr>
        <w:t xml:space="preserve">3.1.3 </w:t>
      </w:r>
      <w:r>
        <w:rPr>
          <w:rFonts w:hint="eastAsia" w:ascii="宋体" w:hAnsi="宋体" w:cs="宋体"/>
        </w:rPr>
        <w:t>参与评标会议的工作人员</w:t>
      </w:r>
      <w:r>
        <w:rPr>
          <w:rFonts w:ascii="宋体" w:hAnsi="宋体"/>
          <w:szCs w:val="21"/>
        </w:rPr>
        <w:t>不参与评标的决策，无表决权，只协助</w:t>
      </w:r>
      <w:r>
        <w:rPr>
          <w:rFonts w:hint="eastAsia" w:ascii="宋体" w:hAnsi="宋体"/>
          <w:szCs w:val="21"/>
        </w:rPr>
        <w:t>评标委员会</w:t>
      </w:r>
      <w:r>
        <w:rPr>
          <w:rFonts w:ascii="宋体" w:hAnsi="宋体"/>
          <w:szCs w:val="21"/>
        </w:rPr>
        <w:t>进行符合性、强制性检查以及分值计算等工作。</w:t>
      </w:r>
    </w:p>
    <w:p>
      <w:pPr>
        <w:snapToGrid w:val="0"/>
        <w:spacing w:line="360" w:lineRule="auto"/>
        <w:ind w:firstLine="480"/>
        <w:rPr>
          <w:rFonts w:ascii="宋体" w:hAnsi="宋体"/>
          <w:szCs w:val="21"/>
        </w:rPr>
      </w:pPr>
      <w:r>
        <w:rPr>
          <w:rFonts w:ascii="宋体" w:hAnsi="宋体"/>
          <w:szCs w:val="21"/>
        </w:rPr>
        <w:t>3.2评标委员会的主要工作内容：</w:t>
      </w:r>
    </w:p>
    <w:p>
      <w:pPr>
        <w:snapToGrid w:val="0"/>
        <w:spacing w:line="360" w:lineRule="auto"/>
        <w:ind w:firstLine="480"/>
        <w:rPr>
          <w:rFonts w:ascii="宋体" w:hAnsi="宋体"/>
          <w:szCs w:val="21"/>
        </w:rPr>
      </w:pPr>
      <w:r>
        <w:rPr>
          <w:rFonts w:ascii="宋体" w:hAnsi="宋体"/>
          <w:szCs w:val="21"/>
        </w:rPr>
        <w:t>3.2.1 负责评标前的准备工作，认真研究招标文件，至少应了解和熟悉以下内容：</w:t>
      </w:r>
    </w:p>
    <w:p>
      <w:pPr>
        <w:tabs>
          <w:tab w:val="left" w:pos="1470"/>
          <w:tab w:val="left" w:pos="2160"/>
        </w:tabs>
        <w:snapToGrid w:val="0"/>
        <w:spacing w:line="360" w:lineRule="auto"/>
        <w:ind w:firstLine="480"/>
        <w:rPr>
          <w:rFonts w:ascii="宋体" w:hAnsi="宋体"/>
          <w:szCs w:val="21"/>
        </w:rPr>
      </w:pPr>
      <w:r>
        <w:rPr>
          <w:rFonts w:ascii="宋体" w:hAnsi="宋体"/>
          <w:szCs w:val="21"/>
        </w:rPr>
        <w:t>（1）招标的目标；</w:t>
      </w:r>
    </w:p>
    <w:p>
      <w:pPr>
        <w:tabs>
          <w:tab w:val="left" w:pos="1470"/>
          <w:tab w:val="left" w:pos="2160"/>
        </w:tabs>
        <w:snapToGrid w:val="0"/>
        <w:spacing w:line="360" w:lineRule="auto"/>
        <w:ind w:firstLine="480"/>
        <w:rPr>
          <w:rFonts w:ascii="宋体" w:hAnsi="宋体"/>
          <w:szCs w:val="21"/>
        </w:rPr>
      </w:pPr>
      <w:r>
        <w:rPr>
          <w:rFonts w:ascii="宋体" w:hAnsi="宋体"/>
          <w:szCs w:val="21"/>
        </w:rPr>
        <w:t>（2）招标项目的范围和性质；</w:t>
      </w:r>
    </w:p>
    <w:p>
      <w:pPr>
        <w:tabs>
          <w:tab w:val="left" w:pos="1470"/>
          <w:tab w:val="left" w:pos="2160"/>
        </w:tabs>
        <w:snapToGrid w:val="0"/>
        <w:spacing w:line="360" w:lineRule="auto"/>
        <w:ind w:firstLine="480"/>
        <w:rPr>
          <w:rFonts w:ascii="宋体" w:hAnsi="宋体"/>
          <w:szCs w:val="21"/>
        </w:rPr>
      </w:pPr>
      <w:r>
        <w:rPr>
          <w:rFonts w:ascii="宋体" w:hAnsi="宋体"/>
          <w:szCs w:val="21"/>
        </w:rPr>
        <w:t>（3）招标文件中规定的主要技术要求、标准等；</w:t>
      </w:r>
    </w:p>
    <w:p>
      <w:pPr>
        <w:tabs>
          <w:tab w:val="left" w:pos="1470"/>
          <w:tab w:val="left" w:pos="2160"/>
        </w:tabs>
        <w:snapToGrid w:val="0"/>
        <w:spacing w:line="360" w:lineRule="auto"/>
        <w:ind w:firstLine="480"/>
        <w:rPr>
          <w:rFonts w:ascii="宋体" w:hAnsi="宋体"/>
          <w:szCs w:val="21"/>
        </w:rPr>
      </w:pPr>
      <w:r>
        <w:rPr>
          <w:rFonts w:ascii="宋体" w:hAnsi="宋体"/>
          <w:szCs w:val="21"/>
        </w:rPr>
        <w:t>（4）招标文件规定的评标标准、评标方法和评标过程中考虑的相关因素。</w:t>
      </w:r>
    </w:p>
    <w:p>
      <w:pPr>
        <w:snapToGrid w:val="0"/>
        <w:spacing w:line="360" w:lineRule="auto"/>
        <w:ind w:firstLine="480"/>
        <w:rPr>
          <w:rFonts w:ascii="宋体" w:hAnsi="宋体"/>
          <w:szCs w:val="21"/>
        </w:rPr>
      </w:pPr>
      <w:r>
        <w:rPr>
          <w:rFonts w:ascii="宋体" w:hAnsi="宋体"/>
          <w:szCs w:val="21"/>
        </w:rPr>
        <w:t>3.2.2 评标委员会可以书面方式要求投标人对投标文件中含义不明确、对同类问题表述不一致或者有明显文字和计算错误的内容作必要的澄清、说明或者补正。澄清、说明或者补正都应符合招标文件中的规定。评标委员会不接受投标人主动提出的澄清、说明或补正。澄清、说明和补正不得改变投标文件的实质性内容（算术性错误修正的除外）。投标人的书面澄清、说明和补正属于投标文件的组成部分。</w:t>
      </w:r>
    </w:p>
    <w:p>
      <w:pPr>
        <w:snapToGrid w:val="0"/>
        <w:spacing w:line="360" w:lineRule="auto"/>
        <w:ind w:firstLine="480"/>
        <w:rPr>
          <w:rFonts w:ascii="宋体" w:hAnsi="宋体"/>
          <w:szCs w:val="21"/>
        </w:rPr>
      </w:pPr>
      <w:r>
        <w:rPr>
          <w:rFonts w:ascii="宋体" w:hAnsi="宋体"/>
          <w:szCs w:val="21"/>
        </w:rPr>
        <w:t>3.2.3 按本评标</w:t>
      </w:r>
      <w:r>
        <w:rPr>
          <w:rFonts w:hint="eastAsia" w:ascii="宋体" w:hAnsi="宋体"/>
          <w:szCs w:val="21"/>
        </w:rPr>
        <w:t>办法</w:t>
      </w:r>
      <w:r>
        <w:rPr>
          <w:rFonts w:ascii="宋体" w:hAnsi="宋体"/>
          <w:szCs w:val="21"/>
        </w:rPr>
        <w:t>中规定的方法和标准对投标人的投标文件进行评审。</w:t>
      </w:r>
    </w:p>
    <w:p>
      <w:pPr>
        <w:snapToGrid w:val="0"/>
        <w:spacing w:line="360" w:lineRule="auto"/>
        <w:ind w:firstLine="480"/>
        <w:rPr>
          <w:rFonts w:ascii="宋体" w:hAnsi="宋体"/>
          <w:szCs w:val="21"/>
        </w:rPr>
      </w:pPr>
      <w:r>
        <w:rPr>
          <w:rFonts w:ascii="宋体" w:hAnsi="宋体"/>
          <w:szCs w:val="21"/>
        </w:rPr>
        <w:t>3.2.4 及时处理评标过程中发现的问题，或向招标人提出处理建议，并作书面记录。</w:t>
      </w:r>
    </w:p>
    <w:p>
      <w:pPr>
        <w:snapToGrid w:val="0"/>
        <w:spacing w:line="360" w:lineRule="auto"/>
        <w:ind w:firstLine="480"/>
        <w:rPr>
          <w:rFonts w:ascii="宋体" w:hAnsi="宋体"/>
          <w:szCs w:val="21"/>
        </w:rPr>
      </w:pPr>
      <w:r>
        <w:rPr>
          <w:rFonts w:ascii="宋体" w:hAnsi="宋体"/>
          <w:szCs w:val="21"/>
        </w:rPr>
        <w:t>3.2.5 完成评标后，向招标人提出书面评标报告，评标报告应当如实记载以下内容：</w:t>
      </w:r>
    </w:p>
    <w:p>
      <w:pPr>
        <w:snapToGrid w:val="0"/>
        <w:spacing w:line="360" w:lineRule="auto"/>
        <w:ind w:firstLine="480"/>
        <w:rPr>
          <w:rFonts w:ascii="宋体" w:hAnsi="宋体"/>
          <w:szCs w:val="21"/>
        </w:rPr>
      </w:pPr>
      <w:r>
        <w:rPr>
          <w:rFonts w:ascii="宋体" w:hAnsi="宋体"/>
          <w:szCs w:val="21"/>
        </w:rPr>
        <w:t>（1）基本情况和数据表；</w:t>
      </w:r>
    </w:p>
    <w:p>
      <w:pPr>
        <w:snapToGrid w:val="0"/>
        <w:spacing w:line="360" w:lineRule="auto"/>
        <w:ind w:firstLine="480"/>
        <w:rPr>
          <w:rFonts w:ascii="宋体" w:hAnsi="宋体"/>
          <w:szCs w:val="21"/>
        </w:rPr>
      </w:pPr>
      <w:r>
        <w:rPr>
          <w:rFonts w:ascii="宋体" w:hAnsi="宋体"/>
          <w:szCs w:val="21"/>
        </w:rPr>
        <w:t>（2）评标委员会组成成员名单；</w:t>
      </w:r>
    </w:p>
    <w:p>
      <w:pPr>
        <w:snapToGrid w:val="0"/>
        <w:spacing w:line="360" w:lineRule="auto"/>
        <w:ind w:firstLine="480"/>
        <w:rPr>
          <w:rFonts w:ascii="宋体" w:hAnsi="宋体"/>
          <w:szCs w:val="21"/>
        </w:rPr>
      </w:pPr>
      <w:r>
        <w:rPr>
          <w:rFonts w:ascii="宋体" w:hAnsi="宋体"/>
          <w:szCs w:val="21"/>
        </w:rPr>
        <w:t>（3）开标记录；</w:t>
      </w:r>
    </w:p>
    <w:p>
      <w:pPr>
        <w:snapToGrid w:val="0"/>
        <w:spacing w:line="360" w:lineRule="auto"/>
        <w:ind w:firstLine="480"/>
        <w:rPr>
          <w:rFonts w:ascii="宋体" w:hAnsi="宋体"/>
          <w:szCs w:val="21"/>
        </w:rPr>
      </w:pPr>
      <w:r>
        <w:rPr>
          <w:rFonts w:ascii="宋体" w:hAnsi="宋体"/>
          <w:szCs w:val="21"/>
        </w:rPr>
        <w:t>（4）</w:t>
      </w:r>
      <w:r>
        <w:rPr>
          <w:rFonts w:hint="eastAsia" w:ascii="宋体" w:hAnsi="宋体"/>
          <w:szCs w:val="21"/>
        </w:rPr>
        <w:t>无效投标文件</w:t>
      </w:r>
      <w:r>
        <w:rPr>
          <w:rFonts w:ascii="宋体" w:hAnsi="宋体"/>
          <w:szCs w:val="21"/>
        </w:rPr>
        <w:t>情况说明；</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5</w:t>
      </w:r>
      <w:r>
        <w:rPr>
          <w:rFonts w:ascii="宋体" w:hAnsi="宋体"/>
          <w:szCs w:val="21"/>
        </w:rPr>
        <w:t>）评标标准、评标方法或者评标因素一览表；</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6</w:t>
      </w:r>
      <w:r>
        <w:rPr>
          <w:rFonts w:ascii="宋体" w:hAnsi="宋体"/>
          <w:szCs w:val="21"/>
        </w:rPr>
        <w:t>）评标记录及汇总表</w:t>
      </w:r>
      <w:r>
        <w:rPr>
          <w:rFonts w:hint="eastAsia" w:ascii="宋体" w:hAnsi="宋体"/>
          <w:szCs w:val="21"/>
        </w:rPr>
        <w:t>等</w:t>
      </w:r>
      <w:r>
        <w:rPr>
          <w:rFonts w:ascii="宋体" w:hAnsi="宋体"/>
          <w:szCs w:val="21"/>
        </w:rPr>
        <w:t>；</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7</w:t>
      </w:r>
      <w:r>
        <w:rPr>
          <w:rFonts w:ascii="宋体" w:hAnsi="宋体"/>
          <w:szCs w:val="21"/>
        </w:rPr>
        <w:t>）经评审的投标人排序；</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8</w:t>
      </w:r>
      <w:r>
        <w:rPr>
          <w:rFonts w:ascii="宋体" w:hAnsi="宋体"/>
          <w:szCs w:val="21"/>
        </w:rPr>
        <w:t>）</w:t>
      </w:r>
      <w:r>
        <w:rPr>
          <w:rFonts w:hint="eastAsia" w:ascii="宋体" w:hAnsi="宋体"/>
          <w:szCs w:val="21"/>
        </w:rPr>
        <w:t>推荐的中标候选人名单</w:t>
      </w:r>
      <w:r>
        <w:rPr>
          <w:rFonts w:ascii="宋体" w:hAnsi="宋体"/>
          <w:szCs w:val="21"/>
        </w:rPr>
        <w:t>；</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9</w:t>
      </w:r>
      <w:r>
        <w:rPr>
          <w:rFonts w:ascii="宋体" w:hAnsi="宋体"/>
          <w:szCs w:val="21"/>
        </w:rPr>
        <w:t>）澄清、说明、补正事项记要。</w:t>
      </w:r>
    </w:p>
    <w:p>
      <w:pPr>
        <w:pStyle w:val="5"/>
        <w:rPr>
          <w:rFonts w:ascii="宋体" w:hAnsi="宋体"/>
          <w:sz w:val="24"/>
          <w:szCs w:val="24"/>
        </w:rPr>
      </w:pPr>
      <w:bookmarkStart w:id="644" w:name="_Toc10382"/>
      <w:bookmarkStart w:id="645" w:name="_Toc334572734"/>
      <w:bookmarkStart w:id="646" w:name="_Toc4969"/>
      <w:bookmarkStart w:id="647" w:name="_Toc25248"/>
      <w:bookmarkStart w:id="648" w:name="_Toc19386"/>
      <w:bookmarkStart w:id="649" w:name="_Toc132814746"/>
      <w:bookmarkStart w:id="650" w:name="_Toc10918"/>
      <w:r>
        <w:rPr>
          <w:rFonts w:ascii="宋体" w:hAnsi="宋体"/>
          <w:sz w:val="24"/>
          <w:szCs w:val="24"/>
        </w:rPr>
        <w:t>四、评标程序</w:t>
      </w:r>
      <w:bookmarkEnd w:id="644"/>
      <w:bookmarkEnd w:id="645"/>
      <w:bookmarkEnd w:id="646"/>
      <w:bookmarkEnd w:id="647"/>
      <w:bookmarkEnd w:id="648"/>
      <w:bookmarkEnd w:id="649"/>
      <w:bookmarkEnd w:id="650"/>
    </w:p>
    <w:p>
      <w:pPr>
        <w:snapToGrid w:val="0"/>
        <w:spacing w:line="360" w:lineRule="auto"/>
        <w:ind w:firstLine="482"/>
        <w:rPr>
          <w:rFonts w:ascii="宋体" w:hAnsi="宋体"/>
          <w:szCs w:val="21"/>
        </w:rPr>
      </w:pPr>
      <w:r>
        <w:rPr>
          <w:rFonts w:hint="eastAsia" w:ascii="宋体" w:hAnsi="宋体"/>
          <w:szCs w:val="21"/>
        </w:rPr>
        <w:t>4.1</w:t>
      </w:r>
      <w:r>
        <w:rPr>
          <w:rFonts w:hint="eastAsia" w:ascii="宋体" w:hAnsi="宋体"/>
          <w:spacing w:val="6"/>
          <w:szCs w:val="21"/>
        </w:rPr>
        <w:t>待评标委员会成员到齐进入评标室后按下列程序进行：</w:t>
      </w:r>
    </w:p>
    <w:p>
      <w:pPr>
        <w:snapToGrid w:val="0"/>
        <w:spacing w:line="360" w:lineRule="auto"/>
        <w:ind w:firstLine="482"/>
        <w:rPr>
          <w:rFonts w:ascii="宋体" w:hAnsi="宋体"/>
          <w:szCs w:val="21"/>
        </w:rPr>
      </w:pPr>
      <w:r>
        <w:rPr>
          <w:rFonts w:hint="eastAsia" w:ascii="宋体" w:hAnsi="宋体"/>
          <w:szCs w:val="21"/>
        </w:rPr>
        <w:t>4.1.1招标代理机构介绍到场人员，并介绍项目招标概况；组织推选</w:t>
      </w:r>
      <w:r>
        <w:rPr>
          <w:rFonts w:hint="eastAsia" w:ascii="宋体" w:hAnsi="宋体"/>
          <w:spacing w:val="6"/>
          <w:szCs w:val="21"/>
        </w:rPr>
        <w:t>评标委员会</w:t>
      </w:r>
      <w:r>
        <w:rPr>
          <w:rFonts w:hint="eastAsia" w:ascii="宋体" w:hAnsi="宋体"/>
          <w:szCs w:val="21"/>
        </w:rPr>
        <w:t>组长</w:t>
      </w:r>
      <w:r>
        <w:rPr>
          <w:rFonts w:ascii="宋体" w:hAnsi="宋体"/>
          <w:szCs w:val="21"/>
        </w:rPr>
        <w:t>；</w:t>
      </w:r>
    </w:p>
    <w:p>
      <w:pPr>
        <w:snapToGrid w:val="0"/>
        <w:spacing w:line="360" w:lineRule="auto"/>
        <w:ind w:firstLine="482"/>
        <w:rPr>
          <w:rFonts w:ascii="宋体" w:hAnsi="宋体"/>
          <w:szCs w:val="21"/>
        </w:rPr>
      </w:pPr>
      <w:r>
        <w:rPr>
          <w:rFonts w:hint="eastAsia" w:ascii="宋体" w:hAnsi="宋体"/>
          <w:szCs w:val="21"/>
        </w:rPr>
        <w:t>4.1.2招标人介绍项目概况；</w:t>
      </w:r>
    </w:p>
    <w:p>
      <w:pPr>
        <w:snapToGrid w:val="0"/>
        <w:spacing w:line="360" w:lineRule="auto"/>
        <w:ind w:firstLine="482"/>
        <w:rPr>
          <w:rFonts w:ascii="宋体" w:hAnsi="宋体"/>
          <w:szCs w:val="21"/>
        </w:rPr>
      </w:pPr>
      <w:r>
        <w:rPr>
          <w:rFonts w:hint="eastAsia" w:ascii="宋体" w:hAnsi="宋体"/>
          <w:szCs w:val="21"/>
        </w:rPr>
        <w:t>4.1.3由</w:t>
      </w:r>
      <w:r>
        <w:rPr>
          <w:rFonts w:hint="eastAsia" w:ascii="宋体" w:hAnsi="宋体"/>
          <w:spacing w:val="6"/>
          <w:szCs w:val="21"/>
        </w:rPr>
        <w:t>评标委员会</w:t>
      </w:r>
      <w:r>
        <w:rPr>
          <w:rFonts w:hint="eastAsia" w:ascii="宋体" w:hAnsi="宋体"/>
          <w:szCs w:val="21"/>
        </w:rPr>
        <w:t>组长主持评标工作；</w:t>
      </w:r>
    </w:p>
    <w:p>
      <w:pPr>
        <w:snapToGrid w:val="0"/>
        <w:spacing w:line="360" w:lineRule="auto"/>
        <w:ind w:firstLine="482"/>
        <w:rPr>
          <w:rFonts w:ascii="宋体" w:hAnsi="宋体"/>
          <w:szCs w:val="21"/>
        </w:rPr>
      </w:pPr>
      <w:r>
        <w:rPr>
          <w:rFonts w:hint="eastAsia" w:ascii="宋体" w:hAnsi="宋体"/>
          <w:szCs w:val="21"/>
        </w:rPr>
        <w:t>4.1.4</w:t>
      </w:r>
      <w:r>
        <w:rPr>
          <w:rFonts w:hint="eastAsia" w:ascii="宋体" w:hAnsi="宋体"/>
          <w:spacing w:val="6"/>
          <w:szCs w:val="21"/>
        </w:rPr>
        <w:t>评标委员会</w:t>
      </w:r>
      <w:r>
        <w:rPr>
          <w:rFonts w:hint="eastAsia" w:ascii="宋体" w:hAnsi="宋体"/>
          <w:szCs w:val="21"/>
        </w:rPr>
        <w:t>组长组织学习招标文件及评标办法；</w:t>
      </w:r>
    </w:p>
    <w:p>
      <w:pPr>
        <w:snapToGrid w:val="0"/>
        <w:spacing w:line="360" w:lineRule="auto"/>
        <w:ind w:firstLine="482"/>
        <w:rPr>
          <w:rFonts w:ascii="宋体" w:hAnsi="宋体"/>
          <w:szCs w:val="21"/>
        </w:rPr>
      </w:pPr>
      <w:r>
        <w:rPr>
          <w:rFonts w:hint="eastAsia" w:ascii="宋体" w:hAnsi="宋体"/>
          <w:szCs w:val="21"/>
        </w:rPr>
        <w:t>4.1.5将投标文件移交</w:t>
      </w:r>
      <w:r>
        <w:rPr>
          <w:rFonts w:hint="eastAsia" w:ascii="宋体" w:hAnsi="宋体"/>
          <w:spacing w:val="6"/>
          <w:szCs w:val="21"/>
        </w:rPr>
        <w:t>评标委员会</w:t>
      </w:r>
      <w:r>
        <w:rPr>
          <w:rFonts w:hint="eastAsia" w:ascii="宋体" w:hAnsi="宋体"/>
          <w:szCs w:val="21"/>
        </w:rPr>
        <w:t>进行评审，由工作人员协助</w:t>
      </w:r>
      <w:r>
        <w:rPr>
          <w:rFonts w:hint="eastAsia" w:ascii="宋体" w:hAnsi="宋体"/>
          <w:spacing w:val="6"/>
          <w:szCs w:val="21"/>
        </w:rPr>
        <w:t>评标委员会</w:t>
      </w:r>
      <w:r>
        <w:rPr>
          <w:rFonts w:hint="eastAsia" w:ascii="宋体" w:hAnsi="宋体"/>
          <w:szCs w:val="21"/>
        </w:rPr>
        <w:t>对投标文件按本评标办法</w:t>
      </w:r>
      <w:r>
        <w:rPr>
          <w:rFonts w:hint="eastAsia" w:ascii="宋体" w:hAnsi="宋体"/>
        </w:rPr>
        <w:t>6.2款</w:t>
      </w:r>
      <w:r>
        <w:rPr>
          <w:rFonts w:ascii="宋体" w:hAnsi="宋体"/>
        </w:rPr>
        <w:t>进行符合性检查</w:t>
      </w:r>
      <w:r>
        <w:rPr>
          <w:rFonts w:ascii="宋体" w:hAnsi="宋体"/>
          <w:szCs w:val="21"/>
        </w:rPr>
        <w:t>，</w:t>
      </w:r>
      <w:r>
        <w:rPr>
          <w:rFonts w:ascii="宋体" w:hAnsi="宋体"/>
        </w:rPr>
        <w:t>只有通过符合性审查的投标单位方可进入下一步评审程序</w:t>
      </w:r>
      <w:r>
        <w:rPr>
          <w:rFonts w:hint="eastAsia" w:ascii="宋体" w:hAnsi="宋体"/>
        </w:rPr>
        <w:t>；</w:t>
      </w:r>
    </w:p>
    <w:p>
      <w:pPr>
        <w:snapToGrid w:val="0"/>
        <w:spacing w:line="360" w:lineRule="auto"/>
        <w:ind w:firstLine="482"/>
        <w:rPr>
          <w:rFonts w:ascii="宋体" w:hAnsi="宋体"/>
          <w:szCs w:val="21"/>
        </w:rPr>
      </w:pPr>
      <w:r>
        <w:rPr>
          <w:rFonts w:hint="eastAsia" w:ascii="宋体" w:hAnsi="宋体"/>
          <w:szCs w:val="21"/>
        </w:rPr>
        <w:t>4.1.6评标委员会</w:t>
      </w:r>
      <w:r>
        <w:rPr>
          <w:rFonts w:ascii="宋体" w:hAnsi="宋体"/>
          <w:szCs w:val="21"/>
        </w:rPr>
        <w:t>依照</w:t>
      </w:r>
      <w:r>
        <w:rPr>
          <w:rFonts w:hint="eastAsia" w:ascii="宋体" w:hAnsi="宋体"/>
        </w:rPr>
        <w:t>本评标办法</w:t>
      </w:r>
      <w:r>
        <w:rPr>
          <w:rFonts w:ascii="宋体" w:hAnsi="宋体"/>
          <w:szCs w:val="21"/>
        </w:rPr>
        <w:t>中的评标标准，分别先后对投标文件</w:t>
      </w:r>
      <w:r>
        <w:rPr>
          <w:rFonts w:hint="eastAsia" w:ascii="宋体" w:hAnsi="宋体"/>
          <w:szCs w:val="21"/>
        </w:rPr>
        <w:t>商务标和</w:t>
      </w:r>
      <w:r>
        <w:rPr>
          <w:rFonts w:ascii="宋体" w:hAnsi="宋体"/>
          <w:szCs w:val="21"/>
        </w:rPr>
        <w:t>技术标的进行阅读、分析、对比、评分，填写</w:t>
      </w:r>
      <w:r>
        <w:rPr>
          <w:rFonts w:hint="eastAsia" w:ascii="宋体" w:hAnsi="宋体"/>
          <w:szCs w:val="21"/>
        </w:rPr>
        <w:t>相关评审表格；</w:t>
      </w:r>
    </w:p>
    <w:p>
      <w:pPr>
        <w:snapToGrid w:val="0"/>
        <w:spacing w:line="360" w:lineRule="auto"/>
        <w:ind w:firstLine="482"/>
        <w:rPr>
          <w:rFonts w:ascii="宋体" w:hAnsi="宋体"/>
          <w:szCs w:val="21"/>
        </w:rPr>
      </w:pPr>
      <w:r>
        <w:rPr>
          <w:rFonts w:hint="eastAsia" w:ascii="宋体" w:hAnsi="宋体"/>
          <w:szCs w:val="21"/>
        </w:rPr>
        <w:t>4.1.7 评标委员会对投标人商务标、技术标、投标报价分值汇总、标明排序，根据最后综合得分高低确定投标人排名；</w:t>
      </w:r>
    </w:p>
    <w:p>
      <w:pPr>
        <w:snapToGrid w:val="0"/>
        <w:spacing w:line="360" w:lineRule="auto"/>
        <w:ind w:firstLine="482"/>
        <w:rPr>
          <w:rFonts w:ascii="宋体" w:hAnsi="宋体"/>
          <w:szCs w:val="21"/>
        </w:rPr>
      </w:pPr>
      <w:r>
        <w:rPr>
          <w:rFonts w:hint="eastAsia" w:ascii="宋体" w:hAnsi="宋体"/>
          <w:szCs w:val="21"/>
        </w:rPr>
        <w:t>4.1.8评标委员会编写评标报告，推荐中标候选人名单，并形成书面报告；</w:t>
      </w:r>
    </w:p>
    <w:p>
      <w:pPr>
        <w:snapToGrid w:val="0"/>
        <w:spacing w:line="360" w:lineRule="auto"/>
        <w:ind w:firstLine="482"/>
        <w:rPr>
          <w:rFonts w:ascii="宋体" w:hAnsi="宋体"/>
          <w:szCs w:val="21"/>
        </w:rPr>
      </w:pPr>
      <w:r>
        <w:rPr>
          <w:rFonts w:hint="eastAsia" w:ascii="宋体" w:hAnsi="宋体"/>
          <w:szCs w:val="21"/>
        </w:rPr>
        <w:t>4.1.9由招标人确定第一中标候选人为中标人。</w:t>
      </w:r>
      <w:bookmarkStart w:id="651" w:name="_Toc297727438"/>
      <w:bookmarkStart w:id="652" w:name="_Toc311052161"/>
      <w:bookmarkStart w:id="653" w:name="_Toc312010306"/>
      <w:bookmarkStart w:id="654" w:name="_Toc297664024"/>
      <w:bookmarkStart w:id="655" w:name="_Toc311123629"/>
    </w:p>
    <w:p>
      <w:pPr>
        <w:snapToGrid w:val="0"/>
        <w:spacing w:line="360" w:lineRule="auto"/>
        <w:ind w:firstLine="482"/>
        <w:rPr>
          <w:rFonts w:ascii="宋体" w:hAnsi="宋体"/>
          <w:szCs w:val="21"/>
        </w:rPr>
      </w:pPr>
      <w:r>
        <w:rPr>
          <w:rFonts w:hint="eastAsia" w:ascii="宋体" w:hAnsi="宋体"/>
          <w:b/>
          <w:szCs w:val="21"/>
        </w:rPr>
        <w:t>4.2投标文件符合性评审</w:t>
      </w:r>
      <w:bookmarkEnd w:id="651"/>
      <w:bookmarkEnd w:id="652"/>
      <w:bookmarkEnd w:id="653"/>
      <w:bookmarkEnd w:id="654"/>
      <w:bookmarkEnd w:id="655"/>
    </w:p>
    <w:p>
      <w:pPr>
        <w:snapToGrid w:val="0"/>
        <w:spacing w:line="360" w:lineRule="auto"/>
        <w:ind w:firstLine="482"/>
        <w:rPr>
          <w:rFonts w:ascii="宋体" w:hAnsi="宋体"/>
          <w:szCs w:val="21"/>
        </w:rPr>
      </w:pPr>
      <w:r>
        <w:rPr>
          <w:rFonts w:hint="eastAsia" w:ascii="宋体" w:hAnsi="宋体"/>
          <w:szCs w:val="21"/>
        </w:rPr>
        <w:t>评标委员会依据本评标方法和标准的规定对投标文件进行符合性评审（即有效性评审）。有一项不符合评审标准的，</w:t>
      </w:r>
      <w:r>
        <w:rPr>
          <w:rFonts w:hint="eastAsia" w:ascii="宋体" w:hAnsi="宋体"/>
          <w:spacing w:val="6"/>
          <w:szCs w:val="21"/>
        </w:rPr>
        <w:t>经过</w:t>
      </w:r>
      <w:r>
        <w:rPr>
          <w:rFonts w:hint="eastAsia" w:ascii="宋体" w:hAnsi="宋体"/>
          <w:szCs w:val="21"/>
        </w:rPr>
        <w:t>评标委员会</w:t>
      </w:r>
      <w:r>
        <w:rPr>
          <w:rFonts w:hint="eastAsia" w:ascii="宋体" w:hAnsi="宋体"/>
          <w:spacing w:val="6"/>
          <w:szCs w:val="21"/>
        </w:rPr>
        <w:t>确认，按无效投标处理</w:t>
      </w:r>
      <w:r>
        <w:rPr>
          <w:rFonts w:hint="eastAsia" w:ascii="宋体" w:hAnsi="宋体"/>
          <w:szCs w:val="21"/>
        </w:rPr>
        <w:t>，如评标委员会各成员意见不一致时，</w:t>
      </w:r>
      <w:r>
        <w:rPr>
          <w:rFonts w:hint="eastAsia" w:ascii="宋体" w:hAnsi="宋体"/>
          <w:spacing w:val="6"/>
          <w:szCs w:val="21"/>
        </w:rPr>
        <w:t>采用少数服</w:t>
      </w:r>
      <w:r>
        <w:rPr>
          <w:rFonts w:hint="eastAsia" w:ascii="宋体" w:hAnsi="宋体"/>
          <w:szCs w:val="21"/>
        </w:rPr>
        <w:t>从多数的形式予以书面签名确认，如评标委员会各成员需保留意见，则以书面形式形成记录。</w:t>
      </w:r>
      <w:bookmarkStart w:id="656" w:name="_Toc312010307"/>
      <w:bookmarkStart w:id="657" w:name="_Toc297727439"/>
      <w:bookmarkStart w:id="658" w:name="_Toc297664025"/>
      <w:bookmarkStart w:id="659" w:name="_Toc311123630"/>
      <w:bookmarkStart w:id="660" w:name="_Toc311052162"/>
      <w:r>
        <w:rPr>
          <w:rFonts w:hint="eastAsia" w:ascii="宋体" w:hAnsi="宋体"/>
          <w:szCs w:val="21"/>
        </w:rPr>
        <w:t xml:space="preserve"> </w:t>
      </w:r>
      <w:bookmarkEnd w:id="656"/>
      <w:bookmarkEnd w:id="657"/>
      <w:bookmarkEnd w:id="658"/>
      <w:bookmarkEnd w:id="659"/>
      <w:bookmarkEnd w:id="660"/>
      <w:bookmarkStart w:id="661" w:name="_Toc297664028"/>
      <w:bookmarkStart w:id="662" w:name="_Toc297727442"/>
      <w:bookmarkStart w:id="663" w:name="_Toc312010310"/>
      <w:bookmarkStart w:id="664" w:name="_Toc311052165"/>
      <w:bookmarkStart w:id="665" w:name="_Toc311123633"/>
    </w:p>
    <w:p>
      <w:pPr>
        <w:spacing w:line="400" w:lineRule="exact"/>
        <w:ind w:firstLine="420" w:firstLineChars="200"/>
        <w:rPr>
          <w:b/>
          <w:bCs/>
          <w:u w:val="single"/>
          <w:lang w:val="zh-CN"/>
        </w:rPr>
      </w:pPr>
      <w:r>
        <w:rPr>
          <w:rFonts w:hint="eastAsia"/>
          <w:lang w:val="zh-CN"/>
        </w:rPr>
        <w:t>若投标人出现超低报价，</w:t>
      </w:r>
      <w:r>
        <w:rPr>
          <w:rFonts w:hint="eastAsia"/>
        </w:rPr>
        <w:t>有可能影响服务质量和不能诚信履约的，</w:t>
      </w:r>
      <w:r>
        <w:rPr>
          <w:rFonts w:hint="eastAsia"/>
          <w:lang w:val="zh-CN"/>
        </w:rPr>
        <w:t>评标委员会将要求该投标人作出书面说明并提供相关证明材料，以确定投标人是否以低于企业成本价报价。</w:t>
      </w:r>
      <w:r>
        <w:rPr>
          <w:rFonts w:hint="eastAsia"/>
          <w:b/>
          <w:bCs/>
          <w:u w:val="single"/>
          <w:lang w:val="zh-CN"/>
        </w:rPr>
        <w:t>若评标委员会认定投标人以低于企业成本价报价且投标人不能合理说明或不能提供相关证明材料，导致</w:t>
      </w:r>
      <w:r>
        <w:rPr>
          <w:rFonts w:hint="eastAsia" w:ascii="宋体" w:hAnsi="宋体"/>
          <w:b/>
          <w:bCs/>
          <w:szCs w:val="21"/>
          <w:u w:val="single"/>
        </w:rPr>
        <w:t>项目业主或</w:t>
      </w:r>
      <w:r>
        <w:rPr>
          <w:rFonts w:hint="eastAsia"/>
          <w:b/>
          <w:bCs/>
          <w:u w:val="single"/>
          <w:lang w:val="zh-CN"/>
        </w:rPr>
        <w:t>招标人的利益得不到保障，则该投标人的投标作为无效投标处理。</w:t>
      </w:r>
    </w:p>
    <w:p>
      <w:pPr>
        <w:spacing w:line="400" w:lineRule="exact"/>
        <w:ind w:firstLine="420" w:firstLineChars="200"/>
        <w:rPr>
          <w:szCs w:val="21"/>
        </w:rPr>
      </w:pPr>
      <w:r>
        <w:rPr>
          <w:rFonts w:hint="eastAsia"/>
          <w:lang w:val="zh-CN"/>
        </w:rPr>
        <w:t>对是否低于企业成本价报价的事宜有争议的投标文件，如评标委员会各成员意见不一致时，采用少数服从多数的形式予以书面签名确认，如评标委员会各成员需保留意见，则以书面形式形成记录。</w:t>
      </w:r>
    </w:p>
    <w:p>
      <w:pPr>
        <w:snapToGrid w:val="0"/>
        <w:spacing w:line="360" w:lineRule="auto"/>
        <w:ind w:firstLine="482"/>
        <w:rPr>
          <w:rFonts w:ascii="宋体" w:hAnsi="宋体"/>
          <w:szCs w:val="21"/>
        </w:rPr>
      </w:pPr>
      <w:r>
        <w:rPr>
          <w:rFonts w:hint="eastAsia" w:ascii="宋体" w:hAnsi="宋体"/>
          <w:b/>
          <w:szCs w:val="21"/>
        </w:rPr>
        <w:t>4.3 投标文件的澄清和补正</w:t>
      </w:r>
      <w:bookmarkEnd w:id="661"/>
      <w:bookmarkEnd w:id="662"/>
      <w:bookmarkEnd w:id="663"/>
      <w:bookmarkEnd w:id="664"/>
      <w:bookmarkEnd w:id="665"/>
    </w:p>
    <w:p>
      <w:pPr>
        <w:snapToGrid w:val="0"/>
        <w:spacing w:line="360" w:lineRule="auto"/>
        <w:ind w:firstLine="482"/>
        <w:rPr>
          <w:rFonts w:ascii="宋体" w:hAnsi="宋体"/>
          <w:szCs w:val="21"/>
        </w:rPr>
      </w:pPr>
      <w:r>
        <w:rPr>
          <w:rFonts w:ascii="宋体" w:hAnsi="宋体"/>
          <w:szCs w:val="21"/>
        </w:rPr>
        <w:t>4.3.1 在评标过程中，评标委员</w:t>
      </w:r>
      <w:r>
        <w:rPr>
          <w:rFonts w:hint="eastAsia" w:ascii="宋体" w:hAnsi="宋体"/>
          <w:szCs w:val="21"/>
        </w:rPr>
        <w:t>会可以书面形式要求投标人对所提交投标文件中有含义不明确的内容、明显文字或者计算错误，或评标委员会认为需要投标人作出必要澄清、说明的进行书面澄清或说明。评标委员会不接受投标人主动提出的澄清、说明或补正。</w:t>
      </w:r>
    </w:p>
    <w:p>
      <w:pPr>
        <w:snapToGrid w:val="0"/>
        <w:spacing w:line="360" w:lineRule="auto"/>
        <w:ind w:firstLine="482"/>
        <w:rPr>
          <w:rFonts w:ascii="宋体" w:hAnsi="宋体"/>
          <w:szCs w:val="21"/>
        </w:rPr>
      </w:pPr>
      <w:r>
        <w:rPr>
          <w:rFonts w:ascii="宋体" w:hAnsi="宋体"/>
          <w:szCs w:val="21"/>
        </w:rPr>
        <w:t>4.3.2 澄清、说明和补正不得改变投标文件的实质性内容（算术性错误修正的除外）。投标人的书面澄清、说明和补正属于投标文件的组成部分。</w:t>
      </w:r>
    </w:p>
    <w:p>
      <w:pPr>
        <w:snapToGrid w:val="0"/>
        <w:spacing w:line="360" w:lineRule="auto"/>
        <w:ind w:firstLine="420" w:firstLineChars="200"/>
        <w:rPr>
          <w:rFonts w:ascii="宋体" w:hAnsi="宋体"/>
          <w:szCs w:val="21"/>
        </w:rPr>
      </w:pPr>
      <w:r>
        <w:rPr>
          <w:rFonts w:hint="eastAsia" w:ascii="宋体" w:hAnsi="宋体"/>
          <w:szCs w:val="21"/>
        </w:rPr>
        <w:t>4.3.3 评标委员会对投标人提交的澄清、说明或补正有疑问的，可以要求投标人进一步澄清、说明或补正，直至满足评标委员会的要求。</w:t>
      </w:r>
    </w:p>
    <w:p>
      <w:pPr>
        <w:snapToGrid w:val="0"/>
        <w:spacing w:line="360" w:lineRule="auto"/>
        <w:ind w:firstLine="422" w:firstLineChars="200"/>
        <w:rPr>
          <w:rFonts w:ascii="宋体" w:hAnsi="宋体"/>
          <w:szCs w:val="21"/>
        </w:rPr>
      </w:pPr>
      <w:r>
        <w:rPr>
          <w:rFonts w:hint="eastAsia" w:ascii="宋体" w:hAnsi="宋体"/>
          <w:b/>
          <w:bCs/>
          <w:szCs w:val="21"/>
        </w:rPr>
        <w:t>4.3.4</w:t>
      </w:r>
      <w:r>
        <w:rPr>
          <w:rFonts w:hint="eastAsia" w:hAnsi="宋体"/>
          <w:b/>
          <w:bCs/>
          <w:lang w:val="zh-CN"/>
        </w:rPr>
        <w:t>若投标人出现超低报价，</w:t>
      </w:r>
      <w:r>
        <w:rPr>
          <w:rFonts w:hint="eastAsia" w:hAnsi="宋体"/>
          <w:b/>
          <w:bCs/>
          <w:szCs w:val="21"/>
        </w:rPr>
        <w:t>有可能影响服务质量和不能诚信履约的，</w:t>
      </w:r>
      <w:r>
        <w:rPr>
          <w:rFonts w:hint="eastAsia" w:hAnsi="宋体"/>
          <w:b/>
          <w:bCs/>
          <w:lang w:val="zh-CN"/>
        </w:rPr>
        <w:t>评标委员会将</w:t>
      </w:r>
      <w:r>
        <w:rPr>
          <w:rFonts w:hint="eastAsia" w:hAnsi="宋体"/>
          <w:b/>
          <w:bCs/>
          <w:szCs w:val="21"/>
          <w:lang w:val="zh-CN"/>
        </w:rPr>
        <w:t>要求该投标人作出书面说明并提供相关证明材料，</w:t>
      </w:r>
      <w:r>
        <w:rPr>
          <w:rFonts w:hint="eastAsia" w:hAnsi="宋体"/>
          <w:b/>
          <w:bCs/>
          <w:lang w:val="zh-CN"/>
        </w:rPr>
        <w:t>以确定投标人是否以低于企业成本价报价。</w:t>
      </w:r>
      <w:r>
        <w:rPr>
          <w:rFonts w:hint="eastAsia" w:hAnsi="宋体"/>
          <w:b/>
          <w:u w:val="single"/>
          <w:lang w:val="zh-CN"/>
        </w:rPr>
        <w:t>若评标委员会认定投标人以低于企业成本价报价</w:t>
      </w:r>
      <w:r>
        <w:rPr>
          <w:rFonts w:hint="eastAsia" w:hAnsi="宋体"/>
          <w:b/>
          <w:szCs w:val="21"/>
          <w:u w:val="single"/>
          <w:lang w:val="zh-CN"/>
        </w:rPr>
        <w:t>且投标人不能合理说明或不能提供相关证明材料，</w:t>
      </w:r>
      <w:r>
        <w:rPr>
          <w:rFonts w:hint="eastAsia" w:hAnsi="宋体"/>
          <w:b/>
          <w:u w:val="single"/>
          <w:lang w:val="zh-CN"/>
        </w:rPr>
        <w:t>导致</w:t>
      </w:r>
      <w:r>
        <w:rPr>
          <w:rFonts w:hint="eastAsia" w:ascii="宋体" w:hAnsi="宋体"/>
          <w:b/>
          <w:bCs/>
          <w:szCs w:val="21"/>
          <w:u w:val="single"/>
        </w:rPr>
        <w:t>项目业主或</w:t>
      </w:r>
      <w:r>
        <w:rPr>
          <w:rFonts w:hint="eastAsia" w:hAnsi="宋体"/>
          <w:b/>
          <w:u w:val="single"/>
          <w:lang w:val="zh-CN"/>
        </w:rPr>
        <w:t>招标人的利益得不到保障，则该投标人的投标作为无效投标处理。</w:t>
      </w:r>
    </w:p>
    <w:p>
      <w:pPr>
        <w:pStyle w:val="5"/>
        <w:rPr>
          <w:rFonts w:ascii="宋体" w:hAnsi="宋体"/>
          <w:sz w:val="24"/>
          <w:szCs w:val="24"/>
        </w:rPr>
      </w:pPr>
      <w:bookmarkStart w:id="666" w:name="_Toc13550"/>
      <w:bookmarkStart w:id="667" w:name="_Toc26713"/>
      <w:bookmarkStart w:id="668" w:name="_Toc5912"/>
      <w:bookmarkStart w:id="669" w:name="_Toc17712"/>
      <w:bookmarkStart w:id="670" w:name="_Toc132814747"/>
      <w:bookmarkStart w:id="671" w:name="_Toc16635"/>
      <w:bookmarkStart w:id="672" w:name="_Toc334572735"/>
      <w:bookmarkStart w:id="673" w:name="_Toc198537570"/>
      <w:bookmarkStart w:id="674" w:name="_Toc196805281"/>
      <w:bookmarkStart w:id="675" w:name="_Toc122938610"/>
      <w:bookmarkStart w:id="676" w:name="_Toc164481527"/>
      <w:r>
        <w:rPr>
          <w:rFonts w:ascii="宋体" w:hAnsi="宋体"/>
          <w:sz w:val="24"/>
          <w:szCs w:val="24"/>
        </w:rPr>
        <w:t>五、保密要求</w:t>
      </w:r>
      <w:bookmarkEnd w:id="666"/>
      <w:bookmarkEnd w:id="667"/>
      <w:bookmarkEnd w:id="668"/>
      <w:bookmarkEnd w:id="669"/>
      <w:bookmarkEnd w:id="670"/>
      <w:bookmarkEnd w:id="671"/>
      <w:bookmarkEnd w:id="672"/>
      <w:bookmarkEnd w:id="673"/>
      <w:bookmarkEnd w:id="674"/>
    </w:p>
    <w:p>
      <w:pPr>
        <w:snapToGrid w:val="0"/>
        <w:spacing w:line="360" w:lineRule="auto"/>
        <w:ind w:firstLine="480"/>
        <w:rPr>
          <w:rFonts w:ascii="宋体" w:hAnsi="宋体"/>
          <w:szCs w:val="21"/>
        </w:rPr>
      </w:pPr>
      <w:r>
        <w:rPr>
          <w:rFonts w:ascii="宋体" w:hAnsi="宋体"/>
          <w:szCs w:val="21"/>
        </w:rPr>
        <w:t>5.1 按投标须知第27条的规定保密；</w:t>
      </w:r>
    </w:p>
    <w:p>
      <w:pPr>
        <w:snapToGrid w:val="0"/>
        <w:spacing w:line="360" w:lineRule="auto"/>
        <w:ind w:firstLine="480"/>
        <w:rPr>
          <w:rFonts w:ascii="宋体" w:hAnsi="宋体"/>
          <w:szCs w:val="21"/>
        </w:rPr>
      </w:pPr>
      <w:r>
        <w:rPr>
          <w:rFonts w:ascii="宋体" w:hAnsi="宋体"/>
          <w:szCs w:val="21"/>
        </w:rPr>
        <w:t>5.2 评标期间集中办公、就餐，任何人员不得与外界接触、联系；</w:t>
      </w:r>
    </w:p>
    <w:p>
      <w:pPr>
        <w:snapToGrid w:val="0"/>
        <w:spacing w:line="360" w:lineRule="auto"/>
        <w:ind w:firstLine="480"/>
        <w:rPr>
          <w:rFonts w:ascii="宋体" w:hAnsi="宋体"/>
          <w:szCs w:val="21"/>
        </w:rPr>
      </w:pPr>
      <w:r>
        <w:rPr>
          <w:rFonts w:ascii="宋体" w:hAnsi="宋体"/>
          <w:szCs w:val="21"/>
        </w:rPr>
        <w:t>5.3 通讯由监督人员专管，通讯工具集中保管；</w:t>
      </w:r>
    </w:p>
    <w:p>
      <w:pPr>
        <w:snapToGrid w:val="0"/>
        <w:spacing w:line="360" w:lineRule="auto"/>
        <w:ind w:firstLine="480"/>
        <w:rPr>
          <w:rFonts w:ascii="宋体" w:hAnsi="宋体"/>
          <w:szCs w:val="21"/>
        </w:rPr>
      </w:pPr>
      <w:r>
        <w:rPr>
          <w:rFonts w:ascii="宋体" w:hAnsi="宋体"/>
          <w:szCs w:val="21"/>
        </w:rPr>
        <w:t>5.4 评标人员对泄露机密负法律责任。</w:t>
      </w:r>
    </w:p>
    <w:p>
      <w:pPr>
        <w:pStyle w:val="5"/>
        <w:rPr>
          <w:rFonts w:ascii="宋体" w:hAnsi="宋体"/>
          <w:sz w:val="24"/>
          <w:szCs w:val="24"/>
        </w:rPr>
      </w:pPr>
      <w:bookmarkStart w:id="677" w:name="_Toc198537571"/>
      <w:bookmarkStart w:id="678" w:name="_Toc196805282"/>
      <w:bookmarkStart w:id="679" w:name="_Toc132814748"/>
      <w:bookmarkStart w:id="680" w:name="_Toc6456"/>
      <w:bookmarkStart w:id="681" w:name="_Toc10767"/>
      <w:bookmarkStart w:id="682" w:name="_Toc22960"/>
      <w:bookmarkStart w:id="683" w:name="_Toc334572736"/>
      <w:bookmarkStart w:id="684" w:name="_Toc8970"/>
      <w:bookmarkStart w:id="685" w:name="_Toc1930"/>
      <w:r>
        <w:rPr>
          <w:rFonts w:ascii="宋体" w:hAnsi="宋体"/>
          <w:sz w:val="24"/>
          <w:szCs w:val="24"/>
        </w:rPr>
        <w:t>六、评标方法和标准</w:t>
      </w:r>
      <w:bookmarkEnd w:id="675"/>
      <w:bookmarkEnd w:id="676"/>
      <w:bookmarkEnd w:id="677"/>
      <w:bookmarkEnd w:id="678"/>
      <w:bookmarkEnd w:id="679"/>
      <w:bookmarkEnd w:id="680"/>
      <w:bookmarkEnd w:id="681"/>
      <w:bookmarkEnd w:id="682"/>
      <w:bookmarkEnd w:id="683"/>
      <w:bookmarkEnd w:id="684"/>
      <w:bookmarkEnd w:id="685"/>
    </w:p>
    <w:p>
      <w:pPr>
        <w:snapToGrid w:val="0"/>
        <w:spacing w:line="360" w:lineRule="auto"/>
        <w:ind w:firstLine="480"/>
        <w:rPr>
          <w:rFonts w:ascii="宋体" w:hAnsi="宋体"/>
          <w:szCs w:val="21"/>
        </w:rPr>
      </w:pPr>
      <w:r>
        <w:rPr>
          <w:rFonts w:ascii="宋体" w:hAnsi="宋体"/>
          <w:szCs w:val="21"/>
        </w:rPr>
        <w:t>6.1 评标方法：本次评标采用综合评估法（总分为100分</w:t>
      </w:r>
      <w:r>
        <w:rPr>
          <w:rFonts w:hint="eastAsia" w:ascii="宋体" w:hAnsi="宋体"/>
          <w:szCs w:val="21"/>
        </w:rPr>
        <w:t>）</w:t>
      </w:r>
      <w:r>
        <w:rPr>
          <w:rFonts w:ascii="宋体" w:hAnsi="宋体"/>
          <w:szCs w:val="21"/>
        </w:rPr>
        <w:t>对投标人的投标文件</w:t>
      </w:r>
      <w:r>
        <w:rPr>
          <w:rFonts w:hint="eastAsia" w:ascii="宋体" w:hAnsi="宋体"/>
          <w:szCs w:val="21"/>
        </w:rPr>
        <w:t>商务标、</w:t>
      </w:r>
      <w:r>
        <w:rPr>
          <w:rFonts w:ascii="宋体" w:hAnsi="宋体"/>
          <w:szCs w:val="21"/>
        </w:rPr>
        <w:t>技术标能否最大限度地满足招标文件中规定的各项要求和评标标准进行评审和比较，以评分的方式进行评估</w:t>
      </w:r>
      <w:r>
        <w:rPr>
          <w:rFonts w:hint="eastAsia" w:ascii="宋体" w:hAnsi="宋体"/>
          <w:szCs w:val="21"/>
        </w:rPr>
        <w:t>。</w:t>
      </w:r>
    </w:p>
    <w:p>
      <w:pPr>
        <w:snapToGrid w:val="0"/>
        <w:spacing w:line="360" w:lineRule="auto"/>
        <w:ind w:firstLine="480"/>
        <w:rPr>
          <w:rFonts w:ascii="宋体" w:hAnsi="宋体"/>
          <w:szCs w:val="21"/>
        </w:rPr>
      </w:pPr>
      <w:r>
        <w:rPr>
          <w:rFonts w:ascii="宋体" w:hAnsi="宋体"/>
          <w:szCs w:val="21"/>
        </w:rPr>
        <w:t>6.2本次评标对投标文件进行符合性（有效性）检查的评审内容：</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2095"/>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2" w:type="pct"/>
            <w:vAlign w:val="center"/>
          </w:tcPr>
          <w:p>
            <w:pPr>
              <w:snapToGrid w:val="0"/>
              <w:spacing w:line="360" w:lineRule="auto"/>
              <w:jc w:val="center"/>
              <w:rPr>
                <w:rFonts w:ascii="宋体" w:hAnsi="宋体"/>
                <w:b/>
              </w:rPr>
            </w:pPr>
            <w:r>
              <w:rPr>
                <w:rFonts w:ascii="宋体" w:hAnsi="宋体"/>
                <w:b/>
                <w:szCs w:val="21"/>
              </w:rPr>
              <w:t>事项</w:t>
            </w:r>
          </w:p>
        </w:tc>
        <w:tc>
          <w:tcPr>
            <w:tcW w:w="1229" w:type="pct"/>
            <w:vAlign w:val="center"/>
          </w:tcPr>
          <w:p>
            <w:pPr>
              <w:snapToGrid w:val="0"/>
              <w:spacing w:line="360" w:lineRule="auto"/>
              <w:jc w:val="center"/>
              <w:rPr>
                <w:rFonts w:ascii="宋体" w:hAnsi="宋体"/>
                <w:b/>
              </w:rPr>
            </w:pPr>
            <w:r>
              <w:rPr>
                <w:rFonts w:ascii="宋体" w:hAnsi="宋体"/>
                <w:b/>
                <w:szCs w:val="21"/>
              </w:rPr>
              <w:t>评审因素</w:t>
            </w:r>
          </w:p>
        </w:tc>
        <w:tc>
          <w:tcPr>
            <w:tcW w:w="2869" w:type="pct"/>
            <w:vAlign w:val="center"/>
          </w:tcPr>
          <w:p>
            <w:pPr>
              <w:snapToGrid w:val="0"/>
              <w:spacing w:line="360" w:lineRule="auto"/>
              <w:jc w:val="center"/>
              <w:rPr>
                <w:rFonts w:ascii="宋体" w:hAnsi="宋体"/>
                <w:b/>
              </w:rPr>
            </w:pPr>
            <w:r>
              <w:rPr>
                <w:rFonts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restart"/>
            <w:vAlign w:val="center"/>
          </w:tcPr>
          <w:p>
            <w:pPr>
              <w:snapToGrid w:val="0"/>
              <w:spacing w:line="360" w:lineRule="auto"/>
              <w:jc w:val="center"/>
              <w:rPr>
                <w:rFonts w:ascii="宋体" w:hAnsi="宋体"/>
                <w:szCs w:val="21"/>
              </w:rPr>
            </w:pPr>
            <w:r>
              <w:rPr>
                <w:rFonts w:hint="eastAsia" w:ascii="宋体" w:hAnsi="宋体"/>
                <w:szCs w:val="21"/>
              </w:rPr>
              <w:t>资格</w:t>
            </w:r>
          </w:p>
          <w:p>
            <w:pPr>
              <w:snapToGrid w:val="0"/>
              <w:spacing w:line="360" w:lineRule="auto"/>
              <w:jc w:val="center"/>
              <w:rPr>
                <w:rFonts w:ascii="宋体" w:hAnsi="宋体"/>
                <w:szCs w:val="21"/>
              </w:rPr>
            </w:pPr>
            <w:r>
              <w:rPr>
                <w:rFonts w:hint="eastAsia" w:ascii="宋体" w:hAnsi="宋体"/>
                <w:szCs w:val="21"/>
              </w:rPr>
              <w:t>评审</w:t>
            </w:r>
          </w:p>
        </w:tc>
        <w:tc>
          <w:tcPr>
            <w:tcW w:w="1229" w:type="pct"/>
            <w:vAlign w:val="center"/>
          </w:tcPr>
          <w:p>
            <w:pPr>
              <w:snapToGrid w:val="0"/>
              <w:spacing w:line="360" w:lineRule="auto"/>
              <w:jc w:val="left"/>
              <w:rPr>
                <w:rFonts w:ascii="宋体" w:hAnsi="宋体"/>
                <w:szCs w:val="21"/>
              </w:rPr>
            </w:pPr>
            <w:r>
              <w:rPr>
                <w:rFonts w:hint="eastAsia" w:ascii="宋体" w:hAnsi="宋体"/>
                <w:szCs w:val="21"/>
              </w:rPr>
              <w:t>营业执照/法人证书、税务登记证、组织机构代码证</w:t>
            </w:r>
          </w:p>
        </w:tc>
        <w:tc>
          <w:tcPr>
            <w:tcW w:w="2869" w:type="pct"/>
            <w:vAlign w:val="center"/>
          </w:tcPr>
          <w:p>
            <w:pPr>
              <w:snapToGrid w:val="0"/>
              <w:spacing w:line="360" w:lineRule="auto"/>
              <w:rPr>
                <w:rFonts w:ascii="宋体" w:hAnsi="宋体"/>
                <w:szCs w:val="21"/>
              </w:rPr>
            </w:pPr>
            <w:r>
              <w:rPr>
                <w:rFonts w:hint="eastAsia" w:ascii="宋体" w:hAnsi="宋体"/>
                <w:szCs w:val="21"/>
              </w:rPr>
              <w:t>具备有效的营业执照/法人证书、税务登记证及组织机构代码证（或</w:t>
            </w:r>
            <w:r>
              <w:rPr>
                <w:rFonts w:ascii="宋体" w:hAnsi="宋体"/>
                <w:szCs w:val="21"/>
              </w:rPr>
              <w:t>“多证合一”营业执照</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jc w:val="left"/>
              <w:rPr>
                <w:rFonts w:ascii="宋体" w:hAnsi="宋体"/>
                <w:szCs w:val="21"/>
              </w:rPr>
            </w:pPr>
            <w:r>
              <w:rPr>
                <w:rFonts w:hint="eastAsia" w:ascii="宋体" w:hAnsi="宋体"/>
                <w:szCs w:val="21"/>
              </w:rPr>
              <w:t>资格条件</w:t>
            </w:r>
          </w:p>
        </w:tc>
        <w:tc>
          <w:tcPr>
            <w:tcW w:w="2869" w:type="pct"/>
            <w:vAlign w:val="center"/>
          </w:tcPr>
          <w:p>
            <w:pPr>
              <w:pStyle w:val="10"/>
              <w:snapToGrid w:val="0"/>
              <w:spacing w:line="360" w:lineRule="auto"/>
              <w:rPr>
                <w:rFonts w:ascii="宋体" w:hAnsi="宋体"/>
                <w:szCs w:val="21"/>
              </w:rPr>
            </w:pPr>
            <w:r>
              <w:rPr>
                <w:rFonts w:hint="eastAsia" w:ascii="宋体" w:hAnsi="宋体"/>
                <w:szCs w:val="21"/>
              </w:rPr>
              <w:t>符合招标文件第4</w:t>
            </w:r>
            <w:r>
              <w:rPr>
                <w:rFonts w:ascii="宋体" w:hAnsi="宋体"/>
                <w:szCs w:val="21"/>
              </w:rPr>
              <w:t>.1</w:t>
            </w:r>
            <w:r>
              <w:rPr>
                <w:rFonts w:hint="eastAsia" w:ascii="宋体" w:hAnsi="宋体"/>
                <w:szCs w:val="21"/>
              </w:rPr>
              <w:t>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restart"/>
            <w:vAlign w:val="center"/>
          </w:tcPr>
          <w:p>
            <w:pPr>
              <w:snapToGrid w:val="0"/>
              <w:spacing w:line="360" w:lineRule="auto"/>
              <w:jc w:val="center"/>
              <w:rPr>
                <w:rFonts w:ascii="宋体" w:hAnsi="宋体"/>
                <w:szCs w:val="21"/>
              </w:rPr>
            </w:pPr>
            <w:r>
              <w:rPr>
                <w:rFonts w:hint="eastAsia" w:ascii="宋体" w:hAnsi="宋体"/>
                <w:szCs w:val="21"/>
              </w:rPr>
              <w:t>形式评审</w:t>
            </w:r>
          </w:p>
        </w:tc>
        <w:tc>
          <w:tcPr>
            <w:tcW w:w="1229" w:type="pct"/>
            <w:vAlign w:val="center"/>
          </w:tcPr>
          <w:p>
            <w:pPr>
              <w:snapToGrid w:val="0"/>
              <w:spacing w:line="360" w:lineRule="auto"/>
              <w:rPr>
                <w:rFonts w:ascii="宋体" w:hAnsi="宋体"/>
                <w:szCs w:val="21"/>
              </w:rPr>
            </w:pPr>
            <w:r>
              <w:rPr>
                <w:rFonts w:hint="eastAsia" w:ascii="宋体" w:hAnsi="宋体"/>
                <w:szCs w:val="21"/>
              </w:rPr>
              <w:t>投标人名称</w:t>
            </w:r>
          </w:p>
        </w:tc>
        <w:tc>
          <w:tcPr>
            <w:tcW w:w="2869" w:type="pct"/>
            <w:vAlign w:val="center"/>
          </w:tcPr>
          <w:p>
            <w:pPr>
              <w:snapToGrid w:val="0"/>
              <w:spacing w:line="360" w:lineRule="auto"/>
              <w:rPr>
                <w:rFonts w:ascii="宋体" w:hAnsi="宋体"/>
                <w:szCs w:val="21"/>
              </w:rPr>
            </w:pPr>
            <w:r>
              <w:rPr>
                <w:rFonts w:hint="eastAsia" w:ascii="宋体" w:hAnsi="宋体"/>
                <w:szCs w:val="21"/>
              </w:rPr>
              <w:t>与营业执照/法人证书一致。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rPr>
            </w:pPr>
            <w:r>
              <w:rPr>
                <w:rFonts w:ascii="宋体" w:hAnsi="宋体"/>
                <w:szCs w:val="21"/>
              </w:rPr>
              <w:t>投标文件</w:t>
            </w:r>
            <w:r>
              <w:rPr>
                <w:rFonts w:hint="eastAsia" w:ascii="宋体" w:hAnsi="宋体"/>
                <w:szCs w:val="21"/>
              </w:rPr>
              <w:t>编制和签署</w:t>
            </w:r>
          </w:p>
        </w:tc>
        <w:tc>
          <w:tcPr>
            <w:tcW w:w="2869" w:type="pct"/>
            <w:vAlign w:val="center"/>
          </w:tcPr>
          <w:p>
            <w:pPr>
              <w:snapToGrid w:val="0"/>
              <w:spacing w:line="360" w:lineRule="auto"/>
              <w:rPr>
                <w:rFonts w:ascii="宋体" w:hAnsi="宋体"/>
                <w:szCs w:val="21"/>
              </w:rPr>
            </w:pPr>
            <w:r>
              <w:rPr>
                <w:rFonts w:ascii="宋体" w:hAnsi="宋体"/>
                <w:szCs w:val="21"/>
              </w:rPr>
              <w:t>符合招标文件第18</w:t>
            </w:r>
            <w:r>
              <w:rPr>
                <w:rFonts w:hint="eastAsia" w:ascii="宋体" w:hAnsi="宋体"/>
                <w:szCs w:val="21"/>
              </w:rPr>
              <w:t>条</w:t>
            </w:r>
            <w:r>
              <w:rPr>
                <w:rFonts w:ascii="宋体" w:hAnsi="宋体"/>
                <w:szCs w:val="21"/>
              </w:rPr>
              <w:t>的要求</w:t>
            </w:r>
            <w:r>
              <w:rPr>
                <w:rFonts w:hint="eastAsia" w:ascii="宋体" w:hAnsi="宋体"/>
                <w:szCs w:val="21"/>
              </w:rPr>
              <w:t>，并按照</w:t>
            </w:r>
            <w:r>
              <w:rPr>
                <w:rFonts w:hint="eastAsia" w:ascii="宋体" w:hAnsi="宋体"/>
              </w:rPr>
              <w:t>第三章投标文件格式要求编制，包括</w:t>
            </w:r>
            <w:r>
              <w:rPr>
                <w:rFonts w:hint="eastAsia" w:ascii="宋体" w:hAnsi="宋体"/>
                <w:szCs w:val="21"/>
              </w:rPr>
              <w:t>完整、真实的填写《</w:t>
            </w:r>
            <w:r>
              <w:rPr>
                <w:rFonts w:hint="eastAsia" w:ascii="宋体" w:hAnsi="宋体"/>
              </w:rPr>
              <w:t>合同条款偏离表》《</w:t>
            </w:r>
            <w:r>
              <w:rPr>
                <w:rFonts w:hint="eastAsia" w:ascii="宋体" w:hAnsi="宋体"/>
                <w:szCs w:val="21"/>
                <w:lang w:val="zh-CN"/>
              </w:rPr>
              <w:t>技术规格偏离表》</w:t>
            </w:r>
            <w:r>
              <w:rPr>
                <w:rFonts w:hint="eastAsia" w:ascii="宋体" w:hAnsi="宋体"/>
                <w:szCs w:val="21"/>
              </w:rPr>
              <w:t>和各类报价表格。（其中：投标人为在境内依法登记注册、能独立承担民事责任能力，具有生产制造本次投标成套设备能力的制造商时，提供成套设备制造商资格声明（加盖制造商法人公章及签名/盖私章）原件扫描件。</w:t>
            </w:r>
          </w:p>
          <w:p>
            <w:pPr>
              <w:snapToGrid w:val="0"/>
              <w:spacing w:line="360" w:lineRule="auto"/>
              <w:rPr>
                <w:rFonts w:ascii="宋体" w:hAnsi="宋体"/>
              </w:rPr>
            </w:pPr>
            <w:r>
              <w:rPr>
                <w:rFonts w:hint="eastAsia" w:ascii="宋体" w:hAnsi="宋体"/>
                <w:szCs w:val="21"/>
              </w:rPr>
              <w:t>备注：以上证明材料的成套设备制造商资格声明需严格按照本招标文件第三章投标文件格式提供。）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rPr>
            </w:pPr>
            <w:r>
              <w:rPr>
                <w:rFonts w:ascii="宋体" w:hAnsi="宋体"/>
                <w:szCs w:val="21"/>
              </w:rPr>
              <w:t>投标文件唯一性</w:t>
            </w:r>
          </w:p>
        </w:tc>
        <w:tc>
          <w:tcPr>
            <w:tcW w:w="2869" w:type="pct"/>
            <w:vAlign w:val="center"/>
          </w:tcPr>
          <w:p>
            <w:pPr>
              <w:snapToGrid w:val="0"/>
              <w:spacing w:line="360" w:lineRule="auto"/>
              <w:rPr>
                <w:rFonts w:ascii="宋体" w:hAnsi="宋体"/>
                <w:szCs w:val="21"/>
              </w:rPr>
            </w:pPr>
            <w:r>
              <w:rPr>
                <w:rFonts w:ascii="宋体" w:hAnsi="宋体"/>
                <w:szCs w:val="21"/>
              </w:rPr>
              <w:t>投标人</w:t>
            </w:r>
            <w:r>
              <w:rPr>
                <w:rFonts w:hint="eastAsia" w:ascii="宋体" w:hAnsi="宋体"/>
                <w:spacing w:val="6"/>
                <w:szCs w:val="21"/>
              </w:rPr>
              <w:t>在一份投标文件中对同一招标项目（或子项目）报有两个或多个报价，且未书面声明哪一个有效，以数字表示的投标报价与以文字表示的不一致的情况除外，投标报价以文字表示的为准（或未能根据招标文件已明确的修正原则进行修正的</w:t>
            </w:r>
            <w:r>
              <w:rPr>
                <w:rFonts w:ascii="宋体" w:hAnsi="宋体"/>
                <w:spacing w:val="6"/>
                <w:szCs w:val="21"/>
              </w:rPr>
              <w:t>）</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restart"/>
            <w:vAlign w:val="center"/>
          </w:tcPr>
          <w:p>
            <w:pPr>
              <w:snapToGrid w:val="0"/>
              <w:spacing w:line="360" w:lineRule="auto"/>
              <w:jc w:val="center"/>
              <w:rPr>
                <w:rFonts w:ascii="宋体" w:hAnsi="宋体"/>
                <w:szCs w:val="21"/>
              </w:rPr>
            </w:pPr>
            <w:r>
              <w:rPr>
                <w:rFonts w:hint="eastAsia" w:ascii="宋体" w:hAnsi="宋体"/>
                <w:szCs w:val="21"/>
              </w:rPr>
              <w:t>响应性评审</w:t>
            </w:r>
          </w:p>
        </w:tc>
        <w:tc>
          <w:tcPr>
            <w:tcW w:w="1229" w:type="pct"/>
            <w:vAlign w:val="center"/>
          </w:tcPr>
          <w:p>
            <w:pPr>
              <w:snapToGrid w:val="0"/>
              <w:spacing w:line="360" w:lineRule="auto"/>
              <w:rPr>
                <w:rFonts w:ascii="宋体" w:hAnsi="宋体"/>
                <w:szCs w:val="21"/>
              </w:rPr>
            </w:pPr>
            <w:r>
              <w:rPr>
                <w:rFonts w:hint="eastAsia" w:ascii="宋体" w:hAnsi="宋体"/>
                <w:szCs w:val="21"/>
              </w:rPr>
              <w:t>投标报价（价</w:t>
            </w:r>
            <w:r>
              <w:rPr>
                <w:rFonts w:ascii="宋体" w:hAnsi="宋体"/>
                <w:szCs w:val="21"/>
              </w:rPr>
              <w:t>格符合性</w:t>
            </w:r>
            <w:r>
              <w:rPr>
                <w:rFonts w:hint="eastAsia" w:ascii="宋体" w:hAnsi="宋体"/>
                <w:szCs w:val="21"/>
              </w:rPr>
              <w:t>）</w:t>
            </w:r>
          </w:p>
        </w:tc>
        <w:tc>
          <w:tcPr>
            <w:tcW w:w="2869" w:type="pct"/>
            <w:vAlign w:val="center"/>
          </w:tcPr>
          <w:p>
            <w:pPr>
              <w:tabs>
                <w:tab w:val="left" w:pos="1440"/>
              </w:tabs>
              <w:snapToGrid w:val="0"/>
              <w:spacing w:line="360" w:lineRule="auto"/>
              <w:rPr>
                <w:rFonts w:ascii="宋体" w:hAnsi="宋体"/>
                <w:szCs w:val="21"/>
              </w:rPr>
            </w:pPr>
            <w:r>
              <w:rPr>
                <w:rFonts w:hint="eastAsia" w:ascii="宋体" w:hAnsi="宋体" w:cs="宋体"/>
                <w:szCs w:val="21"/>
              </w:rPr>
              <w:t>①</w:t>
            </w:r>
            <w:r>
              <w:rPr>
                <w:rFonts w:hint="eastAsia" w:ascii="宋体" w:hAnsi="宋体"/>
                <w:szCs w:val="21"/>
              </w:rPr>
              <w:t>投标人的投标总报价未高于最高限价、投标人的子项目投标报价（报价可根据招标文件已明确的修正原则进行修正的，本处指修正后的报价）未高于对应子项目的最高限价、投标人已对招标范围内的全部设备进行投标报价。</w:t>
            </w:r>
          </w:p>
          <w:p>
            <w:pPr>
              <w:pStyle w:val="5"/>
            </w:pPr>
            <w:bookmarkStart w:id="686" w:name="_Toc132276295"/>
            <w:bookmarkStart w:id="687" w:name="_Toc132814749"/>
            <w:bookmarkStart w:id="688" w:name="_Toc262"/>
            <w:r>
              <w:rPr>
                <w:rFonts w:hint="eastAsia" w:ascii="宋体" w:hAnsi="宋体" w:cs="宋体"/>
                <w:szCs w:val="21"/>
              </w:rPr>
              <w:t>②</w:t>
            </w:r>
            <w:r>
              <w:rPr>
                <w:rFonts w:hint="eastAsia" w:ascii="宋体" w:hAnsi="宋体"/>
                <w:szCs w:val="21"/>
              </w:rPr>
              <w:t>投标人的投标报价未出现超低报价。</w:t>
            </w:r>
            <w:bookmarkEnd w:id="686"/>
            <w:bookmarkEnd w:id="687"/>
            <w:bookmarkEnd w:id="6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szCs w:val="21"/>
              </w:rPr>
            </w:pPr>
            <w:r>
              <w:rPr>
                <w:rFonts w:hint="eastAsia" w:ascii="宋体" w:hAnsi="宋体"/>
                <w:szCs w:val="21"/>
              </w:rPr>
              <w:t>报价信封编制</w:t>
            </w:r>
          </w:p>
        </w:tc>
        <w:tc>
          <w:tcPr>
            <w:tcW w:w="2869" w:type="pct"/>
            <w:vAlign w:val="center"/>
          </w:tcPr>
          <w:p>
            <w:pPr>
              <w:tabs>
                <w:tab w:val="left" w:pos="1440"/>
              </w:tabs>
              <w:snapToGrid w:val="0"/>
              <w:spacing w:line="360" w:lineRule="auto"/>
              <w:rPr>
                <w:rFonts w:ascii="宋体" w:hAnsi="宋体"/>
                <w:szCs w:val="21"/>
              </w:rPr>
            </w:pPr>
            <w:r>
              <w:rPr>
                <w:rFonts w:hint="eastAsia" w:ascii="宋体" w:hAnsi="宋体" w:cs="宋体"/>
                <w:szCs w:val="21"/>
              </w:rPr>
              <w:t>报价信封编制需满足招标文件第一章第</w:t>
            </w:r>
            <w:r>
              <w:rPr>
                <w:rFonts w:ascii="宋体" w:hAnsi="宋体" w:cs="宋体"/>
                <w:szCs w:val="21"/>
              </w:rPr>
              <w:t>18.6.3</w:t>
            </w:r>
            <w:r>
              <w:rPr>
                <w:rFonts w:hint="eastAsia" w:ascii="宋体" w:hAnsi="宋体" w:cs="宋体"/>
                <w:szCs w:val="21"/>
              </w:rPr>
              <w:t>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szCs w:val="21"/>
              </w:rPr>
            </w:pPr>
            <w:r>
              <w:rPr>
                <w:rFonts w:ascii="宋体" w:hAnsi="宋体"/>
                <w:szCs w:val="21"/>
              </w:rPr>
              <w:t>技术符合性</w:t>
            </w:r>
          </w:p>
        </w:tc>
        <w:tc>
          <w:tcPr>
            <w:tcW w:w="2869" w:type="pct"/>
            <w:vAlign w:val="center"/>
          </w:tcPr>
          <w:p>
            <w:pPr>
              <w:snapToGrid w:val="0"/>
              <w:spacing w:line="360" w:lineRule="auto"/>
              <w:rPr>
                <w:rFonts w:ascii="宋体" w:hAnsi="宋体"/>
                <w:szCs w:val="21"/>
              </w:rPr>
            </w:pPr>
            <w:r>
              <w:rPr>
                <w:rFonts w:hint="eastAsia" w:ascii="宋体" w:hAnsi="宋体"/>
                <w:szCs w:val="21"/>
              </w:rPr>
              <w:t>投标人实质性响应招标文件（用户需求书）的要求（“★”条款）。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szCs w:val="21"/>
              </w:rPr>
            </w:pPr>
            <w:r>
              <w:rPr>
                <w:rFonts w:ascii="宋体" w:hAnsi="宋体"/>
                <w:szCs w:val="21"/>
              </w:rPr>
              <w:t>其他内容</w:t>
            </w:r>
          </w:p>
        </w:tc>
        <w:tc>
          <w:tcPr>
            <w:tcW w:w="2869" w:type="pct"/>
            <w:vAlign w:val="center"/>
          </w:tcPr>
          <w:p>
            <w:pPr>
              <w:snapToGrid w:val="0"/>
              <w:spacing w:line="360" w:lineRule="auto"/>
              <w:rPr>
                <w:rFonts w:ascii="宋体" w:hAnsi="宋体"/>
                <w:szCs w:val="21"/>
              </w:rPr>
            </w:pPr>
            <w:r>
              <w:rPr>
                <w:rFonts w:ascii="宋体" w:hAnsi="宋体"/>
                <w:szCs w:val="21"/>
              </w:rPr>
              <w:t>投标文件未附有招标人不能接受的条件；</w:t>
            </w:r>
          </w:p>
          <w:p>
            <w:pPr>
              <w:snapToGrid w:val="0"/>
              <w:spacing w:line="360" w:lineRule="auto"/>
              <w:rPr>
                <w:rFonts w:ascii="宋体" w:hAnsi="宋体"/>
                <w:szCs w:val="21"/>
              </w:rPr>
            </w:pPr>
            <w:r>
              <w:rPr>
                <w:rFonts w:ascii="宋体" w:hAnsi="宋体"/>
                <w:szCs w:val="21"/>
              </w:rPr>
              <w:t>投标文件中未出现</w:t>
            </w:r>
            <w:r>
              <w:rPr>
                <w:rFonts w:hint="eastAsia" w:ascii="宋体" w:hAnsi="宋体"/>
                <w:szCs w:val="21"/>
              </w:rPr>
              <w:t>不符合招标文件要求或法律法规规定的</w:t>
            </w:r>
            <w:r>
              <w:rPr>
                <w:rFonts w:ascii="宋体" w:hAnsi="宋体"/>
                <w:szCs w:val="21"/>
              </w:rPr>
              <w:t>废标</w:t>
            </w:r>
            <w:r>
              <w:rPr>
                <w:rFonts w:hint="eastAsia" w:ascii="宋体" w:hAnsi="宋体"/>
                <w:szCs w:val="21"/>
              </w:rPr>
              <w:t>（或无效投标）</w:t>
            </w:r>
            <w:r>
              <w:rPr>
                <w:rFonts w:ascii="宋体" w:hAnsi="宋体"/>
                <w:szCs w:val="21"/>
              </w:rPr>
              <w:t>内容。</w:t>
            </w:r>
          </w:p>
        </w:tc>
      </w:tr>
    </w:tbl>
    <w:p>
      <w:pPr>
        <w:spacing w:line="360" w:lineRule="auto"/>
        <w:rPr>
          <w:rFonts w:ascii="宋体" w:hAnsi="宋体"/>
          <w:szCs w:val="21"/>
        </w:rPr>
      </w:pPr>
    </w:p>
    <w:p>
      <w:pPr>
        <w:snapToGrid w:val="0"/>
        <w:spacing w:line="360" w:lineRule="auto"/>
        <w:ind w:firstLine="480"/>
        <w:rPr>
          <w:rFonts w:ascii="宋体" w:hAnsi="宋体"/>
          <w:bCs/>
          <w:szCs w:val="21"/>
        </w:rPr>
      </w:pPr>
      <w:r>
        <w:rPr>
          <w:rFonts w:ascii="宋体" w:hAnsi="宋体"/>
          <w:bCs/>
          <w:szCs w:val="21"/>
        </w:rPr>
        <w:t>6.</w:t>
      </w:r>
      <w:r>
        <w:rPr>
          <w:rFonts w:hint="eastAsia" w:ascii="宋体" w:hAnsi="宋体"/>
          <w:bCs/>
          <w:szCs w:val="21"/>
        </w:rPr>
        <w:t>3</w:t>
      </w:r>
      <w:r>
        <w:rPr>
          <w:rFonts w:ascii="宋体" w:hAnsi="宋体"/>
          <w:bCs/>
          <w:szCs w:val="21"/>
        </w:rPr>
        <w:t>本次评标对投标文件商务标</w:t>
      </w:r>
      <w:r>
        <w:rPr>
          <w:rFonts w:hint="eastAsia" w:ascii="宋体" w:hAnsi="宋体"/>
          <w:bCs/>
          <w:szCs w:val="21"/>
        </w:rPr>
        <w:t>（不含价格）</w:t>
      </w:r>
      <w:r>
        <w:rPr>
          <w:rFonts w:ascii="宋体" w:hAnsi="宋体"/>
          <w:bCs/>
          <w:szCs w:val="21"/>
        </w:rPr>
        <w:t>综合评分的</w:t>
      </w:r>
      <w:r>
        <w:rPr>
          <w:rFonts w:hint="eastAsia" w:ascii="宋体" w:hAnsi="宋体"/>
          <w:bCs/>
          <w:szCs w:val="21"/>
        </w:rPr>
        <w:t>满分</w:t>
      </w:r>
      <w:r>
        <w:rPr>
          <w:rFonts w:ascii="宋体" w:hAnsi="宋体"/>
          <w:bCs/>
          <w:szCs w:val="21"/>
        </w:rPr>
        <w:t>为</w:t>
      </w:r>
      <w:r>
        <w:rPr>
          <w:rFonts w:hint="eastAsia" w:ascii="宋体" w:hAnsi="宋体"/>
          <w:bCs/>
          <w:szCs w:val="21"/>
        </w:rPr>
        <w:t>20</w:t>
      </w:r>
      <w:r>
        <w:rPr>
          <w:rFonts w:ascii="宋体" w:hAnsi="宋体"/>
          <w:bCs/>
          <w:szCs w:val="21"/>
        </w:rPr>
        <w:t>分，各评分项目的具体评分标准如下：</w:t>
      </w:r>
    </w:p>
    <w:tbl>
      <w:tblPr>
        <w:tblStyle w:val="29"/>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403"/>
        <w:gridCol w:w="977"/>
        <w:gridCol w:w="5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ascii="宋体" w:hAnsi="宋体"/>
                <w:szCs w:val="21"/>
              </w:rPr>
              <w:t>序号</w:t>
            </w:r>
          </w:p>
        </w:tc>
        <w:tc>
          <w:tcPr>
            <w:tcW w:w="81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ascii="宋体" w:hAnsi="宋体"/>
                <w:szCs w:val="21"/>
              </w:rPr>
              <w:t>评审项目</w:t>
            </w:r>
          </w:p>
        </w:tc>
        <w:tc>
          <w:tcPr>
            <w:tcW w:w="56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cs="宋体"/>
                <w:szCs w:val="21"/>
              </w:rPr>
            </w:pPr>
            <w:r>
              <w:rPr>
                <w:rFonts w:hint="eastAsia" w:ascii="宋体" w:hAnsi="宋体" w:cs="宋体"/>
                <w:szCs w:val="21"/>
              </w:rPr>
              <w:t>满分值</w:t>
            </w:r>
          </w:p>
        </w:tc>
        <w:tc>
          <w:tcPr>
            <w:tcW w:w="3225"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cs="宋体"/>
                <w:szCs w:val="21"/>
              </w:rPr>
            </w:pPr>
            <w:r>
              <w:rPr>
                <w:rFonts w:ascii="宋体" w:hAnsi="宋体" w:cs="宋体"/>
                <w:szCs w:val="21"/>
              </w:rPr>
              <w:t>评分内容及评分标准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ascii="宋体" w:hAnsi="宋体"/>
                <w:szCs w:val="21"/>
              </w:rPr>
              <w:t>1</w:t>
            </w:r>
          </w:p>
        </w:tc>
        <w:tc>
          <w:tcPr>
            <w:tcW w:w="81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hint="eastAsia" w:ascii="宋体" w:hAnsi="宋体"/>
                <w:szCs w:val="21"/>
              </w:rPr>
              <w:t>财务状况</w:t>
            </w:r>
          </w:p>
        </w:tc>
        <w:tc>
          <w:tcPr>
            <w:tcW w:w="56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cs="宋体"/>
                <w:szCs w:val="21"/>
              </w:rPr>
            </w:pPr>
            <w:r>
              <w:rPr>
                <w:rFonts w:ascii="宋体" w:hAnsi="宋体" w:cs="宋体"/>
                <w:szCs w:val="21"/>
              </w:rPr>
              <w:t>2</w:t>
            </w:r>
            <w:r>
              <w:rPr>
                <w:rFonts w:hint="eastAsia" w:ascii="宋体" w:hAnsi="宋体" w:cs="宋体"/>
                <w:szCs w:val="21"/>
              </w:rPr>
              <w:t>分</w:t>
            </w:r>
          </w:p>
        </w:tc>
        <w:tc>
          <w:tcPr>
            <w:tcW w:w="3225"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投标人2020年-20</w:t>
            </w:r>
            <w:r>
              <w:rPr>
                <w:rFonts w:ascii="宋体" w:hAnsi="宋体" w:cs="宋体"/>
                <w:szCs w:val="21"/>
              </w:rPr>
              <w:t>2</w:t>
            </w:r>
            <w:r>
              <w:rPr>
                <w:rFonts w:hint="eastAsia" w:ascii="宋体" w:hAnsi="宋体" w:cs="宋体"/>
                <w:szCs w:val="21"/>
              </w:rPr>
              <w:t>2年三个年度，连续3个年度净利润无亏损的得2分，其中2个年度净利润无亏损的得1分，其他情况不得分，满分</w:t>
            </w:r>
            <w:r>
              <w:rPr>
                <w:rFonts w:ascii="宋体" w:hAnsi="宋体" w:cs="宋体"/>
                <w:szCs w:val="21"/>
              </w:rPr>
              <w:t>2</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b/>
                <w:bCs/>
                <w:szCs w:val="21"/>
              </w:rPr>
            </w:pPr>
            <w:r>
              <w:rPr>
                <w:rFonts w:hint="eastAsia" w:ascii="宋体" w:hAnsi="宋体"/>
                <w:b/>
                <w:szCs w:val="21"/>
              </w:rPr>
              <w:t>备注：净利润</w:t>
            </w:r>
            <w:r>
              <w:rPr>
                <w:rFonts w:ascii="宋体" w:hAnsi="宋体"/>
                <w:b/>
                <w:szCs w:val="21"/>
              </w:rPr>
              <w:t>以经审计的财务报表为准</w:t>
            </w:r>
            <w:r>
              <w:rPr>
                <w:rFonts w:hint="eastAsia" w:ascii="宋体" w:hAnsi="宋体"/>
                <w:b/>
                <w:szCs w:val="21"/>
              </w:rPr>
              <w:t>，</w:t>
            </w:r>
            <w:r>
              <w:rPr>
                <w:rFonts w:hint="eastAsia" w:ascii="宋体" w:hAnsi="宋体" w:cs="宋体"/>
                <w:b/>
                <w:szCs w:val="21"/>
              </w:rPr>
              <w:t>须提供经独立会计师事务所审计过的有效的财务报告（含审计报告和财务报表）原件扫描件，未营业或未提供前述财务报告或财务报告未能反映净利润的，不得分。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hint="eastAsia" w:ascii="宋体" w:hAnsi="宋体"/>
                <w:szCs w:val="21"/>
              </w:rPr>
              <w:t>2</w:t>
            </w:r>
          </w:p>
        </w:tc>
        <w:tc>
          <w:tcPr>
            <w:tcW w:w="81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hint="eastAsia" w:ascii="宋体" w:hAnsi="宋体"/>
                <w:szCs w:val="21"/>
              </w:rPr>
              <w:t>标准化管理水平</w:t>
            </w:r>
          </w:p>
        </w:tc>
        <w:tc>
          <w:tcPr>
            <w:tcW w:w="56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cs="宋体"/>
                <w:szCs w:val="21"/>
              </w:rPr>
            </w:pPr>
            <w:r>
              <w:rPr>
                <w:rFonts w:ascii="宋体" w:hAnsi="宋体" w:cs="宋体"/>
                <w:szCs w:val="21"/>
              </w:rPr>
              <w:t>2</w:t>
            </w:r>
            <w:r>
              <w:rPr>
                <w:rFonts w:hint="eastAsia" w:ascii="宋体" w:hAnsi="宋体" w:cs="宋体"/>
                <w:szCs w:val="21"/>
              </w:rPr>
              <w:t>分</w:t>
            </w:r>
          </w:p>
        </w:tc>
        <w:tc>
          <w:tcPr>
            <w:tcW w:w="3225"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（1）投标人提供其有效期内的ISO9001质量管理体系认证证书，得</w:t>
            </w:r>
            <w:r>
              <w:rPr>
                <w:rFonts w:ascii="宋体" w:hAnsi="宋体" w:cs="宋体"/>
                <w:szCs w:val="21"/>
              </w:rPr>
              <w:t>0.5</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（2）投标人提供其有效期内的ISO14001环境管理体系认证证书，得</w:t>
            </w:r>
            <w:r>
              <w:rPr>
                <w:rFonts w:ascii="宋体" w:hAnsi="宋体" w:cs="宋体"/>
                <w:szCs w:val="21"/>
              </w:rPr>
              <w:t>0.5</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（3）投标人提供其有效期内的OHSAS18001（或GB/T45001-2020，或ISO45001）职业健康安全管理体系认证证书，得</w:t>
            </w:r>
            <w:r>
              <w:rPr>
                <w:rFonts w:ascii="宋体" w:hAnsi="宋体" w:cs="宋体"/>
                <w:szCs w:val="21"/>
              </w:rPr>
              <w:t>0.5</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（4）投标人提供其有效期内的</w:t>
            </w:r>
            <w:r>
              <w:rPr>
                <w:rFonts w:ascii="宋体" w:hAnsi="宋体" w:cs="宋体"/>
                <w:szCs w:val="21"/>
              </w:rPr>
              <w:t>GB/T27922-2011</w:t>
            </w:r>
            <w:r>
              <w:rPr>
                <w:rFonts w:hint="eastAsia" w:ascii="宋体" w:hAnsi="宋体" w:cs="宋体"/>
                <w:szCs w:val="21"/>
              </w:rPr>
              <w:t>售后服务认证证书，得</w:t>
            </w:r>
            <w:r>
              <w:rPr>
                <w:rFonts w:ascii="宋体" w:hAnsi="宋体" w:cs="宋体"/>
                <w:szCs w:val="21"/>
              </w:rPr>
              <w:t>0.5</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备注：</w:t>
            </w:r>
            <w:r>
              <w:rPr>
                <w:rFonts w:hint="eastAsia" w:hAnsi="宋体" w:cs="宋体"/>
                <w:b/>
                <w:szCs w:val="21"/>
              </w:rPr>
              <w:t>投标人应提供上述有效证书原件扫描件及能显示证书有效状态的全国认证认可信息公共服务平台（http://cx.cnca.cn/）查询结果凭证扫描件{凭证界面需显示有“全国认证认可信息公共服务平台”或“认证证书（需显示网址cx.cnca.cn）”}，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hint="eastAsia" w:ascii="宋体" w:hAnsi="宋体"/>
                <w:szCs w:val="21"/>
              </w:rPr>
              <w:t>3</w:t>
            </w:r>
          </w:p>
        </w:tc>
        <w:tc>
          <w:tcPr>
            <w:tcW w:w="81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hint="eastAsia" w:ascii="宋体" w:hAnsi="宋体"/>
                <w:szCs w:val="21"/>
              </w:rPr>
              <w:t>企业实力</w:t>
            </w:r>
          </w:p>
        </w:tc>
        <w:tc>
          <w:tcPr>
            <w:tcW w:w="56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cs="宋体"/>
                <w:szCs w:val="21"/>
              </w:rPr>
            </w:pPr>
            <w:r>
              <w:rPr>
                <w:rFonts w:hint="eastAsia" w:ascii="宋体" w:hAnsi="宋体" w:cs="宋体"/>
                <w:szCs w:val="21"/>
              </w:rPr>
              <w:t>2分</w:t>
            </w:r>
          </w:p>
        </w:tc>
        <w:tc>
          <w:tcPr>
            <w:tcW w:w="3225"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一、机电工程施工总承包情况：</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（1）投标人具备机电工程施工总承包二级资质或以上资质的，得2分；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（2）投标人具备机电工程施工总承包三级资质的，得</w:t>
            </w:r>
            <w:r>
              <w:rPr>
                <w:rFonts w:ascii="宋体" w:hAnsi="宋体" w:cs="宋体"/>
                <w:szCs w:val="21"/>
              </w:rPr>
              <w:t>1.5</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二、建筑机电安装工程专业承包情况：</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）投标人具备建筑机电安装工程专业承包一级资质，得</w:t>
            </w:r>
            <w:r>
              <w:rPr>
                <w:rFonts w:ascii="宋体" w:hAnsi="宋体" w:cs="宋体"/>
                <w:szCs w:val="21"/>
              </w:rPr>
              <w:t>2</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）投标人具备建筑机电安装工程专业承包二级资质，得</w:t>
            </w:r>
            <w:r>
              <w:rPr>
                <w:rFonts w:ascii="宋体" w:hAnsi="宋体" w:cs="宋体"/>
                <w:szCs w:val="21"/>
              </w:rPr>
              <w:t>1.5</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）投标人具备建筑机电安装工程专业承包三级资质，得</w:t>
            </w:r>
            <w:r>
              <w:rPr>
                <w:rFonts w:ascii="宋体" w:hAnsi="宋体" w:cs="宋体"/>
                <w:szCs w:val="21"/>
              </w:rPr>
              <w:t>1</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备注：</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①投标人应提供上述有效证书</w:t>
            </w:r>
            <w:r>
              <w:rPr>
                <w:rFonts w:hint="eastAsia" w:ascii="宋体" w:hAnsi="宋体" w:cs="宋体"/>
                <w:b/>
                <w:szCs w:val="21"/>
              </w:rPr>
              <w:t>原件扫描件</w:t>
            </w:r>
            <w:r>
              <w:rPr>
                <w:rFonts w:hint="eastAsia" w:ascii="宋体" w:hAnsi="宋体" w:cs="宋体"/>
                <w:b/>
                <w:bCs/>
                <w:szCs w:val="21"/>
              </w:rPr>
              <w:t>（如投标人受政策影响按当地有关政府部门政策文件可享受证书延长有效期限的，投标人需同时提供当地有关政府部门政策文件的打印件或</w:t>
            </w:r>
            <w:r>
              <w:rPr>
                <w:rFonts w:hint="eastAsia" w:ascii="宋体" w:hAnsi="宋体" w:cs="宋体"/>
                <w:b/>
                <w:szCs w:val="21"/>
              </w:rPr>
              <w:t>原件扫描件</w:t>
            </w:r>
            <w:r>
              <w:rPr>
                <w:rFonts w:hint="eastAsia" w:ascii="宋体" w:hAnsi="宋体" w:cs="宋体"/>
                <w:b/>
                <w:bCs/>
                <w:szCs w:val="21"/>
              </w:rPr>
              <w:t>），否则不得分。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b/>
                <w:bCs/>
                <w:szCs w:val="21"/>
              </w:rPr>
              <w:t>②若投标人同时具备机电工程施工总承包资质和建筑机电安装工程专业承包资质，按得分较高的资质计算得分且不重复得分。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ascii="宋体" w:hAnsi="宋体"/>
                <w:szCs w:val="21"/>
              </w:rPr>
              <w:t>4</w:t>
            </w:r>
          </w:p>
        </w:tc>
        <w:tc>
          <w:tcPr>
            <w:tcW w:w="81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szCs w:val="21"/>
              </w:rPr>
            </w:pPr>
            <w:r>
              <w:rPr>
                <w:rFonts w:hint="eastAsia" w:ascii="宋体" w:hAnsi="宋体"/>
                <w:szCs w:val="21"/>
              </w:rPr>
              <w:t xml:space="preserve">业绩 </w:t>
            </w:r>
          </w:p>
        </w:tc>
        <w:tc>
          <w:tcPr>
            <w:tcW w:w="569"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center"/>
              <w:rPr>
                <w:rFonts w:ascii="宋体" w:hAnsi="宋体" w:cs="宋体"/>
                <w:szCs w:val="21"/>
              </w:rPr>
            </w:pPr>
            <w:r>
              <w:rPr>
                <w:rFonts w:ascii="宋体" w:hAnsi="宋体" w:cs="宋体"/>
                <w:szCs w:val="21"/>
              </w:rPr>
              <w:t>14</w:t>
            </w:r>
            <w:r>
              <w:rPr>
                <w:rFonts w:hint="eastAsia" w:ascii="宋体" w:hAnsi="宋体" w:cs="宋体"/>
                <w:szCs w:val="21"/>
              </w:rPr>
              <w:t>分</w:t>
            </w:r>
          </w:p>
        </w:tc>
        <w:tc>
          <w:tcPr>
            <w:tcW w:w="3225"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38" w:rightChars="-18" w:firstLine="2"/>
              <w:jc w:val="left"/>
              <w:rPr>
                <w:rFonts w:ascii="宋体" w:hAnsi="宋体" w:cs="宋体"/>
                <w:szCs w:val="21"/>
              </w:rPr>
            </w:pPr>
            <w:r>
              <w:rPr>
                <w:rFonts w:hint="eastAsia" w:ascii="宋体" w:hAnsi="宋体" w:cs="宋体"/>
                <w:b/>
                <w:bCs/>
                <w:szCs w:val="21"/>
              </w:rPr>
              <w:t>刮泥机成套系统设备业绩</w:t>
            </w:r>
            <w:r>
              <w:rPr>
                <w:rFonts w:hint="eastAsia" w:ascii="宋体" w:hAnsi="宋体" w:cs="宋体"/>
                <w:szCs w:val="21"/>
              </w:rPr>
              <w:t>（</w:t>
            </w:r>
            <w:r>
              <w:rPr>
                <w:rFonts w:ascii="宋体" w:hAnsi="宋体" w:cs="宋体"/>
                <w:szCs w:val="21"/>
              </w:rPr>
              <w:t>2018</w:t>
            </w:r>
            <w:r>
              <w:rPr>
                <w:rFonts w:hint="eastAsia" w:ascii="宋体" w:hAnsi="宋体" w:cs="宋体"/>
                <w:szCs w:val="21"/>
              </w:rPr>
              <w:t>年1月1日至今投标品牌的</w:t>
            </w:r>
            <w:r>
              <w:rPr>
                <w:rFonts w:hint="eastAsia" w:ascii="宋体" w:hAnsi="宋体" w:cs="宋体"/>
                <w:b/>
                <w:bCs/>
                <w:szCs w:val="21"/>
              </w:rPr>
              <w:t>刮泥机成套系统设备</w:t>
            </w:r>
            <w:r>
              <w:rPr>
                <w:rFonts w:hint="eastAsia" w:ascii="宋体" w:hAnsi="宋体" w:cs="宋体"/>
                <w:szCs w:val="21"/>
              </w:rPr>
              <w:t>在国内完成的供货业绩，业绩的时间以合同签订的日期为准)。同一个合同的业绩同时符合本评审内容多种类型的业绩条件时，不得重复放置、也不重复得分，由投标人选择将该项目业绩归类到其中一类业绩内，评标委员会将根据评分标准，对相应类型业绩表内的业绩情况进行评审。</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①每个日处理污水能力大于</w:t>
            </w:r>
            <w:r>
              <w:rPr>
                <w:rFonts w:ascii="宋体" w:hAnsi="宋体" w:cs="宋体"/>
                <w:szCs w:val="21"/>
              </w:rPr>
              <w:t>20</w:t>
            </w:r>
            <w:r>
              <w:rPr>
                <w:rFonts w:hint="eastAsia" w:ascii="宋体" w:hAnsi="宋体" w:cs="宋体"/>
                <w:szCs w:val="21"/>
              </w:rPr>
              <w:t>万吨/天（或立方米/天）（含</w:t>
            </w:r>
            <w:r>
              <w:rPr>
                <w:rFonts w:ascii="宋体" w:hAnsi="宋体" w:cs="宋体"/>
                <w:szCs w:val="21"/>
              </w:rPr>
              <w:t>20</w:t>
            </w:r>
            <w:r>
              <w:rPr>
                <w:rFonts w:hint="eastAsia" w:ascii="宋体" w:hAnsi="宋体" w:cs="宋体"/>
                <w:szCs w:val="21"/>
              </w:rPr>
              <w:t>万）的污水处理厂业绩得3分；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②每个日处理污水能力大于</w:t>
            </w:r>
            <w:r>
              <w:rPr>
                <w:rFonts w:ascii="宋体" w:hAnsi="宋体" w:cs="宋体"/>
                <w:szCs w:val="21"/>
              </w:rPr>
              <w:t>10</w:t>
            </w:r>
            <w:r>
              <w:rPr>
                <w:rFonts w:hint="eastAsia" w:ascii="宋体" w:hAnsi="宋体" w:cs="宋体"/>
                <w:szCs w:val="21"/>
              </w:rPr>
              <w:t>万吨/天（或立方米/天）（含</w:t>
            </w:r>
            <w:r>
              <w:rPr>
                <w:rFonts w:ascii="宋体" w:hAnsi="宋体" w:cs="宋体"/>
                <w:szCs w:val="21"/>
              </w:rPr>
              <w:t>10</w:t>
            </w:r>
            <w:r>
              <w:rPr>
                <w:rFonts w:hint="eastAsia" w:ascii="宋体" w:hAnsi="宋体" w:cs="宋体"/>
                <w:szCs w:val="21"/>
              </w:rPr>
              <w:t>万，但已在其他类型业绩评分中获得了得分的业绩除外）的污水处理厂业绩得</w:t>
            </w:r>
            <w:r>
              <w:rPr>
                <w:rFonts w:ascii="宋体" w:hAnsi="宋体" w:cs="宋体"/>
                <w:szCs w:val="21"/>
              </w:rPr>
              <w:t>1</w:t>
            </w:r>
            <w:r>
              <w:rPr>
                <w:rFonts w:hint="eastAsia" w:ascii="宋体" w:hAnsi="宋体" w:cs="宋体"/>
                <w:szCs w:val="21"/>
              </w:rPr>
              <w:t>分，本子项满分</w:t>
            </w:r>
            <w:r>
              <w:rPr>
                <w:rFonts w:ascii="宋体" w:hAnsi="宋体" w:cs="宋体"/>
                <w:szCs w:val="21"/>
              </w:rPr>
              <w:t>7</w:t>
            </w:r>
            <w:r>
              <w:rPr>
                <w:rFonts w:hint="eastAsia" w:ascii="宋体" w:hAnsi="宋体" w:cs="宋体"/>
                <w:szCs w:val="21"/>
              </w:rPr>
              <w:t>分；</w:t>
            </w:r>
          </w:p>
          <w:p>
            <w:pPr>
              <w:snapToGrid w:val="0"/>
              <w:spacing w:line="360" w:lineRule="auto"/>
              <w:ind w:left="-53" w:leftChars="-25" w:right="-38" w:rightChars="-18" w:firstLine="2"/>
              <w:jc w:val="left"/>
              <w:rPr>
                <w:rFonts w:ascii="宋体" w:hAnsi="宋体" w:cs="宋体"/>
                <w:szCs w:val="21"/>
              </w:rPr>
            </w:pPr>
            <w:r>
              <w:rPr>
                <w:rFonts w:hint="eastAsia" w:ascii="宋体" w:hAnsi="宋体" w:cs="宋体"/>
                <w:szCs w:val="21"/>
              </w:rPr>
              <w:t>③每个日处理污水能力大于</w:t>
            </w:r>
            <w:r>
              <w:rPr>
                <w:rFonts w:ascii="宋体" w:hAnsi="宋体" w:cs="宋体"/>
                <w:szCs w:val="21"/>
              </w:rPr>
              <w:t>5</w:t>
            </w:r>
            <w:r>
              <w:rPr>
                <w:rFonts w:hint="eastAsia" w:ascii="宋体" w:hAnsi="宋体" w:cs="宋体"/>
                <w:szCs w:val="21"/>
              </w:rPr>
              <w:t>万吨/天（或立方米/天）（含</w:t>
            </w:r>
            <w:r>
              <w:rPr>
                <w:rFonts w:ascii="宋体" w:hAnsi="宋体" w:cs="宋体"/>
                <w:szCs w:val="21"/>
              </w:rPr>
              <w:t>5</w:t>
            </w:r>
            <w:r>
              <w:rPr>
                <w:rFonts w:hint="eastAsia" w:ascii="宋体" w:hAnsi="宋体" w:cs="宋体"/>
                <w:szCs w:val="21"/>
              </w:rPr>
              <w:t>万，但已在其他类型业绩评分中获得了得分的业绩除外）的污水处理厂业绩得</w:t>
            </w:r>
            <w:r>
              <w:rPr>
                <w:rFonts w:ascii="宋体" w:hAnsi="宋体" w:cs="宋体"/>
                <w:szCs w:val="21"/>
              </w:rPr>
              <w:t>0.5</w:t>
            </w:r>
            <w:r>
              <w:rPr>
                <w:rFonts w:hint="eastAsia" w:ascii="宋体" w:hAnsi="宋体" w:cs="宋体"/>
                <w:szCs w:val="21"/>
              </w:rPr>
              <w:t>分，本子项满分3分。</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备注：</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①业绩须附合同原件扫描件及合同买方出具的能证明供货货物质量合格的验收证明或用户评价等证明文件的</w:t>
            </w:r>
            <w:r>
              <w:rPr>
                <w:rFonts w:hint="eastAsia" w:ascii="宋体" w:hAnsi="宋体" w:cs="宋体"/>
                <w:b/>
                <w:szCs w:val="21"/>
              </w:rPr>
              <w:t>原件扫描件</w:t>
            </w:r>
            <w:r>
              <w:rPr>
                <w:rFonts w:hint="eastAsia" w:ascii="宋体" w:hAnsi="宋体" w:cs="宋体"/>
                <w:b/>
                <w:bCs/>
                <w:szCs w:val="21"/>
              </w:rPr>
              <w:t>（需加盖买方公章，即</w:t>
            </w:r>
            <w:r>
              <w:rPr>
                <w:rFonts w:hint="eastAsia" w:ascii="宋体" w:hAnsi="宋体" w:cs="宋体"/>
                <w:b/>
                <w:szCs w:val="21"/>
              </w:rPr>
              <w:t>原件扫描件</w:t>
            </w:r>
            <w:r>
              <w:rPr>
                <w:rFonts w:hint="eastAsia" w:ascii="宋体" w:hAnsi="宋体" w:cs="宋体"/>
                <w:b/>
                <w:bCs/>
                <w:szCs w:val="21"/>
              </w:rPr>
              <w:t>能显示买方公章），否则不得分（合同卖方可为投标品牌成套设备的制造商，也可为投标品牌成套设备的代理商</w:t>
            </w:r>
            <w:r>
              <w:rPr>
                <w:rFonts w:ascii="宋体" w:hAnsi="宋体" w:cs="宋体"/>
                <w:b/>
                <w:bCs/>
                <w:szCs w:val="21"/>
              </w:rPr>
              <w:t>/经销商）；</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②若合同或证明文件均无法反映评分条件（合同签订日期为</w:t>
            </w:r>
            <w:r>
              <w:rPr>
                <w:rFonts w:ascii="宋体" w:hAnsi="宋体" w:cs="宋体"/>
                <w:b/>
                <w:bCs/>
                <w:szCs w:val="21"/>
              </w:rPr>
              <w:t>2018</w:t>
            </w:r>
            <w:r>
              <w:rPr>
                <w:rFonts w:hint="eastAsia" w:ascii="宋体" w:hAnsi="宋体" w:cs="宋体"/>
                <w:b/>
                <w:bCs/>
                <w:szCs w:val="21"/>
              </w:rPr>
              <w:t>年</w:t>
            </w:r>
            <w:r>
              <w:rPr>
                <w:rFonts w:ascii="宋体" w:hAnsi="宋体" w:cs="宋体"/>
                <w:b/>
                <w:bCs/>
                <w:szCs w:val="21"/>
              </w:rPr>
              <w:t xml:space="preserve">1 </w:t>
            </w:r>
            <w:r>
              <w:rPr>
                <w:rFonts w:hint="eastAsia" w:ascii="宋体" w:hAnsi="宋体" w:cs="宋体"/>
                <w:b/>
                <w:bCs/>
                <w:szCs w:val="21"/>
              </w:rPr>
              <w:t>月</w:t>
            </w:r>
            <w:r>
              <w:rPr>
                <w:rFonts w:ascii="宋体" w:hAnsi="宋体" w:cs="宋体"/>
                <w:b/>
                <w:bCs/>
                <w:szCs w:val="21"/>
              </w:rPr>
              <w:t xml:space="preserve">1 </w:t>
            </w:r>
            <w:r>
              <w:rPr>
                <w:rFonts w:hint="eastAsia" w:ascii="宋体" w:hAnsi="宋体" w:cs="宋体"/>
                <w:b/>
                <w:bCs/>
                <w:szCs w:val="21"/>
              </w:rPr>
              <w:t>日或以后，合同标的必须包含投标品牌的刮泥机成套系统设备，合同标的投入建设的污水处理厂当期日处理污水能力）的，还需提供合同买方出具的书面补充情况说明文件</w:t>
            </w:r>
            <w:r>
              <w:rPr>
                <w:rFonts w:hint="eastAsia" w:ascii="宋体" w:hAnsi="宋体" w:cs="宋体"/>
                <w:b/>
                <w:szCs w:val="21"/>
              </w:rPr>
              <w:t>原件扫描件</w:t>
            </w:r>
            <w:r>
              <w:rPr>
                <w:rFonts w:hint="eastAsia" w:ascii="宋体" w:hAnsi="宋体" w:cs="宋体"/>
                <w:b/>
                <w:bCs/>
                <w:szCs w:val="21"/>
              </w:rPr>
              <w:t>作为辅助证明，否则不得分；</w:t>
            </w:r>
          </w:p>
          <w:p>
            <w:pPr>
              <w:snapToGrid w:val="0"/>
              <w:spacing w:line="360" w:lineRule="auto"/>
              <w:ind w:left="-53" w:leftChars="-25" w:right="-38" w:rightChars="-18" w:firstLine="2"/>
              <w:jc w:val="left"/>
              <w:rPr>
                <w:rFonts w:ascii="宋体" w:hAnsi="宋体" w:cs="宋体"/>
                <w:b/>
                <w:bCs/>
                <w:szCs w:val="21"/>
              </w:rPr>
            </w:pPr>
            <w:r>
              <w:rPr>
                <w:rFonts w:hint="eastAsia" w:ascii="宋体" w:hAnsi="宋体" w:cs="宋体"/>
                <w:b/>
                <w:bCs/>
                <w:szCs w:val="21"/>
              </w:rPr>
              <w:t>③当污水处理厂为分期建设时，业绩评分按合同或合同买方书面证明文件提供的当期日污水处理能力计算本次评分得分。</w:t>
            </w:r>
          </w:p>
          <w:p>
            <w:pPr>
              <w:snapToGrid w:val="0"/>
              <w:spacing w:line="360" w:lineRule="auto"/>
              <w:rPr>
                <w:rFonts w:ascii="宋体" w:hAnsi="宋体" w:cs="宋体"/>
                <w:b/>
                <w:szCs w:val="21"/>
              </w:rPr>
            </w:pPr>
            <w:r>
              <w:rPr>
                <w:rFonts w:hint="eastAsia" w:ascii="宋体" w:hAnsi="宋体" w:cs="宋体"/>
                <w:b/>
                <w:szCs w:val="21"/>
                <w:lang w:bidi="ar"/>
              </w:rPr>
              <w:t>④上述的“合同买方”即为与投标人提供的业绩对应的合同的买方，包括但不限于本招标项目的项目业主。</w:t>
            </w:r>
          </w:p>
        </w:tc>
      </w:tr>
    </w:tbl>
    <w:p>
      <w:pPr>
        <w:spacing w:line="360" w:lineRule="auto"/>
        <w:rPr>
          <w:rFonts w:ascii="宋体" w:hAnsi="宋体"/>
          <w:szCs w:val="21"/>
        </w:rPr>
      </w:pPr>
    </w:p>
    <w:p>
      <w:pPr>
        <w:spacing w:line="360" w:lineRule="auto"/>
        <w:rPr>
          <w:rFonts w:ascii="宋体" w:hAnsi="宋体"/>
          <w:szCs w:val="21"/>
        </w:rPr>
      </w:pPr>
      <w:r>
        <w:rPr>
          <w:rFonts w:ascii="宋体" w:hAnsi="宋体"/>
          <w:szCs w:val="21"/>
        </w:rPr>
        <w:t>6.</w:t>
      </w:r>
      <w:r>
        <w:rPr>
          <w:rFonts w:hint="eastAsia" w:ascii="宋体" w:hAnsi="宋体"/>
          <w:szCs w:val="21"/>
        </w:rPr>
        <w:t>4</w:t>
      </w:r>
      <w:r>
        <w:rPr>
          <w:rFonts w:ascii="宋体" w:hAnsi="宋体"/>
          <w:szCs w:val="21"/>
        </w:rPr>
        <w:t>本次评标对投标文件技术标综合评分的</w:t>
      </w:r>
      <w:r>
        <w:rPr>
          <w:rFonts w:hint="eastAsia" w:ascii="宋体" w:hAnsi="宋体"/>
          <w:szCs w:val="21"/>
        </w:rPr>
        <w:t>满分</w:t>
      </w:r>
      <w:r>
        <w:rPr>
          <w:rFonts w:ascii="宋体" w:hAnsi="宋体"/>
          <w:szCs w:val="21"/>
        </w:rPr>
        <w:t>为</w:t>
      </w:r>
      <w:r>
        <w:rPr>
          <w:rFonts w:hint="eastAsia" w:ascii="宋体" w:hAnsi="宋体"/>
          <w:szCs w:val="21"/>
        </w:rPr>
        <w:t>50</w:t>
      </w:r>
      <w:r>
        <w:rPr>
          <w:rFonts w:ascii="宋体" w:hAnsi="宋体"/>
          <w:szCs w:val="21"/>
        </w:rPr>
        <w:t>分，各评分项目的具体评分标准如下：</w:t>
      </w:r>
    </w:p>
    <w:tbl>
      <w:tblPr>
        <w:tblStyle w:val="29"/>
        <w:tblW w:w="537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499"/>
        <w:gridCol w:w="876"/>
        <w:gridCol w:w="6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序号</w:t>
            </w:r>
          </w:p>
        </w:tc>
        <w:tc>
          <w:tcPr>
            <w:tcW w:w="81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评分项目</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满</w:t>
            </w:r>
            <w:r>
              <w:rPr>
                <w:rFonts w:ascii="宋体" w:hAnsi="宋体"/>
                <w:bCs/>
                <w:szCs w:val="21"/>
              </w:rPr>
              <w:t>分值</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center"/>
              <w:rPr>
                <w:rFonts w:ascii="宋体" w:hAnsi="宋体"/>
                <w:bCs/>
                <w:szCs w:val="21"/>
              </w:rPr>
            </w:pPr>
            <w:r>
              <w:rPr>
                <w:rFonts w:ascii="宋体" w:hAnsi="宋体"/>
                <w:bCs/>
                <w:szCs w:val="21"/>
              </w:rPr>
              <w:t>评分内容及评分标准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1</w:t>
            </w:r>
          </w:p>
        </w:tc>
        <w:tc>
          <w:tcPr>
            <w:tcW w:w="81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技术响应程度</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6分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根据技术规格偏离表的偏离情况进行评审计分，完全满足用户需求的要求得满分，每一处负偏离，扣1.0分。同时参照其投标文件中产品技术性能说明等技术资料的内容进行对比，每发现一处投标人填写为无偏离或正偏离，但评标委员会评审认定其为负偏离的，每处扣</w:t>
            </w:r>
            <w:r>
              <w:rPr>
                <w:rFonts w:ascii="宋体" w:hAnsi="宋体"/>
                <w:bCs/>
                <w:szCs w:val="21"/>
              </w:rPr>
              <w:t>3.0</w:t>
            </w:r>
            <w:r>
              <w:rPr>
                <w:rFonts w:hint="eastAsia" w:ascii="宋体" w:hAnsi="宋体"/>
                <w:bCs/>
                <w:szCs w:val="21"/>
              </w:rPr>
              <w:t>分；本项最低分为0分。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2</w:t>
            </w:r>
          </w:p>
        </w:tc>
        <w:tc>
          <w:tcPr>
            <w:tcW w:w="81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驱动装置</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7</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对驱动装置的电机、减速机、齿轮箱等主机性能、结构特点、技术参数</w:t>
            </w:r>
            <w:r>
              <w:rPr>
                <w:rFonts w:ascii="宋体" w:hAnsi="宋体"/>
                <w:bCs/>
                <w:szCs w:val="21"/>
              </w:rPr>
              <w:t>，以及技术先进性、</w:t>
            </w:r>
            <w:r>
              <w:rPr>
                <w:rFonts w:hint="eastAsia" w:ascii="宋体" w:hAnsi="宋体"/>
                <w:bCs/>
                <w:szCs w:val="21"/>
              </w:rPr>
              <w:t>稳定性、</w:t>
            </w:r>
            <w:r>
              <w:rPr>
                <w:rFonts w:ascii="宋体" w:hAnsi="宋体"/>
                <w:bCs/>
                <w:szCs w:val="21"/>
              </w:rPr>
              <w:t>成熟性</w:t>
            </w:r>
            <w:r>
              <w:rPr>
                <w:rFonts w:hint="eastAsia" w:ascii="宋体" w:hAnsi="宋体"/>
                <w:bCs/>
                <w:szCs w:val="21"/>
              </w:rPr>
              <w:t>等方面，按优[7-5分]、良（5-3分]、中（3-1.5分]、差（1.5-0分]进行评审。</w:t>
            </w:r>
          </w:p>
          <w:p>
            <w:pPr>
              <w:snapToGrid w:val="0"/>
              <w:spacing w:line="360" w:lineRule="auto"/>
              <w:jc w:val="left"/>
              <w:rPr>
                <w:rFonts w:ascii="宋体" w:hAnsi="宋体"/>
                <w:bCs/>
                <w:szCs w:val="21"/>
              </w:rPr>
            </w:pPr>
            <w:r>
              <w:rPr>
                <w:rFonts w:hint="eastAsia" w:ascii="宋体" w:hAnsi="宋体"/>
                <w:bCs/>
                <w:szCs w:val="21"/>
              </w:rPr>
              <w:t>备注：投标人必须提供投标产品性能说明书或其他能体现投标产品性能的证明材料，以投标人提供的上述资料作为依据进行评审，未按要求提供上述资料的本项不得分。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3</w:t>
            </w:r>
          </w:p>
        </w:tc>
        <w:tc>
          <w:tcPr>
            <w:tcW w:w="818" w:type="pct"/>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pPr>
            <w:r>
              <w:rPr>
                <w:rFonts w:hint="eastAsia" w:ascii="宋体" w:hAnsi="宋体" w:cs="宋体"/>
                <w:kern w:val="0"/>
                <w:szCs w:val="21"/>
                <w:lang w:bidi="ar"/>
              </w:rPr>
              <w:t>电动撇渣管、液压排泥管及手电两用套筒阀、电动调节堰门</w:t>
            </w:r>
          </w:p>
          <w:p>
            <w:pPr>
              <w:snapToGrid w:val="0"/>
              <w:spacing w:line="360" w:lineRule="auto"/>
              <w:jc w:val="center"/>
              <w:rPr>
                <w:rFonts w:ascii="宋体" w:hAnsi="宋体"/>
                <w:bCs/>
                <w:szCs w:val="21"/>
              </w:rPr>
            </w:pP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5</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对投标设备的电动撇渣管、液压排泥管及手电两用套筒阀、电动调节堰门的结构、功能响应程度，材质的满足程度，按优[</w:t>
            </w:r>
            <w:r>
              <w:rPr>
                <w:rFonts w:ascii="宋体" w:hAnsi="宋体"/>
                <w:bCs/>
                <w:szCs w:val="21"/>
              </w:rPr>
              <w:t>5</w:t>
            </w:r>
            <w:r>
              <w:rPr>
                <w:rFonts w:hint="eastAsia" w:ascii="宋体" w:hAnsi="宋体"/>
                <w:bCs/>
                <w:szCs w:val="21"/>
              </w:rPr>
              <w:t>-</w:t>
            </w:r>
            <w:r>
              <w:rPr>
                <w:rFonts w:ascii="宋体" w:hAnsi="宋体"/>
                <w:bCs/>
                <w:szCs w:val="21"/>
              </w:rPr>
              <w:t>4</w:t>
            </w:r>
            <w:r>
              <w:rPr>
                <w:rFonts w:hint="eastAsia" w:ascii="宋体" w:hAnsi="宋体"/>
                <w:bCs/>
                <w:szCs w:val="21"/>
              </w:rPr>
              <w:t>分]、良（</w:t>
            </w:r>
            <w:r>
              <w:rPr>
                <w:rFonts w:ascii="宋体" w:hAnsi="宋体"/>
                <w:bCs/>
                <w:szCs w:val="21"/>
              </w:rPr>
              <w:t>4</w:t>
            </w:r>
            <w:r>
              <w:rPr>
                <w:rFonts w:hint="eastAsia" w:ascii="宋体" w:hAnsi="宋体"/>
                <w:bCs/>
                <w:szCs w:val="21"/>
              </w:rPr>
              <w:t>-</w:t>
            </w:r>
            <w:r>
              <w:rPr>
                <w:rFonts w:ascii="宋体" w:hAnsi="宋体"/>
                <w:bCs/>
                <w:szCs w:val="21"/>
              </w:rPr>
              <w:t>2.5</w:t>
            </w:r>
            <w:r>
              <w:rPr>
                <w:rFonts w:hint="eastAsia" w:ascii="宋体" w:hAnsi="宋体"/>
                <w:bCs/>
                <w:szCs w:val="21"/>
              </w:rPr>
              <w:t>分]、中（</w:t>
            </w:r>
            <w:r>
              <w:rPr>
                <w:rFonts w:ascii="宋体" w:hAnsi="宋体"/>
                <w:bCs/>
                <w:szCs w:val="21"/>
              </w:rPr>
              <w:t>2.5</w:t>
            </w:r>
            <w:r>
              <w:rPr>
                <w:rFonts w:hint="eastAsia" w:ascii="宋体" w:hAnsi="宋体"/>
                <w:bCs/>
                <w:szCs w:val="21"/>
              </w:rPr>
              <w:t>-</w:t>
            </w:r>
            <w:r>
              <w:rPr>
                <w:rFonts w:ascii="宋体" w:hAnsi="宋体"/>
                <w:bCs/>
                <w:szCs w:val="21"/>
              </w:rPr>
              <w:t>1</w:t>
            </w:r>
            <w:r>
              <w:rPr>
                <w:rFonts w:hint="eastAsia" w:ascii="宋体" w:hAnsi="宋体"/>
                <w:bCs/>
                <w:szCs w:val="21"/>
              </w:rPr>
              <w:t>分]、差（</w:t>
            </w:r>
            <w:r>
              <w:rPr>
                <w:rFonts w:ascii="宋体" w:hAnsi="宋体"/>
                <w:bCs/>
                <w:szCs w:val="21"/>
              </w:rPr>
              <w:t>1</w:t>
            </w:r>
            <w:r>
              <w:rPr>
                <w:rFonts w:hint="eastAsia" w:ascii="宋体" w:hAnsi="宋体"/>
                <w:bCs/>
                <w:szCs w:val="21"/>
              </w:rPr>
              <w:t>-0分]进行评审。</w:t>
            </w:r>
          </w:p>
          <w:p>
            <w:pPr>
              <w:snapToGrid w:val="0"/>
              <w:spacing w:line="360" w:lineRule="auto"/>
              <w:jc w:val="left"/>
              <w:rPr>
                <w:rFonts w:ascii="宋体" w:hAnsi="宋体"/>
                <w:bCs/>
                <w:szCs w:val="21"/>
              </w:rPr>
            </w:pPr>
            <w:r>
              <w:rPr>
                <w:rFonts w:hint="eastAsia" w:ascii="宋体" w:hAnsi="宋体"/>
                <w:bCs/>
                <w:szCs w:val="21"/>
              </w:rPr>
              <w:t>备注：投标人必须提供投标产品性能说明书或其他能体现投标产品性能的证明材料，以投标人提供的上述资料作为依据进行评审，未按要求提供上述资料的本项不得分。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4</w:t>
            </w:r>
          </w:p>
        </w:tc>
        <w:tc>
          <w:tcPr>
            <w:tcW w:w="81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刮泥机成套机组</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10</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对集成后的成套刮泥机的整体性能，技术先进性、性能稳定性、易维护性，以及与本项目适用性，按优[10-7.5分]、良（7.5-5分]、中（5-2.5分]、差（2.5-0分]进行评审。</w:t>
            </w:r>
          </w:p>
          <w:p>
            <w:pPr>
              <w:snapToGrid w:val="0"/>
              <w:spacing w:line="360" w:lineRule="auto"/>
              <w:jc w:val="left"/>
              <w:rPr>
                <w:rFonts w:ascii="宋体" w:hAnsi="宋体"/>
                <w:bCs/>
                <w:szCs w:val="21"/>
              </w:rPr>
            </w:pPr>
            <w:r>
              <w:rPr>
                <w:rFonts w:hint="eastAsia" w:ascii="宋体" w:hAnsi="宋体"/>
                <w:bCs/>
                <w:szCs w:val="21"/>
              </w:rPr>
              <w:t>备注：</w:t>
            </w:r>
          </w:p>
          <w:p>
            <w:pPr>
              <w:snapToGrid w:val="0"/>
              <w:spacing w:line="360" w:lineRule="auto"/>
              <w:jc w:val="left"/>
              <w:rPr>
                <w:rFonts w:ascii="宋体" w:hAnsi="宋体"/>
                <w:bCs/>
                <w:szCs w:val="21"/>
              </w:rPr>
            </w:pPr>
            <w:r>
              <w:rPr>
                <w:rFonts w:hint="eastAsia" w:ascii="宋体" w:hAnsi="宋体"/>
                <w:bCs/>
                <w:szCs w:val="21"/>
              </w:rPr>
              <w:t>（1）投标人必须提供二沉池布水孔和刮泥机的计算书（包括工艺深化设计图纸），同时须提供牵引链松紧调节装置智能调偏功能实现的设计说明及相关资料，否则本项不得分。</w:t>
            </w:r>
          </w:p>
          <w:p>
            <w:pPr>
              <w:snapToGrid w:val="0"/>
              <w:spacing w:line="360" w:lineRule="auto"/>
              <w:jc w:val="left"/>
              <w:rPr>
                <w:rFonts w:ascii="宋体" w:hAnsi="宋体"/>
                <w:bCs/>
                <w:szCs w:val="21"/>
              </w:rPr>
            </w:pPr>
            <w:r>
              <w:rPr>
                <w:rFonts w:hint="eastAsia" w:ascii="宋体" w:hAnsi="宋体"/>
                <w:bCs/>
                <w:szCs w:val="21"/>
              </w:rPr>
              <w:t>（2）投标人必须提供投标产品性能说明书或其他能体现投标产品性能的证明材料，以投标人提供的上述资料作为依据进行评审，未按要求提供上述资料的本项不得分。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5</w:t>
            </w:r>
          </w:p>
        </w:tc>
        <w:tc>
          <w:tcPr>
            <w:tcW w:w="81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电气控制系统</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5</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对控制系统的过载、过扭矩等保护装置、控制箱材质及结构设计、便利性、防护等级，电气元器件品牌、产地、技术性能，分优[5-4分]、良（4-3 分]、中（3-1 分]、差（1-0 分]进行评审。</w:t>
            </w:r>
          </w:p>
          <w:p>
            <w:pPr>
              <w:snapToGrid w:val="0"/>
              <w:spacing w:line="360" w:lineRule="auto"/>
              <w:jc w:val="left"/>
              <w:rPr>
                <w:rFonts w:ascii="宋体" w:hAnsi="宋体"/>
                <w:bCs/>
                <w:szCs w:val="21"/>
              </w:rPr>
            </w:pPr>
            <w:r>
              <w:rPr>
                <w:rFonts w:hint="eastAsia" w:ascii="宋体" w:hAnsi="宋体"/>
                <w:bCs/>
                <w:szCs w:val="21"/>
              </w:rPr>
              <w:t>备注：</w:t>
            </w:r>
          </w:p>
          <w:p>
            <w:pPr>
              <w:snapToGrid w:val="0"/>
              <w:spacing w:line="360" w:lineRule="auto"/>
              <w:jc w:val="left"/>
              <w:rPr>
                <w:rFonts w:ascii="宋体" w:hAnsi="宋体"/>
                <w:bCs/>
                <w:szCs w:val="21"/>
              </w:rPr>
            </w:pPr>
            <w:r>
              <w:rPr>
                <w:rFonts w:hint="eastAsia" w:ascii="宋体" w:hAnsi="宋体"/>
                <w:bCs/>
                <w:szCs w:val="21"/>
              </w:rPr>
              <w:t>投标人必须提供投标产品性能说明书或其他能体现投标产品性能的证明材料，以投标人提供的上述资料作为依据进行评审，未按要求提供上述资料的本项不得分。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restart"/>
            <w:tcBorders>
              <w:top w:val="single" w:color="auto" w:sz="4" w:space="0"/>
              <w:left w:val="single" w:color="auto" w:sz="8"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6</w:t>
            </w:r>
          </w:p>
        </w:tc>
        <w:tc>
          <w:tcPr>
            <w:tcW w:w="818" w:type="pct"/>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供货、安装计划及进度保证措施</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3</w:t>
            </w:r>
            <w:r>
              <w:rPr>
                <w:rFonts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1、对供货、安装</w:t>
            </w:r>
            <w:r>
              <w:rPr>
                <w:rFonts w:ascii="宋体" w:hAnsi="宋体"/>
                <w:bCs/>
                <w:szCs w:val="21"/>
              </w:rPr>
              <w:t>计划及进度安排合理可行，满足各阶段</w:t>
            </w:r>
            <w:r>
              <w:rPr>
                <w:rFonts w:hint="eastAsia" w:ascii="宋体" w:hAnsi="宋体"/>
                <w:bCs/>
                <w:szCs w:val="21"/>
              </w:rPr>
              <w:t>施工</w:t>
            </w:r>
            <w:r>
              <w:rPr>
                <w:rFonts w:ascii="宋体" w:hAnsi="宋体"/>
                <w:bCs/>
                <w:szCs w:val="21"/>
              </w:rPr>
              <w:t>要求</w:t>
            </w:r>
            <w:r>
              <w:rPr>
                <w:rFonts w:hint="eastAsia" w:ascii="宋体" w:hAnsi="宋体"/>
                <w:bCs/>
                <w:szCs w:val="21"/>
              </w:rPr>
              <w:t>，且</w:t>
            </w:r>
            <w:r>
              <w:rPr>
                <w:rFonts w:ascii="宋体" w:hAnsi="宋体"/>
                <w:bCs/>
                <w:szCs w:val="21"/>
              </w:rPr>
              <w:t>进度保证措施</w:t>
            </w:r>
            <w:r>
              <w:rPr>
                <w:rFonts w:hint="eastAsia" w:ascii="宋体" w:hAnsi="宋体"/>
                <w:bCs/>
                <w:szCs w:val="21"/>
              </w:rPr>
              <w:t>具体、</w:t>
            </w:r>
            <w:r>
              <w:rPr>
                <w:rFonts w:ascii="宋体" w:hAnsi="宋体"/>
                <w:bCs/>
                <w:szCs w:val="21"/>
              </w:rPr>
              <w:t>可行</w:t>
            </w:r>
            <w:r>
              <w:rPr>
                <w:rFonts w:hint="eastAsia" w:ascii="宋体" w:hAnsi="宋体"/>
                <w:bCs/>
                <w:szCs w:val="21"/>
              </w:rPr>
              <w:t>，得满分，其他按</w:t>
            </w:r>
            <w:r>
              <w:rPr>
                <w:rFonts w:ascii="宋体" w:hAnsi="宋体"/>
                <w:bCs/>
                <w:szCs w:val="21"/>
              </w:rPr>
              <w:t>优[3-2分]、良（</w:t>
            </w:r>
            <w:r>
              <w:rPr>
                <w:rFonts w:hint="eastAsia" w:ascii="宋体" w:hAnsi="宋体"/>
                <w:bCs/>
                <w:szCs w:val="21"/>
              </w:rPr>
              <w:t>2</w:t>
            </w:r>
            <w:r>
              <w:rPr>
                <w:rFonts w:ascii="宋体" w:hAnsi="宋体"/>
                <w:bCs/>
                <w:szCs w:val="21"/>
              </w:rPr>
              <w:t>-</w:t>
            </w:r>
            <w:r>
              <w:rPr>
                <w:rFonts w:hint="eastAsia" w:ascii="宋体" w:hAnsi="宋体"/>
                <w:bCs/>
                <w:szCs w:val="21"/>
              </w:rPr>
              <w:t>1</w:t>
            </w:r>
            <w:r>
              <w:rPr>
                <w:rFonts w:ascii="宋体" w:hAnsi="宋体"/>
                <w:bCs/>
                <w:szCs w:val="21"/>
              </w:rPr>
              <w:t>分]、中（</w:t>
            </w:r>
            <w:r>
              <w:rPr>
                <w:rFonts w:hint="eastAsia" w:ascii="宋体" w:hAnsi="宋体"/>
                <w:bCs/>
                <w:szCs w:val="21"/>
              </w:rPr>
              <w:t>1</w:t>
            </w:r>
            <w:r>
              <w:rPr>
                <w:rFonts w:ascii="宋体" w:hAnsi="宋体"/>
                <w:bCs/>
                <w:szCs w:val="21"/>
              </w:rPr>
              <w:t>-</w:t>
            </w:r>
            <w:r>
              <w:rPr>
                <w:rFonts w:hint="eastAsia" w:ascii="宋体" w:hAnsi="宋体"/>
                <w:bCs/>
                <w:szCs w:val="21"/>
              </w:rPr>
              <w:t>0.5</w:t>
            </w:r>
            <w:r>
              <w:rPr>
                <w:rFonts w:ascii="宋体" w:hAnsi="宋体"/>
                <w:bCs/>
                <w:szCs w:val="21"/>
              </w:rPr>
              <w:t>分]、差（</w:t>
            </w:r>
            <w:r>
              <w:rPr>
                <w:rFonts w:hint="eastAsia" w:ascii="宋体" w:hAnsi="宋体"/>
                <w:bCs/>
                <w:szCs w:val="21"/>
              </w:rPr>
              <w:t>0.5</w:t>
            </w:r>
            <w:r>
              <w:rPr>
                <w:rFonts w:ascii="宋体" w:hAnsi="宋体"/>
                <w:bCs/>
                <w:szCs w:val="21"/>
              </w:rPr>
              <w:t>-0分]进行评审。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p>
        </w:tc>
        <w:tc>
          <w:tcPr>
            <w:tcW w:w="818" w:type="pct"/>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2、承诺对所投货物的安装时间≤</w:t>
            </w:r>
            <w:r>
              <w:rPr>
                <w:rFonts w:ascii="宋体" w:hAnsi="宋体"/>
                <w:bCs/>
                <w:szCs w:val="21"/>
              </w:rPr>
              <w:t>38</w:t>
            </w:r>
            <w:r>
              <w:rPr>
                <w:rFonts w:hint="eastAsia" w:ascii="宋体" w:hAnsi="宋体"/>
                <w:bCs/>
                <w:szCs w:val="21"/>
              </w:rPr>
              <w:t>天，且提供安装人员配备计划等保证措施的，得2分。</w:t>
            </w:r>
          </w:p>
          <w:p>
            <w:pPr>
              <w:snapToGrid w:val="0"/>
              <w:spacing w:line="360" w:lineRule="auto"/>
              <w:jc w:val="left"/>
              <w:rPr>
                <w:rFonts w:ascii="宋体" w:hAnsi="宋体"/>
                <w:bCs/>
                <w:szCs w:val="21"/>
              </w:rPr>
            </w:pPr>
            <w:r>
              <w:rPr>
                <w:rFonts w:hint="eastAsia" w:ascii="宋体" w:hAnsi="宋体"/>
                <w:bCs/>
                <w:szCs w:val="21"/>
              </w:rPr>
              <w:t>备注：根据《安装时间、质保期、维修响应时间承诺表》进行评审。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restart"/>
            <w:tcBorders>
              <w:top w:val="single" w:color="auto" w:sz="4" w:space="0"/>
              <w:left w:val="single" w:color="auto" w:sz="8"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7</w:t>
            </w:r>
          </w:p>
        </w:tc>
        <w:tc>
          <w:tcPr>
            <w:tcW w:w="818" w:type="pct"/>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售后服务方案</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3分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1、对售后服务机构配置包括</w:t>
            </w:r>
            <w:r>
              <w:rPr>
                <w:rFonts w:ascii="宋体" w:hAnsi="宋体"/>
                <w:bCs/>
                <w:szCs w:val="21"/>
              </w:rPr>
              <w:t>技术服务</w:t>
            </w:r>
            <w:r>
              <w:rPr>
                <w:rFonts w:hint="eastAsia" w:ascii="宋体" w:hAnsi="宋体"/>
                <w:bCs/>
                <w:szCs w:val="21"/>
              </w:rPr>
              <w:t>人员数量及水平、备品配件数量；保修部件范围及方式；售后服务的便利性、应急处理方式；培训计划；按</w:t>
            </w:r>
            <w:r>
              <w:rPr>
                <w:rFonts w:ascii="宋体" w:hAnsi="宋体"/>
                <w:bCs/>
                <w:szCs w:val="21"/>
              </w:rPr>
              <w:t>优[3-2分]、良（</w:t>
            </w:r>
            <w:r>
              <w:rPr>
                <w:rFonts w:hint="eastAsia" w:ascii="宋体" w:hAnsi="宋体"/>
                <w:bCs/>
                <w:szCs w:val="21"/>
              </w:rPr>
              <w:t>2</w:t>
            </w:r>
            <w:r>
              <w:rPr>
                <w:rFonts w:ascii="宋体" w:hAnsi="宋体"/>
                <w:bCs/>
                <w:szCs w:val="21"/>
              </w:rPr>
              <w:t>-</w:t>
            </w:r>
            <w:r>
              <w:rPr>
                <w:rFonts w:hint="eastAsia" w:ascii="宋体" w:hAnsi="宋体"/>
                <w:bCs/>
                <w:szCs w:val="21"/>
              </w:rPr>
              <w:t>1</w:t>
            </w:r>
            <w:r>
              <w:rPr>
                <w:rFonts w:ascii="宋体" w:hAnsi="宋体"/>
                <w:bCs/>
                <w:szCs w:val="21"/>
              </w:rPr>
              <w:t>分]、中（</w:t>
            </w:r>
            <w:r>
              <w:rPr>
                <w:rFonts w:hint="eastAsia" w:ascii="宋体" w:hAnsi="宋体"/>
                <w:bCs/>
                <w:szCs w:val="21"/>
              </w:rPr>
              <w:t>1</w:t>
            </w:r>
            <w:r>
              <w:rPr>
                <w:rFonts w:ascii="宋体" w:hAnsi="宋体"/>
                <w:bCs/>
                <w:szCs w:val="21"/>
              </w:rPr>
              <w:t>-</w:t>
            </w:r>
            <w:r>
              <w:rPr>
                <w:rFonts w:hint="eastAsia" w:ascii="宋体" w:hAnsi="宋体"/>
                <w:bCs/>
                <w:szCs w:val="21"/>
              </w:rPr>
              <w:t>0.5</w:t>
            </w:r>
            <w:r>
              <w:rPr>
                <w:rFonts w:ascii="宋体" w:hAnsi="宋体"/>
                <w:bCs/>
                <w:szCs w:val="21"/>
              </w:rPr>
              <w:t>分]、差（</w:t>
            </w:r>
            <w:r>
              <w:rPr>
                <w:rFonts w:hint="eastAsia" w:ascii="宋体" w:hAnsi="宋体"/>
                <w:bCs/>
                <w:szCs w:val="21"/>
              </w:rPr>
              <w:t>0.5</w:t>
            </w:r>
            <w:r>
              <w:rPr>
                <w:rFonts w:ascii="宋体" w:hAnsi="宋体"/>
                <w:bCs/>
                <w:szCs w:val="21"/>
              </w:rPr>
              <w:t>-0分]</w:t>
            </w:r>
            <w:r>
              <w:rPr>
                <w:rFonts w:hint="eastAsia" w:ascii="宋体" w:hAnsi="宋体"/>
                <w:bCs/>
                <w:szCs w:val="21"/>
              </w:rPr>
              <w:t>进行评审。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left w:val="single" w:color="auto" w:sz="8" w:space="0"/>
              <w:right w:val="single" w:color="auto" w:sz="4" w:space="0"/>
            </w:tcBorders>
            <w:vAlign w:val="center"/>
          </w:tcPr>
          <w:p>
            <w:pPr>
              <w:snapToGrid w:val="0"/>
              <w:spacing w:line="360" w:lineRule="auto"/>
              <w:jc w:val="center"/>
              <w:rPr>
                <w:rFonts w:ascii="宋体" w:hAnsi="宋体"/>
                <w:bCs/>
                <w:szCs w:val="21"/>
              </w:rPr>
            </w:pPr>
          </w:p>
        </w:tc>
        <w:tc>
          <w:tcPr>
            <w:tcW w:w="818" w:type="pct"/>
            <w:vMerge w:val="continue"/>
            <w:tcBorders>
              <w:left w:val="single" w:color="auto" w:sz="4" w:space="0"/>
              <w:right w:val="single" w:color="auto" w:sz="4" w:space="0"/>
            </w:tcBorders>
            <w:vAlign w:val="center"/>
          </w:tcPr>
          <w:p>
            <w:pPr>
              <w:snapToGrid w:val="0"/>
              <w:spacing w:line="360" w:lineRule="auto"/>
              <w:jc w:val="center"/>
              <w:rPr>
                <w:rFonts w:ascii="宋体" w:hAnsi="宋体"/>
                <w:bCs/>
                <w:szCs w:val="21"/>
              </w:rPr>
            </w:pP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ascii="宋体" w:hAnsi="宋体"/>
                <w:bCs/>
                <w:szCs w:val="21"/>
              </w:rPr>
              <w:t>2</w:t>
            </w:r>
            <w:r>
              <w:rPr>
                <w:rFonts w:hint="eastAsia" w:ascii="宋体" w:hAnsi="宋体"/>
                <w:bCs/>
                <w:szCs w:val="21"/>
              </w:rPr>
              <w:t>、投标人应提供详细的培训计划，就所投产品测试、操作、保养和简单维修等有关内容进行说明，拟定现场培训计划，并应在计划中明确培训的地点、时间、人数及内容等，按优[</w:t>
            </w:r>
            <w:r>
              <w:rPr>
                <w:rFonts w:ascii="宋体" w:hAnsi="宋体"/>
                <w:bCs/>
                <w:szCs w:val="21"/>
              </w:rPr>
              <w:t>2</w:t>
            </w:r>
            <w:r>
              <w:rPr>
                <w:rFonts w:hint="eastAsia" w:ascii="宋体" w:hAnsi="宋体"/>
                <w:bCs/>
                <w:szCs w:val="21"/>
              </w:rPr>
              <w:t>-</w:t>
            </w:r>
            <w:r>
              <w:rPr>
                <w:rFonts w:ascii="宋体" w:hAnsi="宋体"/>
                <w:bCs/>
                <w:szCs w:val="21"/>
              </w:rPr>
              <w:t>1.5</w:t>
            </w:r>
            <w:r>
              <w:rPr>
                <w:rFonts w:hint="eastAsia" w:ascii="宋体" w:hAnsi="宋体"/>
                <w:bCs/>
                <w:szCs w:val="21"/>
              </w:rPr>
              <w:t>分]、良（1</w:t>
            </w:r>
            <w:r>
              <w:rPr>
                <w:rFonts w:ascii="宋体" w:hAnsi="宋体"/>
                <w:bCs/>
                <w:szCs w:val="21"/>
              </w:rPr>
              <w:t>.5</w:t>
            </w:r>
            <w:r>
              <w:rPr>
                <w:rFonts w:hint="eastAsia" w:ascii="宋体" w:hAnsi="宋体"/>
                <w:bCs/>
                <w:szCs w:val="21"/>
              </w:rPr>
              <w:t>-</w:t>
            </w:r>
            <w:r>
              <w:rPr>
                <w:rFonts w:ascii="宋体" w:hAnsi="宋体"/>
                <w:bCs/>
                <w:szCs w:val="21"/>
              </w:rPr>
              <w:t>1</w:t>
            </w:r>
            <w:r>
              <w:rPr>
                <w:rFonts w:hint="eastAsia" w:ascii="宋体" w:hAnsi="宋体"/>
                <w:bCs/>
                <w:szCs w:val="21"/>
              </w:rPr>
              <w:t>分]、中（</w:t>
            </w:r>
            <w:r>
              <w:rPr>
                <w:rFonts w:ascii="宋体" w:hAnsi="宋体"/>
                <w:bCs/>
                <w:szCs w:val="21"/>
              </w:rPr>
              <w:t>1</w:t>
            </w:r>
            <w:r>
              <w:rPr>
                <w:rFonts w:hint="eastAsia" w:ascii="宋体" w:hAnsi="宋体"/>
                <w:bCs/>
                <w:szCs w:val="21"/>
              </w:rPr>
              <w:t>-</w:t>
            </w:r>
            <w:r>
              <w:rPr>
                <w:rFonts w:ascii="宋体" w:hAnsi="宋体"/>
                <w:bCs/>
                <w:szCs w:val="21"/>
              </w:rPr>
              <w:t>0.5</w:t>
            </w:r>
            <w:r>
              <w:rPr>
                <w:rFonts w:hint="eastAsia" w:ascii="宋体" w:hAnsi="宋体"/>
                <w:bCs/>
                <w:szCs w:val="21"/>
              </w:rPr>
              <w:t>分]、差（</w:t>
            </w:r>
            <w:r>
              <w:rPr>
                <w:rFonts w:ascii="宋体" w:hAnsi="宋体"/>
                <w:bCs/>
                <w:szCs w:val="21"/>
              </w:rPr>
              <w:t>0.5-</w:t>
            </w:r>
            <w:r>
              <w:rPr>
                <w:rFonts w:hint="eastAsia" w:ascii="宋体" w:hAnsi="宋体"/>
                <w:bCs/>
                <w:szCs w:val="21"/>
              </w:rPr>
              <w:t>0分]进行评审。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left w:val="single" w:color="auto" w:sz="8" w:space="0"/>
              <w:right w:val="single" w:color="auto" w:sz="4" w:space="0"/>
            </w:tcBorders>
            <w:vAlign w:val="center"/>
          </w:tcPr>
          <w:p>
            <w:pPr>
              <w:snapToGrid w:val="0"/>
              <w:spacing w:line="360" w:lineRule="auto"/>
              <w:jc w:val="center"/>
              <w:rPr>
                <w:rFonts w:ascii="宋体" w:hAnsi="宋体"/>
                <w:bCs/>
                <w:szCs w:val="21"/>
              </w:rPr>
            </w:pPr>
          </w:p>
        </w:tc>
        <w:tc>
          <w:tcPr>
            <w:tcW w:w="818" w:type="pct"/>
            <w:vMerge w:val="continue"/>
            <w:tcBorders>
              <w:left w:val="single" w:color="auto" w:sz="4" w:space="0"/>
              <w:right w:val="single" w:color="auto" w:sz="4" w:space="0"/>
            </w:tcBorders>
            <w:vAlign w:val="center"/>
          </w:tcPr>
          <w:p>
            <w:pPr>
              <w:snapToGrid w:val="0"/>
              <w:spacing w:line="360" w:lineRule="auto"/>
              <w:jc w:val="center"/>
              <w:rPr>
                <w:rFonts w:ascii="宋体" w:hAnsi="宋体"/>
                <w:bCs/>
                <w:szCs w:val="21"/>
              </w:rPr>
            </w:pP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3</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ascii="宋体" w:hAnsi="宋体"/>
                <w:bCs/>
                <w:szCs w:val="21"/>
              </w:rPr>
              <w:t>3</w:t>
            </w:r>
            <w:r>
              <w:rPr>
                <w:rFonts w:hint="eastAsia" w:ascii="宋体" w:hAnsi="宋体"/>
                <w:bCs/>
                <w:szCs w:val="21"/>
              </w:rPr>
              <w:t>、根据投标人承诺的质保期进行评审：</w:t>
            </w:r>
          </w:p>
          <w:p>
            <w:pPr>
              <w:snapToGrid w:val="0"/>
              <w:spacing w:line="360" w:lineRule="auto"/>
              <w:jc w:val="left"/>
              <w:rPr>
                <w:rFonts w:ascii="宋体" w:hAnsi="宋体"/>
                <w:bCs/>
                <w:szCs w:val="21"/>
              </w:rPr>
            </w:pPr>
            <w:r>
              <w:rPr>
                <w:rFonts w:hint="eastAsia" w:ascii="宋体" w:hAnsi="宋体"/>
                <w:bCs/>
                <w:szCs w:val="21"/>
              </w:rPr>
              <w:t>①承诺对所投设备的质保期</w:t>
            </w:r>
            <w:r>
              <w:rPr>
                <w:rFonts w:ascii="宋体" w:hAnsi="宋体"/>
                <w:bCs/>
                <w:szCs w:val="21"/>
              </w:rPr>
              <w:t>24</w:t>
            </w:r>
            <w:r>
              <w:rPr>
                <w:rFonts w:hint="eastAsia" w:ascii="宋体" w:hAnsi="宋体"/>
                <w:bCs/>
                <w:szCs w:val="21"/>
              </w:rPr>
              <w:t>个月以上（不含24个月），得</w:t>
            </w:r>
            <w:r>
              <w:rPr>
                <w:rFonts w:ascii="宋体" w:hAnsi="宋体"/>
                <w:bCs/>
                <w:szCs w:val="21"/>
              </w:rPr>
              <w:t>1</w:t>
            </w:r>
            <w:r>
              <w:rPr>
                <w:rFonts w:hint="eastAsia" w:ascii="宋体" w:hAnsi="宋体"/>
                <w:bCs/>
                <w:szCs w:val="21"/>
              </w:rPr>
              <w:t>分；</w:t>
            </w:r>
          </w:p>
          <w:p>
            <w:pPr>
              <w:snapToGrid w:val="0"/>
              <w:spacing w:line="360" w:lineRule="auto"/>
              <w:jc w:val="left"/>
              <w:rPr>
                <w:rFonts w:ascii="宋体" w:hAnsi="宋体"/>
                <w:bCs/>
                <w:szCs w:val="21"/>
              </w:rPr>
            </w:pPr>
            <w:r>
              <w:rPr>
                <w:rFonts w:hint="eastAsia" w:ascii="宋体" w:hAnsi="宋体"/>
                <w:bCs/>
                <w:szCs w:val="21"/>
              </w:rPr>
              <w:t>②承诺对所投设备的质保期</w:t>
            </w:r>
            <w:r>
              <w:rPr>
                <w:rFonts w:ascii="宋体" w:hAnsi="宋体"/>
                <w:bCs/>
                <w:szCs w:val="21"/>
              </w:rPr>
              <w:t>36</w:t>
            </w:r>
            <w:r>
              <w:rPr>
                <w:rFonts w:hint="eastAsia" w:ascii="宋体" w:hAnsi="宋体"/>
                <w:bCs/>
                <w:szCs w:val="21"/>
              </w:rPr>
              <w:t>个月或以上，得</w:t>
            </w:r>
            <w:r>
              <w:rPr>
                <w:rFonts w:ascii="宋体" w:hAnsi="宋体"/>
                <w:bCs/>
                <w:szCs w:val="21"/>
              </w:rPr>
              <w:t>3</w:t>
            </w:r>
            <w:r>
              <w:rPr>
                <w:rFonts w:hint="eastAsia" w:ascii="宋体" w:hAnsi="宋体"/>
                <w:bCs/>
                <w:szCs w:val="21"/>
              </w:rPr>
              <w:t>分。</w:t>
            </w:r>
          </w:p>
          <w:p>
            <w:pPr>
              <w:snapToGrid w:val="0"/>
              <w:spacing w:line="360" w:lineRule="auto"/>
              <w:jc w:val="left"/>
              <w:rPr>
                <w:rFonts w:ascii="宋体" w:hAnsi="宋体"/>
                <w:bCs/>
                <w:szCs w:val="21"/>
              </w:rPr>
            </w:pPr>
            <w:r>
              <w:rPr>
                <w:rFonts w:hint="eastAsia" w:ascii="宋体" w:hAnsi="宋体"/>
                <w:bCs/>
                <w:szCs w:val="21"/>
              </w:rPr>
              <w:t>备注：根据《安装时间、质保期、维修响应时间承诺表》对应的内容进行评审。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p>
        </w:tc>
        <w:tc>
          <w:tcPr>
            <w:tcW w:w="818" w:type="pct"/>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2分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ascii="宋体" w:hAnsi="宋体"/>
                <w:bCs/>
                <w:szCs w:val="21"/>
              </w:rPr>
              <w:t>4</w:t>
            </w:r>
            <w:r>
              <w:rPr>
                <w:rFonts w:hint="eastAsia" w:ascii="宋体" w:hAnsi="宋体"/>
                <w:bCs/>
                <w:szCs w:val="21"/>
              </w:rPr>
              <w:t>、根据投标人承诺的维修响应时间进行评审：</w:t>
            </w:r>
          </w:p>
          <w:p>
            <w:pPr>
              <w:snapToGrid w:val="0"/>
              <w:spacing w:line="360" w:lineRule="auto"/>
              <w:jc w:val="left"/>
              <w:rPr>
                <w:rFonts w:ascii="宋体" w:hAnsi="宋体"/>
                <w:bCs/>
                <w:szCs w:val="21"/>
              </w:rPr>
            </w:pPr>
            <w:r>
              <w:rPr>
                <w:rFonts w:hint="eastAsia" w:ascii="宋体" w:hAnsi="宋体"/>
                <w:bCs/>
                <w:szCs w:val="21"/>
              </w:rPr>
              <w:t>①</w:t>
            </w:r>
            <w:r>
              <w:rPr>
                <w:rFonts w:ascii="宋体" w:hAnsi="宋体"/>
                <w:bCs/>
                <w:szCs w:val="21"/>
              </w:rPr>
              <w:t>承诺在接到</w:t>
            </w:r>
            <w:r>
              <w:rPr>
                <w:rFonts w:hint="eastAsia"/>
                <w:szCs w:val="21"/>
              </w:rPr>
              <w:t>项目业主</w:t>
            </w:r>
            <w:r>
              <w:rPr>
                <w:rFonts w:ascii="宋体" w:hAnsi="宋体"/>
                <w:bCs/>
                <w:szCs w:val="21"/>
              </w:rPr>
              <w:t>的故障报警后3小时内响应，16小时内到达项目现场进行维修等服务</w:t>
            </w:r>
            <w:r>
              <w:rPr>
                <w:rFonts w:hint="eastAsia" w:ascii="宋体" w:hAnsi="宋体"/>
                <w:bCs/>
                <w:szCs w:val="21"/>
              </w:rPr>
              <w:t>的，得1分；</w:t>
            </w:r>
          </w:p>
          <w:p>
            <w:pPr>
              <w:snapToGrid w:val="0"/>
              <w:spacing w:line="360" w:lineRule="auto"/>
              <w:jc w:val="left"/>
              <w:rPr>
                <w:rFonts w:ascii="宋体" w:hAnsi="宋体"/>
                <w:bCs/>
                <w:szCs w:val="21"/>
              </w:rPr>
            </w:pPr>
            <w:r>
              <w:rPr>
                <w:rFonts w:hint="eastAsia" w:ascii="宋体" w:hAnsi="宋体"/>
                <w:bCs/>
                <w:szCs w:val="21"/>
              </w:rPr>
              <w:t>②</w:t>
            </w:r>
            <w:r>
              <w:rPr>
                <w:rFonts w:ascii="宋体" w:hAnsi="宋体"/>
                <w:bCs/>
                <w:szCs w:val="21"/>
              </w:rPr>
              <w:t>承诺在接到</w:t>
            </w:r>
            <w:r>
              <w:rPr>
                <w:rFonts w:hint="eastAsia"/>
                <w:szCs w:val="21"/>
              </w:rPr>
              <w:t>项目业主</w:t>
            </w:r>
            <w:r>
              <w:rPr>
                <w:rFonts w:ascii="宋体" w:hAnsi="宋体"/>
                <w:bCs/>
                <w:szCs w:val="21"/>
              </w:rPr>
              <w:t>的故障报警后2小时内响应，8小时内到达项目现场进行维修等服务</w:t>
            </w:r>
            <w:r>
              <w:rPr>
                <w:rFonts w:hint="eastAsia" w:ascii="宋体" w:hAnsi="宋体"/>
                <w:bCs/>
                <w:szCs w:val="21"/>
              </w:rPr>
              <w:t>的，得</w:t>
            </w:r>
            <w:r>
              <w:rPr>
                <w:rFonts w:ascii="宋体" w:hAnsi="宋体"/>
                <w:bCs/>
                <w:szCs w:val="21"/>
              </w:rPr>
              <w:t>2</w:t>
            </w:r>
            <w:r>
              <w:rPr>
                <w:rFonts w:hint="eastAsia" w:ascii="宋体" w:hAnsi="宋体"/>
                <w:bCs/>
                <w:szCs w:val="21"/>
              </w:rPr>
              <w:t>分。</w:t>
            </w:r>
          </w:p>
          <w:p>
            <w:pPr>
              <w:snapToGrid w:val="0"/>
              <w:spacing w:line="360" w:lineRule="auto"/>
              <w:jc w:val="left"/>
              <w:rPr>
                <w:rFonts w:ascii="宋体" w:hAnsi="宋体"/>
                <w:bCs/>
                <w:szCs w:val="21"/>
              </w:rPr>
            </w:pPr>
            <w:r>
              <w:rPr>
                <w:rFonts w:hint="eastAsia" w:ascii="宋体" w:hAnsi="宋体"/>
                <w:bCs/>
                <w:szCs w:val="21"/>
              </w:rPr>
              <w:t>备注：根据《安装时间、质保期、维修响应时间承诺表》对应的内容进行评审。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8</w:t>
            </w:r>
          </w:p>
        </w:tc>
        <w:tc>
          <w:tcPr>
            <w:tcW w:w="81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投标文件编制质量</w:t>
            </w:r>
          </w:p>
        </w:tc>
        <w:tc>
          <w:tcPr>
            <w:tcW w:w="478"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3296" w:type="pct"/>
            <w:tcBorders>
              <w:top w:val="single" w:color="auto" w:sz="4" w:space="0"/>
              <w:left w:val="single" w:color="auto" w:sz="4" w:space="0"/>
              <w:bottom w:val="single" w:color="auto" w:sz="4" w:space="0"/>
              <w:right w:val="single" w:color="auto" w:sz="8" w:space="0"/>
            </w:tcBorders>
            <w:vAlign w:val="center"/>
          </w:tcPr>
          <w:p>
            <w:pPr>
              <w:snapToGrid w:val="0"/>
              <w:spacing w:line="360" w:lineRule="auto"/>
              <w:jc w:val="left"/>
              <w:rPr>
                <w:rFonts w:ascii="宋体" w:hAnsi="宋体"/>
                <w:bCs/>
                <w:szCs w:val="21"/>
              </w:rPr>
            </w:pPr>
            <w:r>
              <w:rPr>
                <w:rFonts w:hint="eastAsia" w:ascii="宋体" w:hAnsi="宋体"/>
                <w:bCs/>
                <w:szCs w:val="21"/>
              </w:rPr>
              <w:t>投标人投标文件严格按照投标人须知第11条的规定编制，否则本项不得分。</w:t>
            </w:r>
          </w:p>
          <w:p>
            <w:pPr>
              <w:snapToGrid w:val="0"/>
              <w:spacing w:line="360" w:lineRule="auto"/>
              <w:jc w:val="left"/>
              <w:rPr>
                <w:rFonts w:ascii="宋体" w:hAnsi="宋体"/>
                <w:bCs/>
                <w:szCs w:val="21"/>
              </w:rPr>
            </w:pPr>
            <w:r>
              <w:rPr>
                <w:rFonts w:hint="eastAsia" w:ascii="宋体" w:hAnsi="宋体"/>
                <w:bCs/>
                <w:szCs w:val="21"/>
              </w:rPr>
              <w:t>对投标文件的条理是否清晰、内容是否全面、字迹清楚程度，以及针对招标文件技术要求提供的第三方证明等技术支持材料是否充分、完整、重点突出，按</w:t>
            </w:r>
            <w:r>
              <w:rPr>
                <w:rFonts w:ascii="宋体" w:hAnsi="宋体"/>
                <w:bCs/>
                <w:szCs w:val="21"/>
              </w:rPr>
              <w:t>优[</w:t>
            </w:r>
            <w:r>
              <w:rPr>
                <w:rFonts w:hint="eastAsia" w:ascii="宋体" w:hAnsi="宋体"/>
                <w:bCs/>
                <w:szCs w:val="21"/>
              </w:rPr>
              <w:t>2</w:t>
            </w:r>
            <w:r>
              <w:rPr>
                <w:rFonts w:ascii="宋体" w:hAnsi="宋体"/>
                <w:bCs/>
                <w:szCs w:val="21"/>
              </w:rPr>
              <w:t>-</w:t>
            </w:r>
            <w:r>
              <w:rPr>
                <w:rFonts w:hint="eastAsia" w:ascii="宋体" w:hAnsi="宋体"/>
                <w:bCs/>
                <w:szCs w:val="21"/>
              </w:rPr>
              <w:t>1.5</w:t>
            </w:r>
            <w:r>
              <w:rPr>
                <w:rFonts w:ascii="宋体" w:hAnsi="宋体"/>
                <w:bCs/>
                <w:szCs w:val="21"/>
              </w:rPr>
              <w:t>分]、良（</w:t>
            </w:r>
            <w:r>
              <w:rPr>
                <w:rFonts w:hint="eastAsia" w:ascii="宋体" w:hAnsi="宋体"/>
                <w:bCs/>
                <w:szCs w:val="21"/>
              </w:rPr>
              <w:t>1.5</w:t>
            </w:r>
            <w:r>
              <w:rPr>
                <w:rFonts w:ascii="宋体" w:hAnsi="宋体"/>
                <w:bCs/>
                <w:szCs w:val="21"/>
              </w:rPr>
              <w:t>-</w:t>
            </w:r>
            <w:r>
              <w:rPr>
                <w:rFonts w:hint="eastAsia" w:ascii="宋体" w:hAnsi="宋体"/>
                <w:bCs/>
                <w:szCs w:val="21"/>
              </w:rPr>
              <w:t>1</w:t>
            </w:r>
            <w:r>
              <w:rPr>
                <w:rFonts w:ascii="宋体" w:hAnsi="宋体"/>
                <w:bCs/>
                <w:szCs w:val="21"/>
              </w:rPr>
              <w:t>分]、中（</w:t>
            </w:r>
            <w:r>
              <w:rPr>
                <w:rFonts w:hint="eastAsia" w:ascii="宋体" w:hAnsi="宋体"/>
                <w:bCs/>
                <w:szCs w:val="21"/>
              </w:rPr>
              <w:t>1</w:t>
            </w:r>
            <w:r>
              <w:rPr>
                <w:rFonts w:ascii="宋体" w:hAnsi="宋体"/>
                <w:bCs/>
                <w:szCs w:val="21"/>
              </w:rPr>
              <w:t>-</w:t>
            </w:r>
            <w:r>
              <w:rPr>
                <w:rFonts w:hint="eastAsia" w:ascii="宋体" w:hAnsi="宋体"/>
                <w:bCs/>
                <w:szCs w:val="21"/>
              </w:rPr>
              <w:t>0.5</w:t>
            </w:r>
            <w:r>
              <w:rPr>
                <w:rFonts w:ascii="宋体" w:hAnsi="宋体"/>
                <w:bCs/>
                <w:szCs w:val="21"/>
              </w:rPr>
              <w:t>分]、差（</w:t>
            </w:r>
            <w:r>
              <w:rPr>
                <w:rFonts w:hint="eastAsia" w:ascii="宋体" w:hAnsi="宋体"/>
                <w:bCs/>
                <w:szCs w:val="21"/>
              </w:rPr>
              <w:t>0.5</w:t>
            </w:r>
            <w:r>
              <w:rPr>
                <w:rFonts w:ascii="宋体" w:hAnsi="宋体"/>
                <w:bCs/>
                <w:szCs w:val="21"/>
              </w:rPr>
              <w:t>-0分]进行评审</w:t>
            </w:r>
            <w:r>
              <w:rPr>
                <w:rFonts w:hint="eastAsia" w:ascii="宋体" w:hAnsi="宋体"/>
                <w:bCs/>
                <w:szCs w:val="21"/>
              </w:rPr>
              <w:t>。</w:t>
            </w:r>
          </w:p>
        </w:tc>
      </w:tr>
    </w:tbl>
    <w:p>
      <w:pPr>
        <w:snapToGrid w:val="0"/>
        <w:spacing w:line="360" w:lineRule="auto"/>
        <w:rPr>
          <w:rFonts w:ascii="宋体" w:hAnsi="宋体"/>
        </w:rPr>
      </w:pPr>
      <w:r>
        <w:rPr>
          <w:rFonts w:ascii="宋体" w:hAnsi="宋体"/>
        </w:rPr>
        <w:t>备注：①、表中“[”代表闭区间，“]”代表闭区间，如[0，1]代表该分数段范围为大于等于0且小于等于1。表中“（”代表开区间，“]”代表闭区间，如（1，2]代表该分数段范围为大于1且小于等于2。②、分数出现小数点，保留小数点后2位，从小数点后第3位四舍五入。</w:t>
      </w:r>
      <w:r>
        <w:rPr>
          <w:rFonts w:hint="eastAsia" w:ascii="宋体" w:hAnsi="宋体"/>
          <w:color w:val="000000"/>
        </w:rPr>
        <w:t>③、上述“评分项目”中按“优、良、中、差”区间评审的，若低于该项满分分值60%时，评标专家需详细填写该项低分的充分理由，例如:该项目内容存在</w:t>
      </w:r>
      <w:r>
        <w:rPr>
          <w:rFonts w:hint="eastAsia" w:ascii="宋体" w:hAnsi="宋体" w:eastAsia="宋体" w:cs="宋体"/>
          <w:bCs/>
          <w:sz w:val="21"/>
          <w:szCs w:val="21"/>
        </w:rPr>
        <w:t>违反国家有关标准和规范</w:t>
      </w:r>
      <w:r>
        <w:rPr>
          <w:rFonts w:hint="eastAsia" w:ascii="宋体" w:hAnsi="宋体"/>
          <w:color w:val="000000"/>
        </w:rPr>
        <w:t>或与项目实际不符等原则性问题。</w:t>
      </w:r>
    </w:p>
    <w:p>
      <w:pPr>
        <w:snapToGrid w:val="0"/>
        <w:spacing w:line="360" w:lineRule="auto"/>
        <w:ind w:firstLine="480"/>
        <w:rPr>
          <w:rFonts w:ascii="宋体" w:hAnsi="宋体"/>
          <w:szCs w:val="21"/>
        </w:rPr>
      </w:pPr>
      <w:r>
        <w:rPr>
          <w:rFonts w:ascii="宋体" w:hAnsi="宋体"/>
          <w:szCs w:val="21"/>
        </w:rPr>
        <w:t>6.5价格评分</w:t>
      </w:r>
      <w:r>
        <w:rPr>
          <w:rFonts w:hint="eastAsia" w:ascii="宋体" w:hAnsi="宋体"/>
          <w:szCs w:val="21"/>
        </w:rPr>
        <w:t>的满分</w:t>
      </w:r>
      <w:r>
        <w:rPr>
          <w:rFonts w:ascii="宋体" w:hAnsi="宋体"/>
          <w:szCs w:val="21"/>
        </w:rPr>
        <w:t>为</w:t>
      </w:r>
      <w:r>
        <w:rPr>
          <w:rFonts w:hint="eastAsia" w:ascii="宋体" w:hAnsi="宋体"/>
          <w:szCs w:val="21"/>
        </w:rPr>
        <w:t>30</w:t>
      </w:r>
      <w:r>
        <w:rPr>
          <w:rFonts w:ascii="宋体" w:hAnsi="宋体"/>
          <w:szCs w:val="21"/>
        </w:rPr>
        <w:t>分：</w:t>
      </w:r>
    </w:p>
    <w:p>
      <w:pPr>
        <w:snapToGrid w:val="0"/>
        <w:spacing w:line="360" w:lineRule="auto"/>
        <w:ind w:firstLine="480"/>
        <w:rPr>
          <w:rFonts w:ascii="宋体" w:hAnsi="宋体"/>
          <w:szCs w:val="21"/>
        </w:rPr>
      </w:pPr>
      <w:r>
        <w:rPr>
          <w:rFonts w:hint="eastAsia" w:ascii="宋体" w:hAnsi="宋体"/>
          <w:szCs w:val="21"/>
        </w:rPr>
        <w:t>6.5.1本项目价格评分采用低价优先法计算，即以通过</w:t>
      </w:r>
      <w:r>
        <w:rPr>
          <w:rFonts w:ascii="宋体" w:hAnsi="宋体"/>
          <w:szCs w:val="21"/>
        </w:rPr>
        <w:t>符合性（有效性）检查</w:t>
      </w:r>
      <w:r>
        <w:rPr>
          <w:rFonts w:hint="eastAsia" w:ascii="宋体" w:hAnsi="宋体"/>
          <w:szCs w:val="21"/>
        </w:rPr>
        <w:t>的有效</w:t>
      </w:r>
      <w:r>
        <w:rPr>
          <w:rFonts w:ascii="宋体" w:hAnsi="宋体"/>
          <w:szCs w:val="21"/>
        </w:rPr>
        <w:t>投标人</w:t>
      </w:r>
      <w:r>
        <w:rPr>
          <w:rFonts w:hint="eastAsia" w:ascii="宋体" w:hAnsi="宋体"/>
          <w:szCs w:val="21"/>
        </w:rPr>
        <w:t>中</w:t>
      </w:r>
      <w:r>
        <w:rPr>
          <w:rFonts w:ascii="宋体" w:hAnsi="宋体"/>
          <w:szCs w:val="21"/>
        </w:rPr>
        <w:t>的最低投标报价</w:t>
      </w:r>
      <w:r>
        <w:rPr>
          <w:rFonts w:hint="eastAsia" w:ascii="宋体" w:hAnsi="宋体"/>
          <w:szCs w:val="21"/>
        </w:rPr>
        <w:t>作</w:t>
      </w:r>
      <w:r>
        <w:rPr>
          <w:rFonts w:ascii="宋体" w:hAnsi="宋体"/>
          <w:szCs w:val="21"/>
        </w:rPr>
        <w:t>为评标基准价</w:t>
      </w:r>
      <w:r>
        <w:rPr>
          <w:rFonts w:hint="eastAsia" w:ascii="宋体" w:hAnsi="宋体"/>
          <w:szCs w:val="21"/>
        </w:rPr>
        <w:t>，其价格分为满分，其他投标人的价格分统一按照下列公式计算：</w:t>
      </w:r>
    </w:p>
    <w:p>
      <w:pPr>
        <w:snapToGrid w:val="0"/>
        <w:spacing w:line="360" w:lineRule="auto"/>
        <w:ind w:firstLine="480"/>
        <w:rPr>
          <w:rFonts w:ascii="宋体" w:hAnsi="宋体"/>
          <w:szCs w:val="21"/>
        </w:rPr>
      </w:pPr>
      <w:r>
        <w:rPr>
          <w:rFonts w:hint="eastAsia" w:ascii="宋体" w:hAnsi="宋体"/>
          <w:szCs w:val="21"/>
        </w:rPr>
        <w:t>投标报价得分=(评标基准价／投标报价)×30。</w:t>
      </w:r>
    </w:p>
    <w:p>
      <w:pPr>
        <w:snapToGrid w:val="0"/>
        <w:spacing w:line="360" w:lineRule="auto"/>
        <w:ind w:firstLine="480"/>
        <w:rPr>
          <w:rFonts w:ascii="宋体" w:hAnsi="宋体"/>
          <w:szCs w:val="21"/>
        </w:rPr>
      </w:pPr>
      <w:r>
        <w:rPr>
          <w:rFonts w:hint="eastAsia" w:ascii="宋体" w:hAnsi="宋体"/>
        </w:rPr>
        <w:t>6.5.2</w:t>
      </w:r>
      <w:r>
        <w:rPr>
          <w:rFonts w:ascii="宋体" w:hAnsi="宋体"/>
        </w:rPr>
        <w:t>分数出现小数点，保留小数点后2位，从小数点后第3位四舍五入。</w:t>
      </w:r>
      <w:r>
        <w:rPr>
          <w:rFonts w:hint="eastAsia" w:ascii="宋体" w:hAnsi="宋体"/>
          <w:szCs w:val="21"/>
        </w:rPr>
        <w:t xml:space="preserve"> </w:t>
      </w:r>
    </w:p>
    <w:p>
      <w:pPr>
        <w:snapToGrid w:val="0"/>
        <w:spacing w:line="360" w:lineRule="auto"/>
        <w:ind w:firstLine="480"/>
        <w:rPr>
          <w:rFonts w:ascii="宋体" w:hAnsi="宋体"/>
        </w:rPr>
      </w:pPr>
      <w:r>
        <w:rPr>
          <w:rFonts w:ascii="宋体" w:hAnsi="宋体"/>
        </w:rPr>
        <w:t>6.6综合得分排名</w:t>
      </w:r>
    </w:p>
    <w:p>
      <w:pPr>
        <w:snapToGrid w:val="0"/>
        <w:spacing w:line="360" w:lineRule="auto"/>
        <w:ind w:firstLine="480"/>
        <w:rPr>
          <w:rFonts w:ascii="宋体" w:hAnsi="宋体"/>
        </w:rPr>
      </w:pPr>
      <w:r>
        <w:rPr>
          <w:rFonts w:ascii="宋体" w:hAnsi="宋体"/>
        </w:rPr>
        <w:t>6.6</w:t>
      </w:r>
      <w:r>
        <w:rPr>
          <w:rFonts w:hint="eastAsia" w:ascii="宋体" w:hAnsi="宋体"/>
        </w:rPr>
        <w:t>.</w:t>
      </w:r>
      <w:r>
        <w:rPr>
          <w:rFonts w:ascii="宋体" w:hAnsi="宋体"/>
        </w:rPr>
        <w:t>1评标总得分=F1＋F2+</w:t>
      </w:r>
      <w:r>
        <w:rPr>
          <w:rFonts w:hint="eastAsia" w:ascii="宋体" w:hAnsi="宋体"/>
        </w:rPr>
        <w:t>F</w:t>
      </w:r>
      <w:r>
        <w:rPr>
          <w:rFonts w:ascii="宋体" w:hAnsi="宋体"/>
        </w:rPr>
        <w:t>3</w:t>
      </w:r>
    </w:p>
    <w:p>
      <w:pPr>
        <w:tabs>
          <w:tab w:val="left" w:pos="720"/>
        </w:tabs>
        <w:snapToGrid w:val="0"/>
        <w:spacing w:line="360" w:lineRule="auto"/>
        <w:ind w:firstLine="1050" w:firstLineChars="500"/>
        <w:rPr>
          <w:rFonts w:ascii="宋体" w:hAnsi="宋体"/>
        </w:rPr>
      </w:pPr>
      <w:r>
        <w:rPr>
          <w:rFonts w:ascii="宋体" w:hAnsi="宋体"/>
        </w:rPr>
        <w:t>F1、F2</w:t>
      </w:r>
      <w:r>
        <w:rPr>
          <w:rFonts w:hint="eastAsia" w:ascii="宋体" w:hAnsi="宋体"/>
        </w:rPr>
        <w:t>、F</w:t>
      </w:r>
      <w:r>
        <w:rPr>
          <w:rFonts w:ascii="宋体" w:hAnsi="宋体"/>
        </w:rPr>
        <w:t>3分别为</w:t>
      </w:r>
      <w:r>
        <w:rPr>
          <w:rFonts w:hint="eastAsia" w:ascii="宋体" w:hAnsi="宋体"/>
        </w:rPr>
        <w:t>商务标、技术标、投标报价</w:t>
      </w:r>
      <w:r>
        <w:rPr>
          <w:rFonts w:ascii="宋体" w:hAnsi="宋体"/>
        </w:rPr>
        <w:t>的得分</w:t>
      </w:r>
      <w:r>
        <w:rPr>
          <w:rFonts w:hint="eastAsia" w:ascii="宋体" w:hAnsi="宋体"/>
        </w:rPr>
        <w:t>。</w:t>
      </w:r>
    </w:p>
    <w:p>
      <w:pPr>
        <w:pStyle w:val="5"/>
        <w:rPr>
          <w:rFonts w:ascii="宋体" w:hAnsi="宋体"/>
          <w:sz w:val="24"/>
          <w:szCs w:val="24"/>
        </w:rPr>
      </w:pPr>
      <w:bookmarkStart w:id="689" w:name="_Toc334572737"/>
      <w:bookmarkStart w:id="690" w:name="_Toc198537572"/>
      <w:bookmarkStart w:id="691" w:name="_Toc11508"/>
      <w:bookmarkStart w:id="692" w:name="_Toc23077"/>
      <w:bookmarkStart w:id="693" w:name="_Toc8781"/>
      <w:bookmarkStart w:id="694" w:name="_Toc132814750"/>
      <w:bookmarkStart w:id="695" w:name="_Toc30470"/>
      <w:bookmarkStart w:id="696" w:name="_Toc26341"/>
      <w:r>
        <w:rPr>
          <w:rFonts w:ascii="宋体" w:hAnsi="宋体"/>
          <w:sz w:val="24"/>
          <w:szCs w:val="24"/>
        </w:rPr>
        <w:t>七、</w:t>
      </w:r>
      <w:bookmarkEnd w:id="689"/>
      <w:bookmarkEnd w:id="690"/>
      <w:r>
        <w:rPr>
          <w:rFonts w:hint="eastAsia" w:ascii="宋体" w:hAnsi="宋体"/>
          <w:sz w:val="24"/>
          <w:szCs w:val="24"/>
        </w:rPr>
        <w:t>定标原则</w:t>
      </w:r>
      <w:bookmarkEnd w:id="691"/>
      <w:bookmarkEnd w:id="692"/>
      <w:bookmarkEnd w:id="693"/>
      <w:bookmarkEnd w:id="694"/>
      <w:bookmarkEnd w:id="695"/>
      <w:bookmarkEnd w:id="696"/>
    </w:p>
    <w:p>
      <w:pPr>
        <w:snapToGrid w:val="0"/>
        <w:spacing w:line="360" w:lineRule="auto"/>
        <w:ind w:firstLine="420" w:firstLineChars="200"/>
        <w:rPr>
          <w:rFonts w:ascii="宋体" w:hAnsi="宋体"/>
          <w:szCs w:val="21"/>
        </w:rPr>
      </w:pPr>
      <w:r>
        <w:rPr>
          <w:rFonts w:hint="eastAsia" w:ascii="宋体" w:hAnsi="宋体"/>
          <w:szCs w:val="21"/>
        </w:rPr>
        <w:t>7.1评标委员会计算的分值经复核无误后为定值。评标委员会的每一位评委根据上述评分标准地对投标文件分别打分，对投标人的投标文件的商务标、技术标及投标报价分别评分。</w:t>
      </w:r>
      <w:r>
        <w:rPr>
          <w:rFonts w:hint="eastAsia" w:ascii="宋体" w:hAnsi="宋体"/>
        </w:rPr>
        <w:t>①</w:t>
      </w:r>
      <w:r>
        <w:rPr>
          <w:rFonts w:ascii="宋体" w:hAnsi="宋体"/>
        </w:rPr>
        <w:t>评标委员会对</w:t>
      </w:r>
      <w:r>
        <w:rPr>
          <w:rFonts w:hint="eastAsia" w:ascii="宋体" w:hAnsi="宋体"/>
        </w:rPr>
        <w:t>商务</w:t>
      </w:r>
      <w:r>
        <w:rPr>
          <w:rFonts w:ascii="宋体" w:hAnsi="宋体"/>
        </w:rPr>
        <w:t>标进行评审，按评标</w:t>
      </w:r>
      <w:r>
        <w:rPr>
          <w:rFonts w:hint="eastAsia" w:ascii="宋体" w:hAnsi="宋体"/>
        </w:rPr>
        <w:t>标准</w:t>
      </w:r>
      <w:r>
        <w:rPr>
          <w:rFonts w:ascii="宋体" w:hAnsi="宋体"/>
        </w:rPr>
        <w:t>打分后，</w:t>
      </w:r>
      <w:r>
        <w:rPr>
          <w:rFonts w:hint="eastAsia" w:ascii="宋体" w:hAnsi="宋体"/>
        </w:rPr>
        <w:t>取所有评委评分的平均值</w:t>
      </w:r>
      <w:r>
        <w:rPr>
          <w:rFonts w:ascii="宋体" w:hAnsi="宋体"/>
        </w:rPr>
        <w:t>得出</w:t>
      </w:r>
      <w:r>
        <w:rPr>
          <w:rFonts w:hint="eastAsia" w:ascii="宋体" w:hAnsi="宋体"/>
        </w:rPr>
        <w:t>该投标人的商务</w:t>
      </w:r>
      <w:r>
        <w:rPr>
          <w:rFonts w:ascii="宋体" w:hAnsi="宋体"/>
        </w:rPr>
        <w:t>评分；</w:t>
      </w:r>
      <w:r>
        <w:rPr>
          <w:rFonts w:hint="eastAsia" w:ascii="宋体" w:hAnsi="宋体"/>
        </w:rPr>
        <w:t>②</w:t>
      </w:r>
      <w:r>
        <w:rPr>
          <w:rFonts w:ascii="宋体" w:hAnsi="宋体"/>
        </w:rPr>
        <w:t>评标委员会对</w:t>
      </w:r>
      <w:r>
        <w:rPr>
          <w:rFonts w:hint="eastAsia" w:ascii="宋体" w:hAnsi="宋体"/>
        </w:rPr>
        <w:t>技术</w:t>
      </w:r>
      <w:r>
        <w:rPr>
          <w:rFonts w:ascii="宋体" w:hAnsi="宋体"/>
        </w:rPr>
        <w:t>标进行评审，按评标</w:t>
      </w:r>
      <w:r>
        <w:rPr>
          <w:rFonts w:hint="eastAsia" w:ascii="宋体" w:hAnsi="宋体"/>
        </w:rPr>
        <w:t>标准</w:t>
      </w:r>
      <w:r>
        <w:rPr>
          <w:rFonts w:ascii="宋体" w:hAnsi="宋体"/>
        </w:rPr>
        <w:t>打分后，</w:t>
      </w:r>
      <w:r>
        <w:rPr>
          <w:rFonts w:hint="eastAsia" w:ascii="仿宋_GB2312" w:hAnsi="仿宋_GB2312" w:cs="仿宋_GB2312"/>
          <w:szCs w:val="32"/>
        </w:rPr>
        <w:t>得出</w:t>
      </w:r>
      <w:r>
        <w:rPr>
          <w:rFonts w:hint="eastAsia" w:ascii="宋体" w:hAnsi="宋体"/>
        </w:rPr>
        <w:t>技术部分</w:t>
      </w:r>
      <w:r>
        <w:rPr>
          <w:rFonts w:hint="eastAsia" w:ascii="仿宋_GB2312" w:hAnsi="仿宋_GB2312" w:cs="仿宋_GB2312"/>
          <w:szCs w:val="32"/>
        </w:rPr>
        <w:t>评分。当评标委员会为五人时，在所有评委对同一份投标文件技术标评审的总评分中，去掉一个最高分和一个最低分，计算剩余总评分的算术平均值即为该投标人</w:t>
      </w:r>
      <w:r>
        <w:rPr>
          <w:rFonts w:hint="eastAsia" w:ascii="宋体" w:hAnsi="宋体"/>
        </w:rPr>
        <w:t>技术部分</w:t>
      </w:r>
      <w:r>
        <w:rPr>
          <w:rFonts w:hint="eastAsia" w:ascii="仿宋_GB2312" w:hAnsi="仿宋_GB2312" w:cs="仿宋_GB2312"/>
          <w:szCs w:val="32"/>
        </w:rPr>
        <w:t>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w:t>
      </w:r>
      <w:r>
        <w:rPr>
          <w:rFonts w:hint="eastAsia" w:ascii="宋体" w:hAnsi="宋体"/>
        </w:rPr>
        <w:t>技术部分</w:t>
      </w:r>
      <w:r>
        <w:rPr>
          <w:rFonts w:hint="eastAsia" w:ascii="仿宋_GB2312" w:hAnsi="仿宋_GB2312" w:cs="仿宋_GB2312"/>
          <w:szCs w:val="32"/>
        </w:rPr>
        <w:t>评审的总评分中，去掉一个最高分和一个最低分，计算剩余总评分的算术平均值即为该投标人</w:t>
      </w:r>
      <w:r>
        <w:rPr>
          <w:rFonts w:hint="eastAsia" w:ascii="宋体" w:hAnsi="宋体"/>
        </w:rPr>
        <w:t>技术部分</w:t>
      </w:r>
      <w:r>
        <w:rPr>
          <w:rFonts w:hint="eastAsia" w:ascii="仿宋_GB2312" w:hAnsi="仿宋_GB2312" w:cs="仿宋_GB2312"/>
          <w:szCs w:val="32"/>
        </w:rPr>
        <w:t>的最终综合得分</w:t>
      </w:r>
      <w:r>
        <w:rPr>
          <w:rFonts w:hint="eastAsia" w:ascii="宋体" w:hAnsi="宋体"/>
        </w:rPr>
        <w:t>；③评标委员会对投标报价进行评审，按评标标准计算得出该投标人的报价评分</w:t>
      </w:r>
      <w:r>
        <w:rPr>
          <w:rFonts w:ascii="宋体" w:hAnsi="宋体"/>
        </w:rPr>
        <w:t>。</w:t>
      </w:r>
    </w:p>
    <w:p>
      <w:pPr>
        <w:snapToGrid w:val="0"/>
        <w:spacing w:line="360" w:lineRule="auto"/>
        <w:ind w:firstLine="420" w:firstLineChars="200"/>
        <w:rPr>
          <w:rFonts w:ascii="宋体" w:hAnsi="宋体"/>
          <w:szCs w:val="21"/>
        </w:rPr>
      </w:pPr>
      <w:r>
        <w:rPr>
          <w:rFonts w:hint="eastAsia" w:ascii="宋体" w:hAnsi="宋体"/>
          <w:szCs w:val="21"/>
        </w:rPr>
        <w:t>7.2最终以各投标人投标文件的最后综合得分的高低排出次序，得分最高的为第一名，得分次高的为第二名，如此类推。如果有两个或以上的投标人的最后综合得分相同，则在最后综合得分相同的投标人中按投标报价</w:t>
      </w:r>
      <w:r>
        <w:rPr>
          <w:rFonts w:hint="eastAsia" w:ascii="宋体" w:hAnsi="宋体"/>
          <w:lang w:val="zh-CN"/>
        </w:rPr>
        <w:t>由低到高顺序排出次序，报价低的排前，报价高的排后。</w:t>
      </w:r>
      <w:r>
        <w:rPr>
          <w:rFonts w:hint="eastAsia" w:ascii="宋体" w:hAnsi="宋体"/>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snapToGrid w:val="0"/>
        <w:spacing w:line="360" w:lineRule="auto"/>
        <w:ind w:firstLine="482"/>
        <w:rPr>
          <w:rFonts w:ascii="宋体" w:hAnsi="宋体"/>
          <w:szCs w:val="21"/>
        </w:rPr>
      </w:pPr>
      <w:r>
        <w:rPr>
          <w:rFonts w:hint="eastAsia" w:ascii="宋体" w:hAnsi="宋体"/>
          <w:szCs w:val="21"/>
        </w:rPr>
        <w:t>7.3定标原则</w:t>
      </w:r>
    </w:p>
    <w:p>
      <w:pPr>
        <w:snapToGrid w:val="0"/>
        <w:spacing w:line="360" w:lineRule="auto"/>
        <w:ind w:firstLine="482"/>
        <w:rPr>
          <w:rFonts w:ascii="宋体" w:hAnsi="宋体"/>
          <w:szCs w:val="21"/>
        </w:rPr>
      </w:pPr>
      <w:r>
        <w:rPr>
          <w:rFonts w:hint="eastAsia" w:ascii="宋体" w:hAnsi="宋体"/>
          <w:szCs w:val="21"/>
        </w:rPr>
        <w:t>（1）评标委员会将向招标人推荐评标最后综合得分最高的前两名投标人为中标候选人，并标明排列顺序。</w:t>
      </w:r>
    </w:p>
    <w:p>
      <w:pPr>
        <w:snapToGrid w:val="0"/>
        <w:spacing w:line="360" w:lineRule="auto"/>
        <w:ind w:firstLine="482"/>
        <w:rPr>
          <w:rFonts w:ascii="宋体" w:hAnsi="宋体"/>
          <w:szCs w:val="21"/>
        </w:rPr>
      </w:pPr>
      <w:r>
        <w:rPr>
          <w:rFonts w:hint="eastAsia" w:ascii="宋体" w:hAnsi="宋体"/>
          <w:szCs w:val="21"/>
        </w:rPr>
        <w:t xml:space="preserve">（2）由招标人确定第一中标候选人为中标人。 </w:t>
      </w:r>
    </w:p>
    <w:p>
      <w:pPr>
        <w:snapToGrid w:val="0"/>
        <w:spacing w:line="360" w:lineRule="auto"/>
        <w:ind w:firstLine="482"/>
        <w:rPr>
          <w:rFonts w:ascii="宋体" w:hAnsi="宋体"/>
          <w:szCs w:val="21"/>
        </w:rPr>
      </w:pPr>
      <w:r>
        <w:rPr>
          <w:rFonts w:hint="eastAsia" w:ascii="宋体" w:hAnsi="宋体"/>
          <w:szCs w:val="21"/>
        </w:rPr>
        <w:t>（3）中标人放弃中标，因不可抗力提出不能履行合同，或者招标文件规定应当提交履约担保而在规定期限内未能提交的，招标人将重新招标或按规定确定第二中标候选人为中标人。如果第二中标候选人因上述原因放弃中标的，招标人将重新招标</w:t>
      </w:r>
      <w:r>
        <w:rPr>
          <w:rFonts w:ascii="宋体" w:hAnsi="宋体"/>
          <w:szCs w:val="21"/>
        </w:rPr>
        <w:t>。</w:t>
      </w:r>
    </w:p>
    <w:bookmarkEnd w:id="635"/>
    <w:bookmarkEnd w:id="636"/>
    <w:bookmarkEnd w:id="637"/>
    <w:p>
      <w:pPr>
        <w:pStyle w:val="4"/>
        <w:keepNext w:val="0"/>
        <w:keepLines w:val="0"/>
        <w:pageBreakBefore/>
        <w:spacing w:before="312" w:beforeLines="100" w:after="0" w:line="360" w:lineRule="auto"/>
        <w:rPr>
          <w:rFonts w:ascii="宋体" w:hAnsi="宋体" w:eastAsia="宋体"/>
          <w:b w:val="0"/>
          <w:bCs w:val="0"/>
          <w:sz w:val="30"/>
          <w:szCs w:val="28"/>
        </w:rPr>
      </w:pPr>
      <w:bookmarkStart w:id="697" w:name="_Toc30308"/>
      <w:bookmarkStart w:id="698" w:name="_Toc18077"/>
      <w:bookmarkStart w:id="699" w:name="_Toc31064"/>
      <w:bookmarkStart w:id="700" w:name="_Toc20445"/>
      <w:bookmarkStart w:id="701" w:name="_Toc132814751"/>
      <w:bookmarkStart w:id="702" w:name="_Toc14404"/>
      <w:r>
        <w:rPr>
          <w:rFonts w:ascii="宋体" w:hAnsi="宋体" w:eastAsia="宋体"/>
          <w:b w:val="0"/>
          <w:bCs w:val="0"/>
          <w:sz w:val="30"/>
          <w:szCs w:val="28"/>
        </w:rPr>
        <w:t>附件</w:t>
      </w:r>
      <w:r>
        <w:rPr>
          <w:rFonts w:hint="eastAsia" w:ascii="宋体" w:hAnsi="宋体" w:eastAsia="宋体"/>
          <w:b w:val="0"/>
          <w:bCs w:val="0"/>
          <w:sz w:val="30"/>
          <w:szCs w:val="28"/>
        </w:rPr>
        <w:t>二</w:t>
      </w:r>
      <w:r>
        <w:rPr>
          <w:rFonts w:ascii="宋体" w:hAnsi="宋体" w:eastAsia="宋体"/>
          <w:b w:val="0"/>
          <w:bCs w:val="0"/>
          <w:sz w:val="30"/>
          <w:szCs w:val="28"/>
        </w:rPr>
        <w:t xml:space="preserve"> </w:t>
      </w:r>
      <w:r>
        <w:rPr>
          <w:rFonts w:hint="eastAsia" w:ascii="宋体" w:hAnsi="宋体" w:eastAsia="宋体"/>
          <w:b w:val="0"/>
          <w:bCs w:val="0"/>
          <w:sz w:val="30"/>
          <w:szCs w:val="28"/>
        </w:rPr>
        <w:t>投标保函（银行电子保函参考样式）</w:t>
      </w:r>
      <w:bookmarkEnd w:id="697"/>
      <w:bookmarkEnd w:id="698"/>
      <w:bookmarkEnd w:id="699"/>
      <w:bookmarkEnd w:id="700"/>
      <w:bookmarkEnd w:id="701"/>
      <w:bookmarkEnd w:id="702"/>
    </w:p>
    <w:p>
      <w:pPr>
        <w:spacing w:line="360" w:lineRule="auto"/>
        <w:ind w:firstLine="600" w:firstLineChars="200"/>
        <w:jc w:val="center"/>
        <w:rPr>
          <w:rFonts w:ascii="宋体" w:hAnsi="宋体" w:cs="宋体"/>
          <w:b/>
          <w:bCs/>
          <w:sz w:val="32"/>
        </w:rPr>
      </w:pPr>
      <w:r>
        <w:rPr>
          <w:rFonts w:hint="eastAsia" w:ascii="宋体" w:hAnsi="宋体" w:cs="宋体"/>
          <w:sz w:val="30"/>
        </w:rPr>
        <w:t>投标保函（银行电子保函参考样式）</w:t>
      </w:r>
    </w:p>
    <w:p>
      <w:pPr>
        <w:spacing w:line="360" w:lineRule="auto"/>
        <w:ind w:firstLine="420" w:firstLineChars="200"/>
        <w:jc w:val="center"/>
        <w:rPr>
          <w:rFonts w:ascii="宋体" w:hAnsi="宋体" w:cs="宋体"/>
          <w:sz w:val="30"/>
          <w:u w:val="single"/>
        </w:rPr>
      </w:pPr>
      <w:r>
        <w:rPr>
          <w:rFonts w:hint="eastAsia" w:ascii="宋体" w:hAnsi="宋体" w:cs="宋体"/>
          <w:szCs w:val="21"/>
        </w:rPr>
        <w:t xml:space="preserve">                       编号：</w:t>
      </w:r>
    </w:p>
    <w:p>
      <w:pPr>
        <w:spacing w:line="360" w:lineRule="atLeast"/>
        <w:jc w:val="left"/>
        <w:rPr>
          <w:rFonts w:ascii="仿宋_GB2312" w:hAnsi="仿宋_GB2312" w:cs="仿宋_GB2312"/>
          <w:sz w:val="24"/>
          <w:u w:val="single"/>
        </w:rPr>
      </w:pPr>
      <w:r>
        <w:rPr>
          <w:rFonts w:hint="eastAsia" w:ascii="仿宋_GB2312" w:hAnsi="仿宋_GB2312" w:cs="仿宋_GB2312"/>
          <w:sz w:val="24"/>
        </w:rPr>
        <w:t>致：</w:t>
      </w:r>
      <w:r>
        <w:rPr>
          <w:rFonts w:hint="eastAsia" w:ascii="仿宋_GB2312" w:hAnsi="仿宋_GB2312" w:cs="仿宋_GB2312"/>
          <w:sz w:val="24"/>
          <w:u w:val="single"/>
        </w:rPr>
        <w:t xml:space="preserve">                   </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鉴于：</w:t>
      </w:r>
      <w:r>
        <w:rPr>
          <w:rFonts w:hint="eastAsia" w:ascii="仿宋_GB2312" w:hAnsi="仿宋_GB2312" w:cs="仿宋_GB2312"/>
          <w:sz w:val="24"/>
          <w:u w:val="single"/>
        </w:rPr>
        <w:t xml:space="preserve">                  </w:t>
      </w:r>
      <w:r>
        <w:rPr>
          <w:rFonts w:hint="eastAsia" w:ascii="仿宋_GB2312" w:hAnsi="仿宋_GB2312" w:cs="仿宋_GB2312"/>
          <w:sz w:val="24"/>
        </w:rPr>
        <w:t>（下称“投标人”）根据贵方于</w:t>
      </w:r>
      <w:r>
        <w:rPr>
          <w:rFonts w:hint="eastAsia" w:ascii="仿宋_GB2312" w:hAnsi="仿宋_GB2312" w:cs="仿宋_GB2312"/>
          <w:sz w:val="24"/>
          <w:u w:val="single"/>
        </w:rPr>
        <w:t xml:space="preserve">    </w:t>
      </w:r>
      <w:r>
        <w:rPr>
          <w:rFonts w:hint="eastAsia" w:ascii="仿宋_GB2312" w:hAnsi="仿宋_GB2312" w:cs="仿宋_GB2312"/>
          <w:sz w:val="24"/>
        </w:rPr>
        <w:t xml:space="preserve"> 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日发出的编号为</w:t>
      </w:r>
      <w:r>
        <w:rPr>
          <w:rFonts w:hint="eastAsia" w:ascii="仿宋_GB2312" w:hAnsi="仿宋_GB2312" w:cs="仿宋_GB2312"/>
          <w:sz w:val="24"/>
          <w:u w:val="single"/>
        </w:rPr>
        <w:t xml:space="preserve">        </w:t>
      </w:r>
      <w:r>
        <w:rPr>
          <w:rFonts w:hint="eastAsia" w:ascii="仿宋_GB2312" w:hAnsi="仿宋_GB2312" w:cs="仿宋_GB2312"/>
          <w:sz w:val="24"/>
        </w:rPr>
        <w:t>的招标文件/标书拟向贵方投标承接</w:t>
      </w:r>
      <w:r>
        <w:rPr>
          <w:rFonts w:hint="eastAsia" w:ascii="仿宋_GB2312" w:hAnsi="仿宋_GB2312" w:cs="仿宋_GB2312"/>
          <w:sz w:val="24"/>
          <w:u w:val="single"/>
        </w:rPr>
        <w:t xml:space="preserve">           </w:t>
      </w:r>
      <w:r>
        <w:rPr>
          <w:rFonts w:hint="eastAsia" w:ascii="仿宋_GB2312" w:hAnsi="仿宋_GB2312" w:cs="仿宋_GB2312"/>
          <w:sz w:val="24"/>
        </w:rPr>
        <w:t>项目。根据招标文件/标书，投标人需向贵方提交投标保函。</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根据保函申请人</w:t>
      </w:r>
      <w:r>
        <w:rPr>
          <w:rFonts w:hint="eastAsia" w:ascii="仿宋_GB2312" w:hAnsi="仿宋_GB2312" w:cs="仿宋_GB2312"/>
          <w:sz w:val="24"/>
          <w:u w:val="single"/>
        </w:rPr>
        <w:t xml:space="preserve">       </w:t>
      </w:r>
      <w:r>
        <w:rPr>
          <w:rFonts w:hint="eastAsia" w:ascii="仿宋_GB2312" w:hAnsi="仿宋_GB2312" w:cs="仿宋_GB2312"/>
          <w:sz w:val="24"/>
        </w:rPr>
        <w:t>的申请，我行（下称“保证人”）在此向贵方（下称“受益人”）开立不可撤销，担保金额累计不超过</w:t>
      </w:r>
      <w:r>
        <w:rPr>
          <w:rFonts w:hint="eastAsia" w:ascii="仿宋_GB2312" w:hAnsi="仿宋_GB2312" w:cs="仿宋_GB2312"/>
          <w:sz w:val="24"/>
          <w:u w:val="single"/>
        </w:rPr>
        <w:t xml:space="preserve">     </w:t>
      </w:r>
      <w:r>
        <w:rPr>
          <w:rFonts w:hint="eastAsia" w:ascii="仿宋_GB2312" w:hAnsi="仿宋_GB2312" w:cs="仿宋_GB2312"/>
          <w:sz w:val="24"/>
        </w:rPr>
        <w:t>（币种）</w:t>
      </w:r>
      <w:r>
        <w:rPr>
          <w:rFonts w:hint="eastAsia" w:ascii="仿宋_GB2312" w:hAnsi="仿宋_GB2312" w:cs="仿宋_GB2312"/>
          <w:sz w:val="24"/>
          <w:u w:val="single"/>
        </w:rPr>
        <w:t xml:space="preserve">        </w:t>
      </w:r>
      <w:r>
        <w:rPr>
          <w:rFonts w:hint="eastAsia" w:ascii="仿宋_GB2312" w:hAnsi="仿宋_GB2312" w:cs="仿宋_GB2312"/>
          <w:sz w:val="24"/>
        </w:rPr>
        <w:t>元（大写）的投标保函（下称“本保函”）。</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一、保证人承诺，在本保函有效期内收到受益人提交的索赔文件且符合本保函约定的，保证人将在收到索赔文件次日起七个工作日内在担保金额内向受益人付款。索赔文件约定如下：</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1.经受益人有权签字人签字、加盖受益人公章的书面索赔声明正本，索赔声明须注明本保函编号并申明如下事实：</w:t>
      </w:r>
    </w:p>
    <w:p>
      <w:pPr>
        <w:spacing w:line="360" w:lineRule="atLeast"/>
        <w:ind w:firstLine="570"/>
        <w:jc w:val="left"/>
        <w:rPr>
          <w:rFonts w:ascii="仿宋_GB2312" w:hAnsi="仿宋_GB2312" w:cs="仿宋_GB2312"/>
          <w:sz w:val="24"/>
        </w:rPr>
      </w:pPr>
      <w:r>
        <w:rPr>
          <w:rFonts w:hint="eastAsia" w:ascii="仿宋_GB2312" w:hAnsi="仿宋_GB2312" w:cs="仿宋_GB2312"/>
          <w:sz w:val="24"/>
        </w:rPr>
        <w:t>（1）投标人在投标有效期内撤销投标；或</w:t>
      </w:r>
    </w:p>
    <w:p>
      <w:pPr>
        <w:spacing w:line="360" w:lineRule="atLeast"/>
        <w:ind w:firstLine="570"/>
        <w:jc w:val="left"/>
        <w:rPr>
          <w:rFonts w:ascii="仿宋_GB2312" w:hAnsi="仿宋_GB2312" w:cs="仿宋_GB2312"/>
          <w:sz w:val="24"/>
        </w:rPr>
      </w:pPr>
      <w:r>
        <w:rPr>
          <w:rFonts w:hint="eastAsia" w:ascii="仿宋_GB2312" w:hAnsi="仿宋_GB2312" w:cs="仿宋_GB2312"/>
          <w:sz w:val="24"/>
        </w:rPr>
        <w:t>（2）投标人中标后未与受益人签约；或</w:t>
      </w:r>
    </w:p>
    <w:p>
      <w:pPr>
        <w:spacing w:line="360" w:lineRule="atLeast"/>
        <w:ind w:firstLine="570"/>
        <w:jc w:val="left"/>
        <w:rPr>
          <w:rFonts w:ascii="仿宋_GB2312" w:hAnsi="仿宋_GB2312" w:cs="仿宋_GB2312"/>
          <w:sz w:val="24"/>
        </w:rPr>
      </w:pPr>
      <w:r>
        <w:rPr>
          <w:rFonts w:hint="eastAsia" w:ascii="仿宋_GB2312" w:hAnsi="仿宋_GB2312" w:cs="仿宋_GB2312"/>
          <w:sz w:val="24"/>
        </w:rPr>
        <w:t>（3）投标人中标后未在合约生效日后的</w:t>
      </w:r>
      <w:r>
        <w:rPr>
          <w:rFonts w:hint="eastAsia" w:ascii="仿宋_GB2312" w:hAnsi="仿宋_GB2312" w:cs="仿宋_GB2312"/>
          <w:sz w:val="24"/>
          <w:u w:val="single"/>
        </w:rPr>
        <w:t xml:space="preserve">     </w:t>
      </w:r>
      <w:r>
        <w:rPr>
          <w:rFonts w:hint="eastAsia" w:ascii="仿宋_GB2312" w:hAnsi="仿宋_GB2312" w:cs="仿宋_GB2312"/>
          <w:sz w:val="24"/>
        </w:rPr>
        <w:t>日内向受益人提交可接受的履约保函；或</w:t>
      </w:r>
    </w:p>
    <w:p>
      <w:pPr>
        <w:spacing w:line="360" w:lineRule="atLeast"/>
        <w:ind w:firstLine="570"/>
        <w:jc w:val="left"/>
        <w:rPr>
          <w:rFonts w:ascii="仿宋_GB2312" w:hAnsi="仿宋_GB2312" w:cs="仿宋_GB2312"/>
          <w:sz w:val="24"/>
        </w:rPr>
      </w:pPr>
      <w:r>
        <w:rPr>
          <w:rFonts w:hint="eastAsia" w:ascii="仿宋_GB2312" w:hAnsi="仿宋_GB2312" w:cs="仿宋_GB2312"/>
          <w:sz w:val="24"/>
        </w:rPr>
        <w:t>（4）投标人存在招标文件中约定不予退回投标保证金的情形。</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2、为确保索赔文件的真实性，索赔文件须经受益人开户行确认签字、盖章真实、有效并经其提交保证人，寄送地址为</w:t>
      </w:r>
      <w:r>
        <w:rPr>
          <w:rFonts w:hint="eastAsia" w:ascii="仿宋_GB2312" w:hAnsi="仿宋_GB2312" w:cs="仿宋_GB2312"/>
          <w:sz w:val="24"/>
          <w:u w:val="single"/>
        </w:rPr>
        <w:t xml:space="preserve">                   </w:t>
      </w:r>
      <w:r>
        <w:rPr>
          <w:rFonts w:hint="eastAsia" w:ascii="仿宋_GB2312" w:hAnsi="仿宋_GB2312" w:cs="仿宋_GB2312"/>
          <w:sz w:val="24"/>
        </w:rPr>
        <w:t>。</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二、受益人将主合同项下债权转让第三人时需经保证人书面同意，否则保证人在本保函项下的担保责任自动解除。</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三、未经保证人书面同意，本保函不得转让、质押。</w:t>
      </w:r>
    </w:p>
    <w:p>
      <w:pPr>
        <w:spacing w:line="360" w:lineRule="atLeast"/>
        <w:ind w:firstLine="480" w:firstLineChars="200"/>
        <w:jc w:val="left"/>
        <w:rPr>
          <w:rFonts w:ascii="仿宋_GB2312" w:hAnsi="仿宋_GB2312" w:cs="仿宋_GB2312"/>
          <w:sz w:val="24"/>
        </w:rPr>
      </w:pPr>
      <w:r>
        <w:rPr>
          <w:rFonts w:hint="eastAsia" w:ascii="仿宋_GB2312" w:hAnsi="仿宋_GB2312" w:cs="仿宋_GB2312"/>
          <w:sz w:val="24"/>
        </w:rPr>
        <w:t xml:space="preserve">四、本保函一经开立即生效，于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日失效。本保函失效后，保证人在本保函项下的保证责任和义务自动解除。</w:t>
      </w:r>
    </w:p>
    <w:p>
      <w:pPr>
        <w:spacing w:line="400" w:lineRule="exact"/>
        <w:ind w:firstLine="480" w:firstLineChars="200"/>
        <w:rPr>
          <w:rFonts w:ascii="宋体" w:hAnsi="宋体" w:cs="宋体"/>
          <w:szCs w:val="21"/>
        </w:rPr>
      </w:pPr>
      <w:r>
        <w:rPr>
          <w:rFonts w:hint="eastAsia" w:ascii="仿宋_GB2312" w:hAnsi="仿宋_GB2312" w:cs="仿宋_GB2312"/>
          <w:sz w:val="24"/>
        </w:rPr>
        <w:t>五、本保函适用中华人民共和国法律，受中华人民共和国法律管辖。在本保函履行期间，如发生争议，各当事人首先应协商解决。协商不能解决的，任何一方可向保证人所在地有管辖权的法院提起诉讼。</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 xml:space="preserve">                                            保证人：（公章）                                          </w:t>
      </w:r>
    </w:p>
    <w:p>
      <w:pPr>
        <w:spacing w:line="360" w:lineRule="auto"/>
        <w:ind w:firstLine="420" w:firstLineChars="200"/>
        <w:rPr>
          <w:rFonts w:ascii="宋体" w:hAnsi="宋体" w:cs="宋体"/>
          <w:szCs w:val="21"/>
          <w:u w:val="single"/>
        </w:rPr>
      </w:pPr>
      <w:r>
        <w:rPr>
          <w:rFonts w:hint="eastAsia" w:ascii="宋体" w:hAnsi="宋体" w:cs="宋体"/>
          <w:szCs w:val="21"/>
        </w:rPr>
        <w:t xml:space="preserve">                                            有权签字人：</w:t>
      </w:r>
    </w:p>
    <w:p>
      <w:pPr>
        <w:spacing w:line="360" w:lineRule="auto"/>
        <w:ind w:firstLine="5040" w:firstLineChars="2400"/>
        <w:rPr>
          <w:rFonts w:ascii="宋体" w:hAnsi="宋体" w:cs="宋体"/>
          <w:szCs w:val="21"/>
        </w:rPr>
      </w:pPr>
      <w:r>
        <w:rPr>
          <w:rFonts w:hint="eastAsia" w:ascii="宋体" w:hAnsi="宋体" w:cs="宋体"/>
          <w:szCs w:val="21"/>
        </w:rPr>
        <w:t>日期：    年    月    日</w:t>
      </w:r>
      <w:bookmarkEnd w:id="615"/>
    </w:p>
    <w:p>
      <w:pPr>
        <w:pStyle w:val="4"/>
        <w:keepNext w:val="0"/>
        <w:keepLines w:val="0"/>
        <w:pageBreakBefore/>
        <w:spacing w:before="312" w:beforeLines="100" w:after="0" w:line="360" w:lineRule="auto"/>
        <w:rPr>
          <w:rFonts w:ascii="宋体" w:hAnsi="宋体" w:eastAsia="宋体"/>
          <w:b w:val="0"/>
          <w:bCs w:val="0"/>
          <w:sz w:val="30"/>
          <w:szCs w:val="28"/>
        </w:rPr>
      </w:pPr>
      <w:bookmarkStart w:id="703" w:name="_Toc11841"/>
      <w:bookmarkStart w:id="704" w:name="_Toc132814752"/>
      <w:r>
        <w:rPr>
          <w:rFonts w:ascii="宋体" w:hAnsi="宋体" w:eastAsia="宋体"/>
          <w:b w:val="0"/>
          <w:bCs w:val="0"/>
          <w:sz w:val="30"/>
          <w:szCs w:val="28"/>
        </w:rPr>
        <w:t>附件三：保单参考样式</w:t>
      </w:r>
      <w:bookmarkEnd w:id="703"/>
      <w:bookmarkEnd w:id="704"/>
    </w:p>
    <w:p/>
    <w:p>
      <w:pPr>
        <w:pStyle w:val="5"/>
        <w:rPr>
          <w:rFonts w:ascii="宋体" w:hAnsi="宋体"/>
          <w:b w:val="0"/>
          <w:bCs w:val="0"/>
          <w:sz w:val="30"/>
          <w:szCs w:val="28"/>
        </w:rPr>
      </w:pPr>
      <w:bookmarkStart w:id="705" w:name="_Toc132276299"/>
      <w:bookmarkStart w:id="706" w:name="_Toc132814753"/>
      <w:bookmarkStart w:id="707" w:name="_Toc19465"/>
      <w:r>
        <w:rPr>
          <w:rFonts w:hint="eastAsia" w:ascii="宋体" w:hAnsi="宋体" w:cs="宋体"/>
          <w:b w:val="0"/>
          <w:bCs w:val="0"/>
        </w:rPr>
        <w:t>保险公司所提供的建设工程保证保险条款应当经中国银保监会批准、备案或注册，并在本公司门户网站主动公开单位信息、投保单（范本）以及保险合同含条款（范本）。</w:t>
      </w:r>
      <w:bookmarkEnd w:id="705"/>
      <w:bookmarkEnd w:id="706"/>
      <w:r>
        <w:rPr>
          <w:b w:val="0"/>
          <w:bCs w:val="0"/>
        </w:rPr>
        <w:br w:type="page"/>
      </w:r>
      <w:bookmarkEnd w:id="707"/>
    </w:p>
    <w:p>
      <w:pPr>
        <w:pStyle w:val="3"/>
        <w:adjustRightInd w:val="0"/>
        <w:snapToGrid w:val="0"/>
        <w:spacing w:before="60" w:after="60"/>
        <w:ind w:left="425"/>
        <w:jc w:val="center"/>
        <w:rPr>
          <w:rFonts w:eastAsia="宋体"/>
          <w:sz w:val="44"/>
        </w:rPr>
      </w:pPr>
      <w:bookmarkStart w:id="708" w:name="_Toc11461"/>
      <w:bookmarkStart w:id="709" w:name="_Toc132814754"/>
      <w:bookmarkStart w:id="710" w:name="_Toc15247"/>
      <w:bookmarkStart w:id="711" w:name="_Toc19280"/>
      <w:bookmarkStart w:id="712" w:name="_Toc24893"/>
      <w:bookmarkStart w:id="713" w:name="_Toc7118"/>
      <w:r>
        <w:rPr>
          <w:rFonts w:eastAsia="宋体"/>
          <w:sz w:val="44"/>
        </w:rPr>
        <w:t>第二章 用户需求书</w:t>
      </w:r>
      <w:bookmarkEnd w:id="708"/>
      <w:bookmarkEnd w:id="709"/>
    </w:p>
    <w:p>
      <w:pPr>
        <w:spacing w:line="360" w:lineRule="auto"/>
        <w:ind w:firstLine="422" w:firstLineChars="200"/>
        <w:rPr>
          <w:b/>
          <w:bCs/>
          <w:szCs w:val="21"/>
        </w:rPr>
      </w:pPr>
      <w:r>
        <w:rPr>
          <w:rFonts w:hint="eastAsia" w:ascii="宋体" w:hAnsi="宋体" w:cs="宋体"/>
          <w:b/>
          <w:bCs/>
          <w:szCs w:val="21"/>
          <w:lang w:bidi="ar"/>
        </w:rPr>
        <w:t>特别说明：</w:t>
      </w:r>
    </w:p>
    <w:p>
      <w:pPr>
        <w:spacing w:line="360" w:lineRule="auto"/>
        <w:ind w:firstLine="422" w:firstLineChars="200"/>
        <w:rPr>
          <w:b/>
          <w:bCs/>
          <w:szCs w:val="21"/>
        </w:rPr>
      </w:pPr>
      <w:r>
        <w:rPr>
          <w:b/>
          <w:bCs/>
          <w:szCs w:val="21"/>
          <w:lang w:bidi="ar"/>
        </w:rPr>
        <w:t>1</w:t>
      </w:r>
      <w:r>
        <w:rPr>
          <w:rFonts w:hint="eastAsia" w:ascii="宋体" w:hAnsi="宋体" w:cs="宋体"/>
          <w:b/>
          <w:bCs/>
          <w:szCs w:val="21"/>
          <w:lang w:bidi="ar"/>
        </w:rPr>
        <w:t>、投标人应注意本《用户需求书》中对货物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w:t>
      </w:r>
    </w:p>
    <w:p>
      <w:pPr>
        <w:spacing w:line="360" w:lineRule="auto"/>
        <w:ind w:firstLine="422" w:firstLineChars="200"/>
        <w:rPr>
          <w:b/>
          <w:bCs/>
          <w:szCs w:val="21"/>
        </w:rPr>
      </w:pPr>
      <w:r>
        <w:rPr>
          <w:b/>
          <w:bCs/>
          <w:szCs w:val="21"/>
          <w:lang w:bidi="ar"/>
        </w:rPr>
        <w:t>2</w:t>
      </w:r>
      <w:r>
        <w:rPr>
          <w:rFonts w:hint="eastAsia" w:ascii="宋体" w:hAnsi="宋体" w:cs="宋体"/>
          <w:b/>
          <w:bCs/>
          <w:szCs w:val="21"/>
          <w:lang w:bidi="ar"/>
        </w:rPr>
        <w:t>、本用户需求书中所有列出的相关货物技术要求、品牌均不是唯一指定，仅作参考，即投标人可就货物提出替代标准，只要投标人提供的货物满足项目业主和招标人的功能要求、相当于</w:t>
      </w:r>
      <w:r>
        <w:rPr>
          <w:b/>
          <w:bCs/>
          <w:szCs w:val="21"/>
          <w:lang w:bidi="ar"/>
        </w:rPr>
        <w:t>(</w:t>
      </w:r>
      <w:r>
        <w:rPr>
          <w:rFonts w:hint="eastAsia" w:ascii="宋体" w:hAnsi="宋体" w:cs="宋体"/>
          <w:b/>
          <w:bCs/>
          <w:szCs w:val="21"/>
          <w:lang w:bidi="ar"/>
        </w:rPr>
        <w:t>或优于</w:t>
      </w:r>
      <w:r>
        <w:rPr>
          <w:b/>
          <w:bCs/>
          <w:szCs w:val="21"/>
          <w:lang w:bidi="ar"/>
        </w:rPr>
        <w:t>)</w:t>
      </w:r>
      <w:r>
        <w:rPr>
          <w:rFonts w:hint="eastAsia" w:ascii="宋体" w:hAnsi="宋体" w:cs="宋体"/>
          <w:b/>
          <w:bCs/>
          <w:szCs w:val="21"/>
          <w:lang w:bidi="ar"/>
        </w:rPr>
        <w:t>规定的货物品质和性能等技术参数要求，并提供满足本用户需求书要求的证明材料，则视为合格。但凡标有</w:t>
      </w:r>
      <w:r>
        <w:rPr>
          <w:b/>
          <w:bCs/>
          <w:szCs w:val="21"/>
          <w:lang w:bidi="ar"/>
        </w:rPr>
        <w:t>“★”</w:t>
      </w:r>
      <w:r>
        <w:rPr>
          <w:rFonts w:hint="eastAsia" w:ascii="宋体" w:hAnsi="宋体" w:cs="宋体"/>
          <w:b/>
          <w:bCs/>
          <w:szCs w:val="21"/>
          <w:lang w:bidi="ar"/>
        </w:rPr>
        <w:t>的地方均被视为重要的技术指标要求或性能要求，投标人要特别加以注意，必须对此回答并完全满足这些要求，否则若有一项带</w:t>
      </w:r>
      <w:r>
        <w:rPr>
          <w:b/>
          <w:bCs/>
          <w:szCs w:val="21"/>
          <w:lang w:bidi="ar"/>
        </w:rPr>
        <w:t>“★”</w:t>
      </w:r>
      <w:r>
        <w:rPr>
          <w:rFonts w:hint="eastAsia" w:ascii="宋体" w:hAnsi="宋体" w:cs="宋体"/>
          <w:b/>
          <w:bCs/>
          <w:szCs w:val="21"/>
          <w:lang w:bidi="ar"/>
        </w:rPr>
        <w:t>的指标未响应或不满足，将按无效投标文件处理。</w:t>
      </w:r>
    </w:p>
    <w:p>
      <w:pPr>
        <w:spacing w:line="360" w:lineRule="auto"/>
        <w:ind w:firstLine="420" w:firstLineChars="200"/>
        <w:rPr>
          <w:szCs w:val="21"/>
        </w:rPr>
      </w:pPr>
      <w:r>
        <w:rPr>
          <w:szCs w:val="21"/>
          <w:lang w:bidi="ar"/>
        </w:rPr>
        <w:t>3</w:t>
      </w:r>
      <w:r>
        <w:rPr>
          <w:rFonts w:hint="eastAsia" w:ascii="宋体" w:hAnsi="宋体" w:cs="宋体"/>
          <w:szCs w:val="21"/>
          <w:lang w:bidi="ar"/>
        </w:rPr>
        <w:t>、投标人可根据各制造商货物的特性做出实际的响应，投标文件对本用户需求书的响应程度包括正偏离、负偏离、无偏离。正偏离是指投标人提供的货物（或服务）优于本用户需求书的要求，负偏离是指投标人提供的货物（或服务）不满足或不完全满足本用户需求书的要求，无偏离是指投标人提供的货物（或服务）完全满足本用户需求书的要求。</w:t>
      </w:r>
    </w:p>
    <w:p>
      <w:pPr>
        <w:spacing w:line="360" w:lineRule="auto"/>
        <w:ind w:firstLine="420" w:firstLineChars="200"/>
        <w:rPr>
          <w:szCs w:val="21"/>
        </w:rPr>
      </w:pPr>
      <w:r>
        <w:rPr>
          <w:szCs w:val="21"/>
          <w:lang w:bidi="ar"/>
        </w:rPr>
        <w:t>4</w:t>
      </w:r>
      <w:r>
        <w:rPr>
          <w:rFonts w:hint="eastAsia" w:ascii="宋体" w:hAnsi="宋体" w:cs="宋体"/>
          <w:szCs w:val="21"/>
          <w:lang w:bidi="ar"/>
        </w:rPr>
        <w:t>、用户需求书组成及解释顺序。</w:t>
      </w:r>
    </w:p>
    <w:p>
      <w:pPr>
        <w:spacing w:line="360" w:lineRule="auto"/>
        <w:ind w:firstLine="420" w:firstLineChars="200"/>
        <w:rPr>
          <w:szCs w:val="21"/>
        </w:rPr>
      </w:pPr>
      <w:r>
        <w:rPr>
          <w:rFonts w:hint="eastAsia" w:ascii="宋体" w:hAnsi="宋体" w:cs="宋体"/>
          <w:szCs w:val="21"/>
          <w:lang w:bidi="ar"/>
        </w:rPr>
        <w:t>本用户需求书由四节内容组成，第一节提供了项目的基本情况及污水处理厂设计，第二节为总体技术要求，第三节是对招标设备的详细技术要求，第四节为资料要求及招标设计图纸目录。</w:t>
      </w:r>
    </w:p>
    <w:p>
      <w:pPr>
        <w:spacing w:line="360" w:lineRule="auto"/>
        <w:ind w:firstLine="420" w:firstLineChars="200"/>
        <w:rPr>
          <w:szCs w:val="21"/>
        </w:rPr>
      </w:pPr>
      <w:r>
        <w:rPr>
          <w:rFonts w:hint="eastAsia" w:ascii="宋体" w:hAnsi="宋体" w:cs="宋体"/>
          <w:szCs w:val="21"/>
          <w:lang w:bidi="ar"/>
        </w:rPr>
        <w:t>如本用户需求书的技术要求和招标图纸表明的内容不一致，应以用户需求书技术要求说明为准；如用户需求书中第二节的总体技术要求与第三节的详细技术要求不一致的，应以第三节的详细技术要求为准。</w:t>
      </w:r>
    </w:p>
    <w:p>
      <w:pPr>
        <w:spacing w:line="360" w:lineRule="auto"/>
        <w:rPr>
          <w:szCs w:val="21"/>
        </w:rPr>
        <w:sectPr>
          <w:footerReference r:id="rId5" w:type="first"/>
          <w:footerReference r:id="rId4" w:type="default"/>
          <w:pgSz w:w="11906" w:h="16838"/>
          <w:pgMar w:top="1440" w:right="1800" w:bottom="1440" w:left="1800" w:header="851" w:footer="850" w:gutter="0"/>
          <w:pgNumType w:start="1"/>
          <w:cols w:space="425" w:num="1"/>
          <w:titlePg/>
          <w:docGrid w:type="lines" w:linePitch="312" w:charSpace="0"/>
        </w:sectPr>
      </w:pPr>
    </w:p>
    <w:p>
      <w:pPr>
        <w:pStyle w:val="3"/>
        <w:widowControl/>
        <w:numPr>
          <w:ilvl w:val="0"/>
          <w:numId w:val="4"/>
        </w:numPr>
        <w:spacing w:after="156"/>
        <w:jc w:val="center"/>
        <w:rPr>
          <w:rFonts w:eastAsia="宋体"/>
          <w:szCs w:val="21"/>
        </w:rPr>
      </w:pPr>
      <w:bookmarkStart w:id="714" w:name="_Toc27300"/>
      <w:bookmarkEnd w:id="714"/>
      <w:bookmarkStart w:id="715" w:name="_Toc28041"/>
      <w:r>
        <w:rPr>
          <w:rFonts w:hint="eastAsia" w:ascii="宋体" w:hAnsi="宋体" w:eastAsia="宋体" w:cs="宋体"/>
          <w:szCs w:val="21"/>
        </w:rPr>
        <w:t>项目的基本情况及污水处理厂设计</w:t>
      </w:r>
      <w:bookmarkEnd w:id="715"/>
    </w:p>
    <w:p>
      <w:pPr>
        <w:pStyle w:val="4"/>
        <w:widowControl/>
        <w:numPr>
          <w:ilvl w:val="1"/>
          <w:numId w:val="4"/>
        </w:numPr>
        <w:rPr>
          <w:rFonts w:eastAsia="宋体"/>
          <w:szCs w:val="21"/>
        </w:rPr>
      </w:pPr>
      <w:bookmarkStart w:id="716" w:name="_Toc3781"/>
      <w:r>
        <w:rPr>
          <w:rFonts w:hint="eastAsia" w:ascii="宋体" w:hAnsi="宋体" w:eastAsia="宋体" w:cs="宋体"/>
          <w:szCs w:val="21"/>
        </w:rPr>
        <w:t>东莞市沙田福禄沙污水处理厂二期工程</w:t>
      </w:r>
      <w:bookmarkEnd w:id="716"/>
    </w:p>
    <w:p>
      <w:pPr>
        <w:pStyle w:val="5"/>
        <w:widowControl/>
        <w:numPr>
          <w:ilvl w:val="2"/>
          <w:numId w:val="4"/>
        </w:numPr>
        <w:spacing w:before="156"/>
        <w:rPr>
          <w:szCs w:val="21"/>
        </w:rPr>
      </w:pPr>
      <w:bookmarkStart w:id="717" w:name="_Toc6955"/>
      <w:r>
        <w:rPr>
          <w:rFonts w:hint="eastAsia" w:ascii="宋体" w:hAnsi="宋体" w:cs="宋体"/>
          <w:szCs w:val="21"/>
        </w:rPr>
        <w:t>项目建设规模</w:t>
      </w:r>
      <w:bookmarkEnd w:id="717"/>
    </w:p>
    <w:p>
      <w:pPr>
        <w:snapToGrid w:val="0"/>
        <w:spacing w:line="360" w:lineRule="auto"/>
        <w:ind w:firstLine="420" w:firstLineChars="200"/>
        <w:rPr>
          <w:kern w:val="0"/>
          <w:szCs w:val="21"/>
        </w:rPr>
      </w:pPr>
      <w:r>
        <w:rPr>
          <w:rFonts w:hint="eastAsia" w:ascii="宋体" w:hAnsi="宋体" w:cs="宋体"/>
          <w:szCs w:val="21"/>
          <w:lang w:bidi="ar"/>
        </w:rPr>
        <w:t>东莞市沙田福禄沙污水处理厂二期工程位于沙田镇福禄沙村，南沙大桥、港口大道、远航路合围区域临海处。总用地面积约</w:t>
      </w:r>
      <w:r>
        <w:rPr>
          <w:szCs w:val="21"/>
          <w:lang w:bidi="ar"/>
        </w:rPr>
        <w:t>2.93hm</w:t>
      </w:r>
      <w:r>
        <w:rPr>
          <w:szCs w:val="21"/>
          <w:vertAlign w:val="superscript"/>
          <w:lang w:bidi="ar"/>
        </w:rPr>
        <w:t>2</w:t>
      </w:r>
      <w:r>
        <w:rPr>
          <w:rFonts w:hint="eastAsia" w:ascii="宋体" w:hAnsi="宋体" w:cs="宋体"/>
          <w:kern w:val="0"/>
          <w:szCs w:val="21"/>
          <w:lang w:bidi="ar"/>
        </w:rPr>
        <w:t>，本工程设计规模</w:t>
      </w:r>
      <w:r>
        <w:rPr>
          <w:kern w:val="0"/>
          <w:szCs w:val="21"/>
          <w:lang w:bidi="ar"/>
        </w:rPr>
        <w:t>4</w:t>
      </w:r>
      <w:r>
        <w:rPr>
          <w:rFonts w:hint="eastAsia" w:ascii="宋体" w:hAnsi="宋体" w:cs="宋体"/>
          <w:kern w:val="0"/>
          <w:szCs w:val="21"/>
          <w:lang w:bidi="ar"/>
        </w:rPr>
        <w:t>万</w:t>
      </w:r>
      <w:r>
        <w:rPr>
          <w:kern w:val="0"/>
          <w:szCs w:val="21"/>
          <w:lang w:bidi="ar"/>
        </w:rPr>
        <w:t>m</w:t>
      </w:r>
      <w:r>
        <w:rPr>
          <w:kern w:val="0"/>
          <w:szCs w:val="21"/>
          <w:vertAlign w:val="superscript"/>
          <w:lang w:bidi="ar"/>
        </w:rPr>
        <w:t>3</w:t>
      </w:r>
      <w:r>
        <w:rPr>
          <w:kern w:val="0"/>
          <w:szCs w:val="21"/>
          <w:lang w:bidi="ar"/>
        </w:rPr>
        <w:t>/d</w:t>
      </w:r>
      <w:r>
        <w:rPr>
          <w:rFonts w:hint="eastAsia" w:ascii="宋体" w:hAnsi="宋体" w:cs="宋体"/>
          <w:kern w:val="0"/>
          <w:szCs w:val="21"/>
          <w:lang w:bidi="ar"/>
        </w:rPr>
        <w:t>，总变化系数</w:t>
      </w:r>
      <w:r>
        <w:rPr>
          <w:kern w:val="0"/>
          <w:szCs w:val="21"/>
          <w:lang w:bidi="ar"/>
        </w:rPr>
        <w:t>1.32</w:t>
      </w:r>
      <w:r>
        <w:rPr>
          <w:rFonts w:hint="eastAsia" w:ascii="宋体" w:hAnsi="宋体" w:cs="宋体"/>
          <w:kern w:val="0"/>
          <w:szCs w:val="21"/>
          <w:lang w:bidi="ar"/>
        </w:rPr>
        <w:t>，平均设计流量</w:t>
      </w:r>
      <w:r>
        <w:rPr>
          <w:kern w:val="0"/>
          <w:szCs w:val="21"/>
          <w:lang w:bidi="ar"/>
        </w:rPr>
        <w:t>1666.7m</w:t>
      </w:r>
      <w:r>
        <w:rPr>
          <w:kern w:val="0"/>
          <w:szCs w:val="21"/>
          <w:vertAlign w:val="superscript"/>
          <w:lang w:bidi="ar"/>
        </w:rPr>
        <w:t>3</w:t>
      </w:r>
      <w:r>
        <w:rPr>
          <w:kern w:val="0"/>
          <w:szCs w:val="21"/>
          <w:lang w:bidi="ar"/>
        </w:rPr>
        <w:t>/h</w:t>
      </w:r>
      <w:r>
        <w:rPr>
          <w:rFonts w:hint="eastAsia" w:ascii="宋体" w:hAnsi="宋体" w:cs="宋体"/>
          <w:kern w:val="0"/>
          <w:szCs w:val="21"/>
          <w:lang w:bidi="ar"/>
        </w:rPr>
        <w:t>，峰值设计流量</w:t>
      </w:r>
      <w:r>
        <w:rPr>
          <w:kern w:val="0"/>
          <w:szCs w:val="21"/>
          <w:lang w:bidi="ar"/>
        </w:rPr>
        <w:t>2200m</w:t>
      </w:r>
      <w:r>
        <w:rPr>
          <w:kern w:val="0"/>
          <w:szCs w:val="21"/>
          <w:vertAlign w:val="superscript"/>
          <w:lang w:bidi="ar"/>
        </w:rPr>
        <w:t>3</w:t>
      </w:r>
      <w:r>
        <w:rPr>
          <w:kern w:val="0"/>
          <w:szCs w:val="21"/>
          <w:lang w:bidi="ar"/>
        </w:rPr>
        <w:t>/h</w:t>
      </w:r>
      <w:r>
        <w:rPr>
          <w:rFonts w:hint="eastAsia" w:ascii="宋体" w:hAnsi="宋体" w:cs="宋体"/>
          <w:kern w:val="0"/>
          <w:szCs w:val="21"/>
          <w:lang w:bidi="ar"/>
        </w:rPr>
        <w:t>。</w:t>
      </w:r>
    </w:p>
    <w:p>
      <w:pPr>
        <w:widowControl/>
        <w:jc w:val="left"/>
        <w:rPr>
          <w:szCs w:val="21"/>
        </w:rPr>
      </w:pPr>
      <w:r>
        <w:rPr>
          <w:rFonts w:hint="eastAsia" w:ascii="宋体" w:hAnsi="宋体" w:cs="宋体"/>
          <w:szCs w:val="21"/>
          <w:lang w:bidi="ar"/>
        </w:rPr>
        <w:t>污水处理工艺为</w:t>
      </w:r>
      <w:r>
        <w:rPr>
          <w:szCs w:val="21"/>
          <w:lang w:bidi="ar"/>
        </w:rPr>
        <w:t>“</w:t>
      </w:r>
      <w:r>
        <w:rPr>
          <w:rFonts w:hint="eastAsia" w:ascii="宋体" w:hAnsi="宋体" w:cs="宋体"/>
          <w:szCs w:val="21"/>
          <w:lang w:bidi="ar"/>
        </w:rPr>
        <w:t>粗格栅及进水泵房</w:t>
      </w:r>
      <w:r>
        <w:rPr>
          <w:szCs w:val="21"/>
          <w:lang w:bidi="ar"/>
        </w:rPr>
        <w:t>→</w:t>
      </w:r>
      <w:r>
        <w:rPr>
          <w:rFonts w:hint="eastAsia" w:ascii="宋体" w:hAnsi="宋体" w:cs="宋体"/>
          <w:szCs w:val="21"/>
          <w:lang w:bidi="ar"/>
        </w:rPr>
        <w:t>细格栅及旋流沉砂池</w:t>
      </w:r>
      <w:r>
        <w:rPr>
          <w:szCs w:val="21"/>
          <w:lang w:bidi="ar"/>
        </w:rPr>
        <w:t>→</w:t>
      </w:r>
      <w:r>
        <w:rPr>
          <w:rFonts w:hint="eastAsia" w:ascii="宋体" w:hAnsi="宋体" w:cs="宋体"/>
          <w:szCs w:val="21"/>
          <w:lang w:bidi="ar"/>
        </w:rPr>
        <w:t>多级</w:t>
      </w:r>
      <w:r>
        <w:rPr>
          <w:szCs w:val="21"/>
          <w:lang w:bidi="ar"/>
        </w:rPr>
        <w:t>AO</w:t>
      </w:r>
      <w:r>
        <w:rPr>
          <w:rFonts w:hint="eastAsia" w:ascii="宋体" w:hAnsi="宋体" w:cs="宋体"/>
          <w:szCs w:val="21"/>
          <w:lang w:bidi="ar"/>
        </w:rPr>
        <w:t>工艺</w:t>
      </w:r>
      <w:r>
        <w:rPr>
          <w:szCs w:val="21"/>
          <w:lang w:bidi="ar"/>
        </w:rPr>
        <w:t>→</w:t>
      </w:r>
      <w:r>
        <w:rPr>
          <w:rFonts w:hint="eastAsia" w:ascii="宋体" w:hAnsi="宋体" w:cs="宋体"/>
          <w:szCs w:val="21"/>
          <w:lang w:bidi="ar"/>
        </w:rPr>
        <w:t>矩形二沉池</w:t>
      </w:r>
      <w:r>
        <w:rPr>
          <w:szCs w:val="21"/>
          <w:lang w:bidi="ar"/>
        </w:rPr>
        <w:t>→</w:t>
      </w:r>
      <w:r>
        <w:rPr>
          <w:rFonts w:hint="eastAsia" w:ascii="宋体" w:hAnsi="宋体" w:cs="宋体"/>
          <w:szCs w:val="21"/>
          <w:lang w:bidi="ar"/>
        </w:rPr>
        <w:t>高效沉淀池</w:t>
      </w:r>
      <w:r>
        <w:rPr>
          <w:szCs w:val="21"/>
          <w:lang w:bidi="ar"/>
        </w:rPr>
        <w:t>→</w:t>
      </w:r>
      <w:r>
        <w:rPr>
          <w:rFonts w:hint="eastAsia" w:ascii="宋体" w:hAnsi="宋体" w:cs="宋体"/>
          <w:szCs w:val="21"/>
          <w:lang w:bidi="ar"/>
        </w:rPr>
        <w:t>反硝化滤池</w:t>
      </w:r>
      <w:r>
        <w:rPr>
          <w:szCs w:val="21"/>
          <w:lang w:bidi="ar"/>
        </w:rPr>
        <w:t>→</w:t>
      </w:r>
      <w:r>
        <w:rPr>
          <w:rFonts w:hint="eastAsia" w:ascii="宋体" w:hAnsi="宋体" w:cs="宋体"/>
          <w:szCs w:val="21"/>
          <w:lang w:bidi="ar"/>
        </w:rPr>
        <w:t>滤池</w:t>
      </w:r>
      <w:r>
        <w:rPr>
          <w:szCs w:val="21"/>
          <w:lang w:bidi="ar"/>
        </w:rPr>
        <w:t>→</w:t>
      </w:r>
      <w:r>
        <w:rPr>
          <w:rFonts w:hint="eastAsia" w:ascii="宋体" w:hAnsi="宋体" w:cs="宋体"/>
          <w:szCs w:val="21"/>
          <w:lang w:bidi="ar"/>
        </w:rPr>
        <w:t>紫外线消毒池（</w:t>
      </w:r>
      <w:r>
        <w:rPr>
          <w:szCs w:val="21"/>
          <w:lang w:bidi="ar"/>
        </w:rPr>
        <w:t>NaClO</w:t>
      </w:r>
      <w:r>
        <w:rPr>
          <w:rFonts w:hint="eastAsia" w:ascii="宋体" w:hAnsi="宋体" w:cs="宋体"/>
          <w:szCs w:val="21"/>
          <w:lang w:bidi="ar"/>
        </w:rPr>
        <w:t>辅助消毒）</w:t>
      </w:r>
      <w:r>
        <w:rPr>
          <w:szCs w:val="21"/>
          <w:lang w:bidi="ar"/>
        </w:rPr>
        <w:t>→</w:t>
      </w:r>
      <w:r>
        <w:rPr>
          <w:rFonts w:hint="eastAsia" w:ascii="宋体" w:hAnsi="宋体" w:cs="宋体"/>
          <w:szCs w:val="21"/>
          <w:lang w:bidi="ar"/>
        </w:rPr>
        <w:t>出水</w:t>
      </w:r>
      <w:r>
        <w:rPr>
          <w:szCs w:val="21"/>
          <w:lang w:bidi="ar"/>
        </w:rPr>
        <w:t>”</w:t>
      </w:r>
      <w:r>
        <w:rPr>
          <w:rFonts w:hint="eastAsia" w:ascii="宋体" w:hAnsi="宋体" w:cs="宋体"/>
          <w:szCs w:val="21"/>
          <w:lang w:bidi="ar"/>
        </w:rPr>
        <w:t>。污泥处理采用</w:t>
      </w:r>
      <w:r>
        <w:rPr>
          <w:szCs w:val="21"/>
          <w:lang w:bidi="ar"/>
        </w:rPr>
        <w:t>“</w:t>
      </w:r>
      <w:r>
        <w:rPr>
          <w:rFonts w:hint="eastAsia" w:ascii="宋体" w:hAnsi="宋体" w:cs="宋体"/>
          <w:szCs w:val="21"/>
          <w:lang w:bidi="ar"/>
        </w:rPr>
        <w:t>机械浓缩</w:t>
      </w:r>
      <w:r>
        <w:rPr>
          <w:szCs w:val="21"/>
          <w:lang w:bidi="ar"/>
        </w:rPr>
        <w:t>+</w:t>
      </w:r>
      <w:r>
        <w:rPr>
          <w:rFonts w:hint="eastAsia" w:ascii="宋体" w:hAnsi="宋体" w:cs="宋体"/>
          <w:szCs w:val="21"/>
          <w:lang w:bidi="ar"/>
        </w:rPr>
        <w:t>药剂调理</w:t>
      </w:r>
      <w:r>
        <w:rPr>
          <w:szCs w:val="21"/>
          <w:lang w:bidi="ar"/>
        </w:rPr>
        <w:t>+</w:t>
      </w:r>
      <w:r>
        <w:rPr>
          <w:rFonts w:hint="eastAsia" w:ascii="宋体" w:hAnsi="宋体" w:cs="宋体"/>
          <w:szCs w:val="21"/>
          <w:lang w:bidi="ar"/>
        </w:rPr>
        <w:t>隔膜板框压滤</w:t>
      </w:r>
      <w:r>
        <w:rPr>
          <w:szCs w:val="21"/>
          <w:lang w:bidi="ar"/>
        </w:rPr>
        <w:t>”</w:t>
      </w:r>
      <w:r>
        <w:rPr>
          <w:rFonts w:hint="eastAsia" w:ascii="宋体" w:hAnsi="宋体" w:cs="宋体"/>
          <w:szCs w:val="21"/>
          <w:lang w:bidi="ar"/>
        </w:rPr>
        <w:t>工艺，出泥含水率＜</w:t>
      </w:r>
      <w:r>
        <w:rPr>
          <w:szCs w:val="21"/>
          <w:lang w:bidi="ar"/>
        </w:rPr>
        <w:t>60%</w:t>
      </w:r>
      <w:r>
        <w:rPr>
          <w:rFonts w:hint="eastAsia" w:ascii="宋体" w:hAnsi="宋体" w:cs="宋体"/>
          <w:szCs w:val="21"/>
          <w:lang w:bidi="ar"/>
        </w:rPr>
        <w:t>，外运处置。</w:t>
      </w:r>
    </w:p>
    <w:p>
      <w:pPr>
        <w:pStyle w:val="5"/>
        <w:widowControl/>
        <w:numPr>
          <w:ilvl w:val="2"/>
          <w:numId w:val="4"/>
        </w:numPr>
        <w:spacing w:before="156"/>
        <w:rPr>
          <w:szCs w:val="21"/>
        </w:rPr>
      </w:pPr>
      <w:bookmarkStart w:id="718" w:name="_Toc5528"/>
      <w:r>
        <w:rPr>
          <w:rFonts w:hint="eastAsia" w:ascii="宋体" w:hAnsi="宋体" w:cs="宋体"/>
          <w:szCs w:val="21"/>
        </w:rPr>
        <w:t>设计进水水质及出水水质</w:t>
      </w:r>
      <w:bookmarkEnd w:id="718"/>
    </w:p>
    <w:p>
      <w:pPr>
        <w:widowControl/>
        <w:snapToGrid w:val="0"/>
        <w:spacing w:line="360" w:lineRule="auto"/>
        <w:ind w:firstLine="420" w:firstLineChars="200"/>
        <w:jc w:val="left"/>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 xml:space="preserve">）进水水质 </w:t>
      </w:r>
    </w:p>
    <w:p>
      <w:pPr>
        <w:widowControl/>
        <w:snapToGrid w:val="0"/>
        <w:spacing w:line="360" w:lineRule="auto"/>
        <w:jc w:val="center"/>
        <w:rPr>
          <w:kern w:val="0"/>
          <w:szCs w:val="21"/>
        </w:rPr>
      </w:pPr>
      <w:r>
        <w:rPr>
          <w:rFonts w:hint="eastAsia" w:ascii="宋体" w:hAnsi="宋体" w:cs="宋体"/>
          <w:kern w:val="0"/>
          <w:szCs w:val="21"/>
          <w:lang w:bidi="ar"/>
        </w:rPr>
        <w:t>东莞市沙田福禄沙污水处理厂二期工程设计进水水质表</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031"/>
        <w:gridCol w:w="982"/>
        <w:gridCol w:w="1026"/>
        <w:gridCol w:w="796"/>
        <w:gridCol w:w="924"/>
        <w:gridCol w:w="85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项目</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CODcr</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BOD</w:t>
            </w:r>
            <w:r>
              <w:rPr>
                <w:kern w:val="0"/>
                <w:szCs w:val="21"/>
                <w:vertAlign w:val="subscript"/>
                <w:lang w:bidi="ar"/>
              </w:rPr>
              <w:t>5</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SS</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TN</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TP</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单位</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进水指标</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≤150</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≤200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≤35</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≤25</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≤4</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w:t>
            </w:r>
          </w:p>
        </w:tc>
      </w:tr>
    </w:tbl>
    <w:p>
      <w:pPr>
        <w:widowControl/>
        <w:snapToGrid w:val="0"/>
        <w:spacing w:line="360" w:lineRule="auto"/>
        <w:ind w:firstLine="420" w:firstLineChars="200"/>
        <w:jc w:val="left"/>
        <w:rPr>
          <w:kern w:val="0"/>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）出水水质</w:t>
      </w:r>
    </w:p>
    <w:p>
      <w:pPr>
        <w:widowControl/>
        <w:snapToGrid w:val="0"/>
        <w:spacing w:line="360" w:lineRule="auto"/>
        <w:ind w:firstLine="420" w:firstLineChars="200"/>
        <w:rPr>
          <w:kern w:val="0"/>
          <w:szCs w:val="21"/>
        </w:rPr>
      </w:pPr>
      <w:r>
        <w:rPr>
          <w:rFonts w:hint="eastAsia" w:ascii="宋体" w:hAnsi="宋体" w:cs="宋体"/>
          <w:szCs w:val="21"/>
          <w:lang w:bidi="ar"/>
        </w:rPr>
        <w:t>东莞市</w:t>
      </w:r>
      <w:r>
        <w:rPr>
          <w:rFonts w:hint="eastAsia" w:ascii="宋体" w:hAnsi="宋体" w:cs="宋体"/>
          <w:kern w:val="0"/>
          <w:szCs w:val="21"/>
          <w:lang w:bidi="ar"/>
        </w:rPr>
        <w:t>沙田福禄沙污水处理厂</w:t>
      </w:r>
      <w:r>
        <w:rPr>
          <w:rFonts w:hint="eastAsia" w:ascii="宋体" w:hAnsi="宋体" w:cs="宋体"/>
          <w:szCs w:val="21"/>
          <w:lang w:bidi="ar"/>
        </w:rPr>
        <w:t>二期工程</w:t>
      </w:r>
      <w:r>
        <w:rPr>
          <w:rFonts w:hint="eastAsia" w:ascii="宋体" w:hAnsi="宋体" w:cs="宋体"/>
          <w:kern w:val="0"/>
          <w:szCs w:val="21"/>
          <w:lang w:bidi="ar"/>
        </w:rPr>
        <w:t>出水水质达到《城镇污水处理厂污染物排放标准》（</w:t>
      </w:r>
      <w:r>
        <w:rPr>
          <w:kern w:val="0"/>
          <w:szCs w:val="21"/>
          <w:lang w:bidi="ar"/>
        </w:rPr>
        <w:t>GB18918-2002</w:t>
      </w:r>
      <w:r>
        <w:rPr>
          <w:rFonts w:hint="eastAsia" w:ascii="宋体" w:hAnsi="宋体" w:cs="宋体"/>
          <w:kern w:val="0"/>
          <w:szCs w:val="21"/>
          <w:lang w:bidi="ar"/>
        </w:rPr>
        <w:t>）一级</w:t>
      </w:r>
      <w:r>
        <w:rPr>
          <w:kern w:val="0"/>
          <w:szCs w:val="21"/>
          <w:lang w:bidi="ar"/>
        </w:rPr>
        <w:t>A</w:t>
      </w:r>
      <w:r>
        <w:rPr>
          <w:rFonts w:hint="eastAsia" w:ascii="宋体" w:hAnsi="宋体" w:cs="宋体"/>
          <w:kern w:val="0"/>
          <w:szCs w:val="21"/>
          <w:lang w:bidi="ar"/>
        </w:rPr>
        <w:t>标准，同时满足广东省地方标准《水污染物排放限值》（</w:t>
      </w:r>
      <w:r>
        <w:rPr>
          <w:kern w:val="0"/>
          <w:szCs w:val="21"/>
          <w:lang w:bidi="ar"/>
        </w:rPr>
        <w:t>DB4426-2001</w:t>
      </w:r>
      <w:r>
        <w:rPr>
          <w:rFonts w:hint="eastAsia" w:ascii="宋体" w:hAnsi="宋体" w:cs="宋体"/>
          <w:kern w:val="0"/>
          <w:szCs w:val="21"/>
          <w:lang w:bidi="ar"/>
        </w:rPr>
        <w:t>）第二时段的一级标准中的较严值（其中</w:t>
      </w:r>
      <w:r>
        <w:rPr>
          <w:kern w:val="0"/>
          <w:szCs w:val="21"/>
          <w:lang w:bidi="ar"/>
        </w:rPr>
        <w:t>TN≤10mg/L</w:t>
      </w:r>
      <w:r>
        <w:rPr>
          <w:rFonts w:hint="eastAsia" w:ascii="宋体" w:hAnsi="宋体" w:cs="宋体"/>
          <w:kern w:val="0"/>
          <w:szCs w:val="21"/>
          <w:lang w:bidi="ar"/>
        </w:rPr>
        <w:t>），尾水排放至狮子洋。</w:t>
      </w:r>
    </w:p>
    <w:p>
      <w:pPr>
        <w:widowControl/>
        <w:snapToGrid w:val="0"/>
        <w:spacing w:line="360" w:lineRule="auto"/>
        <w:jc w:val="center"/>
        <w:rPr>
          <w:kern w:val="0"/>
          <w:szCs w:val="21"/>
        </w:rPr>
      </w:pPr>
      <w:r>
        <w:rPr>
          <w:rFonts w:hint="eastAsia" w:ascii="宋体" w:hAnsi="宋体" w:cs="宋体"/>
          <w:kern w:val="0"/>
          <w:szCs w:val="21"/>
          <w:lang w:bidi="ar"/>
        </w:rPr>
        <w:t>东莞市沙田福禄沙污水处理厂二期工程设计出水水质表</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031"/>
        <w:gridCol w:w="982"/>
        <w:gridCol w:w="1026"/>
        <w:gridCol w:w="796"/>
        <w:gridCol w:w="927"/>
        <w:gridCol w:w="85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项目</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CODcr</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BOD</w:t>
            </w:r>
            <w:r>
              <w:rPr>
                <w:kern w:val="0"/>
                <w:szCs w:val="21"/>
                <w:vertAlign w:val="subscript"/>
                <w:lang w:bidi="ar"/>
              </w:rPr>
              <w:t>5</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SS</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TN</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TP</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单位</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出水指标</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≤40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≤5</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≤0.5</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≤1000</w:t>
            </w:r>
          </w:p>
        </w:tc>
      </w:tr>
    </w:tbl>
    <w:p>
      <w:pPr>
        <w:pStyle w:val="5"/>
        <w:widowControl/>
        <w:numPr>
          <w:ilvl w:val="2"/>
          <w:numId w:val="4"/>
        </w:numPr>
        <w:spacing w:before="156"/>
        <w:rPr>
          <w:szCs w:val="21"/>
        </w:rPr>
      </w:pPr>
      <w:bookmarkStart w:id="719" w:name="_Toc14247"/>
      <w:r>
        <w:rPr>
          <w:rFonts w:hint="eastAsia" w:ascii="宋体" w:hAnsi="宋体" w:cs="宋体"/>
          <w:szCs w:val="21"/>
        </w:rPr>
        <w:t>污水处理工艺描述</w:t>
      </w:r>
      <w:bookmarkEnd w:id="719"/>
    </w:p>
    <w:p>
      <w:pPr>
        <w:widowControl/>
        <w:snapToGrid w:val="0"/>
        <w:spacing w:line="360" w:lineRule="auto"/>
        <w:ind w:firstLine="420" w:firstLineChars="200"/>
        <w:jc w:val="left"/>
        <w:rPr>
          <w:kern w:val="0"/>
          <w:szCs w:val="21"/>
        </w:rPr>
      </w:pPr>
      <w:r>
        <w:rPr>
          <w:rFonts w:hint="eastAsia" w:ascii="宋体" w:hAnsi="宋体" w:cs="宋体"/>
          <w:szCs w:val="21"/>
          <w:lang w:bidi="ar"/>
        </w:rPr>
        <w:t>本次二期工程</w:t>
      </w:r>
      <w:r>
        <w:rPr>
          <w:rFonts w:hint="eastAsia" w:ascii="宋体" w:hAnsi="宋体" w:cs="宋体"/>
          <w:kern w:val="0"/>
          <w:szCs w:val="21"/>
          <w:lang w:bidi="ar"/>
        </w:rPr>
        <w:t>主要处理工艺建构筑物包括粗格栅及进水泵房、细格栅及旋流沉砂池、多级</w:t>
      </w:r>
      <w:r>
        <w:rPr>
          <w:kern w:val="0"/>
          <w:szCs w:val="21"/>
          <w:lang w:bidi="ar"/>
        </w:rPr>
        <w:t>AO</w:t>
      </w:r>
      <w:r>
        <w:rPr>
          <w:rFonts w:hint="eastAsia" w:ascii="宋体" w:hAnsi="宋体" w:cs="宋体"/>
          <w:kern w:val="0"/>
          <w:szCs w:val="21"/>
          <w:lang w:bidi="ar"/>
        </w:rPr>
        <w:t>生物反应池、</w:t>
      </w:r>
      <w:r>
        <w:rPr>
          <w:rFonts w:hint="eastAsia" w:ascii="宋体" w:hAnsi="宋体" w:cs="宋体"/>
          <w:szCs w:val="21"/>
          <w:lang w:bidi="ar"/>
        </w:rPr>
        <w:t>矩形周进周出二沉池</w:t>
      </w:r>
      <w:r>
        <w:rPr>
          <w:rFonts w:hint="eastAsia" w:ascii="宋体" w:hAnsi="宋体" w:cs="宋体"/>
          <w:kern w:val="0"/>
          <w:szCs w:val="21"/>
          <w:lang w:bidi="ar"/>
        </w:rPr>
        <w:t>、高效沉淀池、反硝化滤池、滤池、紫外消毒渠、出水明渠、鼓风机房、变配电间及机修车间、储泥池、污泥脱水机房、综合加药间等。</w:t>
      </w:r>
    </w:p>
    <w:p>
      <w:pPr>
        <w:widowControl/>
        <w:snapToGrid w:val="0"/>
        <w:spacing w:line="360" w:lineRule="auto"/>
        <w:ind w:firstLine="420" w:firstLineChars="200"/>
        <w:rPr>
          <w:kern w:val="0"/>
          <w:szCs w:val="21"/>
        </w:rPr>
      </w:pPr>
      <w:r>
        <w:rPr>
          <w:rFonts w:hint="eastAsia" w:ascii="宋体" w:hAnsi="宋体" w:cs="宋体"/>
          <w:kern w:val="0"/>
          <w:szCs w:val="21"/>
          <w:lang w:bidi="ar"/>
        </w:rPr>
        <w:t>污水从市政污水管网接入粗格栅及进水泵房，由粗格栅拦截较大漂浮物以保护水泵等重要设备，经水泵提升进入细格栅及旋流沉砂池，去除漂浮物、细小垃圾及比重较大的砂粒，砂水经分离后外运。沉砂池的出水自流进入多级</w:t>
      </w:r>
      <w:r>
        <w:rPr>
          <w:kern w:val="0"/>
          <w:szCs w:val="21"/>
          <w:lang w:bidi="ar"/>
        </w:rPr>
        <w:t>AO</w:t>
      </w:r>
      <w:r>
        <w:rPr>
          <w:rFonts w:hint="eastAsia" w:ascii="宋体" w:hAnsi="宋体" w:cs="宋体"/>
          <w:kern w:val="0"/>
          <w:szCs w:val="21"/>
          <w:lang w:bidi="ar"/>
        </w:rPr>
        <w:t>生物反应池，利用厌氧、缺氧、好氧区不同功能，进行生物脱氮除磷，同时去除大部分有机污染物、</w:t>
      </w:r>
      <w:r>
        <w:rPr>
          <w:kern w:val="0"/>
          <w:szCs w:val="21"/>
          <w:lang w:bidi="ar"/>
        </w:rPr>
        <w:t>NH</w:t>
      </w:r>
      <w:r>
        <w:rPr>
          <w:kern w:val="0"/>
          <w:szCs w:val="21"/>
          <w:vertAlign w:val="subscript"/>
          <w:lang w:bidi="ar"/>
        </w:rPr>
        <w:t>3</w:t>
      </w:r>
      <w:r>
        <w:rPr>
          <w:kern w:val="0"/>
          <w:szCs w:val="21"/>
          <w:lang w:bidi="ar"/>
        </w:rPr>
        <w:t>-N</w:t>
      </w:r>
      <w:r>
        <w:rPr>
          <w:rFonts w:hint="eastAsia" w:ascii="宋体" w:hAnsi="宋体" w:cs="宋体"/>
          <w:kern w:val="0"/>
          <w:szCs w:val="21"/>
          <w:lang w:bidi="ar"/>
        </w:rPr>
        <w:t>、</w:t>
      </w:r>
      <w:r>
        <w:rPr>
          <w:kern w:val="0"/>
          <w:szCs w:val="21"/>
          <w:lang w:bidi="ar"/>
        </w:rPr>
        <w:t>TN</w:t>
      </w:r>
      <w:r>
        <w:rPr>
          <w:rFonts w:hint="eastAsia" w:ascii="宋体" w:hAnsi="宋体" w:cs="宋体"/>
          <w:kern w:val="0"/>
          <w:szCs w:val="21"/>
          <w:lang w:bidi="ar"/>
        </w:rPr>
        <w:t>、</w:t>
      </w:r>
      <w:r>
        <w:rPr>
          <w:kern w:val="0"/>
          <w:szCs w:val="21"/>
          <w:lang w:bidi="ar"/>
        </w:rPr>
        <w:t>TP</w:t>
      </w:r>
      <w:r>
        <w:rPr>
          <w:rFonts w:hint="eastAsia" w:ascii="宋体" w:hAnsi="宋体" w:cs="宋体"/>
          <w:kern w:val="0"/>
          <w:szCs w:val="21"/>
          <w:lang w:bidi="ar"/>
        </w:rPr>
        <w:t>后，出水进入沉淀池进行泥水分离，上清液进入高效沉淀池进行混凝沉淀后，上清液自流入反硝化滤池，进一步去除</w:t>
      </w:r>
      <w:r>
        <w:rPr>
          <w:kern w:val="0"/>
          <w:szCs w:val="21"/>
          <w:lang w:bidi="ar"/>
        </w:rPr>
        <w:t>TN</w:t>
      </w:r>
      <w:r>
        <w:rPr>
          <w:rFonts w:hint="eastAsia" w:ascii="宋体" w:hAnsi="宋体" w:cs="宋体"/>
          <w:kern w:val="0"/>
          <w:szCs w:val="21"/>
          <w:lang w:bidi="ar"/>
        </w:rPr>
        <w:t>，之后反硝化滤池出水进入滤池进行过滤，滤后水经紫外消毒并计量后，排至狮子洋。</w:t>
      </w:r>
    </w:p>
    <w:p>
      <w:pPr>
        <w:pStyle w:val="5"/>
        <w:widowControl/>
        <w:numPr>
          <w:ilvl w:val="2"/>
          <w:numId w:val="4"/>
        </w:numPr>
        <w:spacing w:before="156"/>
        <w:rPr>
          <w:szCs w:val="21"/>
        </w:rPr>
      </w:pPr>
      <w:bookmarkStart w:id="720" w:name="_Toc3307"/>
      <w:r>
        <w:rPr>
          <w:rFonts w:hint="eastAsia" w:ascii="宋体" w:hAnsi="宋体" w:cs="宋体"/>
          <w:szCs w:val="21"/>
        </w:rPr>
        <w:t>污泥处理流程</w:t>
      </w:r>
      <w:bookmarkEnd w:id="720"/>
    </w:p>
    <w:p>
      <w:pPr>
        <w:widowControl/>
        <w:snapToGrid w:val="0"/>
        <w:spacing w:line="360" w:lineRule="auto"/>
        <w:ind w:firstLine="420" w:firstLineChars="200"/>
        <w:jc w:val="left"/>
        <w:rPr>
          <w:kern w:val="0"/>
          <w:szCs w:val="21"/>
        </w:rPr>
      </w:pPr>
      <w:r>
        <w:rPr>
          <w:rFonts w:hint="eastAsia" w:ascii="宋体" w:hAnsi="宋体" w:cs="宋体"/>
          <w:kern w:val="0"/>
          <w:szCs w:val="21"/>
          <w:lang w:bidi="ar"/>
        </w:rPr>
        <w:t>本</w:t>
      </w:r>
      <w:r>
        <w:rPr>
          <w:rFonts w:hint="eastAsia" w:ascii="宋体" w:hAnsi="宋体" w:cs="宋体"/>
          <w:szCs w:val="21"/>
          <w:lang w:bidi="ar"/>
        </w:rPr>
        <w:t>次污泥处理工艺采用</w:t>
      </w:r>
      <w:r>
        <w:rPr>
          <w:szCs w:val="21"/>
          <w:lang w:bidi="ar"/>
        </w:rPr>
        <w:t>“</w:t>
      </w:r>
      <w:r>
        <w:rPr>
          <w:rFonts w:hint="eastAsia" w:ascii="宋体" w:hAnsi="宋体" w:cs="宋体"/>
          <w:szCs w:val="21"/>
          <w:lang w:bidi="ar"/>
        </w:rPr>
        <w:t>储泥池</w:t>
      </w:r>
      <w:r>
        <w:rPr>
          <w:szCs w:val="21"/>
          <w:lang w:bidi="ar"/>
        </w:rPr>
        <w:t>+</w:t>
      </w:r>
      <w:r>
        <w:rPr>
          <w:rFonts w:hint="eastAsia" w:ascii="宋体" w:hAnsi="宋体" w:cs="宋体"/>
          <w:szCs w:val="21"/>
          <w:lang w:bidi="ar"/>
        </w:rPr>
        <w:t>机械浓缩</w:t>
      </w:r>
      <w:r>
        <w:rPr>
          <w:szCs w:val="21"/>
          <w:lang w:bidi="ar"/>
        </w:rPr>
        <w:t>+</w:t>
      </w:r>
      <w:r>
        <w:rPr>
          <w:rFonts w:hint="eastAsia" w:ascii="宋体" w:hAnsi="宋体" w:cs="宋体"/>
          <w:szCs w:val="21"/>
          <w:lang w:bidi="ar"/>
        </w:rPr>
        <w:t>药剂调理</w:t>
      </w:r>
      <w:r>
        <w:rPr>
          <w:szCs w:val="21"/>
          <w:lang w:bidi="ar"/>
        </w:rPr>
        <w:t>+</w:t>
      </w:r>
      <w:r>
        <w:rPr>
          <w:rFonts w:hint="eastAsia" w:ascii="宋体" w:hAnsi="宋体" w:cs="宋体"/>
          <w:szCs w:val="21"/>
          <w:lang w:bidi="ar"/>
        </w:rPr>
        <w:t>板框压滤脱水</w:t>
      </w:r>
      <w:r>
        <w:rPr>
          <w:szCs w:val="21"/>
          <w:lang w:bidi="ar"/>
        </w:rPr>
        <w:t>”</w:t>
      </w:r>
      <w:r>
        <w:rPr>
          <w:rFonts w:hint="eastAsia" w:ascii="宋体" w:hAnsi="宋体" w:cs="宋体"/>
          <w:szCs w:val="21"/>
          <w:lang w:bidi="ar"/>
        </w:rPr>
        <w:t>，脱水后的污泥含水率</w:t>
      </w:r>
      <w:r>
        <w:rPr>
          <w:szCs w:val="21"/>
          <w:lang w:bidi="ar"/>
        </w:rPr>
        <w:t>&lt;60%</w:t>
      </w:r>
      <w:r>
        <w:rPr>
          <w:rFonts w:hint="eastAsia" w:ascii="宋体" w:hAnsi="宋体" w:cs="宋体"/>
          <w:szCs w:val="21"/>
          <w:lang w:bidi="ar"/>
        </w:rPr>
        <w:t>，脱水后的污泥由输送机输送到污泥料仓，统一外运处理</w:t>
      </w:r>
      <w:r>
        <w:rPr>
          <w:rFonts w:hint="eastAsia" w:ascii="宋体" w:hAnsi="宋体" w:cs="宋体"/>
          <w:kern w:val="0"/>
          <w:szCs w:val="21"/>
          <w:lang w:bidi="ar"/>
        </w:rPr>
        <w:t>。</w:t>
      </w:r>
    </w:p>
    <w:p>
      <w:pPr>
        <w:pStyle w:val="5"/>
        <w:widowControl/>
        <w:numPr>
          <w:ilvl w:val="2"/>
          <w:numId w:val="4"/>
        </w:numPr>
        <w:spacing w:before="156"/>
        <w:rPr>
          <w:szCs w:val="21"/>
        </w:rPr>
      </w:pPr>
      <w:bookmarkStart w:id="721" w:name="_Toc19581"/>
      <w:r>
        <w:rPr>
          <w:rFonts w:hint="eastAsia" w:ascii="宋体" w:hAnsi="宋体" w:cs="宋体"/>
          <w:szCs w:val="21"/>
        </w:rPr>
        <w:t>厂区除臭</w:t>
      </w:r>
      <w:bookmarkEnd w:id="721"/>
    </w:p>
    <w:p>
      <w:pPr>
        <w:snapToGrid w:val="0"/>
        <w:spacing w:line="360" w:lineRule="auto"/>
        <w:ind w:firstLine="420" w:firstLineChars="200"/>
        <w:rPr>
          <w:b/>
          <w:bCs/>
          <w:szCs w:val="21"/>
        </w:rPr>
      </w:pPr>
      <w:r>
        <w:rPr>
          <w:rFonts w:hint="eastAsia" w:ascii="宋体" w:hAnsi="宋体" w:cs="宋体"/>
          <w:szCs w:val="21"/>
          <w:lang w:bidi="ar"/>
        </w:rPr>
        <w:t>本工程对进水预处理单元，污泥处理单元，生物处理单元进行密闭除臭设施。配套新建除臭设施两套，采用“生物除臭”工艺。</w:t>
      </w:r>
    </w:p>
    <w:p>
      <w:pPr>
        <w:pStyle w:val="4"/>
        <w:widowControl/>
        <w:numPr>
          <w:ilvl w:val="1"/>
          <w:numId w:val="4"/>
        </w:numPr>
        <w:rPr>
          <w:rFonts w:eastAsia="宋体"/>
          <w:szCs w:val="21"/>
        </w:rPr>
      </w:pPr>
      <w:bookmarkStart w:id="722" w:name="_Toc15004"/>
      <w:r>
        <w:rPr>
          <w:rFonts w:hint="eastAsia" w:ascii="宋体" w:hAnsi="宋体" w:eastAsia="宋体" w:cs="宋体"/>
          <w:szCs w:val="21"/>
        </w:rPr>
        <w:t>东莞市清溪厦坭污水处理厂二期工程</w:t>
      </w:r>
      <w:bookmarkEnd w:id="722"/>
    </w:p>
    <w:p>
      <w:pPr>
        <w:pStyle w:val="5"/>
        <w:widowControl/>
        <w:numPr>
          <w:ilvl w:val="2"/>
          <w:numId w:val="4"/>
        </w:numPr>
        <w:spacing w:before="156"/>
        <w:rPr>
          <w:szCs w:val="21"/>
        </w:rPr>
      </w:pPr>
      <w:bookmarkStart w:id="723" w:name="_Toc26860"/>
      <w:r>
        <w:rPr>
          <w:rFonts w:hint="eastAsia" w:ascii="宋体" w:hAnsi="宋体" w:cs="宋体"/>
          <w:szCs w:val="21"/>
        </w:rPr>
        <w:t>项目建设规模</w:t>
      </w:r>
      <w:bookmarkEnd w:id="723"/>
    </w:p>
    <w:p>
      <w:pPr>
        <w:widowControl/>
        <w:spacing w:line="360" w:lineRule="auto"/>
        <w:ind w:firstLine="420" w:firstLineChars="200"/>
        <w:rPr>
          <w:kern w:val="0"/>
          <w:szCs w:val="21"/>
        </w:rPr>
      </w:pPr>
      <w:r>
        <w:rPr>
          <w:rFonts w:hint="eastAsia" w:ascii="宋体" w:hAnsi="宋体" w:cs="宋体"/>
          <w:kern w:val="0"/>
          <w:szCs w:val="21"/>
          <w:lang w:bidi="ar"/>
        </w:rPr>
        <w:t>东莞市清溪厦坭污水处理厂二期工程位于清溪镇厦坭村江背路北，占地面积约</w:t>
      </w:r>
      <w:r>
        <w:rPr>
          <w:kern w:val="0"/>
          <w:szCs w:val="21"/>
          <w:lang w:bidi="ar"/>
        </w:rPr>
        <w:t>2.08hm</w:t>
      </w:r>
      <w:r>
        <w:rPr>
          <w:kern w:val="0"/>
          <w:szCs w:val="21"/>
          <w:vertAlign w:val="superscript"/>
          <w:lang w:bidi="ar"/>
        </w:rPr>
        <w:t>2</w:t>
      </w:r>
      <w:r>
        <w:rPr>
          <w:rFonts w:hint="eastAsia" w:ascii="宋体" w:hAnsi="宋体" w:cs="宋体"/>
          <w:kern w:val="0"/>
          <w:szCs w:val="21"/>
          <w:lang w:bidi="ar"/>
        </w:rPr>
        <w:t>。本工程设计规模</w:t>
      </w:r>
      <w:r>
        <w:rPr>
          <w:kern w:val="0"/>
          <w:szCs w:val="21"/>
          <w:lang w:bidi="ar"/>
        </w:rPr>
        <w:t>5</w:t>
      </w:r>
      <w:r>
        <w:rPr>
          <w:rFonts w:hint="eastAsia" w:ascii="宋体" w:hAnsi="宋体" w:cs="宋体"/>
          <w:kern w:val="0"/>
          <w:szCs w:val="21"/>
          <w:lang w:bidi="ar"/>
        </w:rPr>
        <w:t>万</w:t>
      </w:r>
      <w:r>
        <w:rPr>
          <w:kern w:val="0"/>
          <w:szCs w:val="21"/>
          <w:lang w:bidi="ar"/>
        </w:rPr>
        <w:t>m</w:t>
      </w:r>
      <w:r>
        <w:rPr>
          <w:kern w:val="0"/>
          <w:szCs w:val="21"/>
          <w:vertAlign w:val="superscript"/>
          <w:lang w:bidi="ar"/>
        </w:rPr>
        <w:t>3</w:t>
      </w:r>
      <w:r>
        <w:rPr>
          <w:kern w:val="0"/>
          <w:szCs w:val="21"/>
          <w:lang w:bidi="ar"/>
        </w:rPr>
        <w:t>/d</w:t>
      </w:r>
      <w:r>
        <w:rPr>
          <w:rFonts w:hint="eastAsia" w:ascii="宋体" w:hAnsi="宋体" w:cs="宋体"/>
          <w:kern w:val="0"/>
          <w:szCs w:val="21"/>
          <w:lang w:bidi="ar"/>
        </w:rPr>
        <w:t>，总变化系数</w:t>
      </w:r>
      <w:r>
        <w:rPr>
          <w:kern w:val="0"/>
          <w:szCs w:val="21"/>
          <w:lang w:bidi="ar"/>
        </w:rPr>
        <w:t>1.58</w:t>
      </w:r>
      <w:r>
        <w:rPr>
          <w:rFonts w:hint="eastAsia" w:ascii="宋体" w:hAnsi="宋体" w:cs="宋体"/>
          <w:kern w:val="0"/>
          <w:szCs w:val="21"/>
          <w:lang w:bidi="ar"/>
        </w:rPr>
        <w:t>，平均设计流量</w:t>
      </w:r>
      <w:r>
        <w:rPr>
          <w:kern w:val="0"/>
          <w:szCs w:val="21"/>
          <w:lang w:bidi="ar"/>
        </w:rPr>
        <w:t>2083.3m</w:t>
      </w:r>
      <w:r>
        <w:rPr>
          <w:kern w:val="0"/>
          <w:szCs w:val="21"/>
          <w:vertAlign w:val="superscript"/>
          <w:lang w:bidi="ar"/>
        </w:rPr>
        <w:t>3</w:t>
      </w:r>
      <w:r>
        <w:rPr>
          <w:kern w:val="0"/>
          <w:szCs w:val="21"/>
          <w:lang w:bidi="ar"/>
        </w:rPr>
        <w:t>/h</w:t>
      </w:r>
      <w:r>
        <w:rPr>
          <w:rFonts w:hint="eastAsia" w:ascii="宋体" w:hAnsi="宋体" w:cs="宋体"/>
          <w:kern w:val="0"/>
          <w:szCs w:val="21"/>
          <w:lang w:bidi="ar"/>
        </w:rPr>
        <w:t>，峰值设计流量</w:t>
      </w:r>
      <w:r>
        <w:rPr>
          <w:kern w:val="0"/>
          <w:szCs w:val="21"/>
          <w:lang w:bidi="ar"/>
        </w:rPr>
        <w:t>3291.7m</w:t>
      </w:r>
      <w:r>
        <w:rPr>
          <w:kern w:val="0"/>
          <w:szCs w:val="21"/>
          <w:vertAlign w:val="superscript"/>
          <w:lang w:bidi="ar"/>
        </w:rPr>
        <w:t>3</w:t>
      </w:r>
      <w:r>
        <w:rPr>
          <w:kern w:val="0"/>
          <w:szCs w:val="21"/>
          <w:lang w:bidi="ar"/>
        </w:rPr>
        <w:t>/h</w:t>
      </w:r>
      <w:r>
        <w:rPr>
          <w:rFonts w:hint="eastAsia" w:ascii="宋体" w:hAnsi="宋体" w:cs="宋体"/>
          <w:kern w:val="0"/>
          <w:szCs w:val="21"/>
          <w:lang w:bidi="ar"/>
        </w:rPr>
        <w:t>，建设形式为地下式。</w:t>
      </w:r>
    </w:p>
    <w:p>
      <w:pPr>
        <w:widowControl/>
        <w:snapToGrid w:val="0"/>
        <w:spacing w:line="360" w:lineRule="auto"/>
        <w:ind w:firstLine="420" w:firstLineChars="200"/>
        <w:rPr>
          <w:szCs w:val="21"/>
        </w:rPr>
      </w:pPr>
      <w:r>
        <w:rPr>
          <w:rFonts w:hint="eastAsia" w:ascii="宋体" w:hAnsi="宋体" w:cs="宋体"/>
          <w:kern w:val="0"/>
          <w:szCs w:val="21"/>
          <w:lang w:bidi="ar"/>
        </w:rPr>
        <w:t>污水处理工艺为</w:t>
      </w:r>
      <w:r>
        <w:rPr>
          <w:kern w:val="0"/>
          <w:szCs w:val="21"/>
          <w:lang w:bidi="ar"/>
        </w:rPr>
        <w:t>“</w:t>
      </w:r>
      <w:r>
        <w:rPr>
          <w:rFonts w:hint="eastAsia" w:ascii="宋体" w:hAnsi="宋体" w:cs="宋体"/>
          <w:kern w:val="0"/>
          <w:szCs w:val="21"/>
          <w:lang w:bidi="ar"/>
        </w:rPr>
        <w:t>粗格栅及进水泵房</w:t>
      </w:r>
      <w:r>
        <w:rPr>
          <w:szCs w:val="21"/>
          <w:lang w:bidi="ar"/>
        </w:rPr>
        <w:t>→</w:t>
      </w:r>
      <w:r>
        <w:rPr>
          <w:rFonts w:hint="eastAsia" w:ascii="宋体" w:hAnsi="宋体" w:cs="宋体"/>
          <w:szCs w:val="21"/>
          <w:lang w:bidi="ar"/>
        </w:rPr>
        <w:t>细格栅及旋流沉砂池</w:t>
      </w:r>
      <w:r>
        <w:rPr>
          <w:szCs w:val="21"/>
          <w:lang w:bidi="ar"/>
        </w:rPr>
        <w:t>→</w:t>
      </w:r>
      <w:r>
        <w:rPr>
          <w:rFonts w:hint="eastAsia" w:ascii="宋体" w:hAnsi="宋体" w:cs="宋体"/>
          <w:szCs w:val="21"/>
          <w:lang w:bidi="ar"/>
        </w:rPr>
        <w:t>多级</w:t>
      </w:r>
      <w:r>
        <w:rPr>
          <w:szCs w:val="21"/>
          <w:lang w:bidi="ar"/>
        </w:rPr>
        <w:t>AO</w:t>
      </w:r>
      <w:r>
        <w:rPr>
          <w:rFonts w:hint="eastAsia" w:ascii="宋体" w:hAnsi="宋体" w:cs="宋体"/>
          <w:szCs w:val="21"/>
          <w:lang w:bidi="ar"/>
        </w:rPr>
        <w:t>工艺</w:t>
      </w:r>
      <w:r>
        <w:rPr>
          <w:szCs w:val="21"/>
          <w:lang w:bidi="ar"/>
        </w:rPr>
        <w:t>→</w:t>
      </w:r>
      <w:r>
        <w:rPr>
          <w:rFonts w:hint="eastAsia" w:ascii="宋体" w:hAnsi="宋体" w:cs="宋体"/>
          <w:szCs w:val="21"/>
          <w:lang w:bidi="ar"/>
        </w:rPr>
        <w:t>矩形周进周出二沉池</w:t>
      </w:r>
      <w:r>
        <w:rPr>
          <w:szCs w:val="21"/>
          <w:lang w:bidi="ar"/>
        </w:rPr>
        <w:t>→</w:t>
      </w:r>
      <w:r>
        <w:rPr>
          <w:rFonts w:hint="eastAsia" w:ascii="宋体" w:hAnsi="宋体" w:cs="宋体"/>
          <w:szCs w:val="21"/>
          <w:lang w:bidi="ar"/>
        </w:rPr>
        <w:t>高效沉淀池</w:t>
      </w:r>
      <w:r>
        <w:rPr>
          <w:szCs w:val="21"/>
          <w:lang w:bidi="ar"/>
        </w:rPr>
        <w:t>→</w:t>
      </w:r>
      <w:r>
        <w:rPr>
          <w:rFonts w:hint="eastAsia" w:ascii="宋体" w:hAnsi="宋体" w:cs="宋体"/>
          <w:szCs w:val="21"/>
          <w:lang w:bidi="ar"/>
        </w:rPr>
        <w:t>滤池</w:t>
      </w:r>
      <w:r>
        <w:rPr>
          <w:szCs w:val="21"/>
          <w:lang w:bidi="ar"/>
        </w:rPr>
        <w:t>→</w:t>
      </w:r>
      <w:r>
        <w:rPr>
          <w:rFonts w:hint="eastAsia" w:ascii="宋体" w:hAnsi="宋体" w:cs="宋体"/>
          <w:szCs w:val="21"/>
          <w:lang w:bidi="ar"/>
        </w:rPr>
        <w:t>紫外线消毒（</w:t>
      </w:r>
      <w:r>
        <w:rPr>
          <w:szCs w:val="21"/>
          <w:lang w:bidi="ar"/>
        </w:rPr>
        <w:t>NaClO</w:t>
      </w:r>
      <w:r>
        <w:rPr>
          <w:rFonts w:hint="eastAsia" w:ascii="宋体" w:hAnsi="宋体" w:cs="宋体"/>
          <w:szCs w:val="21"/>
          <w:lang w:bidi="ar"/>
        </w:rPr>
        <w:t>辅助消毒）</w:t>
      </w:r>
      <w:r>
        <w:rPr>
          <w:szCs w:val="21"/>
          <w:lang w:bidi="ar"/>
        </w:rPr>
        <w:t>→</w:t>
      </w:r>
      <w:r>
        <w:rPr>
          <w:rFonts w:hint="eastAsia" w:ascii="宋体" w:hAnsi="宋体" w:cs="宋体"/>
          <w:szCs w:val="21"/>
          <w:lang w:bidi="ar"/>
        </w:rPr>
        <w:t>出水</w:t>
      </w:r>
      <w:r>
        <w:rPr>
          <w:rFonts w:hint="eastAsia" w:ascii="宋体" w:hAnsi="宋体" w:cs="宋体"/>
          <w:kern w:val="0"/>
          <w:szCs w:val="21"/>
          <w:lang w:bidi="ar"/>
        </w:rPr>
        <w:t>。污泥处理采用</w:t>
      </w:r>
      <w:r>
        <w:rPr>
          <w:szCs w:val="21"/>
          <w:lang w:bidi="ar"/>
        </w:rPr>
        <w:t>“</w:t>
      </w:r>
      <w:r>
        <w:rPr>
          <w:rFonts w:hint="eastAsia" w:ascii="宋体" w:hAnsi="宋体" w:cs="宋体"/>
          <w:szCs w:val="21"/>
          <w:lang w:bidi="ar"/>
        </w:rPr>
        <w:t>机械浓缩</w:t>
      </w:r>
      <w:r>
        <w:rPr>
          <w:szCs w:val="21"/>
          <w:lang w:bidi="ar"/>
        </w:rPr>
        <w:t>+</w:t>
      </w:r>
      <w:r>
        <w:rPr>
          <w:rFonts w:hint="eastAsia" w:ascii="宋体" w:hAnsi="宋体" w:cs="宋体"/>
          <w:szCs w:val="21"/>
          <w:lang w:bidi="ar"/>
        </w:rPr>
        <w:t>药剂调理</w:t>
      </w:r>
      <w:r>
        <w:rPr>
          <w:szCs w:val="21"/>
          <w:lang w:bidi="ar"/>
        </w:rPr>
        <w:t>+</w:t>
      </w:r>
      <w:r>
        <w:rPr>
          <w:rFonts w:hint="eastAsia" w:ascii="宋体" w:hAnsi="宋体" w:cs="宋体"/>
          <w:szCs w:val="21"/>
          <w:lang w:bidi="ar"/>
        </w:rPr>
        <w:t>隔膜板框压滤</w:t>
      </w:r>
      <w:r>
        <w:rPr>
          <w:szCs w:val="21"/>
          <w:lang w:bidi="ar"/>
        </w:rPr>
        <w:t>”</w:t>
      </w:r>
      <w:r>
        <w:rPr>
          <w:rFonts w:hint="eastAsia" w:ascii="宋体" w:hAnsi="宋体" w:cs="宋体"/>
          <w:szCs w:val="21"/>
          <w:lang w:bidi="ar"/>
        </w:rPr>
        <w:t>工艺</w:t>
      </w:r>
      <w:r>
        <w:rPr>
          <w:rFonts w:hint="eastAsia" w:ascii="宋体" w:hAnsi="宋体" w:cs="宋体"/>
          <w:kern w:val="0"/>
          <w:szCs w:val="21"/>
          <w:lang w:bidi="ar"/>
        </w:rPr>
        <w:t>，</w:t>
      </w:r>
      <w:r>
        <w:rPr>
          <w:rFonts w:hint="eastAsia" w:ascii="宋体" w:hAnsi="宋体" w:cs="宋体"/>
          <w:szCs w:val="21"/>
          <w:lang w:bidi="ar"/>
        </w:rPr>
        <w:t>出泥含水率＜</w:t>
      </w:r>
      <w:r>
        <w:rPr>
          <w:szCs w:val="21"/>
          <w:lang w:bidi="ar"/>
        </w:rPr>
        <w:t>60%</w:t>
      </w:r>
      <w:r>
        <w:rPr>
          <w:rFonts w:hint="eastAsia" w:ascii="宋体" w:hAnsi="宋体" w:cs="宋体"/>
          <w:szCs w:val="21"/>
          <w:lang w:bidi="ar"/>
        </w:rPr>
        <w:t>，外运处置。</w:t>
      </w:r>
    </w:p>
    <w:p>
      <w:pPr>
        <w:pStyle w:val="5"/>
        <w:widowControl/>
        <w:numPr>
          <w:ilvl w:val="2"/>
          <w:numId w:val="4"/>
        </w:numPr>
        <w:spacing w:before="156"/>
        <w:rPr>
          <w:szCs w:val="21"/>
        </w:rPr>
      </w:pPr>
      <w:bookmarkStart w:id="724" w:name="_Toc13922"/>
      <w:r>
        <w:rPr>
          <w:rFonts w:hint="eastAsia" w:ascii="宋体" w:hAnsi="宋体" w:cs="宋体"/>
          <w:szCs w:val="21"/>
        </w:rPr>
        <w:t>设计进水水质及出水水质</w:t>
      </w:r>
      <w:bookmarkEnd w:id="724"/>
    </w:p>
    <w:p>
      <w:pPr>
        <w:widowControl/>
        <w:snapToGrid w:val="0"/>
        <w:spacing w:line="360" w:lineRule="auto"/>
        <w:ind w:firstLine="420" w:firstLineChars="200"/>
        <w:jc w:val="left"/>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）进水水质</w:t>
      </w:r>
    </w:p>
    <w:p>
      <w:pPr>
        <w:widowControl/>
        <w:snapToGrid w:val="0"/>
        <w:spacing w:line="360" w:lineRule="auto"/>
        <w:jc w:val="center"/>
        <w:rPr>
          <w:kern w:val="0"/>
          <w:szCs w:val="21"/>
        </w:rPr>
      </w:pPr>
      <w:r>
        <w:rPr>
          <w:rFonts w:hint="eastAsia" w:ascii="宋体" w:hAnsi="宋体" w:cs="宋体"/>
          <w:kern w:val="0"/>
          <w:szCs w:val="21"/>
          <w:lang w:bidi="ar"/>
        </w:rPr>
        <w:t>东莞市清溪厦坭污水处理厂二期工程设计进水水质表</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031"/>
        <w:gridCol w:w="982"/>
        <w:gridCol w:w="1026"/>
        <w:gridCol w:w="796"/>
        <w:gridCol w:w="927"/>
        <w:gridCol w:w="85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项目</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CODcr</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BOD</w:t>
            </w:r>
            <w:r>
              <w:rPr>
                <w:kern w:val="0"/>
                <w:szCs w:val="21"/>
                <w:vertAlign w:val="subscript"/>
                <w:lang w:bidi="ar"/>
              </w:rPr>
              <w:t>5</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SS</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TN</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TP</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单位</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进水指标</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≤340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≤150</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≤230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≤40</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≤35</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≤5.0</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w:t>
            </w:r>
          </w:p>
        </w:tc>
      </w:tr>
    </w:tbl>
    <w:p>
      <w:pPr>
        <w:widowControl/>
        <w:snapToGrid w:val="0"/>
        <w:spacing w:line="360" w:lineRule="auto"/>
        <w:ind w:firstLine="420" w:firstLineChars="200"/>
        <w:jc w:val="left"/>
        <w:rPr>
          <w:kern w:val="0"/>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）出水水质</w:t>
      </w:r>
    </w:p>
    <w:p>
      <w:pPr>
        <w:widowControl/>
        <w:snapToGrid w:val="0"/>
        <w:spacing w:line="360" w:lineRule="auto"/>
        <w:ind w:firstLine="420" w:firstLineChars="200"/>
        <w:rPr>
          <w:kern w:val="0"/>
          <w:szCs w:val="21"/>
        </w:rPr>
      </w:pPr>
      <w:r>
        <w:rPr>
          <w:rFonts w:hint="eastAsia" w:ascii="宋体" w:hAnsi="宋体" w:cs="宋体"/>
          <w:kern w:val="0"/>
          <w:szCs w:val="21"/>
          <w:lang w:bidi="ar"/>
        </w:rPr>
        <w:t>东莞市清溪厦坭污水处理厂二期工程出水水质达到《城镇污水处理厂污染物排放标准（</w:t>
      </w:r>
      <w:r>
        <w:rPr>
          <w:kern w:val="0"/>
          <w:szCs w:val="21"/>
          <w:lang w:bidi="ar"/>
        </w:rPr>
        <w:t>GB18918-2002</w:t>
      </w:r>
      <w:r>
        <w:rPr>
          <w:rFonts w:hint="eastAsia" w:ascii="宋体" w:hAnsi="宋体" w:cs="宋体"/>
          <w:kern w:val="0"/>
          <w:szCs w:val="21"/>
          <w:lang w:bidi="ar"/>
        </w:rPr>
        <w:t>）》一级</w:t>
      </w:r>
      <w:r>
        <w:rPr>
          <w:kern w:val="0"/>
          <w:szCs w:val="21"/>
          <w:lang w:bidi="ar"/>
        </w:rPr>
        <w:t>A</w:t>
      </w:r>
      <w:r>
        <w:rPr>
          <w:rFonts w:hint="eastAsia" w:ascii="宋体" w:hAnsi="宋体" w:cs="宋体"/>
          <w:kern w:val="0"/>
          <w:szCs w:val="21"/>
          <w:lang w:bidi="ar"/>
        </w:rPr>
        <w:t>标准、广东省地方标准《水污染物排放限值》（</w:t>
      </w:r>
      <w:r>
        <w:rPr>
          <w:kern w:val="0"/>
          <w:szCs w:val="21"/>
          <w:lang w:bidi="ar"/>
        </w:rPr>
        <w:t>DB44/26-2001</w:t>
      </w:r>
      <w:r>
        <w:rPr>
          <w:rFonts w:hint="eastAsia" w:ascii="宋体" w:hAnsi="宋体" w:cs="宋体"/>
          <w:kern w:val="0"/>
          <w:szCs w:val="21"/>
          <w:lang w:bidi="ar"/>
        </w:rPr>
        <w:t>）第二时段的一级标准值中的较严值及《淡水河、石马河流域水污染物排放标准》（</w:t>
      </w:r>
      <w:r>
        <w:rPr>
          <w:kern w:val="0"/>
          <w:szCs w:val="21"/>
          <w:lang w:bidi="ar"/>
        </w:rPr>
        <w:t>DB 44/2050-2017</w:t>
      </w:r>
      <w:r>
        <w:rPr>
          <w:rFonts w:hint="eastAsia" w:ascii="宋体" w:hAnsi="宋体" w:cs="宋体"/>
          <w:kern w:val="0"/>
          <w:szCs w:val="21"/>
          <w:lang w:bidi="ar"/>
        </w:rPr>
        <w:t>）城镇污水处理厂第二时段限值中的较严值。</w:t>
      </w:r>
    </w:p>
    <w:p>
      <w:pPr>
        <w:widowControl/>
        <w:snapToGrid w:val="0"/>
        <w:spacing w:line="360" w:lineRule="auto"/>
        <w:jc w:val="center"/>
        <w:rPr>
          <w:kern w:val="0"/>
          <w:szCs w:val="21"/>
        </w:rPr>
      </w:pPr>
      <w:r>
        <w:rPr>
          <w:rFonts w:hint="eastAsia" w:ascii="宋体" w:hAnsi="宋体" w:cs="宋体"/>
          <w:kern w:val="0"/>
          <w:szCs w:val="21"/>
          <w:lang w:bidi="ar"/>
        </w:rPr>
        <w:t>东莞市清溪厦坭污水处理厂二期工程设计出水水质表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849"/>
        <w:gridCol w:w="873"/>
        <w:gridCol w:w="759"/>
        <w:gridCol w:w="819"/>
        <w:gridCol w:w="1134"/>
        <w:gridCol w:w="842"/>
        <w:gridCol w:w="77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项目</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CODcr</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BOD</w:t>
            </w:r>
            <w:r>
              <w:rPr>
                <w:kern w:val="0"/>
                <w:szCs w:val="21"/>
                <w:vertAlign w:val="subscript"/>
                <w:lang w:bidi="ar"/>
              </w:rPr>
              <w:t>5</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SS</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TN</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TP</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PH</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单位</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出水指标</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≤40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≤15</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≤2.0</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≤0.4</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6~9</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≤1000</w:t>
            </w:r>
          </w:p>
        </w:tc>
      </w:tr>
    </w:tbl>
    <w:p>
      <w:pPr>
        <w:pStyle w:val="5"/>
        <w:widowControl/>
        <w:numPr>
          <w:ilvl w:val="2"/>
          <w:numId w:val="4"/>
        </w:numPr>
        <w:spacing w:before="156"/>
        <w:rPr>
          <w:szCs w:val="21"/>
        </w:rPr>
      </w:pPr>
      <w:bookmarkStart w:id="725" w:name="_Toc15741"/>
      <w:r>
        <w:rPr>
          <w:rFonts w:hint="eastAsia" w:ascii="宋体" w:hAnsi="宋体" w:cs="宋体"/>
          <w:szCs w:val="21"/>
        </w:rPr>
        <w:t>污水处理工艺描述</w:t>
      </w:r>
      <w:bookmarkEnd w:id="725"/>
    </w:p>
    <w:p>
      <w:pPr>
        <w:widowControl/>
        <w:snapToGrid w:val="0"/>
        <w:spacing w:line="360" w:lineRule="auto"/>
        <w:ind w:firstLine="420" w:firstLineChars="200"/>
        <w:rPr>
          <w:kern w:val="0"/>
          <w:szCs w:val="21"/>
        </w:rPr>
      </w:pPr>
      <w:r>
        <w:rPr>
          <w:rFonts w:hint="eastAsia" w:ascii="宋体" w:hAnsi="宋体" w:cs="宋体"/>
          <w:kern w:val="0"/>
          <w:szCs w:val="21"/>
          <w:lang w:bidi="ar"/>
        </w:rPr>
        <w:t>本次二期工程主要处理工艺建构筑物包括粗格栅及进水泵房、细格栅及旋流式沉砂池、多级</w:t>
      </w:r>
      <w:r>
        <w:rPr>
          <w:kern w:val="0"/>
          <w:szCs w:val="21"/>
          <w:lang w:bidi="ar"/>
        </w:rPr>
        <w:t>AO</w:t>
      </w:r>
      <w:r>
        <w:rPr>
          <w:rFonts w:hint="eastAsia" w:ascii="宋体" w:hAnsi="宋体" w:cs="宋体"/>
          <w:kern w:val="0"/>
          <w:szCs w:val="21"/>
          <w:lang w:bidi="ar"/>
        </w:rPr>
        <w:t>生物反应池、矩形周进周出二沉池、高效沉淀池、滤池、紫外消毒渠、鼓风机房及变配电间、加药间、脱水机房等。</w:t>
      </w:r>
    </w:p>
    <w:p>
      <w:pPr>
        <w:widowControl/>
        <w:snapToGrid w:val="0"/>
        <w:spacing w:line="360" w:lineRule="auto"/>
        <w:ind w:firstLine="420" w:firstLineChars="200"/>
        <w:rPr>
          <w:kern w:val="0"/>
          <w:szCs w:val="21"/>
        </w:rPr>
      </w:pPr>
      <w:r>
        <w:rPr>
          <w:rFonts w:hint="eastAsia" w:ascii="宋体" w:hAnsi="宋体" w:cs="宋体"/>
          <w:kern w:val="0"/>
          <w:szCs w:val="21"/>
          <w:lang w:bidi="ar"/>
        </w:rPr>
        <w:t>污水从市政污水管网接入粗格栅及进水泵房，由粗格栅拦截较大漂浮物以保护水泵等重要设备，经水泵提升进入细格栅及旋流沉砂池，去除漂浮物、细小垃圾及比重较大的砂粒，砂水经分离后外运。沉砂池的出水自流进入多级</w:t>
      </w:r>
      <w:r>
        <w:rPr>
          <w:kern w:val="0"/>
          <w:szCs w:val="21"/>
          <w:lang w:bidi="ar"/>
        </w:rPr>
        <w:t>AO</w:t>
      </w:r>
      <w:r>
        <w:rPr>
          <w:rFonts w:hint="eastAsia" w:ascii="宋体" w:hAnsi="宋体" w:cs="宋体"/>
          <w:kern w:val="0"/>
          <w:szCs w:val="21"/>
          <w:lang w:bidi="ar"/>
        </w:rPr>
        <w:t>生物反应池，利用厌氧、缺氧、好氧区不同功能，进行生物脱氮除磷，同时去除大部分有机污染物、</w:t>
      </w:r>
      <w:r>
        <w:rPr>
          <w:kern w:val="0"/>
          <w:szCs w:val="21"/>
          <w:lang w:bidi="ar"/>
        </w:rPr>
        <w:t>NH</w:t>
      </w:r>
      <w:r>
        <w:rPr>
          <w:kern w:val="0"/>
          <w:szCs w:val="21"/>
          <w:vertAlign w:val="subscript"/>
          <w:lang w:bidi="ar"/>
        </w:rPr>
        <w:t>3</w:t>
      </w:r>
      <w:r>
        <w:rPr>
          <w:kern w:val="0"/>
          <w:szCs w:val="21"/>
          <w:lang w:bidi="ar"/>
        </w:rPr>
        <w:t>-N</w:t>
      </w:r>
      <w:r>
        <w:rPr>
          <w:rFonts w:hint="eastAsia" w:ascii="宋体" w:hAnsi="宋体" w:cs="宋体"/>
          <w:kern w:val="0"/>
          <w:szCs w:val="21"/>
          <w:lang w:bidi="ar"/>
        </w:rPr>
        <w:t>、</w:t>
      </w:r>
      <w:r>
        <w:rPr>
          <w:kern w:val="0"/>
          <w:szCs w:val="21"/>
          <w:lang w:bidi="ar"/>
        </w:rPr>
        <w:t>TN</w:t>
      </w:r>
      <w:r>
        <w:rPr>
          <w:rFonts w:hint="eastAsia" w:ascii="宋体" w:hAnsi="宋体" w:cs="宋体"/>
          <w:kern w:val="0"/>
          <w:szCs w:val="21"/>
          <w:lang w:bidi="ar"/>
        </w:rPr>
        <w:t>、</w:t>
      </w:r>
      <w:r>
        <w:rPr>
          <w:kern w:val="0"/>
          <w:szCs w:val="21"/>
          <w:lang w:bidi="ar"/>
        </w:rPr>
        <w:t>TP</w:t>
      </w:r>
      <w:r>
        <w:rPr>
          <w:rFonts w:hint="eastAsia" w:ascii="宋体" w:hAnsi="宋体" w:cs="宋体"/>
          <w:kern w:val="0"/>
          <w:szCs w:val="21"/>
          <w:lang w:bidi="ar"/>
        </w:rPr>
        <w:t>后，出水进入沉淀池进行泥水分离，上清液进入高效沉淀池进行混凝沉淀后，上清液自流入滤池进行过滤，滤后水经紫外消毒并计量后，排至厦坭河。</w:t>
      </w:r>
    </w:p>
    <w:p>
      <w:pPr>
        <w:pStyle w:val="5"/>
        <w:widowControl/>
        <w:numPr>
          <w:ilvl w:val="2"/>
          <w:numId w:val="4"/>
        </w:numPr>
        <w:spacing w:before="156"/>
        <w:rPr>
          <w:szCs w:val="21"/>
        </w:rPr>
      </w:pPr>
      <w:bookmarkStart w:id="726" w:name="_Toc12198"/>
      <w:r>
        <w:rPr>
          <w:rFonts w:hint="eastAsia" w:ascii="宋体" w:hAnsi="宋体" w:cs="宋体"/>
          <w:szCs w:val="21"/>
        </w:rPr>
        <w:t>污泥处理流程</w:t>
      </w:r>
      <w:bookmarkEnd w:id="726"/>
    </w:p>
    <w:p>
      <w:pPr>
        <w:widowControl/>
        <w:snapToGrid w:val="0"/>
        <w:spacing w:line="360" w:lineRule="auto"/>
        <w:ind w:firstLine="420" w:firstLineChars="200"/>
        <w:jc w:val="left"/>
        <w:rPr>
          <w:kern w:val="0"/>
          <w:szCs w:val="21"/>
        </w:rPr>
      </w:pPr>
      <w:r>
        <w:rPr>
          <w:rFonts w:hint="eastAsia" w:ascii="宋体" w:hAnsi="宋体" w:cs="宋体"/>
          <w:kern w:val="0"/>
          <w:szCs w:val="21"/>
          <w:lang w:bidi="ar"/>
        </w:rPr>
        <w:t>本次污泥处理工艺采用</w:t>
      </w:r>
      <w:r>
        <w:rPr>
          <w:kern w:val="0"/>
          <w:szCs w:val="21"/>
          <w:lang w:bidi="ar"/>
        </w:rPr>
        <w:t>“</w:t>
      </w:r>
      <w:r>
        <w:rPr>
          <w:rFonts w:hint="eastAsia" w:ascii="宋体" w:hAnsi="宋体" w:cs="宋体"/>
          <w:kern w:val="0"/>
          <w:szCs w:val="21"/>
          <w:lang w:bidi="ar"/>
        </w:rPr>
        <w:t>储泥池</w:t>
      </w:r>
      <w:r>
        <w:rPr>
          <w:szCs w:val="21"/>
          <w:lang w:bidi="ar"/>
        </w:rPr>
        <w:t>→</w:t>
      </w:r>
      <w:r>
        <w:rPr>
          <w:rFonts w:hint="eastAsia" w:ascii="宋体" w:hAnsi="宋体" w:cs="宋体"/>
          <w:kern w:val="0"/>
          <w:szCs w:val="21"/>
          <w:lang w:bidi="ar"/>
        </w:rPr>
        <w:t>机械浓缩</w:t>
      </w:r>
      <w:r>
        <w:rPr>
          <w:szCs w:val="21"/>
          <w:lang w:bidi="ar"/>
        </w:rPr>
        <w:t>→</w:t>
      </w:r>
      <w:r>
        <w:rPr>
          <w:rFonts w:hint="eastAsia" w:ascii="宋体" w:hAnsi="宋体" w:cs="宋体"/>
          <w:kern w:val="0"/>
          <w:szCs w:val="21"/>
          <w:lang w:bidi="ar"/>
        </w:rPr>
        <w:t>污泥调理池</w:t>
      </w:r>
      <w:r>
        <w:rPr>
          <w:szCs w:val="21"/>
          <w:lang w:bidi="ar"/>
        </w:rPr>
        <w:t>→</w:t>
      </w:r>
      <w:r>
        <w:rPr>
          <w:rFonts w:hint="eastAsia" w:ascii="宋体" w:hAnsi="宋体" w:cs="宋体"/>
          <w:kern w:val="0"/>
          <w:szCs w:val="21"/>
          <w:lang w:bidi="ar"/>
        </w:rPr>
        <w:t>板框压滤脱水</w:t>
      </w:r>
      <w:r>
        <w:rPr>
          <w:kern w:val="0"/>
          <w:szCs w:val="21"/>
          <w:lang w:bidi="ar"/>
        </w:rPr>
        <w:t>”</w:t>
      </w:r>
      <w:r>
        <w:rPr>
          <w:rFonts w:hint="eastAsia" w:ascii="宋体" w:hAnsi="宋体" w:cs="宋体"/>
          <w:kern w:val="0"/>
          <w:szCs w:val="21"/>
          <w:lang w:bidi="ar"/>
        </w:rPr>
        <w:t>，脱水后的污泥含水率</w:t>
      </w:r>
      <w:r>
        <w:rPr>
          <w:kern w:val="0"/>
          <w:szCs w:val="21"/>
          <w:lang w:bidi="ar"/>
        </w:rPr>
        <w:t>&lt;60%</w:t>
      </w:r>
      <w:r>
        <w:rPr>
          <w:rFonts w:hint="eastAsia" w:ascii="宋体" w:hAnsi="宋体" w:cs="宋体"/>
          <w:kern w:val="0"/>
          <w:szCs w:val="21"/>
          <w:lang w:bidi="ar"/>
        </w:rPr>
        <w:t>，</w:t>
      </w:r>
      <w:r>
        <w:rPr>
          <w:rFonts w:hint="eastAsia" w:ascii="宋体" w:hAnsi="宋体" w:cs="宋体"/>
          <w:szCs w:val="21"/>
          <w:lang w:bidi="ar"/>
        </w:rPr>
        <w:t>脱水后的污泥由输送机输送到污泥料仓，统一外运处理</w:t>
      </w:r>
      <w:r>
        <w:rPr>
          <w:rFonts w:hint="eastAsia" w:ascii="宋体" w:hAnsi="宋体" w:cs="宋体"/>
          <w:kern w:val="0"/>
          <w:szCs w:val="21"/>
          <w:lang w:bidi="ar"/>
        </w:rPr>
        <w:t>。</w:t>
      </w:r>
    </w:p>
    <w:p>
      <w:pPr>
        <w:pStyle w:val="5"/>
        <w:widowControl/>
        <w:numPr>
          <w:ilvl w:val="2"/>
          <w:numId w:val="4"/>
        </w:numPr>
        <w:spacing w:before="156"/>
        <w:rPr>
          <w:szCs w:val="21"/>
        </w:rPr>
      </w:pPr>
      <w:bookmarkStart w:id="727" w:name="_Toc239"/>
      <w:r>
        <w:rPr>
          <w:rFonts w:hint="eastAsia" w:ascii="宋体" w:hAnsi="宋体" w:cs="宋体"/>
          <w:szCs w:val="21"/>
        </w:rPr>
        <w:t>厂区除臭</w:t>
      </w:r>
      <w:bookmarkEnd w:id="727"/>
    </w:p>
    <w:p>
      <w:pPr>
        <w:widowControl/>
        <w:snapToGrid w:val="0"/>
        <w:spacing w:line="360" w:lineRule="auto"/>
        <w:ind w:firstLine="420" w:firstLineChars="200"/>
        <w:rPr>
          <w:kern w:val="0"/>
          <w:szCs w:val="21"/>
        </w:rPr>
      </w:pPr>
      <w:r>
        <w:rPr>
          <w:rFonts w:hint="eastAsia" w:ascii="宋体" w:hAnsi="宋体" w:cs="宋体"/>
          <w:kern w:val="0"/>
          <w:szCs w:val="21"/>
          <w:lang w:bidi="ar"/>
        </w:rPr>
        <w:t>本工程需除臭设计的构（建）筑物有预处理区域（粗格栅及进水泵房、细格栅及旋流沉砂池），二级处理区域（多段</w:t>
      </w:r>
      <w:r>
        <w:rPr>
          <w:kern w:val="0"/>
          <w:szCs w:val="21"/>
          <w:lang w:bidi="ar"/>
        </w:rPr>
        <w:t>AO</w:t>
      </w:r>
      <w:r>
        <w:rPr>
          <w:rFonts w:hint="eastAsia" w:ascii="宋体" w:hAnsi="宋体" w:cs="宋体"/>
          <w:kern w:val="0"/>
          <w:szCs w:val="21"/>
          <w:lang w:bidi="ar"/>
        </w:rPr>
        <w:t>生物反应池、矩形周进周出二沉池），污泥处理区域（储泥池、污泥脱水机房），生物处理单元进行密闭除臭设施。配套新建除臭设施</w:t>
      </w:r>
      <w:r>
        <w:rPr>
          <w:kern w:val="0"/>
          <w:szCs w:val="21"/>
          <w:lang w:bidi="ar"/>
        </w:rPr>
        <w:t>5</w:t>
      </w:r>
      <w:r>
        <w:rPr>
          <w:rFonts w:hint="eastAsia" w:ascii="宋体" w:hAnsi="宋体" w:cs="宋体"/>
          <w:kern w:val="0"/>
          <w:szCs w:val="21"/>
          <w:lang w:bidi="ar"/>
        </w:rPr>
        <w:t>套，采用“预洗池</w:t>
      </w:r>
      <w:r>
        <w:rPr>
          <w:kern w:val="0"/>
          <w:szCs w:val="21"/>
          <w:lang w:bidi="ar"/>
        </w:rPr>
        <w:t>+</w:t>
      </w:r>
      <w:r>
        <w:rPr>
          <w:rFonts w:hint="eastAsia" w:ascii="宋体" w:hAnsi="宋体" w:cs="宋体"/>
          <w:kern w:val="0"/>
          <w:szCs w:val="21"/>
          <w:lang w:bidi="ar"/>
        </w:rPr>
        <w:t>生物除臭滤池”工艺，为进一步增加除臭效果，预处理区域及污泥脱水车间增设离子送风系统。</w:t>
      </w:r>
    </w:p>
    <w:p>
      <w:pPr>
        <w:pStyle w:val="4"/>
        <w:widowControl/>
        <w:numPr>
          <w:ilvl w:val="1"/>
          <w:numId w:val="4"/>
        </w:numPr>
        <w:rPr>
          <w:rFonts w:eastAsia="宋体"/>
          <w:szCs w:val="21"/>
        </w:rPr>
      </w:pPr>
      <w:bookmarkStart w:id="728" w:name="_Toc6971"/>
      <w:r>
        <w:rPr>
          <w:rFonts w:hint="eastAsia" w:ascii="宋体" w:hAnsi="宋体" w:eastAsia="宋体" w:cs="宋体"/>
          <w:szCs w:val="21"/>
        </w:rPr>
        <w:t>东莞市黄江梅塘南部污水处理厂一期工程</w:t>
      </w:r>
      <w:bookmarkEnd w:id="728"/>
    </w:p>
    <w:p>
      <w:pPr>
        <w:pStyle w:val="5"/>
        <w:widowControl/>
        <w:numPr>
          <w:ilvl w:val="2"/>
          <w:numId w:val="4"/>
        </w:numPr>
        <w:spacing w:before="156"/>
        <w:rPr>
          <w:szCs w:val="21"/>
        </w:rPr>
      </w:pPr>
      <w:bookmarkStart w:id="729" w:name="_Toc20877"/>
      <w:r>
        <w:rPr>
          <w:rFonts w:hint="eastAsia" w:ascii="宋体" w:hAnsi="宋体" w:cs="宋体"/>
          <w:szCs w:val="21"/>
        </w:rPr>
        <w:t>项目建设规模</w:t>
      </w:r>
      <w:bookmarkEnd w:id="729"/>
    </w:p>
    <w:p>
      <w:pPr>
        <w:widowControl/>
        <w:snapToGrid w:val="0"/>
        <w:spacing w:line="360" w:lineRule="auto"/>
        <w:ind w:firstLine="420" w:firstLineChars="200"/>
        <w:jc w:val="left"/>
        <w:rPr>
          <w:szCs w:val="21"/>
        </w:rPr>
      </w:pPr>
      <w:r>
        <w:rPr>
          <w:rFonts w:hint="eastAsia" w:ascii="宋体" w:hAnsi="宋体" w:cs="宋体"/>
          <w:szCs w:val="21"/>
          <w:lang w:bidi="ar"/>
        </w:rPr>
        <w:t>东莞市黄江梅塘南部污水处理厂一期工程位于黄江镇梅塘社区星光村，用地面积</w:t>
      </w:r>
      <w:r>
        <w:rPr>
          <w:szCs w:val="21"/>
          <w:lang w:bidi="ar"/>
        </w:rPr>
        <w:t xml:space="preserve"> 2.58hm</w:t>
      </w:r>
      <w:r>
        <w:rPr>
          <w:szCs w:val="21"/>
          <w:vertAlign w:val="superscript"/>
          <w:lang w:bidi="ar"/>
        </w:rPr>
        <w:t>2</w:t>
      </w:r>
      <w:r>
        <w:rPr>
          <w:rFonts w:hint="eastAsia" w:ascii="宋体" w:hAnsi="宋体" w:cs="宋体"/>
          <w:szCs w:val="21"/>
          <w:lang w:bidi="ar"/>
        </w:rPr>
        <w:t>。设计处理规模为</w:t>
      </w:r>
      <w:r>
        <w:rPr>
          <w:szCs w:val="21"/>
          <w:lang w:bidi="ar"/>
        </w:rPr>
        <w:t>5</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，总变化系数：</w:t>
      </w:r>
      <w:r>
        <w:rPr>
          <w:szCs w:val="21"/>
          <w:lang w:bidi="ar"/>
        </w:rPr>
        <w:t>1.58</w:t>
      </w:r>
      <w:r>
        <w:rPr>
          <w:rFonts w:hint="eastAsia" w:ascii="宋体" w:hAnsi="宋体" w:cs="宋体"/>
          <w:szCs w:val="21"/>
          <w:lang w:bidi="ar"/>
        </w:rPr>
        <w:t>，平均设计流量</w:t>
      </w:r>
      <w:r>
        <w:rPr>
          <w:szCs w:val="21"/>
          <w:lang w:bidi="ar"/>
        </w:rPr>
        <w:t>2083.3m</w:t>
      </w:r>
      <w:r>
        <w:rPr>
          <w:szCs w:val="21"/>
          <w:vertAlign w:val="superscript"/>
          <w:lang w:bidi="ar"/>
        </w:rPr>
        <w:t>3</w:t>
      </w:r>
      <w:r>
        <w:rPr>
          <w:szCs w:val="21"/>
          <w:lang w:bidi="ar"/>
        </w:rPr>
        <w:t>/h</w:t>
      </w:r>
      <w:r>
        <w:rPr>
          <w:rFonts w:hint="eastAsia" w:ascii="宋体" w:hAnsi="宋体" w:cs="宋体"/>
          <w:szCs w:val="21"/>
          <w:lang w:bidi="ar"/>
        </w:rPr>
        <w:t>，峰值设计流量</w:t>
      </w:r>
      <w:r>
        <w:rPr>
          <w:szCs w:val="21"/>
          <w:lang w:bidi="ar"/>
        </w:rPr>
        <w:t>3291.7m</w:t>
      </w:r>
      <w:r>
        <w:rPr>
          <w:szCs w:val="21"/>
          <w:vertAlign w:val="superscript"/>
          <w:lang w:bidi="ar"/>
        </w:rPr>
        <w:t>3</w:t>
      </w:r>
      <w:r>
        <w:rPr>
          <w:szCs w:val="21"/>
          <w:lang w:bidi="ar"/>
        </w:rPr>
        <w:t>/h</w:t>
      </w:r>
      <w:r>
        <w:rPr>
          <w:rFonts w:hint="eastAsia" w:ascii="宋体" w:hAnsi="宋体" w:cs="宋体"/>
          <w:szCs w:val="21"/>
          <w:lang w:bidi="ar"/>
        </w:rPr>
        <w:t>。</w:t>
      </w:r>
    </w:p>
    <w:p>
      <w:pPr>
        <w:widowControl/>
        <w:snapToGrid w:val="0"/>
        <w:spacing w:line="360" w:lineRule="auto"/>
        <w:ind w:firstLine="420" w:firstLineChars="200"/>
        <w:jc w:val="left"/>
        <w:rPr>
          <w:szCs w:val="21"/>
        </w:rPr>
      </w:pPr>
      <w:r>
        <w:rPr>
          <w:rFonts w:hint="eastAsia" w:ascii="宋体" w:hAnsi="宋体" w:cs="宋体"/>
          <w:szCs w:val="21"/>
          <w:lang w:bidi="ar"/>
        </w:rPr>
        <w:t>污水处理工艺为</w:t>
      </w:r>
      <w:r>
        <w:rPr>
          <w:szCs w:val="21"/>
          <w:lang w:bidi="ar"/>
        </w:rPr>
        <w:t>“</w:t>
      </w:r>
      <w:r>
        <w:rPr>
          <w:rFonts w:hint="eastAsia" w:ascii="宋体" w:hAnsi="宋体" w:cs="宋体"/>
          <w:szCs w:val="21"/>
          <w:lang w:bidi="ar"/>
        </w:rPr>
        <w:t>进水</w:t>
      </w:r>
      <w:r>
        <w:rPr>
          <w:szCs w:val="21"/>
          <w:lang w:bidi="ar"/>
        </w:rPr>
        <w:t>→</w:t>
      </w:r>
      <w:r>
        <w:rPr>
          <w:rFonts w:hint="eastAsia" w:ascii="宋体" w:hAnsi="宋体" w:cs="宋体"/>
          <w:szCs w:val="21"/>
          <w:lang w:bidi="ar"/>
        </w:rPr>
        <w:t>粗格栅及进水泵房</w:t>
      </w:r>
      <w:r>
        <w:rPr>
          <w:szCs w:val="21"/>
          <w:lang w:bidi="ar"/>
        </w:rPr>
        <w:t>→</w:t>
      </w:r>
      <w:r>
        <w:rPr>
          <w:rFonts w:hint="eastAsia" w:ascii="宋体" w:hAnsi="宋体" w:cs="宋体"/>
          <w:szCs w:val="21"/>
          <w:lang w:bidi="ar"/>
        </w:rPr>
        <w:t>细格栅及曝气沉砂池</w:t>
      </w:r>
      <w:r>
        <w:rPr>
          <w:szCs w:val="21"/>
          <w:lang w:bidi="ar"/>
        </w:rPr>
        <w:t>→</w:t>
      </w:r>
      <w:r>
        <w:rPr>
          <w:rFonts w:hint="eastAsia" w:ascii="宋体" w:hAnsi="宋体" w:cs="宋体"/>
          <w:szCs w:val="21"/>
          <w:lang w:bidi="ar"/>
        </w:rPr>
        <w:t>缓冲池</w:t>
      </w:r>
      <w:r>
        <w:rPr>
          <w:szCs w:val="21"/>
          <w:lang w:bidi="ar"/>
        </w:rPr>
        <w:t>→</w:t>
      </w:r>
      <w:r>
        <w:rPr>
          <w:rFonts w:hint="eastAsia" w:ascii="宋体" w:hAnsi="宋体" w:cs="宋体"/>
          <w:szCs w:val="21"/>
          <w:lang w:bidi="ar"/>
        </w:rPr>
        <w:t>多级</w:t>
      </w:r>
      <w:r>
        <w:rPr>
          <w:szCs w:val="21"/>
          <w:lang w:bidi="ar"/>
        </w:rPr>
        <w:t>AO</w:t>
      </w:r>
      <w:r>
        <w:rPr>
          <w:rFonts w:hint="eastAsia" w:ascii="宋体" w:hAnsi="宋体" w:cs="宋体"/>
          <w:szCs w:val="21"/>
          <w:lang w:bidi="ar"/>
        </w:rPr>
        <w:t>反应池</w:t>
      </w:r>
      <w:r>
        <w:rPr>
          <w:szCs w:val="21"/>
          <w:lang w:bidi="ar"/>
        </w:rPr>
        <w:t>→</w:t>
      </w:r>
      <w:r>
        <w:rPr>
          <w:rFonts w:hint="eastAsia" w:ascii="宋体" w:hAnsi="宋体" w:cs="宋体"/>
          <w:szCs w:val="21"/>
          <w:lang w:bidi="ar"/>
        </w:rPr>
        <w:t>矩形周进周出二次沉淀池</w:t>
      </w:r>
      <w:r>
        <w:rPr>
          <w:szCs w:val="21"/>
          <w:lang w:bidi="ar"/>
        </w:rPr>
        <w:t>→</w:t>
      </w:r>
      <w:r>
        <w:rPr>
          <w:rFonts w:hint="eastAsia" w:ascii="宋体" w:hAnsi="宋体" w:cs="宋体"/>
          <w:szCs w:val="21"/>
          <w:lang w:bidi="ar"/>
        </w:rPr>
        <w:t>中间提升泵房及高效沉淀池</w:t>
      </w:r>
      <w:r>
        <w:rPr>
          <w:szCs w:val="21"/>
          <w:lang w:bidi="ar"/>
        </w:rPr>
        <w:t>→</w:t>
      </w:r>
      <w:r>
        <w:rPr>
          <w:rFonts w:hint="eastAsia" w:ascii="宋体" w:hAnsi="宋体" w:cs="宋体"/>
          <w:szCs w:val="21"/>
          <w:lang w:bidi="ar"/>
        </w:rPr>
        <w:t>反硝化深床滤池</w:t>
      </w:r>
      <w:r>
        <w:rPr>
          <w:szCs w:val="21"/>
          <w:lang w:bidi="ar"/>
        </w:rPr>
        <w:t>→</w:t>
      </w:r>
      <w:r>
        <w:rPr>
          <w:rFonts w:hint="eastAsia" w:ascii="宋体" w:hAnsi="宋体" w:cs="宋体"/>
          <w:szCs w:val="21"/>
          <w:lang w:bidi="ar"/>
        </w:rPr>
        <w:t>紫外线消毒</w:t>
      </w:r>
      <w:r>
        <w:rPr>
          <w:szCs w:val="21"/>
          <w:lang w:bidi="ar"/>
        </w:rPr>
        <w:t>→</w:t>
      </w:r>
      <w:r>
        <w:rPr>
          <w:rFonts w:hint="eastAsia" w:ascii="宋体" w:hAnsi="宋体" w:cs="宋体"/>
          <w:szCs w:val="21"/>
          <w:lang w:bidi="ar"/>
        </w:rPr>
        <w:t>尾水泵房</w:t>
      </w:r>
      <w:r>
        <w:rPr>
          <w:szCs w:val="21"/>
          <w:lang w:bidi="ar"/>
        </w:rPr>
        <w:t>→</w:t>
      </w:r>
      <w:r>
        <w:rPr>
          <w:rFonts w:hint="eastAsia" w:ascii="宋体" w:hAnsi="宋体" w:cs="宋体"/>
          <w:szCs w:val="21"/>
          <w:lang w:bidi="ar"/>
        </w:rPr>
        <w:t>大冚河</w:t>
      </w:r>
      <w:r>
        <w:rPr>
          <w:szCs w:val="21"/>
          <w:lang w:bidi="ar"/>
        </w:rPr>
        <w:t>”</w:t>
      </w:r>
      <w:r>
        <w:rPr>
          <w:rFonts w:hint="eastAsia" w:ascii="宋体" w:hAnsi="宋体" w:cs="宋体"/>
          <w:szCs w:val="21"/>
          <w:lang w:bidi="ar"/>
        </w:rPr>
        <w:t>。污泥单独处理，采用</w:t>
      </w:r>
      <w:r>
        <w:rPr>
          <w:szCs w:val="21"/>
          <w:lang w:bidi="ar"/>
        </w:rPr>
        <w:t>“</w:t>
      </w:r>
      <w:r>
        <w:rPr>
          <w:rFonts w:hint="eastAsia" w:ascii="宋体" w:hAnsi="宋体" w:cs="宋体"/>
          <w:szCs w:val="21"/>
          <w:lang w:bidi="ar"/>
        </w:rPr>
        <w:t>机械浓缩</w:t>
      </w:r>
      <w:r>
        <w:rPr>
          <w:szCs w:val="21"/>
          <w:lang w:bidi="ar"/>
        </w:rPr>
        <w:t>+</w:t>
      </w:r>
      <w:r>
        <w:rPr>
          <w:rFonts w:hint="eastAsia" w:ascii="宋体" w:hAnsi="宋体" w:cs="宋体"/>
          <w:szCs w:val="21"/>
          <w:lang w:bidi="ar"/>
        </w:rPr>
        <w:t>高压板框脱水</w:t>
      </w:r>
      <w:r>
        <w:rPr>
          <w:szCs w:val="21"/>
          <w:lang w:bidi="ar"/>
        </w:rPr>
        <w:t>”</w:t>
      </w:r>
      <w:r>
        <w:rPr>
          <w:rFonts w:hint="eastAsia" w:ascii="宋体" w:hAnsi="宋体" w:cs="宋体"/>
          <w:szCs w:val="21"/>
          <w:lang w:bidi="ar"/>
        </w:rPr>
        <w:t>的工艺，可实现处理后污泥含水率</w:t>
      </w:r>
      <w:r>
        <w:rPr>
          <w:szCs w:val="21"/>
          <w:lang w:bidi="ar"/>
        </w:rPr>
        <w:t>60%</w:t>
      </w:r>
      <w:r>
        <w:rPr>
          <w:rFonts w:hint="eastAsia" w:ascii="宋体" w:hAnsi="宋体" w:cs="宋体"/>
          <w:szCs w:val="21"/>
          <w:lang w:bidi="ar"/>
        </w:rPr>
        <w:t>以下的目标。</w:t>
      </w:r>
    </w:p>
    <w:p>
      <w:pPr>
        <w:pStyle w:val="5"/>
        <w:widowControl/>
        <w:numPr>
          <w:ilvl w:val="2"/>
          <w:numId w:val="4"/>
        </w:numPr>
        <w:spacing w:before="156"/>
        <w:rPr>
          <w:szCs w:val="21"/>
        </w:rPr>
      </w:pPr>
      <w:bookmarkStart w:id="730" w:name="_Toc20449"/>
      <w:r>
        <w:rPr>
          <w:rFonts w:hint="eastAsia" w:ascii="宋体" w:hAnsi="宋体" w:cs="宋体"/>
          <w:szCs w:val="21"/>
        </w:rPr>
        <w:t>设计进水水质及出水水质</w:t>
      </w:r>
      <w:bookmarkEnd w:id="730"/>
    </w:p>
    <w:p>
      <w:pPr>
        <w:widowControl/>
        <w:snapToGrid w:val="0"/>
        <w:spacing w:line="360" w:lineRule="auto"/>
        <w:ind w:firstLine="420" w:firstLineChars="200"/>
        <w:jc w:val="left"/>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 xml:space="preserve">）进水水质 </w:t>
      </w:r>
    </w:p>
    <w:p>
      <w:pPr>
        <w:widowControl/>
        <w:snapToGrid w:val="0"/>
        <w:spacing w:line="360" w:lineRule="auto"/>
        <w:jc w:val="center"/>
        <w:rPr>
          <w:kern w:val="0"/>
          <w:szCs w:val="21"/>
        </w:rPr>
      </w:pPr>
      <w:r>
        <w:rPr>
          <w:rFonts w:hint="eastAsia" w:ascii="宋体" w:hAnsi="宋体" w:cs="宋体"/>
          <w:kern w:val="0"/>
          <w:szCs w:val="21"/>
          <w:lang w:bidi="ar"/>
        </w:rPr>
        <w:t>东莞市黄江梅塘南部污水处理厂一期工程设计进水水质表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79"/>
        <w:gridCol w:w="839"/>
        <w:gridCol w:w="874"/>
        <w:gridCol w:w="695"/>
        <w:gridCol w:w="816"/>
        <w:gridCol w:w="878"/>
        <w:gridCol w:w="893"/>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项目</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CODcr</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BOD</w:t>
            </w:r>
            <w:r>
              <w:rPr>
                <w:kern w:val="0"/>
                <w:szCs w:val="21"/>
                <w:vertAlign w:val="subscript"/>
                <w:lang w:bidi="ar"/>
              </w:rPr>
              <w:t>5</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SS</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TN</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TP</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PH</w:t>
            </w:r>
          </w:p>
        </w:tc>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单位</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w:t>
            </w:r>
          </w:p>
        </w:tc>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进水指标</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≤330</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≤185</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≤270</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≤40</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≤30</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≤5.0</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6~9</w:t>
            </w:r>
          </w:p>
        </w:tc>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szCs w:val="21"/>
                <w:lang w:bidi="ar"/>
              </w:rPr>
              <w:t>/</w:t>
            </w:r>
          </w:p>
        </w:tc>
      </w:tr>
    </w:tbl>
    <w:p>
      <w:pPr>
        <w:widowControl/>
        <w:snapToGrid w:val="0"/>
        <w:spacing w:line="360" w:lineRule="auto"/>
        <w:ind w:firstLine="420" w:firstLineChars="200"/>
        <w:jc w:val="left"/>
        <w:rPr>
          <w:kern w:val="0"/>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）出水水质</w:t>
      </w:r>
    </w:p>
    <w:p>
      <w:pPr>
        <w:widowControl/>
        <w:snapToGrid w:val="0"/>
        <w:spacing w:line="360" w:lineRule="auto"/>
        <w:ind w:firstLine="420" w:firstLineChars="200"/>
        <w:jc w:val="left"/>
        <w:rPr>
          <w:kern w:val="0"/>
          <w:szCs w:val="21"/>
        </w:rPr>
      </w:pPr>
      <w:r>
        <w:rPr>
          <w:rFonts w:hint="eastAsia" w:ascii="宋体" w:hAnsi="宋体" w:cs="宋体"/>
          <w:kern w:val="0"/>
          <w:szCs w:val="21"/>
          <w:lang w:bidi="ar"/>
        </w:rPr>
        <w:t>东莞市黄江梅塘南部污水处理厂一期工程出水水质达到《城镇污水处理厂污染物排放标准》（</w:t>
      </w:r>
      <w:r>
        <w:rPr>
          <w:kern w:val="0"/>
          <w:szCs w:val="21"/>
          <w:lang w:bidi="ar"/>
        </w:rPr>
        <w:t>GB18918-2002</w:t>
      </w:r>
      <w:r>
        <w:rPr>
          <w:rFonts w:hint="eastAsia" w:ascii="宋体" w:hAnsi="宋体" w:cs="宋体"/>
          <w:kern w:val="0"/>
          <w:szCs w:val="21"/>
          <w:lang w:bidi="ar"/>
        </w:rPr>
        <w:t>）一级</w:t>
      </w:r>
      <w:r>
        <w:rPr>
          <w:kern w:val="0"/>
          <w:szCs w:val="21"/>
          <w:lang w:bidi="ar"/>
        </w:rPr>
        <w:t>A</w:t>
      </w:r>
      <w:r>
        <w:rPr>
          <w:rFonts w:hint="eastAsia" w:ascii="宋体" w:hAnsi="宋体" w:cs="宋体"/>
          <w:kern w:val="0"/>
          <w:szCs w:val="21"/>
          <w:lang w:bidi="ar"/>
        </w:rPr>
        <w:t>标准，同时满足广东省地方标准《水污染物排放限值》</w:t>
      </w:r>
      <w:r>
        <w:rPr>
          <w:kern w:val="0"/>
          <w:szCs w:val="21"/>
          <w:lang w:bidi="ar"/>
        </w:rPr>
        <w:t>(DB4426-2001)</w:t>
      </w:r>
      <w:r>
        <w:rPr>
          <w:rFonts w:hint="eastAsia" w:ascii="宋体" w:hAnsi="宋体" w:cs="宋体"/>
          <w:kern w:val="0"/>
          <w:szCs w:val="21"/>
          <w:lang w:bidi="ar"/>
        </w:rPr>
        <w:t>第二时段的一级标准中的较严值，出水排至</w:t>
      </w:r>
      <w:r>
        <w:rPr>
          <w:rFonts w:hint="eastAsia" w:ascii="宋体" w:hAnsi="宋体" w:cs="宋体"/>
          <w:szCs w:val="21"/>
          <w:lang w:bidi="ar"/>
        </w:rPr>
        <w:t>大冚河</w:t>
      </w:r>
      <w:r>
        <w:rPr>
          <w:rFonts w:hint="eastAsia" w:ascii="宋体" w:hAnsi="宋体" w:cs="宋体"/>
          <w:kern w:val="0"/>
          <w:szCs w:val="21"/>
          <w:lang w:bidi="ar"/>
        </w:rPr>
        <w:t>。</w:t>
      </w:r>
    </w:p>
    <w:p>
      <w:pPr>
        <w:widowControl/>
        <w:snapToGrid w:val="0"/>
        <w:spacing w:line="360" w:lineRule="auto"/>
        <w:jc w:val="center"/>
        <w:rPr>
          <w:kern w:val="0"/>
          <w:szCs w:val="21"/>
        </w:rPr>
      </w:pPr>
      <w:r>
        <w:rPr>
          <w:rFonts w:hint="eastAsia" w:ascii="宋体" w:hAnsi="宋体" w:cs="宋体"/>
          <w:kern w:val="0"/>
          <w:szCs w:val="21"/>
          <w:lang w:bidi="ar"/>
        </w:rPr>
        <w:t>东莞市黄江梅塘南部污水处理厂一期工程设计出水水质表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035"/>
        <w:gridCol w:w="984"/>
        <w:gridCol w:w="1026"/>
        <w:gridCol w:w="796"/>
        <w:gridCol w:w="927"/>
        <w:gridCol w:w="851"/>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项目</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CODcr</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BOD</w:t>
            </w:r>
            <w:r>
              <w:rPr>
                <w:kern w:val="0"/>
                <w:szCs w:val="21"/>
                <w:vertAlign w:val="subscript"/>
                <w:lang w:bidi="ar"/>
              </w:rPr>
              <w:t>5</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SS</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TN</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TP</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单位</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mg/L</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rFonts w:hint="eastAsia" w:ascii="宋体" w:hAnsi="宋体" w:cs="宋体"/>
                <w:szCs w:val="21"/>
                <w:lang w:bidi="ar"/>
              </w:rPr>
              <w:t>出水指标</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≤30</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≤1.5</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≤0.3</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szCs w:val="21"/>
              </w:rPr>
            </w:pPr>
            <w:r>
              <w:rPr>
                <w:kern w:val="0"/>
                <w:szCs w:val="21"/>
                <w:lang w:bidi="ar"/>
              </w:rPr>
              <w:t>≤1000</w:t>
            </w:r>
          </w:p>
        </w:tc>
      </w:tr>
    </w:tbl>
    <w:p>
      <w:pPr>
        <w:pStyle w:val="5"/>
        <w:widowControl/>
        <w:numPr>
          <w:ilvl w:val="2"/>
          <w:numId w:val="4"/>
        </w:numPr>
        <w:spacing w:before="156"/>
        <w:rPr>
          <w:szCs w:val="21"/>
        </w:rPr>
      </w:pPr>
      <w:bookmarkStart w:id="731" w:name="_Toc7736"/>
      <w:r>
        <w:rPr>
          <w:rFonts w:hint="eastAsia" w:ascii="宋体" w:hAnsi="宋体" w:cs="宋体"/>
          <w:szCs w:val="21"/>
        </w:rPr>
        <w:t>污水处理工艺描述</w:t>
      </w:r>
      <w:bookmarkEnd w:id="731"/>
    </w:p>
    <w:p>
      <w:pPr>
        <w:widowControl/>
        <w:snapToGrid w:val="0"/>
        <w:spacing w:line="360" w:lineRule="auto"/>
        <w:ind w:firstLine="420" w:firstLineChars="200"/>
        <w:jc w:val="left"/>
        <w:rPr>
          <w:kern w:val="0"/>
          <w:szCs w:val="21"/>
        </w:rPr>
      </w:pPr>
      <w:r>
        <w:rPr>
          <w:rFonts w:hint="eastAsia" w:ascii="宋体" w:hAnsi="宋体" w:cs="宋体"/>
          <w:kern w:val="0"/>
          <w:szCs w:val="21"/>
          <w:lang w:bidi="ar"/>
        </w:rPr>
        <w:t>本工程采用的是</w:t>
      </w:r>
      <w:r>
        <w:rPr>
          <w:kern w:val="0"/>
          <w:szCs w:val="21"/>
          <w:lang w:bidi="ar"/>
        </w:rPr>
        <w:t>“</w:t>
      </w:r>
      <w:r>
        <w:rPr>
          <w:rFonts w:hint="eastAsia" w:ascii="宋体" w:hAnsi="宋体" w:cs="宋体"/>
          <w:kern w:val="0"/>
          <w:szCs w:val="21"/>
          <w:lang w:bidi="ar"/>
        </w:rPr>
        <w:t>预处理</w:t>
      </w:r>
      <w:r>
        <w:rPr>
          <w:kern w:val="0"/>
          <w:szCs w:val="21"/>
          <w:lang w:bidi="ar"/>
        </w:rPr>
        <w:t>+</w:t>
      </w:r>
      <w:r>
        <w:rPr>
          <w:rFonts w:hint="eastAsia" w:ascii="宋体" w:hAnsi="宋体" w:cs="宋体"/>
          <w:szCs w:val="21"/>
          <w:lang w:bidi="ar"/>
        </w:rPr>
        <w:t>多级</w:t>
      </w:r>
      <w:r>
        <w:rPr>
          <w:szCs w:val="21"/>
          <w:lang w:bidi="ar"/>
        </w:rPr>
        <w:t>AO</w:t>
      </w:r>
      <w:r>
        <w:rPr>
          <w:rFonts w:hint="eastAsia" w:ascii="宋体" w:hAnsi="宋体" w:cs="宋体"/>
          <w:szCs w:val="21"/>
          <w:lang w:bidi="ar"/>
        </w:rPr>
        <w:t>反应池</w:t>
      </w:r>
      <w:r>
        <w:rPr>
          <w:kern w:val="0"/>
          <w:szCs w:val="21"/>
          <w:lang w:bidi="ar"/>
        </w:rPr>
        <w:t>+</w:t>
      </w:r>
      <w:r>
        <w:rPr>
          <w:rFonts w:hint="eastAsia" w:ascii="宋体" w:hAnsi="宋体" w:cs="宋体"/>
          <w:kern w:val="0"/>
          <w:szCs w:val="21"/>
          <w:lang w:bidi="ar"/>
        </w:rPr>
        <w:t>深度处理</w:t>
      </w:r>
      <w:r>
        <w:rPr>
          <w:kern w:val="0"/>
          <w:szCs w:val="21"/>
          <w:lang w:bidi="ar"/>
        </w:rPr>
        <w:t>”</w:t>
      </w:r>
      <w:r>
        <w:rPr>
          <w:rFonts w:hint="eastAsia" w:ascii="宋体" w:hAnsi="宋体" w:cs="宋体"/>
          <w:kern w:val="0"/>
          <w:szCs w:val="21"/>
          <w:lang w:bidi="ar"/>
        </w:rPr>
        <w:t>工艺，主要处理工艺建（构）筑物包括粗格栅及进水泵房、细格栅及曝气沉砂池、缓冲池、</w:t>
      </w:r>
      <w:r>
        <w:rPr>
          <w:rFonts w:hint="eastAsia" w:ascii="宋体" w:hAnsi="宋体" w:cs="宋体"/>
          <w:szCs w:val="21"/>
          <w:lang w:bidi="ar"/>
        </w:rPr>
        <w:t>多级</w:t>
      </w:r>
      <w:r>
        <w:rPr>
          <w:szCs w:val="21"/>
          <w:lang w:bidi="ar"/>
        </w:rPr>
        <w:t>AO</w:t>
      </w:r>
      <w:r>
        <w:rPr>
          <w:rFonts w:hint="eastAsia" w:ascii="宋体" w:hAnsi="宋体" w:cs="宋体"/>
          <w:szCs w:val="21"/>
          <w:lang w:bidi="ar"/>
        </w:rPr>
        <w:t>反应池、二沉池</w:t>
      </w:r>
      <w:r>
        <w:rPr>
          <w:rFonts w:hint="eastAsia" w:ascii="宋体" w:hAnsi="宋体" w:cs="宋体"/>
          <w:kern w:val="0"/>
          <w:szCs w:val="21"/>
          <w:lang w:bidi="ar"/>
        </w:rPr>
        <w:t>、中间提升泵房及高效沉淀池、反硝化深床滤池、紫外线消毒池、尾水泵房、鼓风机房及变配电间、储泥池、综合楼、污泥调理池、污泥脱水机房及加药间等。</w:t>
      </w:r>
    </w:p>
    <w:p>
      <w:pPr>
        <w:widowControl/>
        <w:snapToGrid w:val="0"/>
        <w:spacing w:line="360" w:lineRule="auto"/>
        <w:ind w:firstLine="420" w:firstLineChars="200"/>
        <w:jc w:val="left"/>
        <w:rPr>
          <w:kern w:val="0"/>
          <w:szCs w:val="21"/>
        </w:rPr>
      </w:pPr>
      <w:r>
        <w:rPr>
          <w:rFonts w:hint="eastAsia" w:ascii="宋体" w:hAnsi="宋体" w:cs="宋体"/>
          <w:kern w:val="0"/>
          <w:szCs w:val="21"/>
          <w:lang w:bidi="ar"/>
        </w:rPr>
        <w:t>市政污水从市政污水管网接入粗格栅及进水泵房，由粗格栅拦截较大漂浮物以保护水泵等重要设备，经水泵提升进入细格栅及曝气沉砂池，去除漂浮物、细小垃圾及比重较大的砂粒，砂水经分离后外运。曝气沉砂池出水自流进入</w:t>
      </w:r>
      <w:r>
        <w:rPr>
          <w:rFonts w:hint="eastAsia" w:ascii="宋体" w:hAnsi="宋体" w:cs="宋体"/>
          <w:szCs w:val="21"/>
          <w:lang w:bidi="ar"/>
        </w:rPr>
        <w:t>多级</w:t>
      </w:r>
      <w:r>
        <w:rPr>
          <w:szCs w:val="21"/>
          <w:lang w:bidi="ar"/>
        </w:rPr>
        <w:t>AO</w:t>
      </w:r>
      <w:r>
        <w:rPr>
          <w:rFonts w:hint="eastAsia" w:ascii="宋体" w:hAnsi="宋体" w:cs="宋体"/>
          <w:szCs w:val="21"/>
          <w:lang w:bidi="ar"/>
        </w:rPr>
        <w:t>反应池</w:t>
      </w:r>
      <w:r>
        <w:rPr>
          <w:rFonts w:hint="eastAsia" w:ascii="宋体" w:hAnsi="宋体" w:cs="宋体"/>
          <w:kern w:val="0"/>
          <w:szCs w:val="21"/>
          <w:lang w:bidi="ar"/>
        </w:rPr>
        <w:t>，利用厌氧、缺氧、好氧区不同功能，进行生物脱氮除磷，同时去除大部分有机污染物、</w:t>
      </w:r>
      <w:r>
        <w:rPr>
          <w:kern w:val="0"/>
          <w:szCs w:val="21"/>
          <w:lang w:bidi="ar"/>
        </w:rPr>
        <w:t>NH</w:t>
      </w:r>
      <w:r>
        <w:rPr>
          <w:kern w:val="0"/>
          <w:szCs w:val="21"/>
          <w:vertAlign w:val="subscript"/>
          <w:lang w:bidi="ar"/>
        </w:rPr>
        <w:t>3</w:t>
      </w:r>
      <w:r>
        <w:rPr>
          <w:kern w:val="0"/>
          <w:szCs w:val="21"/>
          <w:lang w:bidi="ar"/>
        </w:rPr>
        <w:t>-N</w:t>
      </w:r>
      <w:r>
        <w:rPr>
          <w:rFonts w:hint="eastAsia" w:ascii="宋体" w:hAnsi="宋体" w:cs="宋体"/>
          <w:kern w:val="0"/>
          <w:szCs w:val="21"/>
          <w:lang w:bidi="ar"/>
        </w:rPr>
        <w:t>、</w:t>
      </w:r>
      <w:r>
        <w:rPr>
          <w:kern w:val="0"/>
          <w:szCs w:val="21"/>
          <w:lang w:bidi="ar"/>
        </w:rPr>
        <w:t>TN</w:t>
      </w:r>
      <w:r>
        <w:rPr>
          <w:rFonts w:hint="eastAsia" w:ascii="宋体" w:hAnsi="宋体" w:cs="宋体"/>
          <w:kern w:val="0"/>
          <w:szCs w:val="21"/>
          <w:lang w:bidi="ar"/>
        </w:rPr>
        <w:t>、</w:t>
      </w:r>
      <w:r>
        <w:rPr>
          <w:kern w:val="0"/>
          <w:szCs w:val="21"/>
          <w:lang w:bidi="ar"/>
        </w:rPr>
        <w:t>TP</w:t>
      </w:r>
      <w:r>
        <w:rPr>
          <w:rFonts w:hint="eastAsia" w:ascii="宋体" w:hAnsi="宋体" w:cs="宋体"/>
          <w:kern w:val="0"/>
          <w:szCs w:val="21"/>
          <w:lang w:bidi="ar"/>
        </w:rPr>
        <w:t>后，并在沉淀池进行泥水分离，上清液通过中途提升泵房提升后进入高效沉淀池进行混凝沉淀后，上清液自流入反硝化滤池，经反硝化滤池处理后，流入滤池进行过滤，滤后水经紫外消毒，后经尾水泵房排至大冚河。</w:t>
      </w:r>
    </w:p>
    <w:p>
      <w:pPr>
        <w:pStyle w:val="5"/>
        <w:widowControl/>
        <w:numPr>
          <w:ilvl w:val="2"/>
          <w:numId w:val="4"/>
        </w:numPr>
        <w:spacing w:before="156"/>
        <w:rPr>
          <w:szCs w:val="21"/>
        </w:rPr>
      </w:pPr>
      <w:bookmarkStart w:id="732" w:name="_Toc4009"/>
      <w:r>
        <w:rPr>
          <w:rFonts w:hint="eastAsia" w:ascii="宋体" w:hAnsi="宋体" w:cs="宋体"/>
          <w:szCs w:val="21"/>
        </w:rPr>
        <w:t>污泥处理流程</w:t>
      </w:r>
      <w:bookmarkEnd w:id="732"/>
    </w:p>
    <w:p>
      <w:pPr>
        <w:widowControl/>
        <w:snapToGrid w:val="0"/>
        <w:spacing w:line="360" w:lineRule="auto"/>
        <w:ind w:firstLine="420" w:firstLineChars="200"/>
        <w:jc w:val="left"/>
        <w:rPr>
          <w:kern w:val="0"/>
          <w:szCs w:val="21"/>
        </w:rPr>
      </w:pPr>
      <w:r>
        <w:rPr>
          <w:rFonts w:hint="eastAsia" w:ascii="宋体" w:hAnsi="宋体" w:cs="宋体"/>
          <w:kern w:val="0"/>
          <w:szCs w:val="21"/>
          <w:lang w:bidi="ar"/>
        </w:rPr>
        <w:t>污泥单独处理，采用</w:t>
      </w:r>
      <w:r>
        <w:rPr>
          <w:kern w:val="0"/>
          <w:szCs w:val="21"/>
          <w:lang w:bidi="ar"/>
        </w:rPr>
        <w:t>“</w:t>
      </w:r>
      <w:r>
        <w:rPr>
          <w:rFonts w:hint="eastAsia" w:ascii="宋体" w:hAnsi="宋体" w:cs="宋体"/>
          <w:szCs w:val="21"/>
          <w:lang w:bidi="ar"/>
        </w:rPr>
        <w:t>储泥池</w:t>
      </w:r>
      <w:r>
        <w:rPr>
          <w:szCs w:val="21"/>
          <w:lang w:bidi="ar"/>
        </w:rPr>
        <w:t>→</w:t>
      </w:r>
      <w:r>
        <w:rPr>
          <w:rFonts w:hint="eastAsia" w:ascii="宋体" w:hAnsi="宋体" w:cs="宋体"/>
          <w:szCs w:val="21"/>
          <w:lang w:bidi="ar"/>
        </w:rPr>
        <w:t>机械浓缩</w:t>
      </w:r>
      <w:r>
        <w:rPr>
          <w:szCs w:val="21"/>
          <w:lang w:bidi="ar"/>
        </w:rPr>
        <w:t>→</w:t>
      </w:r>
      <w:r>
        <w:rPr>
          <w:rFonts w:hint="eastAsia" w:ascii="宋体" w:hAnsi="宋体" w:cs="宋体"/>
          <w:szCs w:val="21"/>
          <w:lang w:bidi="ar"/>
        </w:rPr>
        <w:t>污泥调理池</w:t>
      </w:r>
      <w:r>
        <w:rPr>
          <w:szCs w:val="21"/>
          <w:lang w:bidi="ar"/>
        </w:rPr>
        <w:t>→</w:t>
      </w:r>
      <w:r>
        <w:rPr>
          <w:rFonts w:hint="eastAsia" w:ascii="宋体" w:hAnsi="宋体" w:cs="宋体"/>
          <w:szCs w:val="21"/>
          <w:lang w:bidi="ar"/>
        </w:rPr>
        <w:t>高压板框脱水</w:t>
      </w:r>
      <w:r>
        <w:rPr>
          <w:kern w:val="0"/>
          <w:szCs w:val="21"/>
          <w:lang w:bidi="ar"/>
        </w:rPr>
        <w:t>”</w:t>
      </w:r>
      <w:r>
        <w:rPr>
          <w:rFonts w:hint="eastAsia" w:ascii="宋体" w:hAnsi="宋体" w:cs="宋体"/>
          <w:kern w:val="0"/>
          <w:szCs w:val="21"/>
          <w:lang w:bidi="ar"/>
        </w:rPr>
        <w:t>工艺流程，脱水后的污泥含水率＜</w:t>
      </w:r>
      <w:r>
        <w:rPr>
          <w:kern w:val="0"/>
          <w:szCs w:val="21"/>
          <w:lang w:bidi="ar"/>
        </w:rPr>
        <w:t>60%</w:t>
      </w:r>
      <w:r>
        <w:rPr>
          <w:rFonts w:hint="eastAsia" w:ascii="宋体" w:hAnsi="宋体" w:cs="宋体"/>
          <w:kern w:val="0"/>
          <w:szCs w:val="21"/>
          <w:lang w:bidi="ar"/>
        </w:rPr>
        <w:t>，外运处置。</w:t>
      </w:r>
    </w:p>
    <w:p>
      <w:pPr>
        <w:pStyle w:val="5"/>
        <w:widowControl/>
        <w:numPr>
          <w:ilvl w:val="2"/>
          <w:numId w:val="4"/>
        </w:numPr>
        <w:spacing w:before="156"/>
        <w:rPr>
          <w:szCs w:val="21"/>
        </w:rPr>
      </w:pPr>
      <w:bookmarkStart w:id="733" w:name="_Toc15524"/>
      <w:r>
        <w:rPr>
          <w:rFonts w:hint="eastAsia" w:ascii="宋体" w:hAnsi="宋体" w:cs="宋体"/>
          <w:szCs w:val="21"/>
        </w:rPr>
        <w:t>厂区除臭</w:t>
      </w:r>
      <w:bookmarkEnd w:id="733"/>
    </w:p>
    <w:p>
      <w:pPr>
        <w:widowControl/>
        <w:snapToGrid w:val="0"/>
        <w:spacing w:line="360" w:lineRule="auto"/>
        <w:ind w:firstLine="420" w:firstLineChars="200"/>
        <w:jc w:val="left"/>
        <w:rPr>
          <w:kern w:val="0"/>
          <w:szCs w:val="21"/>
        </w:rPr>
      </w:pPr>
      <w:r>
        <w:rPr>
          <w:rFonts w:hint="eastAsia" w:ascii="宋体" w:hAnsi="宋体" w:cs="宋体"/>
          <w:kern w:val="0"/>
          <w:szCs w:val="21"/>
          <w:lang w:bidi="ar"/>
        </w:rPr>
        <w:t>本工程需进行除臭设计的构（建）筑物有预处理区（粗格栅及进水泵房、细格栅及放空泵房、曝气沉砂池、操作空间等），二级处理区（多段</w:t>
      </w:r>
      <w:r>
        <w:rPr>
          <w:rFonts w:hint="eastAsia"/>
          <w:kern w:val="0"/>
          <w:szCs w:val="21"/>
          <w:lang w:bidi="ar"/>
        </w:rPr>
        <w:t xml:space="preserve"> </w:t>
      </w:r>
      <w:r>
        <w:rPr>
          <w:kern w:val="0"/>
          <w:szCs w:val="21"/>
          <w:lang w:bidi="ar"/>
        </w:rPr>
        <w:t xml:space="preserve">AO </w:t>
      </w:r>
      <w:r>
        <w:rPr>
          <w:rFonts w:hint="eastAsia" w:ascii="宋体" w:hAnsi="宋体" w:cs="宋体"/>
          <w:kern w:val="0"/>
          <w:szCs w:val="21"/>
          <w:lang w:bidi="ar"/>
        </w:rPr>
        <w:t>生物反应池），污泥处理区（污泥处理设备、储泥池、调理池、操作空间等），生物处理单元进行密闭除臭设施。配套新建除臭设施</w:t>
      </w:r>
      <w:r>
        <w:rPr>
          <w:kern w:val="0"/>
          <w:szCs w:val="21"/>
          <w:lang w:bidi="ar"/>
        </w:rPr>
        <w:t>6</w:t>
      </w:r>
      <w:r>
        <w:rPr>
          <w:rFonts w:hint="eastAsia" w:ascii="宋体" w:hAnsi="宋体" w:cs="宋体"/>
          <w:kern w:val="0"/>
          <w:szCs w:val="21"/>
          <w:lang w:bidi="ar"/>
        </w:rPr>
        <w:t>套，本工程预处理区及污泥区采用“预洗池</w:t>
      </w:r>
      <w:r>
        <w:rPr>
          <w:kern w:val="0"/>
          <w:szCs w:val="21"/>
          <w:lang w:bidi="ar"/>
        </w:rPr>
        <w:t>+</w:t>
      </w:r>
      <w:r>
        <w:rPr>
          <w:rFonts w:hint="eastAsia" w:ascii="宋体" w:hAnsi="宋体" w:cs="宋体"/>
          <w:kern w:val="0"/>
          <w:szCs w:val="21"/>
          <w:lang w:bidi="ar"/>
        </w:rPr>
        <w:t>二级生物除臭滤池”工艺，二级处理区采用“二级生物除臭滤池”工艺。为进一步增加除臭效果，预处理区域及污泥脱水车间增设离子送风系统。</w:t>
      </w:r>
      <w:bookmarkStart w:id="734" w:name="_Toc26343"/>
      <w:bookmarkEnd w:id="734"/>
    </w:p>
    <w:p>
      <w:pPr>
        <w:pStyle w:val="4"/>
        <w:widowControl/>
        <w:numPr>
          <w:ilvl w:val="1"/>
          <w:numId w:val="4"/>
        </w:numPr>
        <w:rPr>
          <w:rFonts w:eastAsia="宋体"/>
          <w:szCs w:val="21"/>
        </w:rPr>
      </w:pPr>
      <w:bookmarkStart w:id="735" w:name="_Toc11705"/>
      <w:r>
        <w:rPr>
          <w:rFonts w:hint="eastAsia" w:ascii="宋体" w:hAnsi="宋体" w:eastAsia="宋体" w:cs="宋体"/>
          <w:szCs w:val="21"/>
        </w:rPr>
        <w:t>东莞市凤岗竹塘污水处理厂三期工程</w:t>
      </w:r>
      <w:bookmarkEnd w:id="735"/>
    </w:p>
    <w:p>
      <w:pPr>
        <w:pStyle w:val="5"/>
        <w:widowControl/>
        <w:numPr>
          <w:ilvl w:val="2"/>
          <w:numId w:val="4"/>
        </w:numPr>
        <w:spacing w:before="156"/>
        <w:rPr>
          <w:szCs w:val="21"/>
        </w:rPr>
      </w:pPr>
      <w:bookmarkStart w:id="736" w:name="_Toc16026"/>
      <w:r>
        <w:rPr>
          <w:rFonts w:hint="eastAsia" w:ascii="宋体" w:hAnsi="宋体" w:cs="宋体"/>
          <w:szCs w:val="21"/>
        </w:rPr>
        <w:t>项目建设规模</w:t>
      </w:r>
      <w:bookmarkEnd w:id="736"/>
    </w:p>
    <w:p>
      <w:pPr>
        <w:widowControl/>
        <w:spacing w:line="360" w:lineRule="auto"/>
        <w:ind w:firstLine="420" w:firstLineChars="200"/>
        <w:jc w:val="left"/>
        <w:rPr>
          <w:kern w:val="0"/>
          <w:szCs w:val="21"/>
        </w:rPr>
      </w:pPr>
      <w:r>
        <w:rPr>
          <w:rFonts w:hint="eastAsia" w:ascii="宋体" w:hAnsi="宋体" w:cs="宋体"/>
          <w:szCs w:val="21"/>
          <w:lang w:bidi="ar"/>
        </w:rPr>
        <w:t>东莞市凤岗竹塘污水处理厂三期工程位于东莞市凤岗镇竹塘村，北接塘厦镇、西邻石马河，厂区位于石马河凤岗段的最下游，石马河塘厦段的最上游。现况设计规模</w:t>
      </w:r>
      <w:r>
        <w:rPr>
          <w:szCs w:val="21"/>
          <w:lang w:bidi="ar"/>
        </w:rPr>
        <w:t>9</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，分两期（一期建设规模</w:t>
      </w:r>
      <w:r>
        <w:rPr>
          <w:szCs w:val="21"/>
          <w:lang w:bidi="ar"/>
        </w:rPr>
        <w:t>4m</w:t>
      </w:r>
      <w:r>
        <w:rPr>
          <w:szCs w:val="21"/>
          <w:vertAlign w:val="superscript"/>
          <w:lang w:bidi="ar"/>
        </w:rPr>
        <w:t>3</w:t>
      </w:r>
      <w:r>
        <w:rPr>
          <w:szCs w:val="21"/>
          <w:lang w:bidi="ar"/>
        </w:rPr>
        <w:t>/d</w:t>
      </w:r>
      <w:r>
        <w:rPr>
          <w:rFonts w:hint="eastAsia" w:ascii="宋体" w:hAnsi="宋体" w:cs="宋体"/>
          <w:szCs w:val="21"/>
          <w:lang w:bidi="ar"/>
        </w:rPr>
        <w:t>、二期建设规模</w:t>
      </w:r>
      <w:r>
        <w:rPr>
          <w:szCs w:val="21"/>
          <w:lang w:bidi="ar"/>
        </w:rPr>
        <w:t>5m</w:t>
      </w:r>
      <w:r>
        <w:rPr>
          <w:szCs w:val="21"/>
          <w:vertAlign w:val="superscript"/>
          <w:lang w:bidi="ar"/>
        </w:rPr>
        <w:t>3</w:t>
      </w:r>
      <w:r>
        <w:rPr>
          <w:szCs w:val="21"/>
          <w:lang w:bidi="ar"/>
        </w:rPr>
        <w:t>/d</w:t>
      </w:r>
      <w:r>
        <w:rPr>
          <w:rFonts w:hint="eastAsia" w:ascii="宋体" w:hAnsi="宋体" w:cs="宋体"/>
          <w:szCs w:val="21"/>
          <w:lang w:bidi="ar"/>
        </w:rPr>
        <w:t>）建设。本次三期工程土建设计规模</w:t>
      </w:r>
      <w:r>
        <w:rPr>
          <w:szCs w:val="21"/>
          <w:lang w:bidi="ar"/>
        </w:rPr>
        <w:t>7</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，设备安装规模</w:t>
      </w:r>
      <w:r>
        <w:rPr>
          <w:szCs w:val="21"/>
          <w:lang w:bidi="ar"/>
        </w:rPr>
        <w:t>5</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，总变化系数</w:t>
      </w:r>
      <w:r>
        <w:rPr>
          <w:szCs w:val="21"/>
          <w:lang w:bidi="ar"/>
        </w:rPr>
        <w:t>1.58</w:t>
      </w:r>
      <w:r>
        <w:rPr>
          <w:rFonts w:hint="eastAsia" w:ascii="宋体" w:hAnsi="宋体" w:cs="宋体"/>
          <w:szCs w:val="21"/>
          <w:lang w:bidi="ar"/>
        </w:rPr>
        <w:t>，近期平均设计流量</w:t>
      </w:r>
      <w:r>
        <w:rPr>
          <w:szCs w:val="21"/>
          <w:lang w:bidi="ar"/>
        </w:rPr>
        <w:t>2083.3m</w:t>
      </w:r>
      <w:r>
        <w:rPr>
          <w:szCs w:val="21"/>
          <w:vertAlign w:val="superscript"/>
          <w:lang w:bidi="ar"/>
        </w:rPr>
        <w:t>3</w:t>
      </w:r>
      <w:r>
        <w:rPr>
          <w:szCs w:val="21"/>
          <w:lang w:bidi="ar"/>
        </w:rPr>
        <w:t>/h</w:t>
      </w:r>
      <w:r>
        <w:rPr>
          <w:rFonts w:hint="eastAsia" w:ascii="宋体" w:hAnsi="宋体" w:cs="宋体"/>
          <w:szCs w:val="21"/>
          <w:lang w:bidi="ar"/>
        </w:rPr>
        <w:t>，峰值设计流量</w:t>
      </w:r>
      <w:r>
        <w:rPr>
          <w:szCs w:val="21"/>
          <w:lang w:bidi="ar"/>
        </w:rPr>
        <w:t>3291.7m</w:t>
      </w:r>
      <w:r>
        <w:rPr>
          <w:szCs w:val="21"/>
          <w:vertAlign w:val="superscript"/>
          <w:lang w:bidi="ar"/>
        </w:rPr>
        <w:t>3</w:t>
      </w:r>
      <w:r>
        <w:rPr>
          <w:szCs w:val="21"/>
          <w:lang w:bidi="ar"/>
        </w:rPr>
        <w:t>/h</w:t>
      </w:r>
      <w:r>
        <w:rPr>
          <w:rFonts w:hint="eastAsia" w:ascii="宋体" w:hAnsi="宋体" w:cs="宋体"/>
          <w:szCs w:val="21"/>
          <w:lang w:bidi="ar"/>
        </w:rPr>
        <w:t>。 本次三期工程除部分位于预留用地外，预处理及生物池位于一期地块内，通过拆除现有构筑物</w:t>
      </w:r>
      <w:r>
        <w:rPr>
          <w:rFonts w:hint="eastAsia" w:ascii="宋体" w:hAnsi="宋体" w:cs="宋体"/>
          <w:kern w:val="0"/>
          <w:szCs w:val="21"/>
          <w:lang w:bidi="ar"/>
        </w:rPr>
        <w:t>释放用地进行布置。</w:t>
      </w:r>
    </w:p>
    <w:p>
      <w:pPr>
        <w:widowControl/>
        <w:spacing w:line="360" w:lineRule="auto"/>
        <w:ind w:firstLine="420" w:firstLineChars="200"/>
        <w:jc w:val="left"/>
        <w:rPr>
          <w:szCs w:val="21"/>
        </w:rPr>
      </w:pPr>
      <w:r>
        <w:rPr>
          <w:rFonts w:hint="eastAsia" w:ascii="宋体" w:hAnsi="宋体" w:cs="宋体"/>
          <w:szCs w:val="21"/>
          <w:lang w:bidi="ar"/>
        </w:rPr>
        <w:t>污水处理工艺为</w:t>
      </w:r>
      <w:r>
        <w:rPr>
          <w:szCs w:val="21"/>
          <w:lang w:bidi="ar"/>
        </w:rPr>
        <w:t>“</w:t>
      </w:r>
      <w:r>
        <w:rPr>
          <w:rFonts w:hint="eastAsia" w:ascii="宋体" w:hAnsi="宋体" w:cs="宋体"/>
          <w:szCs w:val="21"/>
          <w:lang w:bidi="ar"/>
        </w:rPr>
        <w:t>粗格栅及进水泵房</w:t>
      </w:r>
      <w:r>
        <w:rPr>
          <w:szCs w:val="21"/>
          <w:lang w:bidi="ar"/>
        </w:rPr>
        <w:t>→</w:t>
      </w:r>
      <w:r>
        <w:rPr>
          <w:rFonts w:hint="eastAsia" w:ascii="宋体" w:hAnsi="宋体" w:cs="宋体"/>
          <w:szCs w:val="21"/>
          <w:lang w:bidi="ar"/>
        </w:rPr>
        <w:t>细格栅及曝气沉砂池</w:t>
      </w:r>
      <w:r>
        <w:rPr>
          <w:szCs w:val="21"/>
          <w:lang w:bidi="ar"/>
        </w:rPr>
        <w:t>→</w:t>
      </w:r>
      <w:r>
        <w:rPr>
          <w:rFonts w:hint="eastAsia" w:ascii="宋体" w:hAnsi="宋体" w:cs="宋体"/>
          <w:szCs w:val="21"/>
          <w:lang w:bidi="ar"/>
        </w:rPr>
        <w:t>多段</w:t>
      </w:r>
      <w:r>
        <w:rPr>
          <w:szCs w:val="21"/>
          <w:lang w:bidi="ar"/>
        </w:rPr>
        <w:t>A</w:t>
      </w:r>
      <w:r>
        <w:rPr>
          <w:szCs w:val="21"/>
          <w:vertAlign w:val="superscript"/>
          <w:lang w:bidi="ar"/>
        </w:rPr>
        <w:t>2</w:t>
      </w:r>
      <w:r>
        <w:rPr>
          <w:szCs w:val="21"/>
          <w:lang w:bidi="ar"/>
        </w:rPr>
        <w:t>O</w:t>
      </w:r>
      <w:r>
        <w:rPr>
          <w:rFonts w:hint="eastAsia" w:ascii="宋体" w:hAnsi="宋体" w:cs="宋体"/>
          <w:szCs w:val="21"/>
          <w:lang w:bidi="ar"/>
        </w:rPr>
        <w:t>生物池</w:t>
      </w:r>
      <w:r>
        <w:rPr>
          <w:szCs w:val="21"/>
          <w:lang w:bidi="ar"/>
        </w:rPr>
        <w:t>→</w:t>
      </w:r>
      <w:r>
        <w:rPr>
          <w:rFonts w:hint="eastAsia" w:ascii="宋体" w:hAnsi="宋体" w:cs="宋体"/>
          <w:szCs w:val="21"/>
          <w:lang w:bidi="ar"/>
        </w:rPr>
        <w:t>高效沉淀池</w:t>
      </w:r>
      <w:r>
        <w:rPr>
          <w:szCs w:val="21"/>
          <w:lang w:bidi="ar"/>
        </w:rPr>
        <w:t>→</w:t>
      </w:r>
      <w:r>
        <w:rPr>
          <w:rFonts w:hint="eastAsia" w:ascii="宋体" w:hAnsi="宋体" w:cs="宋体"/>
          <w:szCs w:val="21"/>
          <w:lang w:bidi="ar"/>
        </w:rPr>
        <w:t>纤维板框滤池</w:t>
      </w:r>
      <w:r>
        <w:rPr>
          <w:szCs w:val="21"/>
          <w:lang w:bidi="ar"/>
        </w:rPr>
        <w:t>→</w:t>
      </w:r>
      <w:r>
        <w:rPr>
          <w:rFonts w:hint="eastAsia" w:ascii="宋体" w:hAnsi="宋体" w:cs="宋体"/>
          <w:szCs w:val="21"/>
          <w:lang w:bidi="ar"/>
        </w:rPr>
        <w:t>紫外消毒</w:t>
      </w:r>
      <w:r>
        <w:rPr>
          <w:szCs w:val="21"/>
          <w:lang w:bidi="ar"/>
        </w:rPr>
        <w:t>”</w:t>
      </w:r>
      <w:r>
        <w:rPr>
          <w:rFonts w:hint="eastAsia" w:ascii="宋体" w:hAnsi="宋体" w:cs="宋体"/>
          <w:szCs w:val="21"/>
          <w:lang w:bidi="ar"/>
        </w:rPr>
        <w:t>。本次三期污泥与一期污泥合并处理，采用</w:t>
      </w:r>
      <w:r>
        <w:rPr>
          <w:szCs w:val="21"/>
          <w:lang w:bidi="ar"/>
        </w:rPr>
        <w:t>“</w:t>
      </w:r>
      <w:r>
        <w:rPr>
          <w:rFonts w:hint="eastAsia" w:ascii="宋体" w:hAnsi="宋体" w:cs="宋体"/>
          <w:szCs w:val="21"/>
          <w:lang w:bidi="ar"/>
        </w:rPr>
        <w:t>机械浓缩</w:t>
      </w:r>
      <w:r>
        <w:rPr>
          <w:szCs w:val="21"/>
          <w:lang w:bidi="ar"/>
        </w:rPr>
        <w:t>+</w:t>
      </w:r>
      <w:r>
        <w:rPr>
          <w:rFonts w:hint="eastAsia" w:ascii="宋体" w:hAnsi="宋体" w:cs="宋体"/>
          <w:szCs w:val="21"/>
          <w:lang w:bidi="ar"/>
        </w:rPr>
        <w:t>药剂调理</w:t>
      </w:r>
      <w:r>
        <w:rPr>
          <w:szCs w:val="21"/>
          <w:lang w:bidi="ar"/>
        </w:rPr>
        <w:t>+</w:t>
      </w:r>
      <w:r>
        <w:rPr>
          <w:rFonts w:hint="eastAsia" w:ascii="宋体" w:hAnsi="宋体" w:cs="宋体"/>
          <w:szCs w:val="21"/>
          <w:lang w:bidi="ar"/>
        </w:rPr>
        <w:t>板框深度脱水</w:t>
      </w:r>
      <w:r>
        <w:rPr>
          <w:szCs w:val="21"/>
          <w:lang w:bidi="ar"/>
        </w:rPr>
        <w:t>”</w:t>
      </w:r>
      <w:r>
        <w:rPr>
          <w:rFonts w:hint="eastAsia" w:ascii="宋体" w:hAnsi="宋体" w:cs="宋体"/>
          <w:szCs w:val="21"/>
          <w:lang w:bidi="ar"/>
        </w:rPr>
        <w:t>工艺，近期规模</w:t>
      </w:r>
      <w:r>
        <w:rPr>
          <w:rStyle w:val="77"/>
          <w:rFonts w:hint="eastAsia" w:ascii="宋体" w:hAnsi="宋体" w:cs="宋体"/>
          <w:color w:val="auto"/>
          <w:szCs w:val="21"/>
          <w:lang w:bidi="ar"/>
        </w:rPr>
        <w:t>总干泥量</w:t>
      </w:r>
      <w:r>
        <w:rPr>
          <w:rStyle w:val="77"/>
          <w:color w:val="auto"/>
          <w:szCs w:val="21"/>
          <w:lang w:bidi="ar"/>
        </w:rPr>
        <w:t>33t DS/d</w:t>
      </w:r>
      <w:r>
        <w:rPr>
          <w:rStyle w:val="77"/>
          <w:rFonts w:hint="eastAsia" w:ascii="宋体" w:hAnsi="宋体" w:cs="宋体"/>
          <w:color w:val="auto"/>
          <w:szCs w:val="21"/>
          <w:lang w:bidi="ar"/>
        </w:rPr>
        <w:t>（含一期现况干泥量</w:t>
      </w:r>
      <w:r>
        <w:rPr>
          <w:rStyle w:val="77"/>
          <w:color w:val="auto"/>
          <w:szCs w:val="21"/>
          <w:lang w:bidi="ar"/>
        </w:rPr>
        <w:t>12t DS/d</w:t>
      </w:r>
      <w:r>
        <w:rPr>
          <w:rStyle w:val="77"/>
          <w:rFonts w:hint="eastAsia" w:ascii="宋体" w:hAnsi="宋体" w:cs="宋体"/>
          <w:color w:val="auto"/>
          <w:szCs w:val="21"/>
          <w:lang w:bidi="ar"/>
        </w:rPr>
        <w:t>）</w:t>
      </w:r>
      <w:r>
        <w:rPr>
          <w:rFonts w:hint="eastAsia" w:ascii="宋体" w:hAnsi="宋体" w:cs="宋体"/>
          <w:szCs w:val="21"/>
          <w:lang w:bidi="ar"/>
        </w:rPr>
        <w:t>，出泥含水率</w:t>
      </w:r>
      <w:r>
        <w:rPr>
          <w:szCs w:val="21"/>
          <w:lang w:bidi="ar"/>
        </w:rPr>
        <w:t>&lt;60%</w:t>
      </w:r>
      <w:r>
        <w:rPr>
          <w:rFonts w:hint="eastAsia" w:ascii="宋体" w:hAnsi="宋体" w:cs="宋体"/>
          <w:szCs w:val="21"/>
          <w:lang w:bidi="ar"/>
        </w:rPr>
        <w:t>，外运处置。</w:t>
      </w:r>
    </w:p>
    <w:p>
      <w:pPr>
        <w:pStyle w:val="5"/>
        <w:widowControl/>
        <w:numPr>
          <w:ilvl w:val="2"/>
          <w:numId w:val="4"/>
        </w:numPr>
        <w:spacing w:before="156"/>
        <w:rPr>
          <w:szCs w:val="21"/>
        </w:rPr>
      </w:pPr>
      <w:bookmarkStart w:id="737" w:name="_Toc15110"/>
      <w:r>
        <w:rPr>
          <w:rFonts w:hint="eastAsia" w:ascii="宋体" w:hAnsi="宋体" w:cs="宋体"/>
          <w:szCs w:val="21"/>
        </w:rPr>
        <w:t>设计进水水质及出水水质</w:t>
      </w:r>
      <w:bookmarkEnd w:id="737"/>
    </w:p>
    <w:p>
      <w:pPr>
        <w:widowControl/>
        <w:spacing w:line="360" w:lineRule="auto"/>
        <w:jc w:val="left"/>
        <w:rPr>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 xml:space="preserve">）进水水质 </w:t>
      </w:r>
    </w:p>
    <w:p>
      <w:pPr>
        <w:widowControl/>
        <w:spacing w:line="360" w:lineRule="auto"/>
        <w:ind w:firstLine="420" w:firstLineChars="200"/>
        <w:jc w:val="center"/>
        <w:rPr>
          <w:szCs w:val="21"/>
        </w:rPr>
      </w:pPr>
      <w:r>
        <w:rPr>
          <w:rFonts w:hint="eastAsia" w:ascii="宋体" w:hAnsi="宋体" w:cs="宋体"/>
          <w:szCs w:val="21"/>
          <w:lang w:bidi="ar"/>
        </w:rPr>
        <w:t>东莞市凤岗竹塘污水处理厂三期工程设计进水水质表</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04"/>
        <w:gridCol w:w="953"/>
        <w:gridCol w:w="1848"/>
        <w:gridCol w:w="718"/>
        <w:gridCol w:w="845"/>
        <w:gridCol w:w="702"/>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kern w:val="0"/>
                <w:szCs w:val="21"/>
                <w:lang w:bidi="ar"/>
              </w:rPr>
              <w:t>项目</w:t>
            </w:r>
          </w:p>
        </w:tc>
        <w:tc>
          <w:tcPr>
            <w:tcW w:w="82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CODcr</w:t>
            </w:r>
          </w:p>
        </w:tc>
        <w:tc>
          <w:tcPr>
            <w:tcW w:w="559"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BOD</w:t>
            </w:r>
            <w:r>
              <w:rPr>
                <w:kern w:val="0"/>
                <w:szCs w:val="21"/>
                <w:vertAlign w:val="subscript"/>
                <w:lang w:bidi="ar"/>
              </w:rPr>
              <w:t>5</w:t>
            </w:r>
          </w:p>
        </w:tc>
        <w:tc>
          <w:tcPr>
            <w:tcW w:w="108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SS</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TN</w:t>
            </w:r>
          </w:p>
        </w:tc>
        <w:tc>
          <w:tcPr>
            <w:tcW w:w="496"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41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TP</w:t>
            </w:r>
          </w:p>
        </w:tc>
        <w:tc>
          <w:tcPr>
            <w:tcW w:w="37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szCs w:val="21"/>
                <w:lang w:bidi="ar"/>
              </w:rPr>
              <w:t>单位</w:t>
            </w:r>
          </w:p>
        </w:tc>
        <w:tc>
          <w:tcPr>
            <w:tcW w:w="82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559"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108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496"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41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37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szCs w:val="21"/>
                <w:lang w:bidi="ar"/>
              </w:rPr>
              <w:t>指标</w:t>
            </w:r>
          </w:p>
        </w:tc>
        <w:tc>
          <w:tcPr>
            <w:tcW w:w="140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≤350</w:t>
            </w:r>
          </w:p>
        </w:tc>
        <w:tc>
          <w:tcPr>
            <w:tcW w:w="95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≤150</w:t>
            </w:r>
          </w:p>
        </w:tc>
        <w:tc>
          <w:tcPr>
            <w:tcW w:w="18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≤230</w:t>
            </w:r>
          </w:p>
        </w:tc>
        <w:tc>
          <w:tcPr>
            <w:tcW w:w="71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≤45</w:t>
            </w:r>
          </w:p>
        </w:tc>
        <w:tc>
          <w:tcPr>
            <w:tcW w:w="84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≤35</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≤6.0</w:t>
            </w:r>
          </w:p>
        </w:tc>
        <w:tc>
          <w:tcPr>
            <w:tcW w:w="63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szCs w:val="21"/>
                <w:lang w:bidi="ar"/>
              </w:rPr>
              <w:t>/</w:t>
            </w:r>
          </w:p>
        </w:tc>
      </w:tr>
    </w:tbl>
    <w:p>
      <w:pPr>
        <w:widowControl/>
        <w:spacing w:line="360" w:lineRule="auto"/>
        <w:jc w:val="left"/>
        <w:rPr>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）出水水质</w:t>
      </w:r>
    </w:p>
    <w:p>
      <w:pPr>
        <w:widowControl/>
        <w:spacing w:line="360" w:lineRule="auto"/>
        <w:ind w:firstLine="420" w:firstLineChars="200"/>
        <w:jc w:val="left"/>
        <w:rPr>
          <w:szCs w:val="21"/>
        </w:rPr>
      </w:pPr>
      <w:r>
        <w:rPr>
          <w:rFonts w:hint="eastAsia" w:ascii="宋体" w:hAnsi="宋体" w:cs="宋体"/>
          <w:szCs w:val="21"/>
          <w:lang w:bidi="ar"/>
        </w:rPr>
        <w:t>东莞市凤岗竹塘污水处理厂三期工程出水水质达到《城镇污水处理厂污染物排放标准（</w:t>
      </w:r>
      <w:r>
        <w:rPr>
          <w:szCs w:val="21"/>
          <w:lang w:bidi="ar"/>
        </w:rPr>
        <w:t>GB18918-2002</w:t>
      </w:r>
      <w:r>
        <w:rPr>
          <w:rFonts w:hint="eastAsia" w:ascii="宋体" w:hAnsi="宋体" w:cs="宋体"/>
          <w:szCs w:val="21"/>
          <w:lang w:bidi="ar"/>
        </w:rPr>
        <w:t>）》一级</w:t>
      </w:r>
      <w:r>
        <w:rPr>
          <w:szCs w:val="21"/>
          <w:lang w:bidi="ar"/>
        </w:rPr>
        <w:t>A</w:t>
      </w:r>
      <w:r>
        <w:rPr>
          <w:rFonts w:hint="eastAsia" w:ascii="宋体" w:hAnsi="宋体" w:cs="宋体"/>
          <w:szCs w:val="21"/>
          <w:lang w:bidi="ar"/>
        </w:rPr>
        <w:t>标准、广东省地方标准《水污染物排放限值》（</w:t>
      </w:r>
      <w:r>
        <w:rPr>
          <w:szCs w:val="21"/>
          <w:lang w:bidi="ar"/>
        </w:rPr>
        <w:t>DB44/26-2001</w:t>
      </w:r>
      <w:r>
        <w:rPr>
          <w:rFonts w:hint="eastAsia" w:ascii="宋体" w:hAnsi="宋体" w:cs="宋体"/>
          <w:szCs w:val="21"/>
          <w:lang w:bidi="ar"/>
        </w:rPr>
        <w:t>）第二时段的一级标准及《淡水河、石马河流域水污染物排放标准》（</w:t>
      </w:r>
      <w:r>
        <w:rPr>
          <w:szCs w:val="21"/>
          <w:lang w:bidi="ar"/>
        </w:rPr>
        <w:t>DB 44/2050-2017</w:t>
      </w:r>
      <w:r>
        <w:rPr>
          <w:rFonts w:hint="eastAsia" w:ascii="宋体" w:hAnsi="宋体" w:cs="宋体"/>
          <w:szCs w:val="21"/>
          <w:lang w:bidi="ar"/>
        </w:rPr>
        <w:t>）第二时段限值中的较严值，出水排至</w:t>
      </w:r>
      <w:r>
        <w:rPr>
          <w:rFonts w:hint="eastAsia" w:ascii="宋体" w:hAnsi="宋体" w:cs="宋体"/>
          <w:kern w:val="0"/>
          <w:szCs w:val="21"/>
          <w:lang w:bidi="ar"/>
        </w:rPr>
        <w:t>雁田水</w:t>
      </w:r>
      <w:r>
        <w:rPr>
          <w:rFonts w:hint="eastAsia" w:ascii="宋体" w:hAnsi="宋体" w:cs="宋体"/>
          <w:szCs w:val="21"/>
          <w:lang w:bidi="ar"/>
        </w:rPr>
        <w:t>。</w:t>
      </w:r>
    </w:p>
    <w:p>
      <w:pPr>
        <w:widowControl/>
        <w:spacing w:line="360" w:lineRule="auto"/>
        <w:ind w:firstLine="420" w:firstLineChars="200"/>
        <w:jc w:val="center"/>
        <w:rPr>
          <w:szCs w:val="21"/>
        </w:rPr>
      </w:pPr>
      <w:r>
        <w:rPr>
          <w:rFonts w:hint="eastAsia" w:ascii="宋体" w:hAnsi="宋体" w:cs="宋体"/>
          <w:szCs w:val="21"/>
          <w:lang w:bidi="ar"/>
        </w:rPr>
        <w:t>东莞市凤岗竹塘污水处理厂三期工程设计出水水质表</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965"/>
        <w:gridCol w:w="864"/>
        <w:gridCol w:w="1560"/>
        <w:gridCol w:w="1415"/>
        <w:gridCol w:w="798"/>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kern w:val="0"/>
                <w:szCs w:val="21"/>
                <w:lang w:bidi="ar"/>
              </w:rPr>
              <w:t>项目</w:t>
            </w:r>
          </w:p>
        </w:tc>
        <w:tc>
          <w:tcPr>
            <w:tcW w:w="107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CODcr</w:t>
            </w:r>
          </w:p>
        </w:tc>
        <w:tc>
          <w:tcPr>
            <w:tcW w:w="96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BOD</w:t>
            </w:r>
            <w:r>
              <w:rPr>
                <w:kern w:val="0"/>
                <w:szCs w:val="21"/>
                <w:vertAlign w:val="subscript"/>
                <w:lang w:bidi="ar"/>
              </w:rPr>
              <w:t>5</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SS</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TN</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NH</w:t>
            </w:r>
            <w:r>
              <w:rPr>
                <w:kern w:val="0"/>
                <w:szCs w:val="21"/>
                <w:vertAlign w:val="subscript"/>
                <w:lang w:bidi="ar"/>
              </w:rPr>
              <w:t>3</w:t>
            </w:r>
            <w:r>
              <w:rPr>
                <w:kern w:val="0"/>
                <w:szCs w:val="21"/>
                <w:lang w:bidi="ar"/>
              </w:rPr>
              <w:t>-N</w:t>
            </w:r>
          </w:p>
        </w:tc>
        <w:tc>
          <w:tcPr>
            <w:tcW w:w="79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TP</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kern w:val="0"/>
                <w:szCs w:val="21"/>
                <w:lang w:bidi="ar"/>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szCs w:val="21"/>
                <w:lang w:bidi="ar"/>
              </w:rPr>
              <w:t>单位</w:t>
            </w:r>
          </w:p>
        </w:tc>
        <w:tc>
          <w:tcPr>
            <w:tcW w:w="107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96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79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kern w:val="0"/>
                <w:szCs w:val="21"/>
                <w:lang w:bidi="ar"/>
              </w:rPr>
              <w:t>mg/L</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kern w:val="0"/>
                <w:szCs w:val="21"/>
                <w:lang w:bidi="ar"/>
              </w:rPr>
              <w:t>（个</w:t>
            </w:r>
            <w:r>
              <w:rPr>
                <w:kern w:val="0"/>
                <w:szCs w:val="21"/>
                <w:lang w:bidi="ar"/>
              </w:rPr>
              <w:t>/L</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rPr>
            </w:pPr>
            <w:r>
              <w:rPr>
                <w:rFonts w:hint="eastAsia" w:ascii="宋体" w:hAnsi="宋体" w:cs="宋体"/>
                <w:szCs w:val="21"/>
                <w:lang w:bidi="ar"/>
              </w:rPr>
              <w:t>指标</w:t>
            </w:r>
          </w:p>
        </w:tc>
        <w:tc>
          <w:tcPr>
            <w:tcW w:w="107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≤40</w:t>
            </w:r>
          </w:p>
        </w:tc>
        <w:tc>
          <w:tcPr>
            <w:tcW w:w="96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≤10</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≤10</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≤15</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szCs w:val="21"/>
                <w:lang w:bidi="ar"/>
              </w:rPr>
              <w:t>2.0</w:t>
            </w:r>
            <w:r>
              <w:rPr>
                <w:rFonts w:hint="eastAsia" w:ascii="宋体" w:hAnsi="宋体" w:cs="宋体"/>
                <w:szCs w:val="21"/>
                <w:lang w:bidi="ar"/>
              </w:rPr>
              <w:t>（</w:t>
            </w:r>
            <w:r>
              <w:rPr>
                <w:szCs w:val="21"/>
                <w:lang w:bidi="ar"/>
              </w:rPr>
              <w:t>4.0</w:t>
            </w:r>
            <w:r>
              <w:rPr>
                <w:rFonts w:hint="eastAsia" w:ascii="宋体" w:hAnsi="宋体" w:cs="宋体"/>
                <w:szCs w:val="21"/>
                <w:lang w:bidi="ar"/>
              </w:rPr>
              <w:t>）</w:t>
            </w:r>
          </w:p>
        </w:tc>
        <w:tc>
          <w:tcPr>
            <w:tcW w:w="79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≤0.4</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kern w:val="0"/>
                <w:szCs w:val="21"/>
              </w:rPr>
            </w:pPr>
            <w:r>
              <w:rPr>
                <w:kern w:val="0"/>
                <w:szCs w:val="21"/>
                <w:lang w:bidi="ar"/>
              </w:rPr>
              <w:t>≤1000</w:t>
            </w:r>
          </w:p>
        </w:tc>
      </w:tr>
    </w:tbl>
    <w:p>
      <w:pPr>
        <w:pStyle w:val="79"/>
        <w:widowControl/>
        <w:ind w:firstLine="400"/>
        <w:rPr>
          <w:sz w:val="20"/>
          <w:szCs w:val="20"/>
        </w:rPr>
      </w:pPr>
      <w:r>
        <w:rPr>
          <w:rFonts w:hint="eastAsia" w:ascii="宋体" w:hAnsi="宋体" w:cs="宋体"/>
          <w:sz w:val="20"/>
          <w:szCs w:val="20"/>
        </w:rPr>
        <w:t>注：</w:t>
      </w:r>
      <w:r>
        <w:rPr>
          <w:sz w:val="20"/>
          <w:szCs w:val="20"/>
        </w:rPr>
        <w:t>NH</w:t>
      </w:r>
      <w:r>
        <w:rPr>
          <w:sz w:val="20"/>
          <w:szCs w:val="20"/>
          <w:vertAlign w:val="subscript"/>
        </w:rPr>
        <w:t>3</w:t>
      </w:r>
      <w:r>
        <w:rPr>
          <w:sz w:val="20"/>
          <w:szCs w:val="20"/>
        </w:rPr>
        <w:t>-N</w:t>
      </w:r>
      <w:r>
        <w:rPr>
          <w:rFonts w:hint="eastAsia" w:ascii="宋体" w:hAnsi="宋体" w:cs="宋体"/>
          <w:sz w:val="20"/>
          <w:szCs w:val="20"/>
        </w:rPr>
        <w:t>排放限值括号外数值为水温＞</w:t>
      </w:r>
      <w:r>
        <w:rPr>
          <w:sz w:val="20"/>
          <w:szCs w:val="20"/>
        </w:rPr>
        <w:t>12</w:t>
      </w:r>
      <w:r>
        <w:rPr>
          <w:rFonts w:hint="eastAsia" w:ascii="宋体" w:hAnsi="宋体" w:cs="宋体"/>
          <w:sz w:val="20"/>
          <w:szCs w:val="20"/>
        </w:rPr>
        <w:t>℃时的控制指标，括号内数值为水温≤</w:t>
      </w:r>
      <w:r>
        <w:rPr>
          <w:sz w:val="20"/>
          <w:szCs w:val="20"/>
        </w:rPr>
        <w:t>12</w:t>
      </w:r>
      <w:r>
        <w:rPr>
          <w:rFonts w:hint="eastAsia" w:ascii="宋体" w:hAnsi="宋体" w:cs="宋体"/>
          <w:sz w:val="20"/>
          <w:szCs w:val="20"/>
        </w:rPr>
        <w:t>℃时的控制指标。</w:t>
      </w:r>
    </w:p>
    <w:p>
      <w:pPr>
        <w:pStyle w:val="5"/>
        <w:widowControl/>
        <w:numPr>
          <w:ilvl w:val="2"/>
          <w:numId w:val="4"/>
        </w:numPr>
        <w:spacing w:before="156"/>
        <w:rPr>
          <w:szCs w:val="21"/>
        </w:rPr>
      </w:pPr>
      <w:bookmarkStart w:id="738" w:name="_Toc26180"/>
      <w:r>
        <w:rPr>
          <w:rFonts w:hint="eastAsia" w:ascii="宋体" w:hAnsi="宋体" w:cs="宋体"/>
          <w:szCs w:val="21"/>
        </w:rPr>
        <w:t>污水处理工艺描述</w:t>
      </w:r>
      <w:bookmarkEnd w:id="738"/>
    </w:p>
    <w:p>
      <w:pPr>
        <w:widowControl/>
        <w:spacing w:line="360" w:lineRule="auto"/>
        <w:ind w:firstLine="420" w:firstLineChars="200"/>
        <w:jc w:val="left"/>
        <w:rPr>
          <w:kern w:val="0"/>
          <w:szCs w:val="21"/>
        </w:rPr>
      </w:pPr>
      <w:r>
        <w:rPr>
          <w:rFonts w:hint="eastAsia" w:ascii="宋体" w:hAnsi="宋体" w:cs="宋体"/>
          <w:kern w:val="0"/>
          <w:szCs w:val="21"/>
          <w:lang w:bidi="ar"/>
        </w:rPr>
        <w:t>本次三期工程采用的是</w:t>
      </w:r>
      <w:r>
        <w:rPr>
          <w:kern w:val="0"/>
          <w:szCs w:val="21"/>
          <w:lang w:bidi="ar"/>
        </w:rPr>
        <w:t>“</w:t>
      </w:r>
      <w:r>
        <w:rPr>
          <w:rFonts w:hint="eastAsia" w:ascii="宋体" w:hAnsi="宋体" w:cs="宋体"/>
          <w:kern w:val="0"/>
          <w:szCs w:val="21"/>
          <w:lang w:bidi="ar"/>
        </w:rPr>
        <w:t>预处理</w:t>
      </w:r>
      <w:r>
        <w:rPr>
          <w:kern w:val="0"/>
          <w:szCs w:val="21"/>
          <w:lang w:bidi="ar"/>
        </w:rPr>
        <w:t>+</w:t>
      </w:r>
      <w:r>
        <w:rPr>
          <w:rFonts w:hint="eastAsia" w:ascii="宋体" w:hAnsi="宋体" w:cs="宋体"/>
          <w:kern w:val="0"/>
          <w:szCs w:val="21"/>
          <w:lang w:bidi="ar"/>
        </w:rPr>
        <w:t>多段</w:t>
      </w:r>
      <w:r>
        <w:rPr>
          <w:szCs w:val="21"/>
          <w:lang w:bidi="ar"/>
        </w:rPr>
        <w:t>A</w:t>
      </w:r>
      <w:r>
        <w:rPr>
          <w:szCs w:val="21"/>
          <w:vertAlign w:val="superscript"/>
          <w:lang w:bidi="ar"/>
        </w:rPr>
        <w:t>2</w:t>
      </w:r>
      <w:r>
        <w:rPr>
          <w:szCs w:val="21"/>
          <w:lang w:bidi="ar"/>
        </w:rPr>
        <w:t>O</w:t>
      </w:r>
      <w:r>
        <w:rPr>
          <w:kern w:val="0"/>
          <w:szCs w:val="21"/>
          <w:lang w:bidi="ar"/>
        </w:rPr>
        <w:t>+</w:t>
      </w:r>
      <w:r>
        <w:rPr>
          <w:rFonts w:hint="eastAsia" w:ascii="宋体" w:hAnsi="宋体" w:cs="宋体"/>
          <w:szCs w:val="21"/>
          <w:lang w:bidi="ar"/>
        </w:rPr>
        <w:t>高效沉淀池</w:t>
      </w:r>
      <w:r>
        <w:rPr>
          <w:kern w:val="0"/>
          <w:szCs w:val="21"/>
          <w:lang w:bidi="ar"/>
        </w:rPr>
        <w:t>+</w:t>
      </w:r>
      <w:r>
        <w:rPr>
          <w:rFonts w:hint="eastAsia" w:ascii="宋体" w:hAnsi="宋体" w:cs="宋体"/>
          <w:szCs w:val="21"/>
          <w:lang w:bidi="ar"/>
        </w:rPr>
        <w:t>纤维板框滤池</w:t>
      </w:r>
      <w:r>
        <w:rPr>
          <w:kern w:val="0"/>
          <w:szCs w:val="21"/>
          <w:lang w:bidi="ar"/>
        </w:rPr>
        <w:t>+</w:t>
      </w:r>
      <w:r>
        <w:rPr>
          <w:rFonts w:hint="eastAsia" w:ascii="宋体" w:hAnsi="宋体" w:cs="宋体"/>
          <w:kern w:val="0"/>
          <w:szCs w:val="21"/>
          <w:lang w:bidi="ar"/>
        </w:rPr>
        <w:t>紫外消毒</w:t>
      </w:r>
      <w:r>
        <w:rPr>
          <w:kern w:val="0"/>
          <w:szCs w:val="21"/>
          <w:lang w:bidi="ar"/>
        </w:rPr>
        <w:t>”</w:t>
      </w:r>
      <w:r>
        <w:rPr>
          <w:rFonts w:hint="eastAsia" w:ascii="宋体" w:hAnsi="宋体" w:cs="宋体"/>
          <w:kern w:val="0"/>
          <w:szCs w:val="21"/>
          <w:lang w:bidi="ar"/>
        </w:rPr>
        <w:t>工艺，主要处理工艺建（构）筑物包括粗格栅及进水泵房、细格栅及曝气沉砂池、多段</w:t>
      </w:r>
      <w:r>
        <w:rPr>
          <w:szCs w:val="21"/>
          <w:lang w:bidi="ar"/>
        </w:rPr>
        <w:t>A</w:t>
      </w:r>
      <w:r>
        <w:rPr>
          <w:szCs w:val="21"/>
          <w:vertAlign w:val="superscript"/>
          <w:lang w:bidi="ar"/>
        </w:rPr>
        <w:t>2</w:t>
      </w:r>
      <w:r>
        <w:rPr>
          <w:szCs w:val="21"/>
          <w:lang w:bidi="ar"/>
        </w:rPr>
        <w:t>O</w:t>
      </w:r>
      <w:r>
        <w:rPr>
          <w:rFonts w:hint="eastAsia" w:ascii="宋体" w:hAnsi="宋体" w:cs="宋体"/>
          <w:kern w:val="0"/>
          <w:szCs w:val="21"/>
          <w:lang w:bidi="ar"/>
        </w:rPr>
        <w:t>生物池、</w:t>
      </w:r>
      <w:r>
        <w:rPr>
          <w:rFonts w:hint="eastAsia" w:ascii="宋体" w:hAnsi="宋体" w:cs="宋体"/>
          <w:szCs w:val="21"/>
          <w:lang w:bidi="ar"/>
        </w:rPr>
        <w:t>二沉池</w:t>
      </w:r>
      <w:r>
        <w:rPr>
          <w:rFonts w:hint="eastAsia" w:ascii="宋体" w:hAnsi="宋体" w:cs="宋体"/>
          <w:kern w:val="0"/>
          <w:szCs w:val="21"/>
          <w:lang w:bidi="ar"/>
        </w:rPr>
        <w:t>、高效沉淀池、</w:t>
      </w:r>
      <w:r>
        <w:rPr>
          <w:rFonts w:hint="eastAsia" w:ascii="宋体" w:hAnsi="宋体" w:cs="宋体"/>
          <w:szCs w:val="21"/>
          <w:lang w:bidi="ar"/>
        </w:rPr>
        <w:t>纤维板框滤池</w:t>
      </w:r>
      <w:r>
        <w:rPr>
          <w:rFonts w:hint="eastAsia" w:ascii="宋体" w:hAnsi="宋体" w:cs="宋体"/>
          <w:kern w:val="0"/>
          <w:szCs w:val="21"/>
          <w:lang w:bidi="ar"/>
        </w:rPr>
        <w:t>、鼓风机房（一期、三期）、加药间、污泥脱水机房、出水明渠及出水水质仪表间、尾水泵房等。</w:t>
      </w:r>
    </w:p>
    <w:p>
      <w:pPr>
        <w:widowControl/>
        <w:spacing w:line="360" w:lineRule="auto"/>
        <w:ind w:firstLine="420" w:firstLineChars="200"/>
        <w:jc w:val="left"/>
        <w:rPr>
          <w:kern w:val="0"/>
          <w:szCs w:val="21"/>
        </w:rPr>
      </w:pPr>
      <w:r>
        <w:rPr>
          <w:rFonts w:hint="eastAsia" w:ascii="宋体" w:hAnsi="宋体" w:cs="宋体"/>
          <w:kern w:val="0"/>
          <w:szCs w:val="21"/>
          <w:lang w:bidi="ar"/>
        </w:rPr>
        <w:t>市政污水从市政污水管网接入粗格栅及进水泵房，由粗格栅拦截较大漂浮物以保护水泵等重要设备，经水泵提升进入细格栅及曝气沉砂池，去除漂浮物、细小垃圾及比重较大的砂粒，砂水经分离后外运。沉砂池的出水自流进入多段</w:t>
      </w:r>
      <w:r>
        <w:rPr>
          <w:szCs w:val="21"/>
          <w:lang w:bidi="ar"/>
        </w:rPr>
        <w:t>A</w:t>
      </w:r>
      <w:r>
        <w:rPr>
          <w:szCs w:val="21"/>
          <w:vertAlign w:val="superscript"/>
          <w:lang w:bidi="ar"/>
        </w:rPr>
        <w:t>2</w:t>
      </w:r>
      <w:r>
        <w:rPr>
          <w:szCs w:val="21"/>
          <w:lang w:bidi="ar"/>
        </w:rPr>
        <w:t>O</w:t>
      </w:r>
      <w:r>
        <w:rPr>
          <w:rFonts w:hint="eastAsia" w:ascii="宋体" w:hAnsi="宋体" w:cs="宋体"/>
          <w:kern w:val="0"/>
          <w:szCs w:val="21"/>
          <w:lang w:bidi="ar"/>
        </w:rPr>
        <w:t>生物池，利用厌氧、缺氧、好氧区不同功能，进行生物脱氮除磷，同时去除大部分有机污染物、</w:t>
      </w:r>
      <w:r>
        <w:rPr>
          <w:kern w:val="0"/>
          <w:szCs w:val="21"/>
          <w:lang w:bidi="ar"/>
        </w:rPr>
        <w:t>NH</w:t>
      </w:r>
      <w:r>
        <w:rPr>
          <w:kern w:val="0"/>
          <w:szCs w:val="21"/>
          <w:vertAlign w:val="subscript"/>
          <w:lang w:bidi="ar"/>
        </w:rPr>
        <w:t>3</w:t>
      </w:r>
      <w:r>
        <w:rPr>
          <w:kern w:val="0"/>
          <w:szCs w:val="21"/>
          <w:lang w:bidi="ar"/>
        </w:rPr>
        <w:t>-N</w:t>
      </w:r>
      <w:r>
        <w:rPr>
          <w:rFonts w:hint="eastAsia" w:ascii="宋体" w:hAnsi="宋体" w:cs="宋体"/>
          <w:kern w:val="0"/>
          <w:szCs w:val="21"/>
          <w:lang w:bidi="ar"/>
        </w:rPr>
        <w:t>、</w:t>
      </w:r>
      <w:r>
        <w:rPr>
          <w:kern w:val="0"/>
          <w:szCs w:val="21"/>
          <w:lang w:bidi="ar"/>
        </w:rPr>
        <w:t>TN</w:t>
      </w:r>
      <w:r>
        <w:rPr>
          <w:rFonts w:hint="eastAsia" w:ascii="宋体" w:hAnsi="宋体" w:cs="宋体"/>
          <w:kern w:val="0"/>
          <w:szCs w:val="21"/>
          <w:lang w:bidi="ar"/>
        </w:rPr>
        <w:t>、</w:t>
      </w:r>
      <w:r>
        <w:rPr>
          <w:kern w:val="0"/>
          <w:szCs w:val="21"/>
          <w:lang w:bidi="ar"/>
        </w:rPr>
        <w:t>TP</w:t>
      </w:r>
      <w:r>
        <w:rPr>
          <w:rFonts w:hint="eastAsia" w:ascii="宋体" w:hAnsi="宋体" w:cs="宋体"/>
          <w:kern w:val="0"/>
          <w:szCs w:val="21"/>
          <w:lang w:bidi="ar"/>
        </w:rPr>
        <w:t>后，出水进入沉淀池进行泥水分离，上清液进入高效沉淀池进行混凝沉淀后，上清液自流入</w:t>
      </w:r>
      <w:r>
        <w:rPr>
          <w:rFonts w:hint="eastAsia" w:ascii="宋体" w:hAnsi="宋体" w:cs="宋体"/>
          <w:szCs w:val="21"/>
          <w:lang w:bidi="ar"/>
        </w:rPr>
        <w:t>纤维板框</w:t>
      </w:r>
      <w:r>
        <w:rPr>
          <w:rFonts w:hint="eastAsia" w:ascii="宋体" w:hAnsi="宋体" w:cs="宋体"/>
          <w:kern w:val="0"/>
          <w:szCs w:val="21"/>
          <w:lang w:bidi="ar"/>
        </w:rPr>
        <w:t>滤池进行过滤，滤后水经紫外消毒并计量后，尾水接至一期提标已建排放口排至雁田水。</w:t>
      </w:r>
    </w:p>
    <w:p>
      <w:pPr>
        <w:pStyle w:val="5"/>
        <w:widowControl/>
        <w:numPr>
          <w:ilvl w:val="2"/>
          <w:numId w:val="4"/>
        </w:numPr>
        <w:spacing w:before="156"/>
        <w:rPr>
          <w:szCs w:val="21"/>
        </w:rPr>
      </w:pPr>
      <w:bookmarkStart w:id="739" w:name="_Toc14840"/>
      <w:r>
        <w:rPr>
          <w:rFonts w:hint="eastAsia" w:ascii="宋体" w:hAnsi="宋体" w:cs="宋体"/>
          <w:szCs w:val="21"/>
        </w:rPr>
        <w:t>污泥处理流程</w:t>
      </w:r>
      <w:bookmarkEnd w:id="739"/>
    </w:p>
    <w:p>
      <w:pPr>
        <w:widowControl/>
        <w:spacing w:line="360" w:lineRule="auto"/>
        <w:ind w:firstLine="420" w:firstLineChars="200"/>
        <w:jc w:val="left"/>
        <w:rPr>
          <w:szCs w:val="21"/>
        </w:rPr>
      </w:pPr>
      <w:r>
        <w:rPr>
          <w:rFonts w:hint="eastAsia" w:ascii="宋体" w:hAnsi="宋体" w:cs="宋体"/>
          <w:szCs w:val="21"/>
          <w:lang w:bidi="ar"/>
        </w:rPr>
        <w:t>本次三期污泥与一期污泥合并处理，采用</w:t>
      </w:r>
      <w:r>
        <w:rPr>
          <w:szCs w:val="21"/>
          <w:lang w:bidi="ar"/>
        </w:rPr>
        <w:t>“</w:t>
      </w:r>
      <w:r>
        <w:rPr>
          <w:rFonts w:hint="eastAsia" w:ascii="宋体" w:hAnsi="宋体" w:cs="宋体"/>
          <w:szCs w:val="21"/>
          <w:lang w:bidi="ar"/>
        </w:rPr>
        <w:t>储泥池→机械浓缩→污泥调理池→板框深度脱水</w:t>
      </w:r>
      <w:r>
        <w:rPr>
          <w:szCs w:val="21"/>
          <w:lang w:bidi="ar"/>
        </w:rPr>
        <w:t>”</w:t>
      </w:r>
      <w:r>
        <w:rPr>
          <w:rFonts w:hint="eastAsia" w:ascii="宋体" w:hAnsi="宋体" w:cs="宋体"/>
          <w:szCs w:val="21"/>
          <w:lang w:bidi="ar"/>
        </w:rPr>
        <w:t>的工艺流程，近期规模</w:t>
      </w:r>
      <w:r>
        <w:rPr>
          <w:rStyle w:val="77"/>
          <w:rFonts w:hint="eastAsia" w:ascii="宋体" w:hAnsi="宋体" w:cs="宋体"/>
          <w:color w:val="auto"/>
          <w:szCs w:val="21"/>
          <w:lang w:bidi="ar"/>
        </w:rPr>
        <w:t>总干泥量</w:t>
      </w:r>
      <w:r>
        <w:rPr>
          <w:rStyle w:val="77"/>
          <w:color w:val="auto"/>
          <w:szCs w:val="21"/>
          <w:lang w:bidi="ar"/>
        </w:rPr>
        <w:t>33t DS/d</w:t>
      </w:r>
      <w:r>
        <w:rPr>
          <w:rStyle w:val="77"/>
          <w:rFonts w:hint="eastAsia" w:ascii="宋体" w:hAnsi="宋体" w:cs="宋体"/>
          <w:color w:val="auto"/>
          <w:szCs w:val="21"/>
          <w:lang w:bidi="ar"/>
        </w:rPr>
        <w:t>（含一期现况干泥量</w:t>
      </w:r>
      <w:r>
        <w:rPr>
          <w:rStyle w:val="77"/>
          <w:color w:val="auto"/>
          <w:szCs w:val="21"/>
          <w:lang w:bidi="ar"/>
        </w:rPr>
        <w:t>12t DS/d</w:t>
      </w:r>
      <w:r>
        <w:rPr>
          <w:rStyle w:val="77"/>
          <w:rFonts w:hint="eastAsia" w:ascii="宋体" w:hAnsi="宋体" w:cs="宋体"/>
          <w:color w:val="auto"/>
          <w:szCs w:val="21"/>
          <w:lang w:bidi="ar"/>
        </w:rPr>
        <w:t>）</w:t>
      </w:r>
      <w:r>
        <w:rPr>
          <w:rFonts w:hint="eastAsia" w:ascii="宋体" w:hAnsi="宋体" w:cs="宋体"/>
          <w:szCs w:val="21"/>
          <w:lang w:bidi="ar"/>
        </w:rPr>
        <w:t>，脱水后的出泥含水率</w:t>
      </w:r>
      <w:r>
        <w:rPr>
          <w:szCs w:val="21"/>
          <w:lang w:bidi="ar"/>
        </w:rPr>
        <w:t>&lt;60%</w:t>
      </w:r>
      <w:r>
        <w:rPr>
          <w:rFonts w:hint="eastAsia" w:ascii="宋体" w:hAnsi="宋体" w:cs="宋体"/>
          <w:szCs w:val="21"/>
          <w:lang w:bidi="ar"/>
        </w:rPr>
        <w:t>，外运处置。</w:t>
      </w:r>
    </w:p>
    <w:p>
      <w:pPr>
        <w:pStyle w:val="5"/>
        <w:widowControl/>
        <w:numPr>
          <w:ilvl w:val="2"/>
          <w:numId w:val="4"/>
        </w:numPr>
        <w:spacing w:before="156"/>
        <w:rPr>
          <w:szCs w:val="21"/>
        </w:rPr>
      </w:pPr>
      <w:bookmarkStart w:id="740" w:name="_Toc22980"/>
      <w:r>
        <w:rPr>
          <w:rFonts w:hint="eastAsia" w:ascii="宋体" w:hAnsi="宋体" w:cs="宋体"/>
          <w:szCs w:val="21"/>
        </w:rPr>
        <w:t>厂区除臭</w:t>
      </w:r>
      <w:bookmarkEnd w:id="740"/>
    </w:p>
    <w:p>
      <w:pPr>
        <w:pStyle w:val="79"/>
        <w:widowControl/>
        <w:spacing w:line="360" w:lineRule="auto"/>
        <w:ind w:firstLine="420"/>
        <w:rPr>
          <w:sz w:val="21"/>
          <w:szCs w:val="21"/>
        </w:rPr>
      </w:pPr>
      <w:r>
        <w:rPr>
          <w:rFonts w:hint="eastAsia" w:ascii="宋体" w:hAnsi="宋体" w:cs="宋体"/>
          <w:sz w:val="21"/>
          <w:szCs w:val="21"/>
        </w:rPr>
        <w:t>本工程除臭系统采用除臭设施区域集中布置的方式，即预处理区、生物处理区产生的臭气收集后分别送至生物池上部臭气处理装置；二沉池、污泥处理区产生的臭气收集后分别送至二沉池上部臭气处理装置，经过臭气处理装置处理，使臭气中的氨、硫化氢、甲硫醇和甲烷等恶臭污染物质有效分解，在满足排放要求的基础上排放至大气中。配套新建除臭系统设置</w:t>
      </w:r>
      <w:r>
        <w:rPr>
          <w:sz w:val="21"/>
          <w:szCs w:val="21"/>
        </w:rPr>
        <w:t>2</w:t>
      </w:r>
      <w:r>
        <w:rPr>
          <w:rFonts w:hint="eastAsia" w:ascii="宋体" w:hAnsi="宋体" w:cs="宋体"/>
          <w:sz w:val="21"/>
          <w:szCs w:val="21"/>
        </w:rPr>
        <w:t>座，共</w:t>
      </w:r>
      <w:r>
        <w:rPr>
          <w:sz w:val="21"/>
          <w:szCs w:val="21"/>
        </w:rPr>
        <w:t>4</w:t>
      </w:r>
      <w:r>
        <w:rPr>
          <w:rFonts w:hint="eastAsia" w:ascii="宋体" w:hAnsi="宋体" w:cs="宋体"/>
          <w:sz w:val="21"/>
          <w:szCs w:val="21"/>
        </w:rPr>
        <w:t>套，总处理风量≥</w:t>
      </w:r>
      <w:r>
        <w:rPr>
          <w:sz w:val="21"/>
          <w:szCs w:val="21"/>
        </w:rPr>
        <w:t>86000m</w:t>
      </w:r>
      <w:r>
        <w:rPr>
          <w:sz w:val="21"/>
          <w:szCs w:val="21"/>
          <w:vertAlign w:val="superscript"/>
        </w:rPr>
        <w:t>3</w:t>
      </w:r>
      <w:r>
        <w:rPr>
          <w:sz w:val="21"/>
          <w:szCs w:val="21"/>
        </w:rPr>
        <w:t>/h</w:t>
      </w:r>
      <w:r>
        <w:rPr>
          <w:rFonts w:hint="eastAsia" w:ascii="宋体" w:hAnsi="宋体" w:cs="宋体"/>
          <w:sz w:val="21"/>
          <w:szCs w:val="21"/>
        </w:rPr>
        <w:t>。</w:t>
      </w:r>
    </w:p>
    <w:p>
      <w:pPr>
        <w:pStyle w:val="79"/>
        <w:widowControl/>
        <w:spacing w:line="360" w:lineRule="auto"/>
        <w:ind w:firstLine="420"/>
      </w:pPr>
      <w:r>
        <w:rPr>
          <w:rFonts w:hint="eastAsia" w:ascii="宋体" w:hAnsi="宋体" w:cs="宋体"/>
          <w:sz w:val="21"/>
          <w:szCs w:val="21"/>
        </w:rPr>
        <w:t>本工程采用预洗池</w:t>
      </w:r>
      <w:r>
        <w:rPr>
          <w:sz w:val="21"/>
          <w:szCs w:val="21"/>
        </w:rPr>
        <w:t>+</w:t>
      </w:r>
      <w:r>
        <w:rPr>
          <w:rFonts w:hint="eastAsia" w:ascii="宋体" w:hAnsi="宋体" w:cs="宋体"/>
          <w:sz w:val="21"/>
          <w:szCs w:val="21"/>
        </w:rPr>
        <w:t>生物除臭滤池工艺。</w:t>
      </w:r>
    </w:p>
    <w:p>
      <w:pPr>
        <w:spacing w:line="360" w:lineRule="auto"/>
        <w:rPr>
          <w:rFonts w:cs="宋体"/>
          <w:szCs w:val="21"/>
        </w:rPr>
        <w:sectPr>
          <w:pgSz w:w="11906" w:h="16838"/>
          <w:pgMar w:top="1440" w:right="1800" w:bottom="1440" w:left="1800" w:header="851" w:footer="850" w:gutter="0"/>
          <w:cols w:space="425" w:num="1"/>
          <w:titlePg/>
          <w:docGrid w:type="lines" w:linePitch="312" w:charSpace="0"/>
        </w:sectPr>
      </w:pPr>
    </w:p>
    <w:p>
      <w:pPr>
        <w:pStyle w:val="3"/>
        <w:widowControl/>
        <w:numPr>
          <w:ilvl w:val="0"/>
          <w:numId w:val="4"/>
        </w:numPr>
        <w:spacing w:after="156"/>
        <w:rPr>
          <w:rFonts w:eastAsia="宋体"/>
          <w:szCs w:val="21"/>
        </w:rPr>
      </w:pPr>
      <w:bookmarkStart w:id="741" w:name="_Toc30306"/>
      <w:bookmarkEnd w:id="741"/>
      <w:bookmarkStart w:id="742" w:name="_Toc535402542"/>
      <w:bookmarkStart w:id="743" w:name="_Toc6167"/>
      <w:r>
        <w:rPr>
          <w:rFonts w:hint="eastAsia" w:ascii="宋体" w:hAnsi="宋体" w:eastAsia="宋体" w:cs="宋体"/>
          <w:szCs w:val="21"/>
        </w:rPr>
        <w:t>总体技术要求</w:t>
      </w:r>
      <w:bookmarkEnd w:id="742"/>
      <w:bookmarkEnd w:id="743"/>
    </w:p>
    <w:p>
      <w:pPr>
        <w:pStyle w:val="4"/>
        <w:widowControl/>
        <w:numPr>
          <w:ilvl w:val="1"/>
          <w:numId w:val="4"/>
        </w:numPr>
        <w:rPr>
          <w:rFonts w:eastAsia="宋体"/>
          <w:szCs w:val="21"/>
        </w:rPr>
      </w:pPr>
      <w:bookmarkStart w:id="744" w:name="_Toc21131"/>
      <w:bookmarkEnd w:id="744"/>
      <w:bookmarkStart w:id="745" w:name="_Toc30892"/>
      <w:r>
        <w:rPr>
          <w:rFonts w:hint="eastAsia" w:ascii="宋体" w:hAnsi="宋体" w:eastAsia="宋体" w:cs="宋体"/>
          <w:szCs w:val="21"/>
        </w:rPr>
        <w:t>总体要求</w:t>
      </w:r>
      <w:bookmarkEnd w:id="745"/>
    </w:p>
    <w:p>
      <w:pPr>
        <w:adjustRightInd w:val="0"/>
        <w:snapToGrid w:val="0"/>
        <w:spacing w:line="360" w:lineRule="auto"/>
        <w:ind w:firstLine="420" w:firstLineChars="200"/>
        <w:rPr>
          <w:szCs w:val="21"/>
        </w:rPr>
      </w:pPr>
      <w:r>
        <w:rPr>
          <w:rFonts w:hint="eastAsia" w:ascii="宋体" w:hAnsi="宋体" w:cs="宋体"/>
          <w:szCs w:val="21"/>
          <w:lang w:bidi="ar"/>
        </w:rPr>
        <w:t>本节包含了对投标人和投标产品的总体技术要求，投标人可提出更优方案。除第三节详细技术要求规定外，设备的所有零部件须符合本节的总体技术规定。投标人必须按本用户需求书的内容顺序，对用户需求书要求做出逐项应答。投标人和投标产品对本用户需求书要求的任何偏差均必须填入《技术规格偏离表》，投标产品的主要性能指标必须填入《技术规格偏离表》内的实际响应的具体内容。任何不按要求编制的投标文件将承担被拒绝接受的风险。中标人在合同谈判、签订、执行中的任何偏差都必须取得设计人、项目业主和招标人的认同。</w:t>
      </w:r>
    </w:p>
    <w:p>
      <w:pPr>
        <w:adjustRightInd w:val="0"/>
        <w:snapToGrid w:val="0"/>
        <w:spacing w:line="360" w:lineRule="auto"/>
        <w:ind w:firstLine="422" w:firstLineChars="200"/>
        <w:rPr>
          <w:b/>
          <w:bCs/>
          <w:szCs w:val="21"/>
        </w:rPr>
      </w:pPr>
      <w:r>
        <w:rPr>
          <w:b/>
          <w:bCs/>
          <w:szCs w:val="21"/>
          <w:lang w:bidi="ar"/>
        </w:rPr>
        <w:t>★</w:t>
      </w:r>
      <w:r>
        <w:rPr>
          <w:rFonts w:hint="eastAsia" w:ascii="宋体" w:hAnsi="宋体" w:cs="宋体"/>
          <w:b/>
          <w:bCs/>
          <w:szCs w:val="21"/>
          <w:lang w:bidi="ar"/>
        </w:rPr>
        <w:t>本项目的工艺流程、总平面布置、工艺方案、控制系统方案、变配电系统已经确定，无需替代方案。</w:t>
      </w:r>
    </w:p>
    <w:p>
      <w:pPr>
        <w:pStyle w:val="4"/>
        <w:widowControl/>
        <w:numPr>
          <w:ilvl w:val="1"/>
          <w:numId w:val="4"/>
        </w:numPr>
        <w:rPr>
          <w:rFonts w:eastAsia="宋体"/>
          <w:szCs w:val="21"/>
        </w:rPr>
      </w:pPr>
      <w:bookmarkStart w:id="746" w:name="_Toc4548"/>
      <w:bookmarkEnd w:id="746"/>
      <w:bookmarkStart w:id="747" w:name="_Toc26159"/>
      <w:r>
        <w:rPr>
          <w:rFonts w:hint="eastAsia" w:ascii="宋体" w:hAnsi="宋体" w:eastAsia="宋体" w:cs="宋体"/>
          <w:szCs w:val="21"/>
        </w:rPr>
        <w:t>招标范围及要求</w:t>
      </w:r>
      <w:bookmarkEnd w:id="747"/>
      <w:r>
        <w:rPr>
          <w:rFonts w:hint="eastAsia" w:eastAsia="宋体"/>
          <w:szCs w:val="21"/>
        </w:rPr>
        <w:t xml:space="preserve"> </w:t>
      </w:r>
    </w:p>
    <w:p>
      <w:pPr>
        <w:pStyle w:val="5"/>
        <w:widowControl/>
        <w:numPr>
          <w:ilvl w:val="2"/>
          <w:numId w:val="4"/>
        </w:numPr>
        <w:spacing w:before="156"/>
        <w:rPr>
          <w:szCs w:val="21"/>
        </w:rPr>
      </w:pPr>
      <w:bookmarkStart w:id="748" w:name="_Toc21869"/>
      <w:bookmarkEnd w:id="748"/>
      <w:bookmarkStart w:id="749" w:name="_Toc2578"/>
      <w:r>
        <w:rPr>
          <w:rFonts w:hint="eastAsia" w:ascii="宋体" w:hAnsi="宋体" w:cs="宋体"/>
          <w:szCs w:val="21"/>
        </w:rPr>
        <w:t>招标范围</w:t>
      </w:r>
      <w:bookmarkEnd w:id="749"/>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）本次招标范围为东莞市沙田福禄沙污水处理厂二期工程、东莞市清溪厦坭污水处理厂二期工程、东莞市黄江梅塘南部污水处理厂一期工程、东莞市凤岗竹塘污水处理厂三期工程</w:t>
      </w:r>
      <w:r>
        <w:rPr>
          <w:rFonts w:hint="eastAsia" w:ascii="宋体" w:hAnsi="宋体" w:cs="宋体"/>
          <w:b/>
          <w:bCs/>
          <w:szCs w:val="21"/>
          <w:lang w:bidi="ar"/>
        </w:rPr>
        <w:t>刮泥机</w:t>
      </w:r>
      <w:r>
        <w:rPr>
          <w:rFonts w:hint="eastAsia" w:ascii="宋体" w:hAnsi="宋体" w:cs="宋体"/>
          <w:b/>
          <w:szCs w:val="21"/>
          <w:lang w:bidi="ar"/>
        </w:rPr>
        <w:t>成套系统设备</w:t>
      </w:r>
      <w:r>
        <w:rPr>
          <w:rFonts w:hint="eastAsia" w:ascii="宋体" w:hAnsi="宋体" w:cs="宋体"/>
          <w:szCs w:val="21"/>
          <w:lang w:bidi="ar"/>
        </w:rPr>
        <w:t>采购，招标设备清单见本用户需求书第三节详细技术要求。</w:t>
      </w:r>
    </w:p>
    <w:p>
      <w:pPr>
        <w:adjustRightInd w:val="0"/>
        <w:snapToGrid w:val="0"/>
        <w:spacing w:line="360" w:lineRule="auto"/>
        <w:ind w:firstLine="422" w:firstLineChars="200"/>
        <w:rPr>
          <w:b/>
          <w:szCs w:val="21"/>
        </w:rPr>
      </w:pPr>
      <w:r>
        <w:rPr>
          <w:b/>
          <w:szCs w:val="21"/>
          <w:lang w:bidi="ar"/>
        </w:rPr>
        <w:t>★</w:t>
      </w:r>
      <w:r>
        <w:rPr>
          <w:rFonts w:hint="eastAsia" w:ascii="宋体" w:hAnsi="宋体" w:cs="宋体"/>
          <w:b/>
          <w:szCs w:val="21"/>
          <w:lang w:bidi="ar"/>
        </w:rPr>
        <w:t>投标人必须对招标范围内的全部设备进行投标报价。投标人不得只对部分设备进行投标报价，否则按无效投标文件处理。</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）招标内容包括但不限于以下内容：</w:t>
      </w:r>
    </w:p>
    <w:p>
      <w:pPr>
        <w:adjustRightInd w:val="0"/>
        <w:snapToGrid w:val="0"/>
        <w:spacing w:line="360" w:lineRule="auto"/>
        <w:ind w:firstLine="420" w:firstLineChars="200"/>
        <w:rPr>
          <w:szCs w:val="21"/>
        </w:rPr>
      </w:pPr>
      <w:r>
        <w:rPr>
          <w:szCs w:val="21"/>
          <w:lang w:bidi="ar"/>
        </w:rPr>
        <w:t>a.</w:t>
      </w:r>
      <w:r>
        <w:rPr>
          <w:rFonts w:hint="eastAsia" w:ascii="宋体" w:hAnsi="宋体" w:cs="宋体"/>
          <w:szCs w:val="21"/>
          <w:lang w:bidi="ar"/>
        </w:rPr>
        <w:t>污水处理厂招标范围内所有货物及其附件（含</w:t>
      </w:r>
      <w:r>
        <w:rPr>
          <w:szCs w:val="21"/>
          <w:lang w:bidi="ar"/>
        </w:rPr>
        <w:t>PLC</w:t>
      </w:r>
      <w:r>
        <w:rPr>
          <w:rFonts w:hint="eastAsia" w:ascii="宋体" w:hAnsi="宋体" w:cs="宋体"/>
          <w:szCs w:val="21"/>
          <w:lang w:bidi="ar"/>
        </w:rPr>
        <w:t>程序、触摸屏程序等软件）的设计（含二次深化设计）、采购、制造及系统集成、测试、试验、运输（至各子项目工地现场招标人指定地点）、保险、装卸、安装（含安全防护、文明施工措施）、单机试运转、指导及配合联合试运转（含耗材）、验收、</w:t>
      </w:r>
      <w:r>
        <w:rPr>
          <w:b/>
          <w:szCs w:val="21"/>
          <w:lang w:bidi="ar"/>
        </w:rPr>
        <w:t>BIM</w:t>
      </w:r>
      <w:r>
        <w:rPr>
          <w:rFonts w:hint="eastAsia" w:ascii="宋体" w:hAnsi="宋体" w:cs="宋体"/>
          <w:b/>
          <w:szCs w:val="21"/>
          <w:lang w:bidi="ar"/>
        </w:rPr>
        <w:t>模型及技术服务</w:t>
      </w:r>
      <w:r>
        <w:rPr>
          <w:rFonts w:hint="eastAsia" w:ascii="宋体" w:hAnsi="宋体" w:cs="宋体"/>
          <w:szCs w:val="21"/>
          <w:lang w:bidi="ar"/>
        </w:rPr>
        <w:t>；</w:t>
      </w:r>
    </w:p>
    <w:p>
      <w:pPr>
        <w:adjustRightInd w:val="0"/>
        <w:snapToGrid w:val="0"/>
        <w:spacing w:line="360" w:lineRule="auto"/>
        <w:ind w:firstLine="420" w:firstLineChars="200"/>
        <w:rPr>
          <w:szCs w:val="21"/>
        </w:rPr>
      </w:pPr>
      <w:r>
        <w:rPr>
          <w:szCs w:val="21"/>
          <w:lang w:bidi="ar"/>
        </w:rPr>
        <w:t>b.</w:t>
      </w:r>
      <w:r>
        <w:rPr>
          <w:rFonts w:hint="eastAsia" w:ascii="宋体" w:hAnsi="宋体" w:cs="宋体"/>
          <w:szCs w:val="21"/>
          <w:lang w:bidi="ar"/>
        </w:rPr>
        <w:t>按本用户需求书要求提供各阶段的纸质和电子版技术资料（含图纸），包括投标货物及其工艺所有制造方、使用方应支付的对商标权、专利权和版权、设计或其他知识产权而需要向其他方支付的版税及其他相关费用；</w:t>
      </w:r>
    </w:p>
    <w:p>
      <w:pPr>
        <w:adjustRightInd w:val="0"/>
        <w:snapToGrid w:val="0"/>
        <w:spacing w:line="360" w:lineRule="auto"/>
        <w:ind w:firstLine="420" w:firstLineChars="200"/>
        <w:rPr>
          <w:szCs w:val="21"/>
        </w:rPr>
      </w:pPr>
      <w:r>
        <w:rPr>
          <w:szCs w:val="21"/>
          <w:lang w:bidi="ar"/>
        </w:rPr>
        <w:t>c.</w:t>
      </w:r>
      <w:r>
        <w:rPr>
          <w:rFonts w:hint="eastAsia" w:ascii="宋体" w:hAnsi="宋体" w:cs="宋体"/>
          <w:szCs w:val="21"/>
          <w:lang w:bidi="ar"/>
        </w:rPr>
        <w:t>验收时为达到相关标准而可能增加的、不合格货物更换、零配件更换等；</w:t>
      </w:r>
    </w:p>
    <w:p>
      <w:pPr>
        <w:adjustRightInd w:val="0"/>
        <w:snapToGrid w:val="0"/>
        <w:spacing w:line="360" w:lineRule="auto"/>
        <w:ind w:firstLine="420" w:firstLineChars="200"/>
        <w:rPr>
          <w:szCs w:val="21"/>
        </w:rPr>
      </w:pPr>
      <w:r>
        <w:rPr>
          <w:szCs w:val="21"/>
          <w:lang w:bidi="ar"/>
        </w:rPr>
        <w:t>d.</w:t>
      </w:r>
      <w:r>
        <w:rPr>
          <w:rFonts w:hint="eastAsia" w:ascii="宋体" w:hAnsi="宋体" w:cs="宋体"/>
          <w:szCs w:val="21"/>
          <w:lang w:bidi="ar"/>
        </w:rPr>
        <w:t>招标人所在地及工地现场培训全过程（含会务、资料、培训方及非中文培训师的翻译、投标人、招标人、项目业主涉及的所有费用），但本用户需求书中明确不包含在本次招标投标报价总价范围的投标人所在地培训除外；</w:t>
      </w:r>
    </w:p>
    <w:p>
      <w:pPr>
        <w:adjustRightInd w:val="0"/>
        <w:snapToGrid w:val="0"/>
        <w:spacing w:line="360" w:lineRule="auto"/>
        <w:ind w:firstLine="420" w:firstLineChars="200"/>
        <w:rPr>
          <w:szCs w:val="21"/>
        </w:rPr>
      </w:pPr>
      <w:r>
        <w:rPr>
          <w:szCs w:val="21"/>
          <w:lang w:bidi="ar"/>
        </w:rPr>
        <w:t>e.</w:t>
      </w:r>
      <w:r>
        <w:rPr>
          <w:rFonts w:hint="eastAsia" w:ascii="宋体" w:hAnsi="宋体" w:cs="宋体"/>
          <w:szCs w:val="21"/>
          <w:lang w:bidi="ar"/>
        </w:rPr>
        <w:t>设备备品备件（含零配件）、设备拆装维修所需特殊专用工具购置，但本用户需求书中明确不包含在本次招标投标报价总价范围的设备维修、检测所需仪器仪表除外；</w:t>
      </w:r>
    </w:p>
    <w:p>
      <w:pPr>
        <w:adjustRightInd w:val="0"/>
        <w:snapToGrid w:val="0"/>
        <w:spacing w:line="360" w:lineRule="auto"/>
        <w:ind w:firstLine="420" w:firstLineChars="200"/>
        <w:rPr>
          <w:szCs w:val="21"/>
        </w:rPr>
      </w:pPr>
      <w:r>
        <w:rPr>
          <w:szCs w:val="21"/>
          <w:lang w:bidi="ar"/>
        </w:rPr>
        <w:t>f.</w:t>
      </w:r>
      <w:r>
        <w:rPr>
          <w:rFonts w:hint="eastAsia" w:ascii="宋体" w:hAnsi="宋体" w:cs="宋体"/>
          <w:szCs w:val="21"/>
          <w:lang w:bidi="ar"/>
        </w:rPr>
        <w:t>日常技术指导，免费的质保期保修服务，包括但不限于对设备的运行指导，免费维修、保修或更换配件，在设备出现严重故障、影响正常运行、修复有困难的情况下，对设备进行免费更换的费用；</w:t>
      </w:r>
    </w:p>
    <w:p>
      <w:pPr>
        <w:adjustRightInd w:val="0"/>
        <w:snapToGrid w:val="0"/>
        <w:spacing w:line="360" w:lineRule="auto"/>
        <w:ind w:firstLine="420" w:firstLineChars="200"/>
        <w:rPr>
          <w:szCs w:val="21"/>
        </w:rPr>
      </w:pPr>
      <w:r>
        <w:rPr>
          <w:szCs w:val="21"/>
          <w:lang w:bidi="ar"/>
        </w:rPr>
        <w:t>g.</w:t>
      </w:r>
      <w:r>
        <w:rPr>
          <w:rFonts w:hint="eastAsia" w:ascii="宋体" w:hAnsi="宋体" w:cs="宋体"/>
          <w:szCs w:val="21"/>
          <w:lang w:bidi="ar"/>
        </w:rPr>
        <w:t>设计联络，在施工图设计阶段，中标人有义务根据实际情况派遣技术人员到东莞市参加设计联络会议进行技术交流，包括参加设计会签及校核和审查会议，投标总价已包含完成施工图设计过程中的一切费用；</w:t>
      </w:r>
    </w:p>
    <w:p>
      <w:pPr>
        <w:adjustRightInd w:val="0"/>
        <w:snapToGrid w:val="0"/>
        <w:spacing w:line="360" w:lineRule="auto"/>
        <w:ind w:firstLine="420" w:firstLineChars="200"/>
        <w:rPr>
          <w:szCs w:val="21"/>
        </w:rPr>
      </w:pPr>
      <w:r>
        <w:rPr>
          <w:szCs w:val="21"/>
          <w:lang w:bidi="ar"/>
        </w:rPr>
        <w:t>h.</w:t>
      </w:r>
      <w:r>
        <w:rPr>
          <w:rFonts w:hint="eastAsia" w:ascii="宋体" w:hAnsi="宋体" w:cs="宋体"/>
          <w:szCs w:val="21"/>
          <w:lang w:bidi="ar"/>
        </w:rPr>
        <w:t>招标设备清单虽未列出，但根据设计图纸或为满足设计功能所必需的设备材料。</w:t>
      </w:r>
    </w:p>
    <w:p>
      <w:pPr>
        <w:pStyle w:val="5"/>
        <w:widowControl/>
        <w:numPr>
          <w:ilvl w:val="2"/>
          <w:numId w:val="4"/>
        </w:numPr>
        <w:spacing w:before="156"/>
        <w:rPr>
          <w:szCs w:val="21"/>
        </w:rPr>
      </w:pPr>
      <w:bookmarkStart w:id="750" w:name="_Toc20776"/>
      <w:bookmarkEnd w:id="750"/>
      <w:bookmarkStart w:id="751" w:name="_Toc19089"/>
      <w:r>
        <w:rPr>
          <w:rFonts w:hint="eastAsia" w:ascii="宋体" w:hAnsi="宋体" w:cs="宋体"/>
          <w:szCs w:val="21"/>
        </w:rPr>
        <w:t>下述工作不属本次招标范围</w:t>
      </w:r>
      <w:bookmarkEnd w:id="751"/>
    </w:p>
    <w:p>
      <w:pPr>
        <w:adjustRightInd w:val="0"/>
        <w:snapToGrid w:val="0"/>
        <w:spacing w:line="360" w:lineRule="auto"/>
        <w:ind w:firstLine="420" w:firstLineChars="200"/>
        <w:rPr>
          <w:szCs w:val="21"/>
        </w:rPr>
      </w:pPr>
      <w:r>
        <w:rPr>
          <w:szCs w:val="21"/>
          <w:lang w:bidi="ar"/>
        </w:rPr>
        <w:t xml:space="preserve">(1) </w:t>
      </w:r>
      <w:r>
        <w:rPr>
          <w:rFonts w:hint="eastAsia" w:ascii="宋体" w:hAnsi="宋体" w:cs="宋体"/>
          <w:szCs w:val="21"/>
          <w:lang w:bidi="ar"/>
        </w:rPr>
        <w:t>土建施工、收尾和维护，除非特别指出。</w:t>
      </w:r>
    </w:p>
    <w:p>
      <w:pPr>
        <w:adjustRightInd w:val="0"/>
        <w:snapToGrid w:val="0"/>
        <w:spacing w:line="360" w:lineRule="auto"/>
        <w:ind w:firstLine="420" w:firstLineChars="200"/>
        <w:rPr>
          <w:szCs w:val="21"/>
        </w:rPr>
      </w:pPr>
      <w:r>
        <w:rPr>
          <w:szCs w:val="21"/>
          <w:lang w:bidi="ar"/>
        </w:rPr>
        <w:t xml:space="preserve">(2) </w:t>
      </w:r>
      <w:r>
        <w:rPr>
          <w:rFonts w:hint="eastAsia" w:ascii="宋体" w:hAnsi="宋体" w:cs="宋体"/>
          <w:szCs w:val="21"/>
          <w:lang w:bidi="ar"/>
        </w:rPr>
        <w:t>属于土建工程的设备安装。（投标人提出交叉作业冲突因素）。</w:t>
      </w:r>
    </w:p>
    <w:p>
      <w:pPr>
        <w:adjustRightInd w:val="0"/>
        <w:snapToGrid w:val="0"/>
        <w:spacing w:line="360" w:lineRule="auto"/>
        <w:ind w:firstLine="420" w:firstLineChars="200"/>
        <w:rPr>
          <w:szCs w:val="21"/>
        </w:rPr>
      </w:pPr>
      <w:r>
        <w:rPr>
          <w:szCs w:val="21"/>
          <w:lang w:bidi="ar"/>
        </w:rPr>
        <w:t xml:space="preserve">(3) </w:t>
      </w:r>
      <w:r>
        <w:rPr>
          <w:rFonts w:hint="eastAsia" w:ascii="宋体" w:hAnsi="宋体" w:cs="宋体"/>
          <w:szCs w:val="21"/>
          <w:lang w:bidi="ar"/>
        </w:rPr>
        <w:t>不在招标范围内的室内外的生产管道、给排水管道的供应及安装，除非特别注明。</w:t>
      </w:r>
    </w:p>
    <w:p>
      <w:pPr>
        <w:adjustRightInd w:val="0"/>
        <w:snapToGrid w:val="0"/>
        <w:spacing w:line="360" w:lineRule="auto"/>
        <w:ind w:firstLine="422" w:firstLineChars="200"/>
        <w:rPr>
          <w:b/>
          <w:szCs w:val="21"/>
        </w:rPr>
      </w:pPr>
      <w:r>
        <w:rPr>
          <w:b/>
          <w:szCs w:val="21"/>
          <w:lang w:bidi="ar"/>
        </w:rPr>
        <w:t xml:space="preserve">(4) </w:t>
      </w:r>
      <w:r>
        <w:rPr>
          <w:rFonts w:hint="eastAsia" w:ascii="宋体" w:hAnsi="宋体" w:cs="宋体"/>
          <w:b/>
          <w:szCs w:val="21"/>
          <w:lang w:bidi="ar"/>
        </w:rPr>
        <w:t>不在招标范围内的室内外电缆、控制线路的供货和安装（除非有特殊说明）。</w:t>
      </w:r>
    </w:p>
    <w:p>
      <w:pPr>
        <w:pStyle w:val="5"/>
        <w:widowControl/>
        <w:numPr>
          <w:ilvl w:val="2"/>
          <w:numId w:val="4"/>
        </w:numPr>
        <w:spacing w:before="156"/>
        <w:rPr>
          <w:szCs w:val="21"/>
        </w:rPr>
      </w:pPr>
      <w:bookmarkStart w:id="752" w:name="_Toc27073"/>
      <w:bookmarkEnd w:id="752"/>
      <w:bookmarkStart w:id="753" w:name="_Toc28750"/>
      <w:r>
        <w:rPr>
          <w:rFonts w:hint="eastAsia" w:ascii="宋体" w:hAnsi="宋体" w:cs="宋体"/>
          <w:szCs w:val="21"/>
        </w:rPr>
        <w:t>投标分包规定</w:t>
      </w:r>
      <w:bookmarkEnd w:id="753"/>
    </w:p>
    <w:p>
      <w:pPr>
        <w:adjustRightInd w:val="0"/>
        <w:snapToGrid w:val="0"/>
        <w:spacing w:line="360" w:lineRule="auto"/>
        <w:ind w:firstLine="420" w:firstLineChars="200"/>
        <w:rPr>
          <w:szCs w:val="21"/>
        </w:rPr>
      </w:pPr>
      <w:r>
        <w:rPr>
          <w:szCs w:val="21"/>
          <w:lang w:bidi="ar"/>
        </w:rPr>
        <w:t>★</w:t>
      </w:r>
      <w:r>
        <w:rPr>
          <w:rFonts w:hint="eastAsia" w:ascii="宋体" w:hAnsi="宋体" w:cs="宋体"/>
          <w:szCs w:val="21"/>
          <w:lang w:bidi="ar"/>
        </w:rPr>
        <w:t>本项目不允许投标人资格条件中约定的成套设备制造商将主要设备委外生产制造，与主要设备配套的附属设备、控制系统等可采用其它生产商产品，但须注明品牌及主要技术参数，本条款所指的主要设备是指</w:t>
      </w:r>
      <w:r>
        <w:rPr>
          <w:rFonts w:hint="eastAsia" w:ascii="宋体" w:hAnsi="宋体" w:cs="宋体"/>
          <w:b/>
          <w:szCs w:val="21"/>
          <w:lang w:bidi="ar"/>
        </w:rPr>
        <w:t>刮泥机</w:t>
      </w:r>
      <w:r>
        <w:rPr>
          <w:rFonts w:hint="eastAsia" w:ascii="宋体" w:hAnsi="宋体" w:cs="宋体"/>
          <w:szCs w:val="21"/>
          <w:lang w:bidi="ar"/>
        </w:rPr>
        <w:t>。</w:t>
      </w:r>
    </w:p>
    <w:p>
      <w:pPr>
        <w:pStyle w:val="5"/>
        <w:widowControl/>
        <w:numPr>
          <w:ilvl w:val="2"/>
          <w:numId w:val="4"/>
        </w:numPr>
        <w:spacing w:before="156"/>
        <w:rPr>
          <w:szCs w:val="21"/>
        </w:rPr>
      </w:pPr>
      <w:bookmarkStart w:id="754" w:name="_Toc7366"/>
      <w:bookmarkEnd w:id="754"/>
      <w:bookmarkStart w:id="755" w:name="_Toc18008"/>
      <w:r>
        <w:rPr>
          <w:rFonts w:hint="eastAsia" w:ascii="宋体" w:hAnsi="宋体" w:cs="宋体"/>
          <w:szCs w:val="21"/>
        </w:rPr>
        <w:t>投标人职责范围</w:t>
      </w:r>
      <w:bookmarkEnd w:id="755"/>
    </w:p>
    <w:p>
      <w:pPr>
        <w:numPr>
          <w:ilvl w:val="0"/>
          <w:numId w:val="5"/>
        </w:numPr>
        <w:spacing w:line="360" w:lineRule="auto"/>
        <w:ind w:firstLine="420" w:firstLineChars="200"/>
        <w:rPr>
          <w:szCs w:val="21"/>
        </w:rPr>
      </w:pPr>
      <w:r>
        <w:rPr>
          <w:rFonts w:hint="eastAsia" w:ascii="宋体" w:hAnsi="宋体" w:cs="宋体"/>
          <w:szCs w:val="21"/>
          <w:lang w:bidi="ar"/>
        </w:rPr>
        <w:t>投标人负责在本用户需求书中指明的投标人的供货范围内，足以使供货设备联动运行（包括自动控制）的所有机械设备、电气设备、自动控制设备、仪表、闸门和阀门、电缆、软件及其他附属部件的提供。本用户需求书虽未列出，但根据设计图纸或为满足设计功能，确保功能的实现所必需的设备材料，投标人应在投标文件中列出。如未列出，投标人在项目实施时必须无条件及时提供，且不得以此为由要求增加费用。如果投标人发现招标人发出的招标文件、设计文件存在缺陷，阻碍上述要求的实现，投标人可在投标文件技术规格偏离表内填写并加以说明。</w:t>
      </w:r>
    </w:p>
    <w:p>
      <w:pPr>
        <w:numPr>
          <w:ilvl w:val="0"/>
          <w:numId w:val="5"/>
        </w:numPr>
        <w:spacing w:line="360" w:lineRule="auto"/>
        <w:ind w:firstLine="420" w:firstLineChars="200"/>
        <w:rPr>
          <w:szCs w:val="21"/>
        </w:rPr>
      </w:pPr>
      <w:r>
        <w:rPr>
          <w:rFonts w:hint="eastAsia" w:ascii="宋体" w:hAnsi="宋体" w:cs="宋体"/>
          <w:szCs w:val="21"/>
          <w:lang w:bidi="ar"/>
        </w:rPr>
        <w:t>对设备的制造、供货、工厂测试、油漆、包装和运输负责。并负责设备安装、检查、验收及售后服务。</w:t>
      </w:r>
    </w:p>
    <w:p>
      <w:pPr>
        <w:numPr>
          <w:ilvl w:val="0"/>
          <w:numId w:val="5"/>
        </w:numPr>
        <w:spacing w:line="360" w:lineRule="auto"/>
        <w:ind w:firstLine="420" w:firstLineChars="200"/>
        <w:rPr>
          <w:szCs w:val="21"/>
        </w:rPr>
      </w:pPr>
      <w:r>
        <w:rPr>
          <w:rFonts w:hint="eastAsia" w:ascii="宋体" w:hAnsi="宋体" w:cs="宋体"/>
          <w:szCs w:val="21"/>
          <w:lang w:bidi="ar"/>
        </w:rPr>
        <w:t>设备的现场性能测试、单机试运转、指导及配合联合试运转。</w:t>
      </w:r>
    </w:p>
    <w:p>
      <w:pPr>
        <w:numPr>
          <w:ilvl w:val="0"/>
          <w:numId w:val="5"/>
        </w:numPr>
        <w:spacing w:line="360" w:lineRule="auto"/>
        <w:ind w:firstLine="420" w:firstLineChars="200"/>
        <w:rPr>
          <w:szCs w:val="21"/>
        </w:rPr>
      </w:pPr>
      <w:r>
        <w:rPr>
          <w:rFonts w:hint="eastAsia" w:ascii="宋体" w:hAnsi="宋体" w:cs="宋体"/>
          <w:szCs w:val="21"/>
          <w:lang w:bidi="ar"/>
        </w:rPr>
        <w:t>对不合格的设备进行更换。</w:t>
      </w:r>
    </w:p>
    <w:p>
      <w:pPr>
        <w:numPr>
          <w:ilvl w:val="0"/>
          <w:numId w:val="5"/>
        </w:numPr>
        <w:spacing w:line="360" w:lineRule="auto"/>
        <w:ind w:firstLine="420" w:firstLineChars="200"/>
        <w:rPr>
          <w:szCs w:val="21"/>
        </w:rPr>
      </w:pPr>
      <w:r>
        <w:rPr>
          <w:rFonts w:hint="eastAsia" w:ascii="宋体" w:hAnsi="宋体" w:cs="宋体"/>
          <w:szCs w:val="21"/>
          <w:lang w:bidi="ar"/>
        </w:rPr>
        <w:t>设备试运行期内的设备检测、保修和运行指导。</w:t>
      </w:r>
    </w:p>
    <w:p>
      <w:pPr>
        <w:numPr>
          <w:ilvl w:val="0"/>
          <w:numId w:val="5"/>
        </w:numPr>
        <w:spacing w:line="360" w:lineRule="auto"/>
        <w:ind w:firstLine="420" w:firstLineChars="200"/>
        <w:rPr>
          <w:szCs w:val="21"/>
        </w:rPr>
      </w:pPr>
      <w:r>
        <w:rPr>
          <w:rFonts w:hint="eastAsia" w:ascii="宋体" w:hAnsi="宋体" w:cs="宋体"/>
          <w:szCs w:val="21"/>
          <w:lang w:bidi="ar"/>
        </w:rPr>
        <w:t>设备质保期内的设备检测、保修和运行指导。</w:t>
      </w:r>
    </w:p>
    <w:p>
      <w:pPr>
        <w:numPr>
          <w:ilvl w:val="0"/>
          <w:numId w:val="5"/>
        </w:numPr>
        <w:spacing w:line="360" w:lineRule="auto"/>
        <w:ind w:firstLine="420" w:firstLineChars="200"/>
        <w:rPr>
          <w:szCs w:val="21"/>
        </w:rPr>
      </w:pPr>
      <w:r>
        <w:rPr>
          <w:rFonts w:hint="eastAsia" w:ascii="宋体" w:hAnsi="宋体" w:cs="宋体"/>
          <w:szCs w:val="21"/>
          <w:lang w:bidi="ar"/>
        </w:rPr>
        <w:t>设备操作与维护的技术培训。</w:t>
      </w:r>
    </w:p>
    <w:p>
      <w:pPr>
        <w:numPr>
          <w:ilvl w:val="0"/>
          <w:numId w:val="5"/>
        </w:numPr>
        <w:spacing w:line="360" w:lineRule="auto"/>
        <w:ind w:firstLine="420" w:firstLineChars="200"/>
        <w:rPr>
          <w:szCs w:val="21"/>
        </w:rPr>
      </w:pPr>
      <w:r>
        <w:rPr>
          <w:rFonts w:hint="eastAsia" w:ascii="宋体" w:hAnsi="宋体" w:cs="宋体"/>
          <w:szCs w:val="21"/>
          <w:lang w:bidi="ar"/>
        </w:rPr>
        <w:t>提供设备的相关技术文件、资料。</w:t>
      </w:r>
    </w:p>
    <w:p>
      <w:pPr>
        <w:numPr>
          <w:ilvl w:val="0"/>
          <w:numId w:val="5"/>
        </w:numPr>
        <w:spacing w:line="360" w:lineRule="auto"/>
        <w:ind w:firstLine="420" w:firstLineChars="200"/>
        <w:rPr>
          <w:szCs w:val="21"/>
        </w:rPr>
      </w:pPr>
      <w:r>
        <w:rPr>
          <w:rFonts w:hint="eastAsia" w:ascii="宋体" w:hAnsi="宋体" w:cs="宋体"/>
          <w:szCs w:val="21"/>
          <w:lang w:bidi="ar"/>
        </w:rPr>
        <w:t>根据国家有关规定、规程及合同应承担的其它职责。</w:t>
      </w:r>
      <w:r>
        <w:rPr>
          <w:szCs w:val="21"/>
          <w:lang w:bidi="ar"/>
        </w:rPr>
        <w:t xml:space="preserve"> </w:t>
      </w:r>
    </w:p>
    <w:p>
      <w:pPr>
        <w:pStyle w:val="5"/>
        <w:widowControl/>
        <w:numPr>
          <w:ilvl w:val="2"/>
          <w:numId w:val="4"/>
        </w:numPr>
        <w:spacing w:before="156"/>
        <w:rPr>
          <w:szCs w:val="21"/>
        </w:rPr>
      </w:pPr>
      <w:bookmarkStart w:id="756" w:name="_Toc27828"/>
      <w:bookmarkEnd w:id="756"/>
      <w:bookmarkStart w:id="757" w:name="_Toc14249"/>
      <w:r>
        <w:rPr>
          <w:rFonts w:hint="eastAsia" w:ascii="宋体" w:hAnsi="宋体" w:cs="宋体"/>
          <w:szCs w:val="21"/>
        </w:rPr>
        <w:t>备品备件及附件提供</w:t>
      </w:r>
      <w:bookmarkEnd w:id="757"/>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投标人应提供整套用于保证本合同所属设备系统在质保期内正常运行的设备安装、操作维护所需的备品备件并列出清单，项目业主和招标人将审核清单并着重考虑是否满足质保期需要。备品备件价格应在投标报价表中单独列出并报价，且所有配套备品备件报价包括在投标总报价中。</w:t>
      </w:r>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如所供设备拆装维修需有特殊专用工具，投标人应予以说明，并提供专用维修工具，投标人应提供设备拆装维修所需特殊工具清单，报价包括在投标总报价中。</w:t>
      </w:r>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质保期满后</w:t>
      </w:r>
      <w:r>
        <w:rPr>
          <w:szCs w:val="21"/>
          <w:lang w:bidi="ar"/>
        </w:rPr>
        <w:t>3</w:t>
      </w:r>
      <w:r>
        <w:rPr>
          <w:rFonts w:hint="eastAsia" w:ascii="宋体" w:hAnsi="宋体" w:cs="宋体"/>
          <w:szCs w:val="21"/>
          <w:lang w:bidi="ar"/>
        </w:rPr>
        <w:t>年（进口设备要求</w:t>
      </w:r>
      <w:r>
        <w:rPr>
          <w:szCs w:val="21"/>
          <w:lang w:bidi="ar"/>
        </w:rPr>
        <w:t>5</w:t>
      </w:r>
      <w:r>
        <w:rPr>
          <w:rFonts w:hint="eastAsia" w:ascii="宋体" w:hAnsi="宋体" w:cs="宋体"/>
          <w:szCs w:val="21"/>
          <w:lang w:bidi="ar"/>
        </w:rPr>
        <w:t>年）所需备品备件须提供明确单价，不计入总价。</w:t>
      </w:r>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投标人按招标文件要求提供设备检测所需仪器仪表清单及报价（不计入投标总价，项目业主或招标人不保证将来会采购该部分内容）。</w:t>
      </w:r>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投标人提供的所有备件、专用工具必须是新的、未使用过的，能满足设备零配件的更换及检维修。这些备件应经过处理和包装，能在污水厂现场气候条件下长期有效。</w:t>
      </w:r>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在备品备件停止生产的情况下，中标人应事先将要停止生产的计划通知项目业主或招标人，使其有足够的时间采购所需的备品备件；在备品备件停止生产后，如果项目业主或招标人要求，中标人应免费向项目业主或招标人提供备品备件的蓝图、图纸和规格。</w:t>
      </w:r>
    </w:p>
    <w:p>
      <w:pPr>
        <w:numPr>
          <w:ilvl w:val="0"/>
          <w:numId w:val="6"/>
        </w:numPr>
        <w:adjustRightInd w:val="0"/>
        <w:snapToGrid w:val="0"/>
        <w:spacing w:line="360" w:lineRule="auto"/>
        <w:ind w:firstLine="420" w:firstLineChars="200"/>
        <w:rPr>
          <w:szCs w:val="21"/>
        </w:rPr>
      </w:pPr>
      <w:r>
        <w:rPr>
          <w:rFonts w:hint="eastAsia" w:ascii="宋体" w:hAnsi="宋体" w:cs="宋体"/>
          <w:szCs w:val="21"/>
          <w:lang w:bidi="ar"/>
        </w:rPr>
        <w:t>进口设备使用的润滑油和（或）药剂等，能使用国产货源替代的优先考虑。否则必须在国内有可靠、经济的货源保证。</w:t>
      </w:r>
    </w:p>
    <w:p>
      <w:pPr>
        <w:pStyle w:val="5"/>
        <w:widowControl/>
        <w:numPr>
          <w:ilvl w:val="2"/>
          <w:numId w:val="4"/>
        </w:numPr>
        <w:spacing w:before="156"/>
        <w:rPr>
          <w:szCs w:val="21"/>
        </w:rPr>
      </w:pPr>
      <w:bookmarkStart w:id="758" w:name="_Toc25508"/>
      <w:bookmarkEnd w:id="758"/>
      <w:bookmarkStart w:id="759" w:name="_Toc28124"/>
      <w:r>
        <w:rPr>
          <w:rFonts w:hint="eastAsia" w:ascii="宋体" w:hAnsi="宋体" w:cs="宋体"/>
          <w:szCs w:val="21"/>
        </w:rPr>
        <w:t>设备数量的变更</w:t>
      </w:r>
      <w:bookmarkEnd w:id="759"/>
    </w:p>
    <w:p>
      <w:pPr>
        <w:adjustRightInd w:val="0"/>
        <w:snapToGrid w:val="0"/>
        <w:spacing w:line="360" w:lineRule="auto"/>
        <w:ind w:firstLine="420" w:firstLineChars="200"/>
        <w:rPr>
          <w:szCs w:val="21"/>
        </w:rPr>
      </w:pPr>
      <w:r>
        <w:rPr>
          <w:rFonts w:hint="eastAsia" w:ascii="宋体" w:hAnsi="宋体" w:cs="宋体"/>
          <w:szCs w:val="21"/>
          <w:lang w:bidi="ar"/>
        </w:rPr>
        <w:t>招标人保留对采购设备的规格、型号及数量变更的权利，投标人应承诺对设计修改、变更予以配合，及时调整。</w:t>
      </w:r>
    </w:p>
    <w:p>
      <w:pPr>
        <w:pStyle w:val="5"/>
        <w:widowControl/>
        <w:numPr>
          <w:ilvl w:val="2"/>
          <w:numId w:val="4"/>
        </w:numPr>
        <w:spacing w:before="156"/>
        <w:rPr>
          <w:szCs w:val="21"/>
        </w:rPr>
      </w:pPr>
      <w:bookmarkStart w:id="760" w:name="_Toc9623"/>
      <w:bookmarkEnd w:id="760"/>
      <w:bookmarkStart w:id="761" w:name="_Toc16259"/>
      <w:r>
        <w:rPr>
          <w:rFonts w:hint="eastAsia" w:ascii="宋体" w:hAnsi="宋体" w:cs="宋体"/>
          <w:szCs w:val="21"/>
        </w:rPr>
        <w:t>补充说明</w:t>
      </w:r>
      <w:bookmarkEnd w:id="761"/>
    </w:p>
    <w:p>
      <w:pPr>
        <w:adjustRightInd w:val="0"/>
        <w:snapToGrid w:val="0"/>
        <w:spacing w:line="360" w:lineRule="auto"/>
        <w:ind w:firstLine="420" w:firstLineChars="200"/>
        <w:rPr>
          <w:szCs w:val="21"/>
        </w:rPr>
      </w:pPr>
      <w:r>
        <w:rPr>
          <w:rFonts w:hint="eastAsia" w:ascii="宋体" w:hAnsi="宋体" w:cs="宋体"/>
          <w:szCs w:val="21"/>
          <w:lang w:bidi="ar"/>
        </w:rPr>
        <w:t>本用户需求书的内容在于向投标人说明项目建设应在各方面达到所要求的功能及全厂设备成功联动运行的功能。凡为达到设计目的所需的招标范围内的各项设备及其有关机件、附件，虽未详列在招标设备清单中，仍应包括在各项设备中，中标人不得借故予以变更或要求增加费用。中标人应在无追加费用的条件下，完善工作内容，高质量的完成整个供货和服务工作。</w:t>
      </w:r>
    </w:p>
    <w:p>
      <w:pPr>
        <w:pStyle w:val="4"/>
        <w:widowControl/>
        <w:numPr>
          <w:ilvl w:val="1"/>
          <w:numId w:val="4"/>
        </w:numPr>
        <w:rPr>
          <w:rFonts w:eastAsia="宋体"/>
          <w:szCs w:val="21"/>
        </w:rPr>
      </w:pPr>
      <w:bookmarkStart w:id="762" w:name="_Toc6825"/>
      <w:bookmarkEnd w:id="762"/>
      <w:bookmarkStart w:id="763" w:name="_Toc30137"/>
      <w:r>
        <w:rPr>
          <w:rFonts w:hint="eastAsia" w:ascii="宋体" w:hAnsi="宋体" w:eastAsia="宋体" w:cs="宋体"/>
          <w:szCs w:val="21"/>
        </w:rPr>
        <w:t>设备的供货及验收</w:t>
      </w:r>
      <w:bookmarkEnd w:id="763"/>
    </w:p>
    <w:p>
      <w:pPr>
        <w:pStyle w:val="5"/>
        <w:widowControl/>
        <w:numPr>
          <w:ilvl w:val="2"/>
          <w:numId w:val="4"/>
        </w:numPr>
        <w:spacing w:before="156"/>
        <w:rPr>
          <w:szCs w:val="21"/>
        </w:rPr>
      </w:pPr>
      <w:bookmarkStart w:id="764" w:name="_Toc15653"/>
      <w:bookmarkEnd w:id="764"/>
      <w:bookmarkStart w:id="765" w:name="_Toc31170"/>
      <w:r>
        <w:rPr>
          <w:rFonts w:hint="eastAsia" w:ascii="宋体" w:hAnsi="宋体" w:cs="宋体"/>
          <w:szCs w:val="21"/>
        </w:rPr>
        <w:t>计划与进度报告</w:t>
      </w:r>
      <w:bookmarkEnd w:id="765"/>
    </w:p>
    <w:p>
      <w:pPr>
        <w:adjustRightInd w:val="0"/>
        <w:snapToGrid w:val="0"/>
        <w:spacing w:line="360" w:lineRule="auto"/>
        <w:ind w:firstLine="420" w:firstLineChars="200"/>
        <w:rPr>
          <w:szCs w:val="21"/>
        </w:rPr>
      </w:pPr>
      <w:r>
        <w:rPr>
          <w:rFonts w:hint="eastAsia" w:ascii="宋体" w:hAnsi="宋体" w:cs="宋体"/>
          <w:szCs w:val="21"/>
          <w:lang w:bidi="ar"/>
        </w:rPr>
        <w:t>中标人在合同生效一周内，应向招标人提交一份详细的工作计划，说明有关设备的制作、运输、安装和测试等具体进度日程。</w:t>
      </w:r>
    </w:p>
    <w:p>
      <w:pPr>
        <w:adjustRightInd w:val="0"/>
        <w:snapToGrid w:val="0"/>
        <w:spacing w:line="360" w:lineRule="auto"/>
        <w:ind w:firstLine="420" w:firstLineChars="200"/>
        <w:rPr>
          <w:szCs w:val="21"/>
        </w:rPr>
      </w:pPr>
      <w:r>
        <w:rPr>
          <w:rFonts w:hint="eastAsia" w:ascii="宋体" w:hAnsi="宋体" w:cs="宋体"/>
          <w:szCs w:val="21"/>
          <w:lang w:bidi="ar"/>
        </w:rPr>
        <w:t>为掌握进度和协调工作，招标人认为需要的话可随时进入现场检查设备制造进度，费用由招标人承担，中标人需配合并提供便利条件。</w:t>
      </w:r>
    </w:p>
    <w:p>
      <w:pPr>
        <w:pStyle w:val="5"/>
        <w:widowControl/>
        <w:numPr>
          <w:ilvl w:val="2"/>
          <w:numId w:val="4"/>
        </w:numPr>
        <w:spacing w:before="156"/>
        <w:rPr>
          <w:szCs w:val="21"/>
        </w:rPr>
      </w:pPr>
      <w:bookmarkStart w:id="766" w:name="_Toc31049"/>
      <w:bookmarkEnd w:id="766"/>
      <w:bookmarkStart w:id="767" w:name="_Toc16662"/>
      <w:r>
        <w:rPr>
          <w:rFonts w:hint="eastAsia" w:ascii="宋体" w:hAnsi="宋体" w:cs="宋体"/>
          <w:szCs w:val="21"/>
        </w:rPr>
        <w:t>质量保证计划：设备制造中的工厂监造、检验与测试</w:t>
      </w:r>
      <w:bookmarkEnd w:id="767"/>
    </w:p>
    <w:p>
      <w:pPr>
        <w:numPr>
          <w:ilvl w:val="0"/>
          <w:numId w:val="7"/>
        </w:numPr>
        <w:adjustRightInd w:val="0"/>
        <w:snapToGrid w:val="0"/>
        <w:spacing w:line="360" w:lineRule="auto"/>
        <w:ind w:firstLine="420" w:firstLineChars="200"/>
        <w:rPr>
          <w:szCs w:val="21"/>
        </w:rPr>
      </w:pPr>
      <w:r>
        <w:rPr>
          <w:rFonts w:hint="eastAsia" w:ascii="宋体" w:hAnsi="宋体" w:cs="宋体"/>
          <w:szCs w:val="21"/>
          <w:lang w:bidi="ar"/>
        </w:rPr>
        <w:t>中标人应对本合同提供的设备制造、运输、安装、试运转建立质量保证计划，并严格按照本招标文件和</w:t>
      </w:r>
      <w:r>
        <w:rPr>
          <w:szCs w:val="21"/>
          <w:lang w:bidi="ar"/>
        </w:rPr>
        <w:t>ISO</w:t>
      </w:r>
      <w:r>
        <w:rPr>
          <w:rFonts w:hint="eastAsia" w:ascii="宋体" w:hAnsi="宋体" w:cs="宋体"/>
          <w:szCs w:val="21"/>
          <w:lang w:bidi="ar"/>
        </w:rPr>
        <w:t>、</w:t>
      </w:r>
      <w:r>
        <w:rPr>
          <w:szCs w:val="21"/>
          <w:lang w:bidi="ar"/>
        </w:rPr>
        <w:t>ICE</w:t>
      </w:r>
      <w:r>
        <w:rPr>
          <w:rFonts w:hint="eastAsia" w:ascii="宋体" w:hAnsi="宋体" w:cs="宋体"/>
          <w:szCs w:val="21"/>
          <w:lang w:bidi="ar"/>
        </w:rPr>
        <w:t>、</w:t>
      </w:r>
      <w:r>
        <w:rPr>
          <w:szCs w:val="21"/>
          <w:lang w:bidi="ar"/>
        </w:rPr>
        <w:t>GB</w:t>
      </w:r>
      <w:r>
        <w:rPr>
          <w:rFonts w:hint="eastAsia" w:ascii="宋体" w:hAnsi="宋体" w:cs="宋体"/>
          <w:szCs w:val="21"/>
          <w:lang w:bidi="ar"/>
        </w:rPr>
        <w:t>标准进行。</w:t>
      </w:r>
    </w:p>
    <w:p>
      <w:pPr>
        <w:numPr>
          <w:ilvl w:val="0"/>
          <w:numId w:val="7"/>
        </w:numPr>
        <w:adjustRightInd w:val="0"/>
        <w:snapToGrid w:val="0"/>
        <w:spacing w:line="360" w:lineRule="auto"/>
        <w:ind w:firstLine="420" w:firstLineChars="200"/>
        <w:rPr>
          <w:szCs w:val="21"/>
        </w:rPr>
      </w:pPr>
      <w:r>
        <w:rPr>
          <w:rFonts w:hint="eastAsia" w:ascii="宋体" w:hAnsi="宋体" w:cs="宋体"/>
          <w:szCs w:val="21"/>
          <w:lang w:bidi="ar"/>
        </w:rPr>
        <w:t>所有质量保证计划应在开始制造之前建立，并在采购合同签订之日起一个月内提供，质量保证计划应成为合同的一个组成部分，中标人和分包供应商必须共同遵守。</w:t>
      </w:r>
    </w:p>
    <w:p>
      <w:pPr>
        <w:numPr>
          <w:ilvl w:val="0"/>
          <w:numId w:val="7"/>
        </w:numPr>
        <w:adjustRightInd w:val="0"/>
        <w:snapToGrid w:val="0"/>
        <w:spacing w:line="360" w:lineRule="auto"/>
        <w:ind w:firstLine="420" w:firstLineChars="200"/>
        <w:rPr>
          <w:szCs w:val="21"/>
        </w:rPr>
      </w:pPr>
      <w:r>
        <w:rPr>
          <w:rFonts w:hint="eastAsia" w:ascii="宋体" w:hAnsi="宋体" w:cs="宋体"/>
          <w:szCs w:val="21"/>
          <w:lang w:bidi="ar"/>
        </w:rPr>
        <w:t>必要时，招标人有权安排到设备制造所在地对设备制造、检验、测试及运行实地考察或监造，也可指派专人到制造厂进行逐台或抽样检验。中标人负责根据需要为招标人在产地的考察、监造或参与设备的检测工作提供便利，对于进口设备，中标人应替招标人办妥入境签证手续并获得进入现场检查、检测和实验的许可证件。前述所需费用不包含在投标总价中，由招标人自行承担。</w:t>
      </w:r>
    </w:p>
    <w:p>
      <w:pPr>
        <w:numPr>
          <w:ilvl w:val="0"/>
          <w:numId w:val="7"/>
        </w:numPr>
        <w:adjustRightInd w:val="0"/>
        <w:snapToGrid w:val="0"/>
        <w:spacing w:line="360" w:lineRule="auto"/>
        <w:ind w:firstLine="420" w:firstLineChars="200"/>
        <w:rPr>
          <w:szCs w:val="21"/>
        </w:rPr>
      </w:pPr>
      <w:r>
        <w:rPr>
          <w:rFonts w:hint="eastAsia" w:ascii="宋体" w:hAnsi="宋体" w:cs="宋体"/>
          <w:szCs w:val="21"/>
          <w:lang w:bidi="ar"/>
        </w:rPr>
        <w:t>设备产地进行的检验和测试不是设备的最后验收。中标人在设备生产测试前向招标人提供检查和测试计划，当设备检查、测试的准备工作就绪，应在测试日的二十五个工作日前书面通知招标人测试日期，当设备需在国外进行测试时中标人应于</w:t>
      </w:r>
      <w:r>
        <w:rPr>
          <w:szCs w:val="21"/>
          <w:lang w:bidi="ar"/>
        </w:rPr>
        <w:t>60</w:t>
      </w:r>
      <w:r>
        <w:rPr>
          <w:rFonts w:hint="eastAsia" w:ascii="宋体" w:hAnsi="宋体" w:cs="宋体"/>
          <w:szCs w:val="21"/>
          <w:lang w:bidi="ar"/>
        </w:rPr>
        <w:t>日前发出书面通知，招标人在设备的成功测试后，得在所有产品合格证的背后盖上</w:t>
      </w:r>
      <w:r>
        <w:rPr>
          <w:szCs w:val="21"/>
          <w:lang w:bidi="ar"/>
        </w:rPr>
        <w:t>“</w:t>
      </w:r>
      <w:r>
        <w:rPr>
          <w:rFonts w:hint="eastAsia" w:ascii="宋体" w:hAnsi="宋体" w:cs="宋体"/>
          <w:szCs w:val="21"/>
          <w:lang w:bidi="ar"/>
        </w:rPr>
        <w:t>符合规格</w:t>
      </w:r>
      <w:r>
        <w:rPr>
          <w:szCs w:val="21"/>
          <w:lang w:bidi="ar"/>
        </w:rPr>
        <w:t>”</w:t>
      </w:r>
      <w:r>
        <w:rPr>
          <w:rFonts w:hint="eastAsia" w:ascii="宋体" w:hAnsi="宋体" w:cs="宋体"/>
          <w:szCs w:val="21"/>
          <w:lang w:bidi="ar"/>
        </w:rPr>
        <w:t>（</w:t>
      </w:r>
      <w:r>
        <w:rPr>
          <w:szCs w:val="21"/>
          <w:lang w:bidi="ar"/>
        </w:rPr>
        <w:t>Conforms with the Specification</w:t>
      </w:r>
      <w:r>
        <w:rPr>
          <w:rFonts w:hint="eastAsia" w:ascii="宋体" w:hAnsi="宋体" w:cs="宋体"/>
          <w:szCs w:val="21"/>
          <w:lang w:bidi="ar"/>
        </w:rPr>
        <w:t>）印章。如果在规定时间内招标人代表不能到场，中标人在事先书面通知招标人并经招标人书面同意后方可自行完成检查和测试工作；未经招标人书面同意，中标人不得擅自进行测试工作，否则招标人有权拒绝承认中标人的测试结果。上述程序完成后，中标人应于</w:t>
      </w:r>
      <w:r>
        <w:rPr>
          <w:szCs w:val="21"/>
          <w:lang w:bidi="ar"/>
        </w:rPr>
        <w:t>3</w:t>
      </w:r>
      <w:r>
        <w:rPr>
          <w:rFonts w:hint="eastAsia" w:ascii="宋体" w:hAnsi="宋体" w:cs="宋体"/>
          <w:szCs w:val="21"/>
          <w:lang w:bidi="ar"/>
        </w:rPr>
        <w:t>日内给招标人邮寄</w:t>
      </w:r>
      <w:r>
        <w:rPr>
          <w:szCs w:val="21"/>
          <w:lang w:bidi="ar"/>
        </w:rPr>
        <w:t>5</w:t>
      </w:r>
      <w:r>
        <w:rPr>
          <w:rFonts w:hint="eastAsia" w:ascii="宋体" w:hAnsi="宋体" w:cs="宋体"/>
          <w:szCs w:val="21"/>
          <w:lang w:bidi="ar"/>
        </w:rPr>
        <w:t>份附有具体测试结果的合格证书，并保证招标人于</w:t>
      </w:r>
      <w:r>
        <w:rPr>
          <w:szCs w:val="21"/>
          <w:lang w:bidi="ar"/>
        </w:rPr>
        <w:t>7</w:t>
      </w:r>
      <w:r>
        <w:rPr>
          <w:rFonts w:hint="eastAsia" w:ascii="宋体" w:hAnsi="宋体" w:cs="宋体"/>
          <w:szCs w:val="21"/>
          <w:lang w:bidi="ar"/>
        </w:rPr>
        <w:t>日内收到该报告，中标人应保证前述文件的合法性、真实性、准确性。如果尚无技术条件完成测试工作的，中标人应将相应工作安排到具有测试条件和相应资质的单位进行，相关费用由中标人承担。</w:t>
      </w:r>
    </w:p>
    <w:p>
      <w:pPr>
        <w:numPr>
          <w:ilvl w:val="0"/>
          <w:numId w:val="7"/>
        </w:numPr>
        <w:adjustRightInd w:val="0"/>
        <w:snapToGrid w:val="0"/>
        <w:spacing w:line="360" w:lineRule="auto"/>
        <w:ind w:firstLine="420" w:firstLineChars="200"/>
        <w:rPr>
          <w:szCs w:val="21"/>
        </w:rPr>
      </w:pPr>
      <w:r>
        <w:rPr>
          <w:rFonts w:hint="eastAsia" w:ascii="宋体" w:hAnsi="宋体" w:cs="宋体"/>
          <w:szCs w:val="21"/>
          <w:lang w:bidi="ar"/>
        </w:rPr>
        <w:t>第三方单位出具的检验结论和记录的原件应提交招标人书面确认，如检验、检测不符本技术要求而引起的时间延误，不得作为工期延误的免责理由，中标人应自行承担相关责任。</w:t>
      </w:r>
    </w:p>
    <w:p>
      <w:pPr>
        <w:pStyle w:val="5"/>
        <w:widowControl/>
        <w:numPr>
          <w:ilvl w:val="2"/>
          <w:numId w:val="4"/>
        </w:numPr>
        <w:rPr>
          <w:szCs w:val="21"/>
        </w:rPr>
      </w:pPr>
      <w:bookmarkStart w:id="768" w:name="_Toc8195"/>
      <w:bookmarkEnd w:id="768"/>
      <w:bookmarkStart w:id="769" w:name="_Toc23166"/>
      <w:r>
        <w:rPr>
          <w:rFonts w:hint="eastAsia" w:ascii="宋体" w:hAnsi="宋体" w:cs="宋体"/>
          <w:szCs w:val="21"/>
        </w:rPr>
        <w:t>材料和设备</w:t>
      </w:r>
      <w:bookmarkEnd w:id="769"/>
    </w:p>
    <w:p>
      <w:pPr>
        <w:numPr>
          <w:ilvl w:val="0"/>
          <w:numId w:val="8"/>
        </w:numPr>
        <w:adjustRightInd w:val="0"/>
        <w:snapToGrid w:val="0"/>
        <w:spacing w:line="360" w:lineRule="auto"/>
        <w:ind w:firstLine="420" w:firstLineChars="200"/>
        <w:rPr>
          <w:szCs w:val="21"/>
        </w:rPr>
      </w:pPr>
      <w:r>
        <w:rPr>
          <w:rFonts w:hint="eastAsia" w:ascii="宋体" w:hAnsi="宋体" w:cs="宋体"/>
          <w:szCs w:val="21"/>
          <w:lang w:bidi="ar"/>
        </w:rPr>
        <w:t>材料</w:t>
      </w:r>
    </w:p>
    <w:p>
      <w:pPr>
        <w:adjustRightInd w:val="0"/>
        <w:snapToGrid w:val="0"/>
        <w:spacing w:line="360" w:lineRule="auto"/>
        <w:ind w:firstLine="420" w:firstLineChars="200"/>
        <w:rPr>
          <w:szCs w:val="21"/>
        </w:rPr>
      </w:pPr>
      <w:r>
        <w:rPr>
          <w:szCs w:val="21"/>
          <w:lang w:bidi="ar"/>
        </w:rPr>
        <w:t>“</w:t>
      </w:r>
      <w:r>
        <w:rPr>
          <w:rFonts w:hint="eastAsia" w:ascii="宋体" w:hAnsi="宋体" w:cs="宋体"/>
          <w:szCs w:val="21"/>
          <w:lang w:bidi="ar"/>
        </w:rPr>
        <w:t>材料</w:t>
      </w:r>
      <w:r>
        <w:rPr>
          <w:szCs w:val="21"/>
          <w:lang w:bidi="ar"/>
        </w:rPr>
        <w:t>”</w:t>
      </w:r>
      <w:r>
        <w:rPr>
          <w:rFonts w:hint="eastAsia" w:ascii="宋体" w:hAnsi="宋体" w:cs="宋体"/>
          <w:szCs w:val="21"/>
          <w:lang w:bidi="ar"/>
        </w:rPr>
        <w:t>是指所有用于工程的建筑材料、货物和各种物品，不论是天然的、加工的和制造的以及工程中的各种类型的设备和装置。</w:t>
      </w:r>
    </w:p>
    <w:p>
      <w:pPr>
        <w:adjustRightInd w:val="0"/>
        <w:snapToGrid w:val="0"/>
        <w:spacing w:line="360" w:lineRule="auto"/>
        <w:ind w:firstLine="420" w:firstLineChars="200"/>
        <w:rPr>
          <w:szCs w:val="21"/>
        </w:rPr>
      </w:pPr>
      <w:r>
        <w:rPr>
          <w:rFonts w:hint="eastAsia" w:ascii="宋体" w:hAnsi="宋体" w:cs="宋体"/>
          <w:szCs w:val="21"/>
          <w:lang w:bidi="ar"/>
        </w:rPr>
        <w:t>全部材料必须是新的，其类型和质量应符合招标文件的要求，在具备同等质量的品牌材料替代时需经招标人及设计人同意，但不能因此延长工期。</w:t>
      </w:r>
    </w:p>
    <w:p>
      <w:pPr>
        <w:adjustRightInd w:val="0"/>
        <w:snapToGrid w:val="0"/>
        <w:spacing w:line="360" w:lineRule="auto"/>
        <w:ind w:firstLine="525" w:firstLineChars="250"/>
        <w:rPr>
          <w:szCs w:val="21"/>
        </w:rPr>
      </w:pPr>
      <w:r>
        <w:rPr>
          <w:rFonts w:hint="eastAsia" w:ascii="宋体" w:hAnsi="宋体" w:cs="宋体"/>
          <w:szCs w:val="21"/>
          <w:lang w:bidi="ar"/>
        </w:rPr>
        <w:t>招标人有权对任何材料和设备在任何时间和地点进行检验和测试，如果所检验和测试的材料符合质量规定，则检验和测试费用由招标人承担，如不符合则此费用由中标人承担。</w:t>
      </w:r>
    </w:p>
    <w:p>
      <w:pPr>
        <w:numPr>
          <w:ilvl w:val="0"/>
          <w:numId w:val="8"/>
        </w:numPr>
        <w:adjustRightInd w:val="0"/>
        <w:snapToGrid w:val="0"/>
        <w:spacing w:line="360" w:lineRule="auto"/>
        <w:ind w:firstLine="420" w:firstLineChars="200"/>
        <w:rPr>
          <w:szCs w:val="21"/>
        </w:rPr>
      </w:pPr>
      <w:r>
        <w:rPr>
          <w:rFonts w:hint="eastAsia" w:ascii="宋体" w:hAnsi="宋体" w:cs="宋体"/>
          <w:szCs w:val="21"/>
          <w:lang w:bidi="ar"/>
        </w:rPr>
        <w:t>设备</w:t>
      </w:r>
    </w:p>
    <w:p>
      <w:pPr>
        <w:adjustRightInd w:val="0"/>
        <w:snapToGrid w:val="0"/>
        <w:spacing w:line="360" w:lineRule="auto"/>
        <w:ind w:firstLine="420" w:firstLineChars="200"/>
        <w:rPr>
          <w:szCs w:val="21"/>
        </w:rPr>
      </w:pPr>
      <w:r>
        <w:rPr>
          <w:szCs w:val="21"/>
          <w:lang w:bidi="ar"/>
        </w:rPr>
        <w:t>“</w:t>
      </w:r>
      <w:r>
        <w:rPr>
          <w:rFonts w:hint="eastAsia" w:ascii="宋体" w:hAnsi="宋体" w:cs="宋体"/>
          <w:szCs w:val="21"/>
          <w:lang w:bidi="ar"/>
        </w:rPr>
        <w:t>设备</w:t>
      </w:r>
      <w:r>
        <w:rPr>
          <w:szCs w:val="21"/>
          <w:lang w:bidi="ar"/>
        </w:rPr>
        <w:t>”</w:t>
      </w:r>
      <w:r>
        <w:rPr>
          <w:rFonts w:hint="eastAsia" w:ascii="宋体" w:hAnsi="宋体" w:cs="宋体"/>
          <w:szCs w:val="21"/>
          <w:lang w:bidi="ar"/>
        </w:rPr>
        <w:t>是指用于工程的所有设备，不论是在制造厂制造的或是在现场加工的，设备包括机械设备、电气设备、仪表和控制设备、检测和测试仪器仪表等。</w:t>
      </w:r>
    </w:p>
    <w:p>
      <w:pPr>
        <w:pStyle w:val="5"/>
        <w:widowControl/>
        <w:numPr>
          <w:ilvl w:val="2"/>
          <w:numId w:val="4"/>
        </w:numPr>
        <w:spacing w:before="156"/>
        <w:rPr>
          <w:szCs w:val="21"/>
        </w:rPr>
      </w:pPr>
      <w:bookmarkStart w:id="770" w:name="_Toc2197"/>
      <w:bookmarkEnd w:id="770"/>
      <w:bookmarkStart w:id="771" w:name="_Toc17164"/>
      <w:r>
        <w:rPr>
          <w:rFonts w:hint="eastAsia" w:ascii="宋体" w:hAnsi="宋体" w:cs="宋体"/>
          <w:szCs w:val="21"/>
        </w:rPr>
        <w:t>包装、标志、运输和开箱验收</w:t>
      </w:r>
      <w:bookmarkEnd w:id="771"/>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）包装和标志</w:t>
      </w:r>
    </w:p>
    <w:p>
      <w:pPr>
        <w:adjustRightInd w:val="0"/>
        <w:snapToGrid w:val="0"/>
        <w:spacing w:line="360" w:lineRule="auto"/>
        <w:ind w:firstLine="420" w:firstLineChars="200"/>
        <w:rPr>
          <w:szCs w:val="21"/>
        </w:rPr>
      </w:pPr>
      <w:r>
        <w:rPr>
          <w:rFonts w:hint="eastAsia" w:ascii="宋体" w:hAnsi="宋体" w:cs="宋体"/>
          <w:szCs w:val="21"/>
          <w:lang w:bidi="ar"/>
        </w:rPr>
        <w:t>凡设备上需涂油漆部分均需按规定进行处理，会腐蚀的未涂油漆的部分须用高熔点油脂或无酸牛脂或用其它保护剂涂抹，上述这些保护剂在设备安装期间或在安装后是易于抹去的。</w:t>
      </w:r>
    </w:p>
    <w:p>
      <w:pPr>
        <w:adjustRightInd w:val="0"/>
        <w:snapToGrid w:val="0"/>
        <w:spacing w:line="360" w:lineRule="auto"/>
        <w:ind w:firstLine="420" w:firstLineChars="200"/>
        <w:rPr>
          <w:szCs w:val="21"/>
        </w:rPr>
      </w:pPr>
      <w:r>
        <w:rPr>
          <w:rFonts w:hint="eastAsia" w:ascii="宋体" w:hAnsi="宋体" w:cs="宋体"/>
          <w:szCs w:val="21"/>
          <w:lang w:bidi="ar"/>
        </w:rPr>
        <w:t>对所有电气设备应采取令招标人满意的恰当的防腐防损措施。所有设备的包装须经得起陆上或海上的运输、搬运和露天存放。中标人应对包装设备负责，使其到达目的地后完整无缺。在到达目的地后一年的适当存贮期间不锈不蚀。</w:t>
      </w:r>
    </w:p>
    <w:p>
      <w:pPr>
        <w:adjustRightInd w:val="0"/>
        <w:snapToGrid w:val="0"/>
        <w:spacing w:line="360" w:lineRule="auto"/>
        <w:ind w:firstLine="420" w:firstLineChars="200"/>
        <w:rPr>
          <w:szCs w:val="21"/>
        </w:rPr>
      </w:pPr>
      <w:r>
        <w:rPr>
          <w:rFonts w:hint="eastAsia" w:ascii="宋体" w:hAnsi="宋体" w:cs="宋体"/>
          <w:szCs w:val="21"/>
          <w:lang w:bidi="ar"/>
        </w:rPr>
        <w:t>所有包装箱上应正确地标上下列内容：</w:t>
      </w:r>
    </w:p>
    <w:p>
      <w:pPr>
        <w:adjustRightInd w:val="0"/>
        <w:snapToGrid w:val="0"/>
        <w:spacing w:line="360" w:lineRule="auto"/>
        <w:ind w:firstLine="420" w:firstLineChars="200"/>
        <w:rPr>
          <w:szCs w:val="21"/>
        </w:rPr>
      </w:pPr>
      <w:r>
        <w:rPr>
          <w:szCs w:val="21"/>
          <w:lang w:bidi="ar"/>
        </w:rPr>
        <w:t>A.</w:t>
      </w:r>
      <w:r>
        <w:rPr>
          <w:rFonts w:hint="eastAsia" w:ascii="宋体" w:hAnsi="宋体" w:cs="宋体"/>
          <w:szCs w:val="21"/>
          <w:lang w:bidi="ar"/>
        </w:rPr>
        <w:t>合同号。</w:t>
      </w:r>
    </w:p>
    <w:p>
      <w:pPr>
        <w:adjustRightInd w:val="0"/>
        <w:snapToGrid w:val="0"/>
        <w:spacing w:line="360" w:lineRule="auto"/>
        <w:ind w:firstLine="420" w:firstLineChars="200"/>
        <w:rPr>
          <w:szCs w:val="21"/>
        </w:rPr>
      </w:pPr>
      <w:r>
        <w:rPr>
          <w:szCs w:val="21"/>
          <w:lang w:bidi="ar"/>
        </w:rPr>
        <w:t>B.</w:t>
      </w:r>
      <w:r>
        <w:rPr>
          <w:rFonts w:hint="eastAsia" w:ascii="宋体" w:hAnsi="宋体" w:cs="宋体"/>
          <w:szCs w:val="21"/>
          <w:lang w:bidi="ar"/>
        </w:rPr>
        <w:t>设备及备件的名称、代号、型号、数量。</w:t>
      </w:r>
    </w:p>
    <w:p>
      <w:pPr>
        <w:adjustRightInd w:val="0"/>
        <w:snapToGrid w:val="0"/>
        <w:spacing w:line="360" w:lineRule="auto"/>
        <w:ind w:firstLine="420" w:firstLineChars="200"/>
        <w:rPr>
          <w:szCs w:val="21"/>
        </w:rPr>
      </w:pPr>
      <w:r>
        <w:rPr>
          <w:szCs w:val="21"/>
          <w:lang w:bidi="ar"/>
        </w:rPr>
        <w:t>C.</w:t>
      </w:r>
      <w:r>
        <w:rPr>
          <w:rFonts w:hint="eastAsia" w:ascii="宋体" w:hAnsi="宋体" w:cs="宋体"/>
          <w:szCs w:val="21"/>
          <w:lang w:bidi="ar"/>
        </w:rPr>
        <w:t>设备安装地名称。</w:t>
      </w:r>
    </w:p>
    <w:p>
      <w:pPr>
        <w:adjustRightInd w:val="0"/>
        <w:snapToGrid w:val="0"/>
        <w:spacing w:line="360" w:lineRule="auto"/>
        <w:ind w:firstLine="420" w:firstLineChars="200"/>
        <w:rPr>
          <w:szCs w:val="21"/>
        </w:rPr>
      </w:pPr>
      <w:r>
        <w:rPr>
          <w:szCs w:val="21"/>
          <w:lang w:bidi="ar"/>
        </w:rPr>
        <w:t>D.</w:t>
      </w:r>
      <w:r>
        <w:rPr>
          <w:rFonts w:hint="eastAsia" w:ascii="宋体" w:hAnsi="宋体" w:cs="宋体"/>
          <w:szCs w:val="21"/>
          <w:lang w:bidi="ar"/>
        </w:rPr>
        <w:t>通用的商务标志。</w:t>
      </w:r>
    </w:p>
    <w:p>
      <w:pPr>
        <w:adjustRightInd w:val="0"/>
        <w:snapToGrid w:val="0"/>
        <w:spacing w:line="360" w:lineRule="auto"/>
        <w:ind w:firstLine="420" w:firstLineChars="200"/>
        <w:rPr>
          <w:szCs w:val="21"/>
        </w:rPr>
      </w:pPr>
      <w:r>
        <w:rPr>
          <w:rFonts w:hint="eastAsia" w:ascii="宋体" w:hAnsi="宋体" w:cs="宋体"/>
          <w:szCs w:val="21"/>
          <w:lang w:bidi="ar"/>
        </w:rPr>
        <w:t>内有危险品或易碎物品的包装箱应按当地或国际惯例对待。</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）交货地点</w:t>
      </w:r>
    </w:p>
    <w:p>
      <w:pPr>
        <w:adjustRightInd w:val="0"/>
        <w:snapToGrid w:val="0"/>
        <w:spacing w:line="360" w:lineRule="auto"/>
        <w:ind w:firstLine="420" w:firstLineChars="200"/>
        <w:rPr>
          <w:szCs w:val="21"/>
        </w:rPr>
      </w:pPr>
      <w:r>
        <w:rPr>
          <w:szCs w:val="21"/>
          <w:lang w:bidi="ar"/>
        </w:rPr>
        <w:t>★</w:t>
      </w:r>
      <w:r>
        <w:rPr>
          <w:rFonts w:hint="eastAsia" w:ascii="宋体" w:hAnsi="宋体" w:cs="宋体"/>
          <w:b/>
          <w:bCs/>
          <w:szCs w:val="21"/>
          <w:lang w:bidi="ar"/>
        </w:rPr>
        <w:t>本项目所有的设备交货地点</w:t>
      </w:r>
      <w:r>
        <w:rPr>
          <w:rFonts w:hint="eastAsia"/>
          <w:b/>
          <w:bCs/>
          <w:szCs w:val="21"/>
        </w:rPr>
        <w:t>分别</w:t>
      </w:r>
      <w:r>
        <w:rPr>
          <w:rFonts w:hint="eastAsia" w:ascii="宋体" w:hAnsi="宋体" w:cs="宋体"/>
          <w:b/>
          <w:bCs/>
          <w:szCs w:val="21"/>
          <w:lang w:bidi="ar"/>
        </w:rPr>
        <w:t>为</w:t>
      </w:r>
      <w:r>
        <w:rPr>
          <w:rFonts w:hint="eastAsia" w:ascii="宋体" w:hAnsi="宋体" w:cs="宋体"/>
          <w:b/>
          <w:szCs w:val="21"/>
          <w:lang w:bidi="ar"/>
        </w:rPr>
        <w:t>东莞市</w:t>
      </w:r>
      <w:r>
        <w:rPr>
          <w:rFonts w:hint="eastAsia" w:ascii="宋体" w:hAnsi="宋体" w:cs="宋体"/>
          <w:b/>
          <w:bCs/>
          <w:szCs w:val="21"/>
          <w:lang w:bidi="ar"/>
        </w:rPr>
        <w:t>沙田福禄沙</w:t>
      </w:r>
      <w:r>
        <w:rPr>
          <w:rFonts w:hint="eastAsia" w:ascii="宋体" w:hAnsi="宋体" w:cs="宋体"/>
          <w:b/>
          <w:szCs w:val="21"/>
          <w:lang w:bidi="ar"/>
        </w:rPr>
        <w:t>污水处理厂二期工程、东莞市</w:t>
      </w:r>
      <w:r>
        <w:rPr>
          <w:rFonts w:hint="eastAsia" w:ascii="宋体" w:hAnsi="宋体" w:cs="宋体"/>
          <w:b/>
          <w:bCs/>
          <w:szCs w:val="21"/>
          <w:lang w:bidi="ar"/>
        </w:rPr>
        <w:t>清溪厦坭</w:t>
      </w:r>
      <w:r>
        <w:rPr>
          <w:rFonts w:hint="eastAsia" w:ascii="宋体" w:hAnsi="宋体" w:cs="宋体"/>
          <w:b/>
          <w:szCs w:val="21"/>
          <w:lang w:bidi="ar"/>
        </w:rPr>
        <w:t>污水处理厂二期工程、东莞市</w:t>
      </w:r>
      <w:r>
        <w:rPr>
          <w:rFonts w:hint="eastAsia" w:ascii="宋体" w:hAnsi="宋体" w:cs="宋体"/>
          <w:b/>
          <w:bCs/>
          <w:szCs w:val="21"/>
          <w:lang w:bidi="ar"/>
        </w:rPr>
        <w:t>黄江梅塘南部</w:t>
      </w:r>
      <w:r>
        <w:rPr>
          <w:rFonts w:hint="eastAsia" w:ascii="宋体" w:hAnsi="宋体" w:cs="宋体"/>
          <w:b/>
          <w:szCs w:val="21"/>
          <w:lang w:bidi="ar"/>
        </w:rPr>
        <w:t>污水处理厂</w:t>
      </w:r>
      <w:r>
        <w:rPr>
          <w:rFonts w:hint="eastAsia" w:ascii="宋体" w:hAnsi="宋体" w:cs="宋体"/>
          <w:b/>
          <w:bCs/>
          <w:szCs w:val="21"/>
          <w:lang w:bidi="ar"/>
        </w:rPr>
        <w:t>一期工程、东莞市凤岗竹塘污水处理厂三</w:t>
      </w:r>
      <w:r>
        <w:rPr>
          <w:rFonts w:hint="eastAsia" w:ascii="宋体" w:hAnsi="宋体" w:cs="宋体"/>
          <w:b/>
          <w:szCs w:val="21"/>
          <w:lang w:bidi="ar"/>
        </w:rPr>
        <w:t>期工程</w:t>
      </w:r>
      <w:r>
        <w:rPr>
          <w:rFonts w:hint="eastAsia" w:ascii="宋体" w:hAnsi="宋体" w:cs="宋体"/>
          <w:b/>
          <w:bCs/>
          <w:szCs w:val="21"/>
          <w:lang w:bidi="ar"/>
        </w:rPr>
        <w:t>工地现场招标人指定地点。</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）运输</w:t>
      </w:r>
    </w:p>
    <w:p>
      <w:pPr>
        <w:adjustRightInd w:val="0"/>
        <w:snapToGrid w:val="0"/>
        <w:spacing w:line="360" w:lineRule="auto"/>
        <w:ind w:firstLine="420" w:firstLineChars="200"/>
        <w:rPr>
          <w:szCs w:val="21"/>
        </w:rPr>
      </w:pPr>
      <w:r>
        <w:rPr>
          <w:szCs w:val="21"/>
          <w:lang w:bidi="ar"/>
        </w:rPr>
        <w:t>★</w:t>
      </w:r>
      <w:r>
        <w:rPr>
          <w:rFonts w:hint="eastAsia" w:ascii="宋体" w:hAnsi="宋体" w:cs="宋体"/>
          <w:b/>
          <w:bCs/>
          <w:szCs w:val="21"/>
          <w:lang w:bidi="ar"/>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r>
        <w:rPr>
          <w:rFonts w:hint="eastAsia" w:ascii="宋体" w:hAnsi="宋体" w:cs="宋体"/>
          <w:szCs w:val="21"/>
          <w:lang w:bidi="ar"/>
        </w:rPr>
        <w:t>。</w:t>
      </w:r>
    </w:p>
    <w:p>
      <w:pPr>
        <w:adjustRightInd w:val="0"/>
        <w:snapToGrid w:val="0"/>
        <w:spacing w:line="360" w:lineRule="auto"/>
        <w:ind w:firstLine="420" w:firstLineChars="200"/>
        <w:rPr>
          <w:szCs w:val="21"/>
        </w:rPr>
      </w:pPr>
      <w:r>
        <w:rPr>
          <w:rFonts w:hint="eastAsia" w:ascii="宋体" w:hAnsi="宋体" w:cs="宋体"/>
          <w:szCs w:val="21"/>
          <w:lang w:bidi="ar"/>
        </w:rPr>
        <w:t>中标人对任何招标人不予接收的存在缺损或不符合技术文件规定的设备或有关机件、附件，应立即运走，予以更换。</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）开箱验收</w:t>
      </w:r>
    </w:p>
    <w:p>
      <w:pPr>
        <w:adjustRightInd w:val="0"/>
        <w:snapToGrid w:val="0"/>
        <w:spacing w:line="360" w:lineRule="auto"/>
        <w:ind w:firstLine="420" w:firstLineChars="200"/>
        <w:rPr>
          <w:szCs w:val="21"/>
        </w:rPr>
      </w:pPr>
      <w:r>
        <w:rPr>
          <w:rFonts w:hint="eastAsia" w:ascii="宋体" w:hAnsi="宋体" w:cs="宋体"/>
          <w:szCs w:val="21"/>
          <w:lang w:bidi="ar"/>
        </w:rPr>
        <w:t>具备完整的装箱单，除保证设备完好外，还应该按照本用户需求书第四节的要求提供资料。</w:t>
      </w:r>
    </w:p>
    <w:p>
      <w:pPr>
        <w:pStyle w:val="5"/>
        <w:widowControl/>
        <w:numPr>
          <w:ilvl w:val="2"/>
          <w:numId w:val="4"/>
        </w:numPr>
        <w:spacing w:before="156"/>
        <w:rPr>
          <w:szCs w:val="21"/>
        </w:rPr>
      </w:pPr>
      <w:bookmarkStart w:id="772" w:name="_Toc11795"/>
      <w:bookmarkEnd w:id="772"/>
      <w:bookmarkStart w:id="773" w:name="_Toc8774"/>
      <w:r>
        <w:rPr>
          <w:rFonts w:hint="eastAsia" w:ascii="宋体" w:hAnsi="宋体" w:cs="宋体"/>
          <w:szCs w:val="21"/>
        </w:rPr>
        <w:t>设备安装及调试</w:t>
      </w:r>
      <w:bookmarkEnd w:id="773"/>
    </w:p>
    <w:p>
      <w:pPr>
        <w:adjustRightInd w:val="0"/>
        <w:snapToGrid w:val="0"/>
        <w:spacing w:line="360" w:lineRule="auto"/>
        <w:ind w:firstLine="420" w:firstLineChars="200"/>
        <w:rPr>
          <w:szCs w:val="21"/>
        </w:rPr>
      </w:pPr>
      <w:r>
        <w:rPr>
          <w:rFonts w:hint="eastAsia" w:ascii="宋体" w:hAnsi="宋体" w:cs="宋体"/>
          <w:szCs w:val="21"/>
          <w:lang w:bidi="ar"/>
        </w:rPr>
        <w:t>中标人应派专业技术人员到现场，进行设备、配套连接管道、电气等的安装，在招标人的组织安排下，负责完成单机机械试车、指导及配合联合试运转、性能考核的技术工作。另外，设备控制系统（含仪表）由中标人自行调试。</w:t>
      </w:r>
    </w:p>
    <w:p>
      <w:pPr>
        <w:adjustRightInd w:val="0"/>
        <w:snapToGrid w:val="0"/>
        <w:spacing w:line="360" w:lineRule="auto"/>
        <w:ind w:firstLine="422" w:firstLineChars="200"/>
        <w:rPr>
          <w:b/>
          <w:szCs w:val="21"/>
        </w:rPr>
      </w:pPr>
      <w:r>
        <w:rPr>
          <w:b/>
          <w:szCs w:val="21"/>
          <w:lang w:bidi="ar"/>
        </w:rPr>
        <w:t>★</w:t>
      </w:r>
      <w:r>
        <w:rPr>
          <w:rFonts w:hint="eastAsia" w:ascii="宋体" w:hAnsi="宋体" w:cs="宋体"/>
          <w:b/>
          <w:bCs/>
          <w:szCs w:val="21"/>
          <w:lang w:bidi="ar"/>
        </w:rPr>
        <w:t>上述的技术服务费已包含在投标报价中。</w:t>
      </w:r>
    </w:p>
    <w:p>
      <w:pPr>
        <w:pStyle w:val="5"/>
        <w:widowControl/>
        <w:numPr>
          <w:ilvl w:val="2"/>
          <w:numId w:val="4"/>
        </w:numPr>
        <w:spacing w:before="156"/>
        <w:rPr>
          <w:szCs w:val="21"/>
        </w:rPr>
      </w:pPr>
      <w:bookmarkStart w:id="774" w:name="_Toc32684"/>
      <w:bookmarkEnd w:id="774"/>
      <w:bookmarkStart w:id="775" w:name="_Toc21595"/>
      <w:r>
        <w:rPr>
          <w:rFonts w:hint="eastAsia" w:ascii="宋体" w:hAnsi="宋体" w:cs="宋体"/>
          <w:szCs w:val="21"/>
        </w:rPr>
        <w:t>人员培训</w:t>
      </w:r>
      <w:bookmarkEnd w:id="775"/>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）中标人所在地的考察和招标人所在地及工地现场培训</w:t>
      </w:r>
    </w:p>
    <w:p>
      <w:pPr>
        <w:adjustRightInd w:val="0"/>
        <w:snapToGrid w:val="0"/>
        <w:spacing w:line="360" w:lineRule="auto"/>
        <w:ind w:firstLine="420" w:firstLineChars="200"/>
        <w:rPr>
          <w:szCs w:val="21"/>
        </w:rPr>
      </w:pPr>
      <w:r>
        <w:rPr>
          <w:szCs w:val="21"/>
          <w:lang w:bidi="ar"/>
        </w:rPr>
        <w:t>A.</w:t>
      </w:r>
      <w:r>
        <w:rPr>
          <w:rFonts w:hint="eastAsia" w:ascii="宋体" w:hAnsi="宋体" w:cs="宋体"/>
          <w:szCs w:val="21"/>
          <w:lang w:bidi="ar"/>
        </w:rPr>
        <w:t>中标人应按照经招标人批准的培训计划对项目业主或招标人所指派的工作人员进行有关合同内设备的测试、操作和维修方面的培训，使其能对合同内所有设备的特性、结构、操作和维修要求获得充分的了解和掌握。</w:t>
      </w:r>
    </w:p>
    <w:p>
      <w:pPr>
        <w:adjustRightInd w:val="0"/>
        <w:snapToGrid w:val="0"/>
        <w:spacing w:line="360" w:lineRule="auto"/>
        <w:ind w:firstLine="420" w:firstLineChars="200"/>
        <w:rPr>
          <w:szCs w:val="21"/>
        </w:rPr>
      </w:pPr>
      <w:r>
        <w:rPr>
          <w:szCs w:val="21"/>
          <w:lang w:bidi="ar"/>
        </w:rPr>
        <w:t>B.</w:t>
      </w:r>
      <w:r>
        <w:rPr>
          <w:rFonts w:hint="eastAsia" w:ascii="宋体" w:hAnsi="宋体" w:cs="宋体"/>
          <w:szCs w:val="21"/>
          <w:lang w:bidi="ar"/>
        </w:rPr>
        <w:t>进口设备由外籍技术人员给项目业主或招标人技术人员进行培训时，中标人必须聘请专业的翻译人员，并提供相关的中英文资料。</w:t>
      </w:r>
    </w:p>
    <w:p>
      <w:pPr>
        <w:adjustRightInd w:val="0"/>
        <w:snapToGrid w:val="0"/>
        <w:spacing w:line="360" w:lineRule="auto"/>
        <w:ind w:firstLine="420" w:firstLineChars="200"/>
        <w:rPr>
          <w:szCs w:val="21"/>
        </w:rPr>
      </w:pPr>
      <w:r>
        <w:rPr>
          <w:rFonts w:hint="eastAsia" w:ascii="宋体" w:hAnsi="宋体" w:cs="宋体"/>
          <w:szCs w:val="21"/>
          <w:lang w:bidi="ar"/>
        </w:rPr>
        <w:t>上述培训费用包含在投标报价总价内，并提供培训计划。</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）现场培训</w:t>
      </w:r>
    </w:p>
    <w:p>
      <w:pPr>
        <w:adjustRightInd w:val="0"/>
        <w:snapToGrid w:val="0"/>
        <w:spacing w:line="360" w:lineRule="auto"/>
        <w:ind w:firstLine="420" w:firstLineChars="200"/>
        <w:rPr>
          <w:szCs w:val="21"/>
        </w:rPr>
      </w:pPr>
      <w:r>
        <w:rPr>
          <w:rFonts w:hint="eastAsia" w:ascii="宋体" w:hAnsi="宋体" w:cs="宋体"/>
          <w:szCs w:val="21"/>
          <w:lang w:bidi="ar"/>
        </w:rPr>
        <w:t>现场培训是在安装、试运转和检测期间，中标人派专人对操作工人培训，务必使这些受训人员能胜任这些设备的运行和维护工作。</w:t>
      </w:r>
    </w:p>
    <w:p>
      <w:pPr>
        <w:adjustRightInd w:val="0"/>
        <w:snapToGrid w:val="0"/>
        <w:spacing w:line="360" w:lineRule="auto"/>
        <w:ind w:firstLine="420" w:firstLineChars="200"/>
        <w:rPr>
          <w:szCs w:val="21"/>
        </w:rPr>
      </w:pPr>
      <w:r>
        <w:rPr>
          <w:rFonts w:hint="eastAsia" w:ascii="宋体" w:hAnsi="宋体" w:cs="宋体"/>
          <w:szCs w:val="21"/>
          <w:lang w:bidi="ar"/>
        </w:rPr>
        <w:t>现场培训费用已包含投标总价中。</w:t>
      </w:r>
    </w:p>
    <w:p>
      <w:pPr>
        <w:pStyle w:val="5"/>
        <w:widowControl/>
        <w:numPr>
          <w:ilvl w:val="2"/>
          <w:numId w:val="4"/>
        </w:numPr>
        <w:spacing w:before="156"/>
        <w:rPr>
          <w:szCs w:val="21"/>
        </w:rPr>
      </w:pPr>
      <w:bookmarkStart w:id="776" w:name="_Toc26006"/>
      <w:bookmarkEnd w:id="776"/>
      <w:bookmarkStart w:id="777" w:name="_Toc16254"/>
      <w:r>
        <w:rPr>
          <w:rFonts w:hint="eastAsia" w:ascii="宋体" w:hAnsi="宋体" w:cs="宋体"/>
          <w:szCs w:val="21"/>
        </w:rPr>
        <w:t>质保期工作</w:t>
      </w:r>
      <w:bookmarkEnd w:id="777"/>
    </w:p>
    <w:p>
      <w:pPr>
        <w:adjustRightInd w:val="0"/>
        <w:snapToGrid w:val="0"/>
        <w:spacing w:line="360" w:lineRule="auto"/>
        <w:ind w:firstLine="420" w:firstLineChars="200"/>
        <w:rPr>
          <w:szCs w:val="21"/>
        </w:rPr>
      </w:pPr>
      <w:r>
        <w:rPr>
          <w:szCs w:val="21"/>
          <w:lang w:bidi="ar"/>
        </w:rPr>
        <w:t>★</w:t>
      </w:r>
      <w:r>
        <w:rPr>
          <w:rFonts w:hint="eastAsia" w:ascii="宋体" w:hAnsi="宋体" w:cs="宋体"/>
          <w:szCs w:val="21"/>
          <w:lang w:bidi="ar"/>
        </w:rPr>
        <w:t>（</w:t>
      </w:r>
      <w:r>
        <w:rPr>
          <w:szCs w:val="21"/>
          <w:lang w:bidi="ar"/>
        </w:rPr>
        <w:t>1</w:t>
      </w:r>
      <w:r>
        <w:rPr>
          <w:rFonts w:hint="eastAsia" w:ascii="宋体" w:hAnsi="宋体" w:cs="宋体"/>
          <w:szCs w:val="21"/>
          <w:lang w:bidi="ar"/>
        </w:rPr>
        <w:t>）</w:t>
      </w:r>
      <w:r>
        <w:rPr>
          <w:rFonts w:hint="eastAsia" w:ascii="宋体" w:hAnsi="宋体" w:cs="宋体"/>
          <w:b/>
          <w:szCs w:val="21"/>
          <w:lang w:bidi="ar"/>
        </w:rPr>
        <w:t>设备质保期为至少</w:t>
      </w:r>
      <w:r>
        <w:rPr>
          <w:b/>
          <w:szCs w:val="21"/>
          <w:lang w:bidi="ar"/>
        </w:rPr>
        <w:t>24</w:t>
      </w:r>
      <w:r>
        <w:rPr>
          <w:rFonts w:hint="eastAsia" w:ascii="宋体" w:hAnsi="宋体" w:cs="宋体"/>
          <w:b/>
          <w:szCs w:val="21"/>
          <w:lang w:bidi="ar"/>
        </w:rPr>
        <w:t>个月，质保期自单个项目所有设备最终验收合格之日起算（以设备整体验收报告日期为准）。</w:t>
      </w:r>
      <w:r>
        <w:rPr>
          <w:rFonts w:hint="eastAsia" w:ascii="宋体" w:hAnsi="宋体" w:cs="宋体"/>
          <w:szCs w:val="21"/>
          <w:lang w:bidi="ar"/>
        </w:rPr>
        <w:t>质保期内，中标人对所投设备供货、安装质量进行免费保修，免费保修包括但不限于由中标人承担完成质保期的工作而产生的运费、购置费、测试费、人工费等各项费用。</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质保期内中标人对项目业主和招标人负有责任，对设备出现的不符合合同要求的、有问题的地方应进行免费维修、保修或更换配件，中标人免费提供维护、维修以及其它售后服务，所有质保服务由中标人上门进行，且不得另行收取任何费用。在质保期内，中标人负责维修、更换的设备、零部件等质保期从维修更换经项目业主和招标人确认后重新计算。</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在质保期内中标人应负责设备的保养，并实施每年至少两次整体检查。质保期间如在正常操作情况下，任何机件因设计不当、材质缺陷或制造欠佳等因素而发生故障，中标人应在接到通知后，毫不拖延地负责修复。如中标人未在规定的期限内修复，项目业主或招标人有权自行处理，其费用应由中标人负责支付，不得异议。</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项目业主或招标人有权拒绝使用带有缺陷的或与合同要求不符的设备或零件，这些设备或零件由中标人负责更换，项目业主和招标人不负担所增加费用。包括在质保期内，项目业主或招标人如发现产品的质量、规格、性能、数量等与本招标文件规定不符，或发现产品无论由于任何原因存在隐藏缺陷、工艺问题或使用不良的材料的，或产品出现质量问题的，中标人应根据项目业主和招标人指示承担更换或退货责任。</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）在设备出现严重故障、影响正常运行、修复有困难的情况下，应对设备进行免费更换。包括在质保期内，如发现故障（</w:t>
      </w:r>
      <w:r>
        <w:rPr>
          <w:szCs w:val="21"/>
          <w:lang w:bidi="ar"/>
        </w:rPr>
        <w:t>7</w:t>
      </w:r>
      <w:r>
        <w:rPr>
          <w:rFonts w:hint="eastAsia" w:ascii="宋体" w:hAnsi="宋体" w:cs="宋体"/>
          <w:szCs w:val="21"/>
          <w:lang w:bidi="ar"/>
        </w:rPr>
        <w:t>日内）无法修复，或一个故障累计出现超过两次（含两次），或货物累计经三次维修后仍无法正常运行的，中标人应无条件根据项目业主和招标人要求承担更换或退货责任，由此产生的费用由中标人承担。</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6</w:t>
      </w:r>
      <w:r>
        <w:rPr>
          <w:rFonts w:hint="eastAsia" w:ascii="宋体" w:hAnsi="宋体" w:cs="宋体"/>
          <w:szCs w:val="21"/>
          <w:lang w:bidi="ar"/>
        </w:rPr>
        <w:t>）质保期内全部服务费（含更换零部件，达到招标文件及合同约定条件的更换货物或退货）和维修费用及中标人技术服务人员的一切费用由中标人全部自理，包括但不限于为完成质保期的工作而产生的运费、购置费、测试费、人工、劳务等各项费用（包括进口关税和增值税等），上述所有费用由中标人自行承担，项目业主或招标人保留对其在质保期内因设备缺陷导致的损失向中标人索赔的权利。</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7</w:t>
      </w:r>
      <w:r>
        <w:rPr>
          <w:rFonts w:hint="eastAsia" w:ascii="宋体" w:hAnsi="宋体" w:cs="宋体"/>
          <w:szCs w:val="21"/>
          <w:lang w:bidi="ar"/>
        </w:rPr>
        <w:t>）中标人必须具有专业的售后服务力量和售后技术服务队伍，在合同规定的质保期内，中标人承诺将在接到项目业主的故障报警后</w:t>
      </w:r>
      <w:r>
        <w:rPr>
          <w:szCs w:val="21"/>
          <w:lang w:bidi="ar"/>
        </w:rPr>
        <w:t>4</w:t>
      </w:r>
      <w:r>
        <w:rPr>
          <w:rFonts w:hint="eastAsia" w:ascii="宋体" w:hAnsi="宋体" w:cs="宋体"/>
          <w:szCs w:val="21"/>
          <w:lang w:bidi="ar"/>
        </w:rPr>
        <w:t>小时内响应，</w:t>
      </w:r>
      <w:r>
        <w:rPr>
          <w:szCs w:val="21"/>
          <w:lang w:bidi="ar"/>
        </w:rPr>
        <w:t>24</w:t>
      </w:r>
      <w:r>
        <w:rPr>
          <w:rFonts w:hint="eastAsia" w:ascii="宋体" w:hAnsi="宋体" w:cs="宋体"/>
          <w:szCs w:val="21"/>
          <w:lang w:bidi="ar"/>
        </w:rPr>
        <w:t>小时内到达项目现场进行维修等服务。</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8</w:t>
      </w:r>
      <w:r>
        <w:rPr>
          <w:rFonts w:hint="eastAsia" w:ascii="宋体" w:hAnsi="宋体" w:cs="宋体"/>
          <w:szCs w:val="21"/>
          <w:lang w:bidi="ar"/>
        </w:rPr>
        <w:t>）中标人应建立质量跟踪档案，对项目业主和招标人进行每月一次的定期回访（电话或现场），以保证货物的正常运行。</w:t>
      </w:r>
    </w:p>
    <w:p>
      <w:pPr>
        <w:pStyle w:val="4"/>
        <w:widowControl/>
        <w:numPr>
          <w:ilvl w:val="1"/>
          <w:numId w:val="4"/>
        </w:numPr>
        <w:rPr>
          <w:rFonts w:eastAsia="宋体"/>
          <w:szCs w:val="21"/>
        </w:rPr>
      </w:pPr>
      <w:bookmarkStart w:id="778" w:name="_Toc232"/>
      <w:bookmarkEnd w:id="778"/>
      <w:bookmarkStart w:id="779" w:name="_Toc26588"/>
      <w:r>
        <w:rPr>
          <w:rFonts w:hint="eastAsia" w:ascii="宋体" w:hAnsi="宋体" w:eastAsia="宋体" w:cs="宋体"/>
          <w:szCs w:val="21"/>
        </w:rPr>
        <w:t>单位、质量标准和规范</w:t>
      </w:r>
      <w:bookmarkEnd w:id="779"/>
    </w:p>
    <w:p>
      <w:pPr>
        <w:pStyle w:val="5"/>
        <w:widowControl/>
        <w:numPr>
          <w:ilvl w:val="2"/>
          <w:numId w:val="4"/>
        </w:numPr>
        <w:spacing w:before="156"/>
        <w:rPr>
          <w:szCs w:val="21"/>
        </w:rPr>
      </w:pPr>
      <w:bookmarkStart w:id="780" w:name="_Toc28724"/>
      <w:bookmarkEnd w:id="780"/>
      <w:bookmarkStart w:id="781" w:name="_Toc10140"/>
      <w:r>
        <w:rPr>
          <w:rFonts w:hint="eastAsia" w:ascii="宋体" w:hAnsi="宋体" w:cs="宋体"/>
          <w:szCs w:val="21"/>
        </w:rPr>
        <w:t>计量单位</w:t>
      </w:r>
      <w:bookmarkEnd w:id="781"/>
    </w:p>
    <w:p>
      <w:pPr>
        <w:adjustRightInd w:val="0"/>
        <w:snapToGrid w:val="0"/>
        <w:spacing w:line="360" w:lineRule="auto"/>
        <w:ind w:firstLine="420" w:firstLineChars="200"/>
        <w:rPr>
          <w:szCs w:val="21"/>
        </w:rPr>
      </w:pPr>
      <w:r>
        <w:rPr>
          <w:rFonts w:hint="eastAsia" w:ascii="宋体" w:hAnsi="宋体" w:cs="宋体"/>
          <w:szCs w:val="21"/>
          <w:lang w:bidi="ar"/>
        </w:rPr>
        <w:t>本项目投标人提供的设备参数应使用国际单位制，投标人在投标文件中必须采用国际计量单位制。</w:t>
      </w:r>
    </w:p>
    <w:p>
      <w:pPr>
        <w:pStyle w:val="5"/>
        <w:widowControl/>
        <w:numPr>
          <w:ilvl w:val="2"/>
          <w:numId w:val="4"/>
        </w:numPr>
        <w:spacing w:before="156"/>
        <w:rPr>
          <w:szCs w:val="21"/>
        </w:rPr>
      </w:pPr>
      <w:bookmarkStart w:id="782" w:name="_Toc9528"/>
      <w:bookmarkEnd w:id="782"/>
      <w:bookmarkStart w:id="783" w:name="_Toc6980"/>
      <w:r>
        <w:rPr>
          <w:rFonts w:hint="eastAsia" w:ascii="宋体" w:hAnsi="宋体" w:cs="宋体"/>
          <w:szCs w:val="21"/>
        </w:rPr>
        <w:t>质量标准和规范</w:t>
      </w:r>
      <w:bookmarkEnd w:id="783"/>
    </w:p>
    <w:p>
      <w:pPr>
        <w:adjustRightInd w:val="0"/>
        <w:snapToGrid w:val="0"/>
        <w:spacing w:line="360" w:lineRule="auto"/>
        <w:ind w:firstLine="420" w:firstLineChars="200"/>
        <w:rPr>
          <w:szCs w:val="21"/>
        </w:rPr>
      </w:pPr>
      <w:r>
        <w:rPr>
          <w:rFonts w:hint="eastAsia" w:ascii="宋体" w:hAnsi="宋体" w:cs="宋体"/>
          <w:szCs w:val="21"/>
          <w:lang w:bidi="ar"/>
        </w:rPr>
        <w:t>所有设备的制造、调试和安装应符合中国国家有关标准和规范。如果投标人所用标准优于国家标准，投标人要说明用于替代的标准或实际使用的规范，并提交标准或实施规范。</w:t>
      </w:r>
    </w:p>
    <w:p>
      <w:pPr>
        <w:adjustRightInd w:val="0"/>
        <w:snapToGrid w:val="0"/>
        <w:spacing w:line="360" w:lineRule="auto"/>
        <w:ind w:firstLine="420" w:firstLineChars="200"/>
        <w:rPr>
          <w:szCs w:val="21"/>
        </w:rPr>
      </w:pPr>
      <w:r>
        <w:rPr>
          <w:rFonts w:hint="eastAsia" w:ascii="宋体" w:hAnsi="宋体" w:cs="宋体"/>
          <w:szCs w:val="21"/>
          <w:lang w:bidi="ar"/>
        </w:rPr>
        <w:t>下列标准所包含的部分条文在本招标文件中引用，投标人所提供的产品的型式分类、技术要求、测试方法、检测及包装运输必须符合这些要求；未被引用的部分同样也被视为必须遵循的标准，并且这些标准会被修订，投标人应按最新的版本执行。所列的标准并未包括全部本工程工艺设备制造须执行的国标、部标，未被提及的相关国标、部标也应被投标人遵循。当本招标文件描述的要求高于国标、部标时，投标人应满足本招标文件的要求。</w:t>
      </w:r>
    </w:p>
    <w:p>
      <w:pPr>
        <w:adjustRightInd w:val="0"/>
        <w:snapToGrid w:val="0"/>
        <w:spacing w:line="360" w:lineRule="auto"/>
        <w:ind w:firstLine="420" w:firstLineChars="200"/>
        <w:rPr>
          <w:szCs w:val="21"/>
        </w:rPr>
      </w:pPr>
      <w:r>
        <w:rPr>
          <w:szCs w:val="21"/>
          <w:lang w:bidi="ar"/>
        </w:rPr>
        <w:t>GB/T 12227-2005</w:t>
      </w:r>
      <w:r>
        <w:rPr>
          <w:rFonts w:hint="eastAsia" w:ascii="宋体" w:hAnsi="宋体" w:cs="宋体"/>
          <w:szCs w:val="21"/>
          <w:lang w:bidi="ar"/>
        </w:rPr>
        <w:t>《通用阀门 球墨铸铁件技术条件》</w:t>
      </w:r>
    </w:p>
    <w:p>
      <w:pPr>
        <w:adjustRightInd w:val="0"/>
        <w:snapToGrid w:val="0"/>
        <w:spacing w:line="360" w:lineRule="auto"/>
        <w:ind w:firstLine="420" w:firstLineChars="200"/>
        <w:rPr>
          <w:szCs w:val="21"/>
        </w:rPr>
      </w:pPr>
      <w:r>
        <w:rPr>
          <w:szCs w:val="21"/>
          <w:lang w:bidi="ar"/>
        </w:rPr>
        <w:t>CJ/T472-2015</w:t>
      </w:r>
      <w:r>
        <w:rPr>
          <w:rFonts w:hint="eastAsia" w:ascii="宋体" w:hAnsi="宋体" w:cs="宋体"/>
          <w:szCs w:val="21"/>
          <w:lang w:bidi="ar"/>
        </w:rPr>
        <w:t>《潜水排污泵》</w:t>
      </w:r>
    </w:p>
    <w:p>
      <w:pPr>
        <w:adjustRightInd w:val="0"/>
        <w:snapToGrid w:val="0"/>
        <w:spacing w:line="360" w:lineRule="auto"/>
        <w:ind w:firstLine="420" w:firstLineChars="200"/>
        <w:rPr>
          <w:szCs w:val="21"/>
        </w:rPr>
      </w:pPr>
      <w:r>
        <w:rPr>
          <w:szCs w:val="21"/>
          <w:lang w:bidi="ar"/>
        </w:rPr>
        <w:t>CJ/T498-2016</w:t>
      </w:r>
      <w:r>
        <w:rPr>
          <w:rFonts w:hint="eastAsia" w:ascii="宋体" w:hAnsi="宋体" w:cs="宋体"/>
          <w:szCs w:val="21"/>
          <w:lang w:bidi="ar"/>
        </w:rPr>
        <w:t>《自动搅匀潜水排污泵》</w:t>
      </w:r>
    </w:p>
    <w:p>
      <w:pPr>
        <w:adjustRightInd w:val="0"/>
        <w:snapToGrid w:val="0"/>
        <w:spacing w:line="360" w:lineRule="auto"/>
        <w:ind w:firstLine="420" w:firstLineChars="200"/>
        <w:rPr>
          <w:szCs w:val="21"/>
        </w:rPr>
      </w:pPr>
      <w:r>
        <w:rPr>
          <w:szCs w:val="21"/>
          <w:lang w:bidi="ar"/>
        </w:rPr>
        <w:t>CJ/T518-2017</w:t>
      </w:r>
      <w:r>
        <w:rPr>
          <w:rFonts w:hint="eastAsia" w:ascii="宋体" w:hAnsi="宋体" w:cs="宋体"/>
          <w:szCs w:val="21"/>
          <w:lang w:bidi="ar"/>
        </w:rPr>
        <w:t>《潜水轴流泵》</w:t>
      </w:r>
    </w:p>
    <w:p>
      <w:pPr>
        <w:adjustRightInd w:val="0"/>
        <w:snapToGrid w:val="0"/>
        <w:spacing w:line="360" w:lineRule="auto"/>
        <w:ind w:firstLine="420" w:firstLineChars="200"/>
        <w:rPr>
          <w:szCs w:val="21"/>
        </w:rPr>
      </w:pPr>
      <w:r>
        <w:rPr>
          <w:szCs w:val="21"/>
          <w:lang w:bidi="ar"/>
        </w:rPr>
        <w:t>GB/T12785-2014</w:t>
      </w:r>
      <w:r>
        <w:rPr>
          <w:rFonts w:hint="eastAsia" w:ascii="宋体" w:hAnsi="宋体" w:cs="宋体"/>
          <w:szCs w:val="21"/>
          <w:lang w:bidi="ar"/>
        </w:rPr>
        <w:t>《潜水电泵 试验方法》</w:t>
      </w:r>
    </w:p>
    <w:p>
      <w:pPr>
        <w:adjustRightInd w:val="0"/>
        <w:snapToGrid w:val="0"/>
        <w:spacing w:line="360" w:lineRule="auto"/>
        <w:ind w:firstLine="420" w:firstLineChars="200"/>
        <w:rPr>
          <w:szCs w:val="21"/>
        </w:rPr>
      </w:pPr>
      <w:r>
        <w:rPr>
          <w:szCs w:val="21"/>
          <w:lang w:bidi="ar"/>
        </w:rPr>
        <w:t>GB/T13006-2013</w:t>
      </w:r>
      <w:r>
        <w:rPr>
          <w:rFonts w:hint="eastAsia" w:ascii="宋体" w:hAnsi="宋体" w:cs="宋体"/>
          <w:szCs w:val="21"/>
          <w:lang w:bidi="ar"/>
        </w:rPr>
        <w:t>《离心泵、混流泵和轴流泵汽蚀余量》</w:t>
      </w:r>
    </w:p>
    <w:p>
      <w:pPr>
        <w:adjustRightInd w:val="0"/>
        <w:snapToGrid w:val="0"/>
        <w:spacing w:line="360" w:lineRule="auto"/>
        <w:ind w:firstLine="420" w:firstLineChars="200"/>
        <w:rPr>
          <w:szCs w:val="21"/>
        </w:rPr>
      </w:pPr>
      <w:r>
        <w:rPr>
          <w:szCs w:val="21"/>
          <w:lang w:bidi="ar"/>
        </w:rPr>
        <w:t>GB/T13007-2011</w:t>
      </w:r>
      <w:r>
        <w:rPr>
          <w:rFonts w:hint="eastAsia" w:ascii="宋体" w:hAnsi="宋体" w:cs="宋体"/>
          <w:szCs w:val="21"/>
          <w:lang w:bidi="ar"/>
        </w:rPr>
        <w:t>《离心泵效率》</w:t>
      </w:r>
    </w:p>
    <w:p>
      <w:pPr>
        <w:adjustRightInd w:val="0"/>
        <w:snapToGrid w:val="0"/>
        <w:spacing w:line="360" w:lineRule="auto"/>
        <w:ind w:firstLine="420" w:firstLineChars="200"/>
        <w:rPr>
          <w:szCs w:val="21"/>
        </w:rPr>
      </w:pPr>
      <w:r>
        <w:rPr>
          <w:szCs w:val="21"/>
          <w:lang w:bidi="ar"/>
        </w:rPr>
        <w:t>GB/T13008-2010</w:t>
      </w:r>
      <w:r>
        <w:rPr>
          <w:rFonts w:hint="eastAsia" w:ascii="宋体" w:hAnsi="宋体" w:cs="宋体"/>
          <w:szCs w:val="21"/>
          <w:lang w:bidi="ar"/>
        </w:rPr>
        <w:t>《混流泵、轴流泵技术条件》</w:t>
      </w:r>
    </w:p>
    <w:p>
      <w:pPr>
        <w:adjustRightInd w:val="0"/>
        <w:snapToGrid w:val="0"/>
        <w:spacing w:line="360" w:lineRule="auto"/>
        <w:ind w:firstLine="420" w:firstLineChars="200"/>
        <w:rPr>
          <w:szCs w:val="21"/>
        </w:rPr>
      </w:pPr>
      <w:r>
        <w:rPr>
          <w:szCs w:val="21"/>
          <w:lang w:bidi="ar"/>
        </w:rPr>
        <w:t>GB/T16907-2014</w:t>
      </w:r>
      <w:r>
        <w:rPr>
          <w:rFonts w:hint="eastAsia" w:ascii="宋体" w:hAnsi="宋体" w:cs="宋体"/>
          <w:szCs w:val="21"/>
          <w:lang w:bidi="ar"/>
        </w:rPr>
        <w:t>《离心泵技术条件（</w:t>
      </w:r>
      <w:r>
        <w:rPr>
          <w:szCs w:val="21"/>
          <w:lang w:bidi="ar"/>
        </w:rPr>
        <w:t>I</w:t>
      </w:r>
      <w:r>
        <w:rPr>
          <w:rFonts w:hint="eastAsia" w:ascii="宋体" w:hAnsi="宋体" w:cs="宋体"/>
          <w:szCs w:val="21"/>
          <w:lang w:bidi="ar"/>
        </w:rPr>
        <w:t>类）》</w:t>
      </w:r>
    </w:p>
    <w:p>
      <w:pPr>
        <w:adjustRightInd w:val="0"/>
        <w:snapToGrid w:val="0"/>
        <w:spacing w:line="360" w:lineRule="auto"/>
        <w:ind w:firstLine="420" w:firstLineChars="200"/>
        <w:rPr>
          <w:szCs w:val="21"/>
        </w:rPr>
      </w:pPr>
      <w:r>
        <w:rPr>
          <w:szCs w:val="21"/>
          <w:lang w:bidi="ar"/>
        </w:rPr>
        <w:t>GB/T5656-2008</w:t>
      </w:r>
      <w:r>
        <w:rPr>
          <w:rFonts w:hint="eastAsia" w:ascii="宋体" w:hAnsi="宋体" w:cs="宋体"/>
          <w:szCs w:val="21"/>
          <w:lang w:bidi="ar"/>
        </w:rPr>
        <w:t>《离心泵技术条件（</w:t>
      </w:r>
      <w:r>
        <w:rPr>
          <w:szCs w:val="21"/>
          <w:lang w:bidi="ar"/>
        </w:rPr>
        <w:t>II</w:t>
      </w:r>
      <w:r>
        <w:rPr>
          <w:rFonts w:hint="eastAsia" w:ascii="宋体" w:hAnsi="宋体" w:cs="宋体"/>
          <w:szCs w:val="21"/>
          <w:lang w:bidi="ar"/>
        </w:rPr>
        <w:t>类）》</w:t>
      </w:r>
    </w:p>
    <w:p>
      <w:pPr>
        <w:adjustRightInd w:val="0"/>
        <w:snapToGrid w:val="0"/>
        <w:spacing w:line="360" w:lineRule="auto"/>
        <w:ind w:firstLine="420" w:firstLineChars="200"/>
        <w:rPr>
          <w:szCs w:val="21"/>
        </w:rPr>
      </w:pPr>
      <w:r>
        <w:rPr>
          <w:szCs w:val="21"/>
          <w:lang w:bidi="ar"/>
        </w:rPr>
        <w:t>GB/T5657-2013</w:t>
      </w:r>
      <w:r>
        <w:rPr>
          <w:rFonts w:hint="eastAsia" w:ascii="宋体" w:hAnsi="宋体" w:cs="宋体"/>
          <w:szCs w:val="21"/>
          <w:lang w:bidi="ar"/>
        </w:rPr>
        <w:t>《离心泵技术条件（</w:t>
      </w:r>
      <w:r>
        <w:rPr>
          <w:szCs w:val="21"/>
          <w:lang w:bidi="ar"/>
        </w:rPr>
        <w:t>III</w:t>
      </w:r>
      <w:r>
        <w:rPr>
          <w:rFonts w:hint="eastAsia" w:ascii="宋体" w:hAnsi="宋体" w:cs="宋体"/>
          <w:szCs w:val="21"/>
          <w:lang w:bidi="ar"/>
        </w:rPr>
        <w:t>类）》</w:t>
      </w:r>
    </w:p>
    <w:p>
      <w:pPr>
        <w:adjustRightInd w:val="0"/>
        <w:snapToGrid w:val="0"/>
        <w:spacing w:line="360" w:lineRule="auto"/>
        <w:ind w:firstLine="420" w:firstLineChars="200"/>
        <w:rPr>
          <w:rFonts w:eastAsia="瀹嬩綋"/>
          <w:kern w:val="0"/>
          <w:sz w:val="27"/>
          <w:szCs w:val="27"/>
        </w:rPr>
      </w:pPr>
      <w:r>
        <w:rPr>
          <w:szCs w:val="21"/>
          <w:lang w:bidi="ar"/>
        </w:rPr>
        <w:t>GB/T5660-2013</w:t>
      </w:r>
      <w:r>
        <w:rPr>
          <w:rFonts w:hint="eastAsia" w:ascii="宋体" w:hAnsi="宋体" w:cs="宋体"/>
          <w:szCs w:val="21"/>
          <w:lang w:bidi="ar"/>
        </w:rPr>
        <w:t>《轴向吸入离心泵底座尺寸和安装尺寸》</w:t>
      </w:r>
    </w:p>
    <w:p>
      <w:pPr>
        <w:adjustRightInd w:val="0"/>
        <w:snapToGrid w:val="0"/>
        <w:spacing w:line="360" w:lineRule="auto"/>
        <w:ind w:firstLine="420" w:firstLineChars="200"/>
        <w:rPr>
          <w:rFonts w:eastAsia="瀹嬩綋"/>
          <w:kern w:val="0"/>
          <w:sz w:val="27"/>
          <w:szCs w:val="27"/>
        </w:rPr>
      </w:pPr>
      <w:r>
        <w:rPr>
          <w:szCs w:val="21"/>
          <w:lang w:bidi="ar"/>
        </w:rPr>
        <w:t>GB/T5661-2013</w:t>
      </w:r>
      <w:r>
        <w:rPr>
          <w:rFonts w:hint="eastAsia" w:ascii="宋体" w:hAnsi="宋体" w:cs="宋体"/>
          <w:szCs w:val="21"/>
          <w:lang w:bidi="ar"/>
        </w:rPr>
        <w:t>《轴向吸入离心泵机械密封和软填料用空腔尺寸》</w:t>
      </w:r>
    </w:p>
    <w:p>
      <w:pPr>
        <w:adjustRightInd w:val="0"/>
        <w:snapToGrid w:val="0"/>
        <w:spacing w:line="360" w:lineRule="auto"/>
        <w:ind w:firstLine="420" w:firstLineChars="200"/>
        <w:rPr>
          <w:rFonts w:eastAsia="瀹嬩綋"/>
          <w:kern w:val="0"/>
          <w:sz w:val="27"/>
          <w:szCs w:val="27"/>
        </w:rPr>
      </w:pPr>
      <w:r>
        <w:rPr>
          <w:szCs w:val="21"/>
          <w:lang w:bidi="ar"/>
        </w:rPr>
        <w:t>GB/T5662-2013</w:t>
      </w:r>
      <w:r>
        <w:rPr>
          <w:rFonts w:hint="eastAsia" w:ascii="宋体" w:hAnsi="宋体" w:cs="宋体"/>
          <w:szCs w:val="21"/>
          <w:lang w:bidi="ar"/>
        </w:rPr>
        <w:t>《轴向吸入离心泵（</w:t>
      </w:r>
      <w:r>
        <w:rPr>
          <w:szCs w:val="21"/>
          <w:lang w:bidi="ar"/>
        </w:rPr>
        <w:t>16bar</w:t>
      </w:r>
      <w:r>
        <w:rPr>
          <w:rFonts w:hint="eastAsia" w:ascii="宋体" w:hAnsi="宋体" w:cs="宋体"/>
          <w:szCs w:val="21"/>
          <w:lang w:bidi="ar"/>
        </w:rPr>
        <w:t>）标记、性能和尺寸》</w:t>
      </w:r>
    </w:p>
    <w:p>
      <w:pPr>
        <w:adjustRightInd w:val="0"/>
        <w:snapToGrid w:val="0"/>
        <w:spacing w:line="360" w:lineRule="auto"/>
        <w:ind w:firstLine="420" w:firstLineChars="200"/>
        <w:rPr>
          <w:rFonts w:eastAsia="瀹嬩綋"/>
          <w:kern w:val="0"/>
          <w:sz w:val="27"/>
          <w:szCs w:val="27"/>
        </w:rPr>
      </w:pPr>
      <w:r>
        <w:rPr>
          <w:szCs w:val="21"/>
          <w:lang w:bidi="ar"/>
        </w:rPr>
        <w:t>GB/T7021-2019</w:t>
      </w:r>
      <w:r>
        <w:rPr>
          <w:rFonts w:hint="eastAsia" w:ascii="宋体" w:hAnsi="宋体" w:cs="宋体"/>
          <w:szCs w:val="21"/>
          <w:lang w:bidi="ar"/>
        </w:rPr>
        <w:t>《离心泵名词术语》</w:t>
      </w:r>
    </w:p>
    <w:p>
      <w:pPr>
        <w:adjustRightInd w:val="0"/>
        <w:snapToGrid w:val="0"/>
        <w:spacing w:line="360" w:lineRule="auto"/>
        <w:ind w:firstLine="420" w:firstLineChars="200"/>
        <w:rPr>
          <w:kern w:val="0"/>
          <w:sz w:val="27"/>
          <w:szCs w:val="27"/>
        </w:rPr>
      </w:pPr>
      <w:r>
        <w:rPr>
          <w:szCs w:val="21"/>
          <w:lang w:bidi="ar"/>
        </w:rPr>
        <w:t>GB/T9481-2021</w:t>
      </w:r>
      <w:r>
        <w:rPr>
          <w:rFonts w:hint="eastAsia" w:ascii="宋体" w:hAnsi="宋体" w:cs="宋体"/>
          <w:szCs w:val="21"/>
          <w:lang w:bidi="ar"/>
        </w:rPr>
        <w:t>《中小型轴流泵》</w:t>
      </w:r>
    </w:p>
    <w:p>
      <w:pPr>
        <w:adjustRightInd w:val="0"/>
        <w:snapToGrid w:val="0"/>
        <w:spacing w:line="360" w:lineRule="auto"/>
        <w:ind w:firstLine="420" w:firstLineChars="200"/>
        <w:rPr>
          <w:rFonts w:eastAsia="瀹嬩綋"/>
          <w:kern w:val="0"/>
          <w:sz w:val="27"/>
          <w:szCs w:val="27"/>
        </w:rPr>
      </w:pPr>
      <w:r>
        <w:rPr>
          <w:szCs w:val="21"/>
          <w:lang w:bidi="ar"/>
        </w:rPr>
        <w:t>GB32031-2015</w:t>
      </w:r>
      <w:r>
        <w:rPr>
          <w:rFonts w:hint="eastAsia" w:ascii="宋体" w:hAnsi="宋体" w:cs="宋体"/>
          <w:szCs w:val="21"/>
          <w:lang w:bidi="ar"/>
        </w:rPr>
        <w:t>《污水污物潜水电泵能效限定值及能效等级》</w:t>
      </w:r>
    </w:p>
    <w:p>
      <w:pPr>
        <w:adjustRightInd w:val="0"/>
        <w:snapToGrid w:val="0"/>
        <w:spacing w:line="360" w:lineRule="auto"/>
        <w:ind w:firstLine="420" w:firstLineChars="200"/>
        <w:rPr>
          <w:rFonts w:eastAsia="瀹嬩綋"/>
          <w:kern w:val="0"/>
          <w:sz w:val="27"/>
          <w:szCs w:val="27"/>
        </w:rPr>
      </w:pPr>
      <w:r>
        <w:rPr>
          <w:szCs w:val="21"/>
          <w:lang w:bidi="ar"/>
        </w:rPr>
        <w:t>GB/T3214-2007</w:t>
      </w:r>
      <w:r>
        <w:rPr>
          <w:rFonts w:hint="eastAsia" w:ascii="宋体" w:hAnsi="宋体" w:cs="宋体"/>
          <w:szCs w:val="21"/>
          <w:lang w:bidi="ar"/>
        </w:rPr>
        <w:t>《水泵流量的测定方法》</w:t>
      </w:r>
    </w:p>
    <w:p>
      <w:pPr>
        <w:adjustRightInd w:val="0"/>
        <w:snapToGrid w:val="0"/>
        <w:spacing w:line="360" w:lineRule="auto"/>
        <w:ind w:firstLine="420" w:firstLineChars="200"/>
        <w:rPr>
          <w:szCs w:val="21"/>
        </w:rPr>
      </w:pPr>
      <w:r>
        <w:rPr>
          <w:szCs w:val="21"/>
          <w:lang w:bidi="ar"/>
        </w:rPr>
        <w:t>HJ/T336-2006</w:t>
      </w:r>
      <w:r>
        <w:rPr>
          <w:rFonts w:hint="eastAsia" w:ascii="宋体" w:hAnsi="宋体" w:cs="宋体"/>
          <w:szCs w:val="21"/>
          <w:lang w:bidi="ar"/>
        </w:rPr>
        <w:t>《环境保护产品技术要求 潜水排污泵》</w:t>
      </w:r>
    </w:p>
    <w:p>
      <w:pPr>
        <w:adjustRightInd w:val="0"/>
        <w:snapToGrid w:val="0"/>
        <w:spacing w:line="360" w:lineRule="auto"/>
        <w:ind w:firstLine="420" w:firstLineChars="200"/>
        <w:rPr>
          <w:szCs w:val="21"/>
        </w:rPr>
      </w:pPr>
      <w:r>
        <w:rPr>
          <w:szCs w:val="21"/>
          <w:lang w:bidi="ar"/>
        </w:rPr>
        <w:t>HJ/T279-2006</w:t>
      </w:r>
      <w:r>
        <w:rPr>
          <w:rFonts w:hint="eastAsia" w:ascii="宋体" w:hAnsi="宋体" w:cs="宋体"/>
          <w:szCs w:val="21"/>
          <w:lang w:bidi="ar"/>
        </w:rPr>
        <w:t>《环境保护产品技术要求</w:t>
      </w:r>
      <w:r>
        <w:rPr>
          <w:szCs w:val="21"/>
          <w:lang w:bidi="ar"/>
        </w:rPr>
        <w:t xml:space="preserve"> </w:t>
      </w:r>
      <w:r>
        <w:rPr>
          <w:rFonts w:hint="eastAsia" w:ascii="宋体" w:hAnsi="宋体" w:cs="宋体"/>
          <w:szCs w:val="21"/>
          <w:lang w:bidi="ar"/>
        </w:rPr>
        <w:t>推流式潜水搅拌机》</w:t>
      </w:r>
    </w:p>
    <w:p>
      <w:pPr>
        <w:adjustRightInd w:val="0"/>
        <w:snapToGrid w:val="0"/>
        <w:spacing w:line="360" w:lineRule="auto"/>
        <w:ind w:firstLine="420" w:firstLineChars="200"/>
        <w:rPr>
          <w:szCs w:val="21"/>
        </w:rPr>
      </w:pPr>
      <w:r>
        <w:rPr>
          <w:szCs w:val="21"/>
          <w:lang w:bidi="ar"/>
        </w:rPr>
        <w:t>CJ/T109-2007</w:t>
      </w:r>
      <w:r>
        <w:rPr>
          <w:rFonts w:hint="eastAsia" w:ascii="宋体" w:hAnsi="宋体" w:cs="宋体"/>
          <w:szCs w:val="21"/>
          <w:lang w:bidi="ar"/>
        </w:rPr>
        <w:t>《潜水搅拌机》</w:t>
      </w:r>
    </w:p>
    <w:p>
      <w:pPr>
        <w:adjustRightInd w:val="0"/>
        <w:snapToGrid w:val="0"/>
        <w:spacing w:line="360" w:lineRule="auto"/>
        <w:ind w:firstLine="420" w:firstLineChars="200"/>
        <w:rPr>
          <w:rFonts w:eastAsia="瀹嬩綋"/>
          <w:kern w:val="0"/>
          <w:sz w:val="27"/>
          <w:szCs w:val="27"/>
        </w:rPr>
      </w:pPr>
      <w:r>
        <w:rPr>
          <w:szCs w:val="21"/>
          <w:lang w:bidi="ar"/>
        </w:rPr>
        <w:t>GB/T33566-2017</w:t>
      </w:r>
      <w:r>
        <w:rPr>
          <w:rFonts w:hint="eastAsia" w:ascii="宋体" w:hAnsi="宋体" w:cs="宋体"/>
          <w:szCs w:val="21"/>
          <w:lang w:bidi="ar"/>
        </w:rPr>
        <w:t>《潜水推流式搅拌机》</w:t>
      </w:r>
    </w:p>
    <w:p>
      <w:pPr>
        <w:adjustRightInd w:val="0"/>
        <w:snapToGrid w:val="0"/>
        <w:spacing w:line="360" w:lineRule="auto"/>
        <w:ind w:firstLine="420" w:firstLineChars="200"/>
        <w:rPr>
          <w:rFonts w:eastAsia="瀹嬩綋"/>
          <w:kern w:val="0"/>
          <w:sz w:val="27"/>
          <w:szCs w:val="27"/>
        </w:rPr>
      </w:pPr>
      <w:r>
        <w:rPr>
          <w:szCs w:val="21"/>
          <w:lang w:bidi="ar"/>
        </w:rPr>
        <w:t>GB37485-2019</w:t>
      </w:r>
      <w:r>
        <w:rPr>
          <w:rFonts w:hint="eastAsia" w:ascii="宋体" w:hAnsi="宋体" w:cs="宋体"/>
          <w:szCs w:val="21"/>
          <w:lang w:bidi="ar"/>
        </w:rPr>
        <w:t>《污水处理用潜水推流式搅拌机能效限定值及能效等级》</w:t>
      </w:r>
    </w:p>
    <w:p>
      <w:pPr>
        <w:adjustRightInd w:val="0"/>
        <w:snapToGrid w:val="0"/>
        <w:spacing w:line="360" w:lineRule="auto"/>
        <w:ind w:firstLine="420" w:firstLineChars="200"/>
        <w:rPr>
          <w:szCs w:val="21"/>
        </w:rPr>
      </w:pPr>
      <w:r>
        <w:rPr>
          <w:szCs w:val="21"/>
          <w:lang w:bidi="ar"/>
        </w:rPr>
        <w:t>HJ/T250-2006</w:t>
      </w:r>
      <w:r>
        <w:rPr>
          <w:rFonts w:hint="eastAsia" w:ascii="宋体" w:hAnsi="宋体" w:cs="宋体"/>
          <w:szCs w:val="21"/>
          <w:lang w:bidi="ar"/>
        </w:rPr>
        <w:t>《环境保护产品技术要求 旋转式细格栅》</w:t>
      </w:r>
    </w:p>
    <w:p>
      <w:pPr>
        <w:adjustRightInd w:val="0"/>
        <w:snapToGrid w:val="0"/>
        <w:spacing w:line="360" w:lineRule="auto"/>
        <w:ind w:firstLine="420" w:firstLineChars="200"/>
        <w:rPr>
          <w:szCs w:val="21"/>
        </w:rPr>
      </w:pPr>
      <w:r>
        <w:rPr>
          <w:szCs w:val="21"/>
          <w:lang w:bidi="ar"/>
        </w:rPr>
        <w:t>HJ/T262-2006</w:t>
      </w:r>
      <w:r>
        <w:rPr>
          <w:rFonts w:hint="eastAsia" w:ascii="宋体" w:hAnsi="宋体" w:cs="宋体"/>
          <w:szCs w:val="21"/>
          <w:lang w:bidi="ar"/>
        </w:rPr>
        <w:t>《环境保护产品技术要求 格栅除污机》</w:t>
      </w:r>
    </w:p>
    <w:p>
      <w:pPr>
        <w:adjustRightInd w:val="0"/>
        <w:snapToGrid w:val="0"/>
        <w:spacing w:line="360" w:lineRule="auto"/>
        <w:ind w:firstLine="420" w:firstLineChars="200"/>
        <w:rPr>
          <w:rFonts w:eastAsia="瀹嬩綋"/>
          <w:kern w:val="0"/>
          <w:sz w:val="27"/>
          <w:szCs w:val="27"/>
        </w:rPr>
      </w:pPr>
      <w:r>
        <w:rPr>
          <w:szCs w:val="21"/>
          <w:lang w:bidi="ar"/>
        </w:rPr>
        <w:t>CJ/T443-2014</w:t>
      </w:r>
      <w:r>
        <w:rPr>
          <w:rFonts w:hint="eastAsia" w:ascii="宋体" w:hAnsi="宋体" w:cs="宋体"/>
          <w:szCs w:val="21"/>
          <w:lang w:bidi="ar"/>
        </w:rPr>
        <w:t>《给水排水用格栅除污机通用技术条件》</w:t>
      </w:r>
    </w:p>
    <w:p>
      <w:pPr>
        <w:adjustRightInd w:val="0"/>
        <w:snapToGrid w:val="0"/>
        <w:spacing w:line="360" w:lineRule="auto"/>
        <w:ind w:firstLine="420" w:firstLineChars="200"/>
        <w:rPr>
          <w:rFonts w:eastAsia="瀹嬩綋"/>
          <w:kern w:val="0"/>
          <w:sz w:val="27"/>
          <w:szCs w:val="27"/>
        </w:rPr>
      </w:pPr>
      <w:r>
        <w:rPr>
          <w:szCs w:val="21"/>
          <w:lang w:bidi="ar"/>
        </w:rPr>
        <w:t>GB/T37565-2019</w:t>
      </w:r>
      <w:r>
        <w:rPr>
          <w:rFonts w:hint="eastAsia" w:ascii="宋体" w:hAnsi="宋体" w:cs="宋体"/>
          <w:szCs w:val="21"/>
          <w:lang w:bidi="ar"/>
        </w:rPr>
        <w:t>《给水排水用格栅除污机通用技术条件》</w:t>
      </w:r>
    </w:p>
    <w:p>
      <w:pPr>
        <w:adjustRightInd w:val="0"/>
        <w:snapToGrid w:val="0"/>
        <w:spacing w:line="360" w:lineRule="auto"/>
        <w:ind w:firstLine="420" w:firstLineChars="200"/>
        <w:rPr>
          <w:rFonts w:eastAsia="瀹嬩綋"/>
          <w:kern w:val="0"/>
          <w:sz w:val="27"/>
          <w:szCs w:val="27"/>
        </w:rPr>
      </w:pPr>
      <w:r>
        <w:rPr>
          <w:szCs w:val="21"/>
          <w:lang w:bidi="ar"/>
        </w:rPr>
        <w:t>GB/T28741-2012</w:t>
      </w:r>
      <w:r>
        <w:rPr>
          <w:rFonts w:hint="eastAsia" w:ascii="宋体" w:hAnsi="宋体" w:cs="宋体"/>
          <w:szCs w:val="21"/>
          <w:lang w:bidi="ar"/>
        </w:rPr>
        <w:t>《移动式格栅除污机》</w:t>
      </w:r>
    </w:p>
    <w:p>
      <w:pPr>
        <w:adjustRightInd w:val="0"/>
        <w:snapToGrid w:val="0"/>
        <w:spacing w:line="360" w:lineRule="auto"/>
        <w:ind w:firstLine="420" w:firstLineChars="200"/>
        <w:rPr>
          <w:rFonts w:eastAsia="瀹嬩綋"/>
          <w:kern w:val="0"/>
          <w:sz w:val="27"/>
          <w:szCs w:val="27"/>
        </w:rPr>
      </w:pPr>
      <w:r>
        <w:rPr>
          <w:szCs w:val="21"/>
          <w:lang w:bidi="ar"/>
        </w:rPr>
        <w:t>JB/T13741-2019</w:t>
      </w:r>
      <w:r>
        <w:rPr>
          <w:rFonts w:hint="eastAsia" w:ascii="宋体" w:hAnsi="宋体" w:cs="宋体"/>
          <w:szCs w:val="21"/>
          <w:lang w:bidi="ar"/>
        </w:rPr>
        <w:t>《孔板式格栅除污机》</w:t>
      </w:r>
    </w:p>
    <w:p>
      <w:pPr>
        <w:adjustRightInd w:val="0"/>
        <w:snapToGrid w:val="0"/>
        <w:spacing w:line="360" w:lineRule="auto"/>
        <w:ind w:firstLine="420" w:firstLineChars="200"/>
        <w:rPr>
          <w:szCs w:val="21"/>
        </w:rPr>
      </w:pPr>
      <w:r>
        <w:rPr>
          <w:szCs w:val="21"/>
          <w:lang w:bidi="ar"/>
        </w:rPr>
        <w:t>JB/T9046-1999</w:t>
      </w:r>
      <w:r>
        <w:rPr>
          <w:rFonts w:hint="eastAsia" w:ascii="宋体" w:hAnsi="宋体" w:cs="宋体"/>
          <w:szCs w:val="21"/>
          <w:lang w:bidi="ar"/>
        </w:rPr>
        <w:t>《格栅除污机》</w:t>
      </w:r>
    </w:p>
    <w:p>
      <w:pPr>
        <w:adjustRightInd w:val="0"/>
        <w:snapToGrid w:val="0"/>
        <w:spacing w:line="360" w:lineRule="auto"/>
        <w:ind w:firstLine="420" w:firstLineChars="200"/>
        <w:rPr>
          <w:rFonts w:eastAsia="瀹嬩綋"/>
          <w:kern w:val="0"/>
          <w:sz w:val="27"/>
          <w:szCs w:val="27"/>
        </w:rPr>
      </w:pPr>
      <w:r>
        <w:rPr>
          <w:szCs w:val="21"/>
          <w:lang w:bidi="ar"/>
        </w:rPr>
        <w:t>YB/T4001.1-2019</w:t>
      </w:r>
      <w:r>
        <w:rPr>
          <w:rFonts w:hint="eastAsia" w:ascii="宋体" w:hAnsi="宋体" w:cs="宋体"/>
          <w:szCs w:val="21"/>
          <w:lang w:bidi="ar"/>
        </w:rPr>
        <w:t>《钢格栅板及配套件 第</w:t>
      </w:r>
      <w:r>
        <w:rPr>
          <w:szCs w:val="21"/>
          <w:lang w:bidi="ar"/>
        </w:rPr>
        <w:t>1</w:t>
      </w:r>
      <w:r>
        <w:rPr>
          <w:rFonts w:hint="eastAsia" w:ascii="宋体" w:hAnsi="宋体" w:cs="宋体"/>
          <w:szCs w:val="21"/>
          <w:lang w:bidi="ar"/>
        </w:rPr>
        <w:t>部分：钢格栅板》</w:t>
      </w:r>
    </w:p>
    <w:p>
      <w:pPr>
        <w:adjustRightInd w:val="0"/>
        <w:snapToGrid w:val="0"/>
        <w:spacing w:line="360" w:lineRule="auto"/>
        <w:ind w:firstLine="420" w:firstLineChars="200"/>
        <w:rPr>
          <w:rFonts w:eastAsia="瀹嬩綋"/>
          <w:kern w:val="0"/>
          <w:sz w:val="27"/>
          <w:szCs w:val="27"/>
        </w:rPr>
      </w:pPr>
      <w:r>
        <w:rPr>
          <w:szCs w:val="21"/>
          <w:lang w:bidi="ar"/>
        </w:rPr>
        <w:t>YB/T4001.2-2020</w:t>
      </w:r>
      <w:r>
        <w:rPr>
          <w:rFonts w:hint="eastAsia" w:ascii="宋体" w:hAnsi="宋体" w:cs="宋体"/>
          <w:szCs w:val="21"/>
          <w:lang w:bidi="ar"/>
        </w:rPr>
        <w:t>《钢格栅板及配套件 第</w:t>
      </w:r>
      <w:r>
        <w:rPr>
          <w:szCs w:val="21"/>
          <w:lang w:bidi="ar"/>
        </w:rPr>
        <w:t>2</w:t>
      </w:r>
      <w:r>
        <w:rPr>
          <w:rFonts w:hint="eastAsia" w:ascii="宋体" w:hAnsi="宋体" w:cs="宋体"/>
          <w:szCs w:val="21"/>
          <w:lang w:bidi="ar"/>
        </w:rPr>
        <w:t>部分：钢格板平台球型护栏》</w:t>
      </w:r>
    </w:p>
    <w:p>
      <w:pPr>
        <w:adjustRightInd w:val="0"/>
        <w:snapToGrid w:val="0"/>
        <w:spacing w:line="360" w:lineRule="auto"/>
        <w:ind w:firstLine="420" w:firstLineChars="200"/>
        <w:rPr>
          <w:rFonts w:eastAsia="瀹嬩綋"/>
          <w:kern w:val="0"/>
          <w:sz w:val="27"/>
          <w:szCs w:val="27"/>
        </w:rPr>
      </w:pPr>
      <w:r>
        <w:rPr>
          <w:szCs w:val="21"/>
          <w:lang w:bidi="ar"/>
        </w:rPr>
        <w:t>YB/T4001.3-2020</w:t>
      </w:r>
      <w:r>
        <w:rPr>
          <w:rFonts w:hint="eastAsia" w:ascii="宋体" w:hAnsi="宋体" w:cs="宋体"/>
          <w:szCs w:val="21"/>
          <w:lang w:bidi="ar"/>
        </w:rPr>
        <w:t>《钢格栅板及配套件 第</w:t>
      </w:r>
      <w:r>
        <w:rPr>
          <w:szCs w:val="21"/>
          <w:lang w:bidi="ar"/>
        </w:rPr>
        <w:t>3</w:t>
      </w:r>
      <w:r>
        <w:rPr>
          <w:rFonts w:hint="eastAsia" w:ascii="宋体" w:hAnsi="宋体" w:cs="宋体"/>
          <w:szCs w:val="21"/>
          <w:lang w:bidi="ar"/>
        </w:rPr>
        <w:t>部分：钢格板楼梯踏板》</w:t>
      </w:r>
    </w:p>
    <w:p>
      <w:pPr>
        <w:adjustRightInd w:val="0"/>
        <w:snapToGrid w:val="0"/>
        <w:spacing w:line="360" w:lineRule="auto"/>
        <w:ind w:firstLine="420" w:firstLineChars="200"/>
        <w:rPr>
          <w:szCs w:val="21"/>
        </w:rPr>
      </w:pPr>
      <w:r>
        <w:rPr>
          <w:szCs w:val="21"/>
          <w:lang w:bidi="ar"/>
        </w:rPr>
        <w:t>HJ/T2524-2012</w:t>
      </w:r>
      <w:r>
        <w:rPr>
          <w:rFonts w:hint="eastAsia" w:ascii="宋体" w:hAnsi="宋体" w:cs="宋体"/>
          <w:szCs w:val="21"/>
          <w:lang w:bidi="ar"/>
        </w:rPr>
        <w:t>《环境保护产品技术要求 单螺杆泵》</w:t>
      </w:r>
    </w:p>
    <w:p>
      <w:pPr>
        <w:adjustRightInd w:val="0"/>
        <w:snapToGrid w:val="0"/>
        <w:spacing w:line="360" w:lineRule="auto"/>
        <w:ind w:firstLine="420" w:firstLineChars="200"/>
        <w:rPr>
          <w:szCs w:val="21"/>
        </w:rPr>
      </w:pPr>
      <w:r>
        <w:rPr>
          <w:szCs w:val="21"/>
          <w:lang w:bidi="ar"/>
        </w:rPr>
        <w:t>HJ/T265-2006</w:t>
      </w:r>
      <w:r>
        <w:rPr>
          <w:rFonts w:hint="eastAsia" w:ascii="宋体" w:hAnsi="宋体" w:cs="宋体"/>
          <w:szCs w:val="21"/>
          <w:lang w:bidi="ar"/>
        </w:rPr>
        <w:t>《环境保护产品技术要求 刮泥机》</w:t>
      </w:r>
    </w:p>
    <w:p>
      <w:pPr>
        <w:adjustRightInd w:val="0"/>
        <w:snapToGrid w:val="0"/>
        <w:spacing w:line="360" w:lineRule="auto"/>
        <w:ind w:firstLine="420" w:firstLineChars="200"/>
        <w:rPr>
          <w:szCs w:val="21"/>
        </w:rPr>
      </w:pPr>
      <w:r>
        <w:rPr>
          <w:szCs w:val="21"/>
          <w:lang w:bidi="ar"/>
        </w:rPr>
        <w:t>HJ/T251-2006</w:t>
      </w:r>
      <w:r>
        <w:rPr>
          <w:rFonts w:hint="eastAsia" w:ascii="宋体" w:hAnsi="宋体" w:cs="宋体"/>
          <w:szCs w:val="21"/>
          <w:lang w:bidi="ar"/>
        </w:rPr>
        <w:t>《环境保护产品技术要求 罗茨鼓风机》</w:t>
      </w:r>
    </w:p>
    <w:p>
      <w:pPr>
        <w:adjustRightInd w:val="0"/>
        <w:snapToGrid w:val="0"/>
        <w:spacing w:line="360" w:lineRule="auto"/>
        <w:ind w:firstLine="420" w:firstLineChars="200"/>
        <w:rPr>
          <w:szCs w:val="21"/>
        </w:rPr>
      </w:pPr>
      <w:r>
        <w:rPr>
          <w:szCs w:val="21"/>
          <w:lang w:bidi="ar"/>
        </w:rPr>
        <w:t>HJ/T278-2006</w:t>
      </w:r>
      <w:r>
        <w:rPr>
          <w:rFonts w:hint="eastAsia" w:ascii="宋体" w:hAnsi="宋体" w:cs="宋体"/>
          <w:szCs w:val="21"/>
          <w:lang w:bidi="ar"/>
        </w:rPr>
        <w:t>《环境保护产品技术要求</w:t>
      </w:r>
      <w:r>
        <w:rPr>
          <w:szCs w:val="21"/>
          <w:lang w:bidi="ar"/>
        </w:rPr>
        <w:t xml:space="preserve"> </w:t>
      </w:r>
      <w:r>
        <w:rPr>
          <w:rFonts w:hint="eastAsia" w:ascii="宋体" w:hAnsi="宋体" w:cs="宋体"/>
          <w:szCs w:val="21"/>
          <w:lang w:bidi="ar"/>
        </w:rPr>
        <w:t>单级高速曝气离心鼓风机》</w:t>
      </w:r>
    </w:p>
    <w:p>
      <w:pPr>
        <w:adjustRightInd w:val="0"/>
        <w:snapToGrid w:val="0"/>
        <w:spacing w:line="360" w:lineRule="auto"/>
        <w:ind w:firstLine="420" w:firstLineChars="200"/>
        <w:rPr>
          <w:rFonts w:eastAsia="瀹嬩綋"/>
          <w:kern w:val="0"/>
          <w:sz w:val="27"/>
          <w:szCs w:val="27"/>
        </w:rPr>
      </w:pPr>
      <w:r>
        <w:rPr>
          <w:szCs w:val="21"/>
          <w:lang w:bidi="ar"/>
        </w:rPr>
        <w:t>GB28381-2012</w:t>
      </w:r>
      <w:r>
        <w:rPr>
          <w:rFonts w:hint="eastAsia" w:ascii="宋体" w:hAnsi="宋体" w:cs="宋体"/>
          <w:szCs w:val="21"/>
          <w:lang w:bidi="ar"/>
        </w:rPr>
        <w:t>《离心鼓风机能效限定值及节能评价值》</w:t>
      </w:r>
    </w:p>
    <w:p>
      <w:pPr>
        <w:adjustRightInd w:val="0"/>
        <w:snapToGrid w:val="0"/>
        <w:spacing w:line="360" w:lineRule="auto"/>
        <w:ind w:firstLine="420" w:firstLineChars="200"/>
        <w:rPr>
          <w:rFonts w:eastAsia="瀹嬩綋"/>
          <w:kern w:val="0"/>
          <w:sz w:val="27"/>
          <w:szCs w:val="27"/>
        </w:rPr>
      </w:pPr>
      <w:r>
        <w:rPr>
          <w:szCs w:val="21"/>
          <w:lang w:bidi="ar"/>
        </w:rPr>
        <w:t>GB/T2888-2008</w:t>
      </w:r>
      <w:r>
        <w:rPr>
          <w:rFonts w:hint="eastAsia" w:ascii="宋体" w:hAnsi="宋体" w:cs="宋体"/>
          <w:szCs w:val="21"/>
          <w:lang w:bidi="ar"/>
        </w:rPr>
        <w:t>《风机和罗茨鼓风机噪声测量方法》</w:t>
      </w:r>
    </w:p>
    <w:p>
      <w:pPr>
        <w:adjustRightInd w:val="0"/>
        <w:snapToGrid w:val="0"/>
        <w:spacing w:line="360" w:lineRule="auto"/>
        <w:ind w:firstLine="420" w:firstLineChars="200"/>
        <w:rPr>
          <w:rFonts w:eastAsia="瀹嬩綋"/>
          <w:kern w:val="0"/>
          <w:sz w:val="27"/>
          <w:szCs w:val="27"/>
        </w:rPr>
      </w:pPr>
      <w:r>
        <w:rPr>
          <w:szCs w:val="21"/>
          <w:lang w:bidi="ar"/>
        </w:rPr>
        <w:t>JB/T2977-2005</w:t>
      </w:r>
      <w:r>
        <w:rPr>
          <w:rFonts w:hint="eastAsia" w:ascii="宋体" w:hAnsi="宋体" w:cs="宋体"/>
          <w:szCs w:val="21"/>
          <w:lang w:bidi="ar"/>
        </w:rPr>
        <w:t>《工业通风机、鼓风机和压缩机 名词术语》</w:t>
      </w:r>
    </w:p>
    <w:p>
      <w:pPr>
        <w:adjustRightInd w:val="0"/>
        <w:snapToGrid w:val="0"/>
        <w:spacing w:line="360" w:lineRule="auto"/>
        <w:ind w:firstLine="420" w:firstLineChars="200"/>
        <w:rPr>
          <w:szCs w:val="21"/>
        </w:rPr>
      </w:pPr>
      <w:r>
        <w:rPr>
          <w:szCs w:val="21"/>
          <w:lang w:bidi="ar"/>
        </w:rPr>
        <w:t>HJ/T369-2007</w:t>
      </w:r>
      <w:r>
        <w:rPr>
          <w:rFonts w:hint="eastAsia" w:ascii="宋体" w:hAnsi="宋体" w:cs="宋体"/>
          <w:szCs w:val="21"/>
          <w:lang w:bidi="ar"/>
        </w:rPr>
        <w:t>《环境保护产品技术要求 水处理用加药装置》</w:t>
      </w:r>
    </w:p>
    <w:p>
      <w:pPr>
        <w:adjustRightInd w:val="0"/>
        <w:snapToGrid w:val="0"/>
        <w:spacing w:line="360" w:lineRule="auto"/>
        <w:ind w:firstLine="420" w:firstLineChars="200"/>
        <w:rPr>
          <w:szCs w:val="21"/>
        </w:rPr>
      </w:pPr>
      <w:r>
        <w:rPr>
          <w:szCs w:val="21"/>
          <w:lang w:bidi="ar"/>
        </w:rPr>
        <w:t>HJ/T252-2006</w:t>
      </w:r>
      <w:r>
        <w:rPr>
          <w:rFonts w:hint="eastAsia" w:ascii="宋体" w:hAnsi="宋体" w:cs="宋体"/>
          <w:szCs w:val="21"/>
          <w:lang w:bidi="ar"/>
        </w:rPr>
        <w:t>《环境保护产品技术要求 中、微孔曝气器》</w:t>
      </w:r>
    </w:p>
    <w:p>
      <w:pPr>
        <w:adjustRightInd w:val="0"/>
        <w:snapToGrid w:val="0"/>
        <w:spacing w:line="360" w:lineRule="auto"/>
        <w:ind w:firstLine="420" w:firstLineChars="200"/>
        <w:rPr>
          <w:szCs w:val="21"/>
        </w:rPr>
      </w:pPr>
      <w:r>
        <w:rPr>
          <w:szCs w:val="21"/>
          <w:lang w:bidi="ar"/>
        </w:rPr>
        <w:t>HJ/T263-2006</w:t>
      </w:r>
      <w:r>
        <w:rPr>
          <w:rFonts w:hint="eastAsia" w:ascii="宋体" w:hAnsi="宋体" w:cs="宋体"/>
          <w:szCs w:val="21"/>
          <w:lang w:bidi="ar"/>
        </w:rPr>
        <w:t>《环境保护产品技术要求射流曝气器》</w:t>
      </w:r>
    </w:p>
    <w:p>
      <w:pPr>
        <w:adjustRightInd w:val="0"/>
        <w:snapToGrid w:val="0"/>
        <w:spacing w:line="360" w:lineRule="auto"/>
        <w:ind w:firstLine="420" w:firstLineChars="200"/>
        <w:rPr>
          <w:szCs w:val="21"/>
        </w:rPr>
      </w:pPr>
      <w:r>
        <w:rPr>
          <w:szCs w:val="21"/>
          <w:lang w:bidi="ar"/>
        </w:rPr>
        <w:t>HJ/T281-2006</w:t>
      </w:r>
      <w:r>
        <w:rPr>
          <w:rFonts w:hint="eastAsia" w:ascii="宋体" w:hAnsi="宋体" w:cs="宋体"/>
          <w:szCs w:val="21"/>
          <w:lang w:bidi="ar"/>
        </w:rPr>
        <w:t>《环境保护产品技术要求 散流式曝气器》</w:t>
      </w:r>
    </w:p>
    <w:p>
      <w:pPr>
        <w:adjustRightInd w:val="0"/>
        <w:snapToGrid w:val="0"/>
        <w:spacing w:line="360" w:lineRule="auto"/>
        <w:ind w:firstLine="420" w:firstLineChars="200"/>
        <w:rPr>
          <w:szCs w:val="21"/>
        </w:rPr>
      </w:pPr>
      <w:r>
        <w:rPr>
          <w:szCs w:val="21"/>
          <w:lang w:bidi="ar"/>
        </w:rPr>
        <w:t>CJ/T263-2018</w:t>
      </w:r>
      <w:r>
        <w:rPr>
          <w:rFonts w:hint="eastAsia" w:ascii="宋体" w:hAnsi="宋体" w:cs="宋体"/>
          <w:szCs w:val="21"/>
          <w:lang w:bidi="ar"/>
        </w:rPr>
        <w:t>《水处理用刚玉微孔曝气器》</w:t>
      </w:r>
    </w:p>
    <w:p>
      <w:pPr>
        <w:adjustRightInd w:val="0"/>
        <w:snapToGrid w:val="0"/>
        <w:spacing w:line="360" w:lineRule="auto"/>
        <w:ind w:firstLine="420" w:firstLineChars="200"/>
        <w:rPr>
          <w:szCs w:val="21"/>
        </w:rPr>
      </w:pPr>
      <w:r>
        <w:rPr>
          <w:szCs w:val="21"/>
          <w:lang w:bidi="ar"/>
        </w:rPr>
        <w:t>CJ/T264-2018</w:t>
      </w:r>
      <w:r>
        <w:rPr>
          <w:rFonts w:hint="eastAsia" w:ascii="宋体" w:hAnsi="宋体" w:cs="宋体"/>
          <w:szCs w:val="21"/>
          <w:lang w:bidi="ar"/>
        </w:rPr>
        <w:t>《水处理用橡胶膜微孔曝气器》</w:t>
      </w:r>
    </w:p>
    <w:p>
      <w:pPr>
        <w:adjustRightInd w:val="0"/>
        <w:snapToGrid w:val="0"/>
        <w:spacing w:line="360" w:lineRule="auto"/>
        <w:ind w:firstLine="420" w:firstLineChars="200"/>
        <w:rPr>
          <w:szCs w:val="21"/>
        </w:rPr>
      </w:pPr>
      <w:r>
        <w:rPr>
          <w:szCs w:val="21"/>
          <w:lang w:bidi="ar"/>
        </w:rPr>
        <w:t>CJ/T475-2015</w:t>
      </w:r>
      <w:r>
        <w:rPr>
          <w:rFonts w:hint="eastAsia" w:ascii="宋体" w:hAnsi="宋体" w:cs="宋体"/>
          <w:szCs w:val="21"/>
          <w:lang w:bidi="ar"/>
        </w:rPr>
        <w:t>《微孔曝气器清水氧传质性能测定》</w:t>
      </w:r>
    </w:p>
    <w:p>
      <w:pPr>
        <w:adjustRightInd w:val="0"/>
        <w:snapToGrid w:val="0"/>
        <w:spacing w:line="360" w:lineRule="auto"/>
        <w:ind w:firstLine="420" w:firstLineChars="200"/>
        <w:rPr>
          <w:szCs w:val="21"/>
        </w:rPr>
      </w:pPr>
      <w:r>
        <w:rPr>
          <w:szCs w:val="21"/>
          <w:lang w:bidi="ar"/>
        </w:rPr>
        <w:t>HJ2522-2012</w:t>
      </w:r>
      <w:r>
        <w:rPr>
          <w:rFonts w:hint="eastAsia" w:ascii="宋体" w:hAnsi="宋体" w:cs="宋体"/>
          <w:szCs w:val="21"/>
          <w:lang w:bidi="ar"/>
        </w:rPr>
        <w:t>《环境保护产品技术要求 紫外线消毒装置》</w:t>
      </w:r>
    </w:p>
    <w:p>
      <w:pPr>
        <w:adjustRightInd w:val="0"/>
        <w:snapToGrid w:val="0"/>
        <w:spacing w:line="360" w:lineRule="auto"/>
        <w:ind w:firstLine="420" w:firstLineChars="200"/>
        <w:rPr>
          <w:szCs w:val="21"/>
        </w:rPr>
      </w:pPr>
      <w:r>
        <w:rPr>
          <w:szCs w:val="21"/>
          <w:lang w:bidi="ar"/>
        </w:rPr>
        <w:t>GB/T19837-2019</w:t>
      </w:r>
      <w:r>
        <w:rPr>
          <w:rFonts w:hint="eastAsia" w:ascii="宋体" w:hAnsi="宋体" w:cs="宋体"/>
          <w:szCs w:val="21"/>
          <w:lang w:bidi="ar"/>
        </w:rPr>
        <w:t>《城镇给排水紫外线消毒设备》</w:t>
      </w:r>
    </w:p>
    <w:p>
      <w:pPr>
        <w:adjustRightInd w:val="0"/>
        <w:snapToGrid w:val="0"/>
        <w:spacing w:line="360" w:lineRule="auto"/>
        <w:ind w:firstLine="420" w:firstLineChars="200"/>
        <w:rPr>
          <w:szCs w:val="21"/>
        </w:rPr>
      </w:pPr>
      <w:r>
        <w:rPr>
          <w:szCs w:val="21"/>
          <w:lang w:bidi="ar"/>
        </w:rPr>
        <w:t>GB/T23112-2008</w:t>
      </w:r>
      <w:r>
        <w:rPr>
          <w:rFonts w:hint="eastAsia" w:ascii="宋体" w:hAnsi="宋体" w:cs="宋体"/>
          <w:szCs w:val="21"/>
          <w:lang w:bidi="ar"/>
        </w:rPr>
        <w:t>《紫外线金属卤化物灯》</w:t>
      </w:r>
    </w:p>
    <w:p>
      <w:pPr>
        <w:adjustRightInd w:val="0"/>
        <w:snapToGrid w:val="0"/>
        <w:spacing w:line="360" w:lineRule="auto"/>
        <w:ind w:firstLine="420" w:firstLineChars="200"/>
        <w:rPr>
          <w:szCs w:val="21"/>
        </w:rPr>
      </w:pPr>
      <w:r>
        <w:rPr>
          <w:szCs w:val="21"/>
          <w:lang w:bidi="ar"/>
        </w:rPr>
        <w:t>GB/T19258-2012</w:t>
      </w:r>
      <w:r>
        <w:rPr>
          <w:rFonts w:hint="eastAsia" w:ascii="宋体" w:hAnsi="宋体" w:cs="宋体"/>
          <w:szCs w:val="21"/>
          <w:lang w:bidi="ar"/>
        </w:rPr>
        <w:t>《紫外线杀菌灯》</w:t>
      </w:r>
    </w:p>
    <w:p>
      <w:pPr>
        <w:adjustRightInd w:val="0"/>
        <w:snapToGrid w:val="0"/>
        <w:spacing w:line="360" w:lineRule="auto"/>
        <w:ind w:firstLine="420" w:firstLineChars="200"/>
        <w:rPr>
          <w:szCs w:val="21"/>
        </w:rPr>
      </w:pPr>
      <w:r>
        <w:rPr>
          <w:szCs w:val="21"/>
          <w:lang w:bidi="ar"/>
        </w:rPr>
        <w:t>HJ 2008-2010</w:t>
      </w:r>
      <w:r>
        <w:rPr>
          <w:rFonts w:hint="eastAsia" w:ascii="宋体" w:hAnsi="宋体" w:cs="宋体"/>
          <w:szCs w:val="21"/>
          <w:lang w:bidi="ar"/>
        </w:rPr>
        <w:t>《污水过滤处理工程技术规范》</w:t>
      </w:r>
    </w:p>
    <w:p>
      <w:pPr>
        <w:adjustRightInd w:val="0"/>
        <w:snapToGrid w:val="0"/>
        <w:spacing w:line="360" w:lineRule="auto"/>
        <w:ind w:firstLine="420" w:firstLineChars="200"/>
        <w:rPr>
          <w:szCs w:val="21"/>
        </w:rPr>
      </w:pPr>
      <w:r>
        <w:rPr>
          <w:szCs w:val="21"/>
          <w:lang w:bidi="ar"/>
        </w:rPr>
        <w:t>JB/T6444-2019</w:t>
      </w:r>
      <w:r>
        <w:rPr>
          <w:rFonts w:hint="eastAsia" w:ascii="宋体" w:hAnsi="宋体" w:cs="宋体"/>
          <w:szCs w:val="21"/>
          <w:lang w:bidi="ar"/>
        </w:rPr>
        <w:t>《风机包装通用技术条件》</w:t>
      </w:r>
    </w:p>
    <w:p>
      <w:pPr>
        <w:adjustRightInd w:val="0"/>
        <w:snapToGrid w:val="0"/>
        <w:spacing w:line="360" w:lineRule="auto"/>
        <w:ind w:firstLine="420" w:firstLineChars="200"/>
        <w:rPr>
          <w:szCs w:val="21"/>
        </w:rPr>
      </w:pPr>
      <w:r>
        <w:rPr>
          <w:szCs w:val="21"/>
          <w:lang w:bidi="ar"/>
        </w:rPr>
        <w:t>GB/T22669-2008</w:t>
      </w:r>
      <w:r>
        <w:rPr>
          <w:rFonts w:hint="eastAsia" w:ascii="宋体" w:hAnsi="宋体" w:cs="宋体"/>
          <w:szCs w:val="21"/>
          <w:lang w:bidi="ar"/>
        </w:rPr>
        <w:t>《三相永磁同步电动机试验方法》</w:t>
      </w:r>
    </w:p>
    <w:p>
      <w:pPr>
        <w:adjustRightInd w:val="0"/>
        <w:snapToGrid w:val="0"/>
        <w:spacing w:line="360" w:lineRule="auto"/>
        <w:ind w:firstLine="420" w:firstLineChars="200"/>
        <w:rPr>
          <w:szCs w:val="21"/>
        </w:rPr>
      </w:pPr>
      <w:r>
        <w:rPr>
          <w:szCs w:val="21"/>
          <w:lang w:bidi="ar"/>
        </w:rPr>
        <w:t>GB30253-2013</w:t>
      </w:r>
      <w:r>
        <w:rPr>
          <w:rFonts w:hint="eastAsia" w:ascii="宋体" w:hAnsi="宋体" w:cs="宋体"/>
          <w:szCs w:val="21"/>
          <w:lang w:bidi="ar"/>
        </w:rPr>
        <w:t>《永磁同步电动机能效限定值及能效等级》</w:t>
      </w:r>
    </w:p>
    <w:p>
      <w:pPr>
        <w:adjustRightInd w:val="0"/>
        <w:snapToGrid w:val="0"/>
        <w:spacing w:line="360" w:lineRule="auto"/>
        <w:ind w:firstLine="420" w:firstLineChars="200"/>
        <w:rPr>
          <w:szCs w:val="21"/>
        </w:rPr>
      </w:pPr>
      <w:r>
        <w:rPr>
          <w:szCs w:val="21"/>
          <w:lang w:bidi="ar"/>
        </w:rPr>
        <w:t>GB/T755-2019</w:t>
      </w:r>
      <w:r>
        <w:rPr>
          <w:rFonts w:hint="eastAsia" w:ascii="宋体" w:hAnsi="宋体" w:cs="宋体"/>
          <w:szCs w:val="21"/>
          <w:lang w:bidi="ar"/>
        </w:rPr>
        <w:t>《旋转电机 定额和性能》</w:t>
      </w:r>
    </w:p>
    <w:p>
      <w:pPr>
        <w:adjustRightInd w:val="0"/>
        <w:snapToGrid w:val="0"/>
        <w:spacing w:line="360" w:lineRule="auto"/>
        <w:ind w:firstLine="420" w:firstLineChars="200"/>
        <w:rPr>
          <w:szCs w:val="21"/>
        </w:rPr>
      </w:pPr>
      <w:r>
        <w:rPr>
          <w:szCs w:val="21"/>
          <w:lang w:bidi="ar"/>
        </w:rPr>
        <w:t>GB/T1993-1993</w:t>
      </w:r>
      <w:r>
        <w:rPr>
          <w:rFonts w:hint="eastAsia" w:ascii="宋体" w:hAnsi="宋体" w:cs="宋体"/>
          <w:szCs w:val="21"/>
          <w:lang w:bidi="ar"/>
        </w:rPr>
        <w:t>《旋转电机冷却方法》</w:t>
      </w:r>
    </w:p>
    <w:p>
      <w:pPr>
        <w:adjustRightInd w:val="0"/>
        <w:snapToGrid w:val="0"/>
        <w:spacing w:line="360" w:lineRule="auto"/>
        <w:ind w:firstLine="420" w:firstLineChars="200"/>
        <w:rPr>
          <w:szCs w:val="21"/>
        </w:rPr>
      </w:pPr>
      <w:r>
        <w:rPr>
          <w:szCs w:val="21"/>
          <w:lang w:bidi="ar"/>
        </w:rPr>
        <w:t>GB/T997-2008</w:t>
      </w:r>
      <w:r>
        <w:rPr>
          <w:rFonts w:hint="eastAsia" w:ascii="宋体" w:hAnsi="宋体" w:cs="宋体"/>
          <w:szCs w:val="21"/>
          <w:lang w:bidi="ar"/>
        </w:rPr>
        <w:t>《旋转电机结构型式、安装型式及接线盒位置的分类（</w:t>
      </w:r>
      <w:r>
        <w:rPr>
          <w:szCs w:val="21"/>
          <w:lang w:bidi="ar"/>
        </w:rPr>
        <w:t>IM</w:t>
      </w:r>
      <w:r>
        <w:rPr>
          <w:rFonts w:hint="eastAsia" w:ascii="宋体" w:hAnsi="宋体" w:cs="宋体"/>
          <w:szCs w:val="21"/>
          <w:lang w:bidi="ar"/>
        </w:rPr>
        <w:t>代码</w:t>
      </w:r>
      <w:r>
        <w:rPr>
          <w:szCs w:val="21"/>
          <w:lang w:bidi="ar"/>
        </w:rPr>
        <w:t>)</w:t>
      </w:r>
      <w:r>
        <w:rPr>
          <w:rFonts w:hint="eastAsia" w:ascii="宋体" w:hAnsi="宋体" w:cs="宋体"/>
          <w:szCs w:val="21"/>
          <w:lang w:bidi="ar"/>
        </w:rPr>
        <w:t>》</w:t>
      </w:r>
    </w:p>
    <w:p>
      <w:pPr>
        <w:adjustRightInd w:val="0"/>
        <w:snapToGrid w:val="0"/>
        <w:spacing w:line="360" w:lineRule="auto"/>
        <w:ind w:firstLine="420" w:firstLineChars="200"/>
        <w:rPr>
          <w:szCs w:val="21"/>
        </w:rPr>
      </w:pPr>
      <w:r>
        <w:rPr>
          <w:szCs w:val="21"/>
          <w:lang w:bidi="ar"/>
        </w:rPr>
        <w:t>GB/T13002-2022</w:t>
      </w:r>
      <w:r>
        <w:rPr>
          <w:rFonts w:hint="eastAsia" w:ascii="宋体" w:hAnsi="宋体" w:cs="宋体"/>
          <w:szCs w:val="21"/>
          <w:lang w:bidi="ar"/>
        </w:rPr>
        <w:t>《旋转电机热保护》</w:t>
      </w:r>
    </w:p>
    <w:p>
      <w:pPr>
        <w:adjustRightInd w:val="0"/>
        <w:snapToGrid w:val="0"/>
        <w:spacing w:line="360" w:lineRule="auto"/>
        <w:ind w:firstLine="420" w:firstLineChars="200"/>
        <w:rPr>
          <w:szCs w:val="21"/>
        </w:rPr>
      </w:pPr>
      <w:r>
        <w:rPr>
          <w:szCs w:val="21"/>
          <w:lang w:bidi="ar"/>
        </w:rPr>
        <w:t>GB14711-2013</w:t>
      </w:r>
      <w:r>
        <w:rPr>
          <w:rFonts w:hint="eastAsia" w:ascii="宋体" w:hAnsi="宋体" w:cs="宋体"/>
          <w:szCs w:val="21"/>
          <w:lang w:bidi="ar"/>
        </w:rPr>
        <w:t>《中小型旋转电机通用安全要求》</w:t>
      </w:r>
    </w:p>
    <w:p>
      <w:pPr>
        <w:adjustRightInd w:val="0"/>
        <w:snapToGrid w:val="0"/>
        <w:spacing w:line="360" w:lineRule="auto"/>
        <w:ind w:firstLine="412" w:firstLineChars="200"/>
        <w:rPr>
          <w:spacing w:val="-2"/>
          <w:szCs w:val="21"/>
        </w:rPr>
      </w:pPr>
      <w:r>
        <w:rPr>
          <w:spacing w:val="-2"/>
          <w:szCs w:val="21"/>
          <w:lang w:bidi="ar"/>
        </w:rPr>
        <w:t>GB/T17948.1-2018</w:t>
      </w:r>
      <w:r>
        <w:rPr>
          <w:rFonts w:hint="eastAsia" w:ascii="宋体" w:hAnsi="宋体" w:cs="宋体"/>
          <w:szCs w:val="21"/>
          <w:lang w:bidi="ar"/>
        </w:rPr>
        <w:t>《旋转电机</w:t>
      </w:r>
      <w:r>
        <w:rPr>
          <w:szCs w:val="21"/>
          <w:lang w:bidi="ar"/>
        </w:rPr>
        <w:t xml:space="preserve"> </w:t>
      </w:r>
      <w:r>
        <w:rPr>
          <w:rFonts w:hint="eastAsia" w:ascii="宋体" w:hAnsi="宋体" w:cs="宋体"/>
          <w:szCs w:val="21"/>
          <w:lang w:bidi="ar"/>
        </w:rPr>
        <w:t>绝缘结构功能性评定</w:t>
      </w:r>
      <w:r>
        <w:rPr>
          <w:szCs w:val="21"/>
          <w:lang w:bidi="ar"/>
        </w:rPr>
        <w:t xml:space="preserve"> </w:t>
      </w:r>
      <w:r>
        <w:rPr>
          <w:rFonts w:hint="eastAsia" w:ascii="宋体" w:hAnsi="宋体" w:cs="宋体"/>
          <w:szCs w:val="21"/>
          <w:lang w:bidi="ar"/>
        </w:rPr>
        <w:t>散绕绕组试验规程</w:t>
      </w:r>
      <w:r>
        <w:rPr>
          <w:szCs w:val="21"/>
          <w:lang w:bidi="ar"/>
        </w:rPr>
        <w:t xml:space="preserve"> </w:t>
      </w:r>
      <w:r>
        <w:rPr>
          <w:rFonts w:hint="eastAsia" w:ascii="宋体" w:hAnsi="宋体" w:cs="宋体"/>
          <w:szCs w:val="21"/>
          <w:lang w:bidi="ar"/>
        </w:rPr>
        <w:t>热评定和分级》</w:t>
      </w:r>
    </w:p>
    <w:p>
      <w:pPr>
        <w:adjustRightInd w:val="0"/>
        <w:snapToGrid w:val="0"/>
        <w:spacing w:line="360" w:lineRule="auto"/>
        <w:ind w:firstLine="420" w:firstLineChars="200"/>
        <w:rPr>
          <w:szCs w:val="21"/>
        </w:rPr>
      </w:pPr>
      <w:r>
        <w:rPr>
          <w:szCs w:val="21"/>
          <w:lang w:bidi="ar"/>
        </w:rPr>
        <w:t>GB/T20160-2006</w:t>
      </w:r>
      <w:r>
        <w:rPr>
          <w:rFonts w:hint="eastAsia" w:ascii="宋体" w:hAnsi="宋体" w:cs="宋体"/>
          <w:szCs w:val="21"/>
          <w:lang w:bidi="ar"/>
        </w:rPr>
        <w:t>《旋转电机绝缘电阻测试》</w:t>
      </w:r>
    </w:p>
    <w:p>
      <w:pPr>
        <w:adjustRightInd w:val="0"/>
        <w:snapToGrid w:val="0"/>
        <w:spacing w:line="360" w:lineRule="auto"/>
        <w:ind w:firstLine="420" w:firstLineChars="200"/>
        <w:rPr>
          <w:szCs w:val="21"/>
        </w:rPr>
      </w:pPr>
      <w:r>
        <w:rPr>
          <w:szCs w:val="21"/>
          <w:lang w:bidi="ar"/>
        </w:rPr>
        <w:t>GB/T2888-2008</w:t>
      </w:r>
      <w:r>
        <w:rPr>
          <w:rFonts w:hint="eastAsia" w:ascii="宋体" w:hAnsi="宋体" w:cs="宋体"/>
          <w:szCs w:val="21"/>
          <w:lang w:bidi="ar"/>
        </w:rPr>
        <w:t>《风机和罗茨鼓风机噪声测量方法》</w:t>
      </w:r>
    </w:p>
    <w:p>
      <w:pPr>
        <w:adjustRightInd w:val="0"/>
        <w:snapToGrid w:val="0"/>
        <w:spacing w:line="360" w:lineRule="auto"/>
        <w:ind w:firstLine="420" w:firstLineChars="200"/>
        <w:rPr>
          <w:szCs w:val="21"/>
        </w:rPr>
      </w:pPr>
      <w:r>
        <w:rPr>
          <w:szCs w:val="21"/>
          <w:lang w:bidi="ar"/>
        </w:rPr>
        <w:t>GB5226.1-2019</w:t>
      </w:r>
      <w:r>
        <w:rPr>
          <w:rFonts w:hint="eastAsia" w:ascii="宋体" w:hAnsi="宋体" w:cs="宋体"/>
          <w:szCs w:val="21"/>
          <w:lang w:bidi="ar"/>
        </w:rPr>
        <w:t>《机械电气安全 机械电气设备 第</w:t>
      </w:r>
      <w:r>
        <w:rPr>
          <w:szCs w:val="21"/>
          <w:lang w:bidi="ar"/>
        </w:rPr>
        <w:t>1</w:t>
      </w:r>
      <w:r>
        <w:rPr>
          <w:rFonts w:hint="eastAsia" w:ascii="宋体" w:hAnsi="宋体" w:cs="宋体"/>
          <w:szCs w:val="21"/>
          <w:lang w:bidi="ar"/>
        </w:rPr>
        <w:t>部分</w:t>
      </w:r>
      <w:r>
        <w:rPr>
          <w:szCs w:val="21"/>
          <w:lang w:bidi="ar"/>
        </w:rPr>
        <w:t>:</w:t>
      </w:r>
      <w:r>
        <w:rPr>
          <w:rFonts w:hint="eastAsia" w:ascii="宋体" w:hAnsi="宋体" w:cs="宋体"/>
          <w:szCs w:val="21"/>
          <w:lang w:bidi="ar"/>
        </w:rPr>
        <w:t>通用技术条件》</w:t>
      </w:r>
    </w:p>
    <w:p>
      <w:pPr>
        <w:adjustRightInd w:val="0"/>
        <w:snapToGrid w:val="0"/>
        <w:spacing w:line="360" w:lineRule="auto"/>
        <w:ind w:firstLine="420" w:firstLineChars="200"/>
        <w:rPr>
          <w:szCs w:val="21"/>
        </w:rPr>
      </w:pPr>
      <w:r>
        <w:rPr>
          <w:szCs w:val="21"/>
          <w:lang w:bidi="ar"/>
        </w:rPr>
        <w:t>API672</w:t>
      </w:r>
      <w:r>
        <w:rPr>
          <w:rFonts w:hint="eastAsia" w:ascii="宋体" w:hAnsi="宋体" w:cs="宋体"/>
          <w:szCs w:val="21"/>
          <w:lang w:bidi="ar"/>
        </w:rPr>
        <w:t>《石油、化工和气体工业用组装型整体齿轮增速离心式空气压缩机》美国石油协会标准</w:t>
      </w:r>
    </w:p>
    <w:p>
      <w:pPr>
        <w:adjustRightInd w:val="0"/>
        <w:snapToGrid w:val="0"/>
        <w:spacing w:line="360" w:lineRule="auto"/>
        <w:ind w:firstLine="420" w:firstLineChars="200"/>
        <w:rPr>
          <w:szCs w:val="21"/>
        </w:rPr>
      </w:pPr>
      <w:r>
        <w:rPr>
          <w:szCs w:val="21"/>
          <w:lang w:bidi="ar"/>
        </w:rPr>
        <w:t>VDI2048</w:t>
      </w:r>
      <w:r>
        <w:rPr>
          <w:rFonts w:hint="eastAsia" w:ascii="宋体" w:hAnsi="宋体" w:cs="宋体"/>
          <w:szCs w:val="21"/>
          <w:lang w:bidi="ar"/>
        </w:rPr>
        <w:t>《鼓风机验收试验的允差》</w:t>
      </w:r>
    </w:p>
    <w:p>
      <w:pPr>
        <w:adjustRightInd w:val="0"/>
        <w:snapToGrid w:val="0"/>
        <w:spacing w:line="360" w:lineRule="auto"/>
        <w:ind w:firstLine="420" w:firstLineChars="200"/>
        <w:rPr>
          <w:szCs w:val="21"/>
        </w:rPr>
      </w:pPr>
      <w:r>
        <w:rPr>
          <w:szCs w:val="21"/>
          <w:lang w:bidi="ar"/>
        </w:rPr>
        <w:t>VDI2056</w:t>
      </w:r>
      <w:r>
        <w:rPr>
          <w:rFonts w:hint="eastAsia" w:ascii="宋体" w:hAnsi="宋体" w:cs="宋体"/>
          <w:szCs w:val="21"/>
          <w:lang w:bidi="ar"/>
        </w:rPr>
        <w:t>《鼓风机振动测量》</w:t>
      </w:r>
    </w:p>
    <w:p>
      <w:pPr>
        <w:adjustRightInd w:val="0"/>
        <w:snapToGrid w:val="0"/>
        <w:spacing w:line="360" w:lineRule="auto"/>
        <w:ind w:firstLine="420" w:firstLineChars="200"/>
        <w:rPr>
          <w:szCs w:val="21"/>
        </w:rPr>
      </w:pPr>
      <w:r>
        <w:rPr>
          <w:szCs w:val="21"/>
          <w:lang w:bidi="ar"/>
        </w:rPr>
        <w:t>VDI2060</w:t>
      </w:r>
      <w:r>
        <w:rPr>
          <w:rFonts w:hint="eastAsia" w:ascii="宋体" w:hAnsi="宋体" w:cs="宋体"/>
          <w:szCs w:val="21"/>
          <w:lang w:bidi="ar"/>
        </w:rPr>
        <w:t>《鼓风机旋转体平衡测定》</w:t>
      </w:r>
    </w:p>
    <w:p>
      <w:pPr>
        <w:adjustRightInd w:val="0"/>
        <w:snapToGrid w:val="0"/>
        <w:spacing w:line="360" w:lineRule="auto"/>
        <w:ind w:firstLine="420" w:firstLineChars="200"/>
        <w:rPr>
          <w:szCs w:val="21"/>
        </w:rPr>
      </w:pPr>
      <w:r>
        <w:rPr>
          <w:szCs w:val="21"/>
          <w:lang w:bidi="ar"/>
        </w:rPr>
        <w:t>ISO3744</w:t>
      </w:r>
      <w:r>
        <w:rPr>
          <w:rFonts w:hint="eastAsia" w:ascii="宋体" w:hAnsi="宋体" w:cs="宋体"/>
          <w:szCs w:val="21"/>
          <w:lang w:bidi="ar"/>
        </w:rPr>
        <w:t>《鼓风机</w:t>
      </w:r>
      <w:r>
        <w:rPr>
          <w:szCs w:val="21"/>
          <w:lang w:bidi="ar"/>
        </w:rPr>
        <w:t>-</w:t>
      </w:r>
      <w:r>
        <w:rPr>
          <w:rFonts w:hint="eastAsia" w:ascii="宋体" w:hAnsi="宋体" w:cs="宋体"/>
          <w:szCs w:val="21"/>
          <w:lang w:bidi="ar"/>
        </w:rPr>
        <w:t>原动机噪音测定》</w:t>
      </w:r>
    </w:p>
    <w:p>
      <w:pPr>
        <w:adjustRightInd w:val="0"/>
        <w:snapToGrid w:val="0"/>
        <w:spacing w:line="360" w:lineRule="auto"/>
        <w:ind w:firstLine="420" w:firstLineChars="200"/>
        <w:rPr>
          <w:szCs w:val="21"/>
        </w:rPr>
      </w:pPr>
      <w:r>
        <w:rPr>
          <w:szCs w:val="21"/>
          <w:lang w:bidi="ar"/>
        </w:rPr>
        <w:t>ISODP8573</w:t>
      </w:r>
      <w:r>
        <w:rPr>
          <w:rFonts w:hint="eastAsia" w:ascii="宋体" w:hAnsi="宋体" w:cs="宋体"/>
          <w:szCs w:val="21"/>
          <w:lang w:bidi="ar"/>
        </w:rPr>
        <w:t>《压缩空气质量等级和试验》</w:t>
      </w:r>
    </w:p>
    <w:p>
      <w:pPr>
        <w:adjustRightInd w:val="0"/>
        <w:snapToGrid w:val="0"/>
        <w:spacing w:line="360" w:lineRule="auto"/>
        <w:ind w:firstLine="420" w:firstLineChars="200"/>
        <w:rPr>
          <w:szCs w:val="21"/>
        </w:rPr>
      </w:pPr>
      <w:r>
        <w:rPr>
          <w:szCs w:val="21"/>
          <w:lang w:bidi="ar"/>
        </w:rPr>
        <w:t>ISO5368</w:t>
      </w:r>
      <w:r>
        <w:rPr>
          <w:rFonts w:hint="eastAsia" w:ascii="宋体" w:hAnsi="宋体" w:cs="宋体"/>
          <w:szCs w:val="21"/>
          <w:lang w:bidi="ar"/>
        </w:rPr>
        <w:t>《鼓风机安全规程》</w:t>
      </w:r>
    </w:p>
    <w:p>
      <w:pPr>
        <w:adjustRightInd w:val="0"/>
        <w:snapToGrid w:val="0"/>
        <w:spacing w:line="360" w:lineRule="auto"/>
        <w:ind w:firstLine="420" w:firstLineChars="200"/>
        <w:rPr>
          <w:szCs w:val="21"/>
        </w:rPr>
      </w:pPr>
      <w:r>
        <w:rPr>
          <w:szCs w:val="21"/>
          <w:lang w:bidi="ar"/>
        </w:rPr>
        <w:t>JB/T3263-2000</w:t>
      </w:r>
      <w:r>
        <w:rPr>
          <w:rFonts w:hint="eastAsia" w:ascii="宋体" w:hAnsi="宋体" w:cs="宋体"/>
          <w:szCs w:val="21"/>
          <w:lang w:bidi="ar"/>
        </w:rPr>
        <w:t>《卧式振动离心机》</w:t>
      </w:r>
    </w:p>
    <w:p>
      <w:pPr>
        <w:adjustRightInd w:val="0"/>
        <w:snapToGrid w:val="0"/>
        <w:spacing w:line="360" w:lineRule="auto"/>
        <w:ind w:firstLine="420" w:firstLineChars="200"/>
        <w:rPr>
          <w:szCs w:val="21"/>
        </w:rPr>
      </w:pPr>
      <w:r>
        <w:rPr>
          <w:szCs w:val="21"/>
          <w:lang w:bidi="ar"/>
        </w:rPr>
        <w:t>GB/T12220-2015</w:t>
      </w:r>
      <w:r>
        <w:rPr>
          <w:rFonts w:hint="eastAsia" w:ascii="宋体" w:hAnsi="宋体" w:cs="宋体"/>
          <w:szCs w:val="21"/>
          <w:lang w:bidi="ar"/>
        </w:rPr>
        <w:t>《工业阀门标志》</w:t>
      </w:r>
    </w:p>
    <w:p>
      <w:pPr>
        <w:adjustRightInd w:val="0"/>
        <w:snapToGrid w:val="0"/>
        <w:spacing w:line="360" w:lineRule="auto"/>
        <w:ind w:firstLine="420" w:firstLineChars="200"/>
        <w:rPr>
          <w:szCs w:val="21"/>
        </w:rPr>
      </w:pPr>
      <w:r>
        <w:rPr>
          <w:szCs w:val="21"/>
          <w:lang w:bidi="ar"/>
        </w:rPr>
        <w:t>CJ/T3006-1992</w:t>
      </w:r>
      <w:r>
        <w:rPr>
          <w:rFonts w:hint="eastAsia" w:ascii="宋体" w:hAnsi="宋体" w:cs="宋体"/>
          <w:szCs w:val="21"/>
          <w:lang w:bidi="ar"/>
        </w:rPr>
        <w:t>《供水排水用铸铁闸门》</w:t>
      </w:r>
    </w:p>
    <w:p>
      <w:pPr>
        <w:adjustRightInd w:val="0"/>
        <w:snapToGrid w:val="0"/>
        <w:spacing w:line="360" w:lineRule="auto"/>
        <w:ind w:firstLine="420" w:firstLineChars="200"/>
        <w:rPr>
          <w:szCs w:val="21"/>
        </w:rPr>
      </w:pPr>
      <w:r>
        <w:rPr>
          <w:szCs w:val="21"/>
          <w:lang w:bidi="ar"/>
        </w:rPr>
        <w:t>GB3811-2008</w:t>
      </w:r>
      <w:r>
        <w:rPr>
          <w:rFonts w:hint="eastAsia" w:ascii="宋体" w:hAnsi="宋体" w:cs="宋体"/>
          <w:szCs w:val="21"/>
          <w:lang w:bidi="ar"/>
        </w:rPr>
        <w:t>《起重机设计规范》</w:t>
      </w:r>
    </w:p>
    <w:p>
      <w:pPr>
        <w:adjustRightInd w:val="0"/>
        <w:snapToGrid w:val="0"/>
        <w:spacing w:line="360" w:lineRule="auto"/>
        <w:ind w:firstLine="420" w:firstLineChars="200"/>
        <w:rPr>
          <w:szCs w:val="21"/>
        </w:rPr>
      </w:pPr>
      <w:r>
        <w:rPr>
          <w:szCs w:val="21"/>
          <w:lang w:bidi="ar"/>
        </w:rPr>
        <w:t>GB/T6067.1-2010</w:t>
      </w:r>
      <w:r>
        <w:rPr>
          <w:rFonts w:hint="eastAsia" w:ascii="宋体" w:hAnsi="宋体" w:cs="宋体"/>
          <w:szCs w:val="21"/>
          <w:lang w:bidi="ar"/>
        </w:rPr>
        <w:t>《起重机械安全规程 第</w:t>
      </w:r>
      <w:r>
        <w:rPr>
          <w:szCs w:val="21"/>
          <w:lang w:bidi="ar"/>
        </w:rPr>
        <w:t>1</w:t>
      </w:r>
      <w:r>
        <w:rPr>
          <w:rFonts w:hint="eastAsia" w:ascii="宋体" w:hAnsi="宋体" w:cs="宋体"/>
          <w:szCs w:val="21"/>
          <w:lang w:bidi="ar"/>
        </w:rPr>
        <w:t>部分：总则》</w:t>
      </w:r>
    </w:p>
    <w:p>
      <w:pPr>
        <w:adjustRightInd w:val="0"/>
        <w:snapToGrid w:val="0"/>
        <w:spacing w:line="360" w:lineRule="auto"/>
        <w:ind w:firstLine="420" w:firstLineChars="200"/>
        <w:rPr>
          <w:szCs w:val="21"/>
        </w:rPr>
      </w:pPr>
      <w:r>
        <w:rPr>
          <w:szCs w:val="21"/>
          <w:lang w:bidi="ar"/>
        </w:rPr>
        <w:t>JB/T1306-2008</w:t>
      </w:r>
      <w:r>
        <w:rPr>
          <w:rFonts w:hint="eastAsia" w:ascii="宋体" w:hAnsi="宋体" w:cs="宋体"/>
          <w:szCs w:val="21"/>
          <w:lang w:bidi="ar"/>
        </w:rPr>
        <w:t>《电动单梁起重机》</w:t>
      </w:r>
    </w:p>
    <w:p>
      <w:pPr>
        <w:adjustRightInd w:val="0"/>
        <w:snapToGrid w:val="0"/>
        <w:spacing w:line="360" w:lineRule="auto"/>
        <w:ind w:firstLine="420" w:firstLineChars="200"/>
        <w:rPr>
          <w:szCs w:val="21"/>
        </w:rPr>
      </w:pPr>
      <w:r>
        <w:rPr>
          <w:szCs w:val="21"/>
          <w:lang w:bidi="ar"/>
        </w:rPr>
        <w:t>JB/T9008.1-2014</w:t>
      </w:r>
      <w:r>
        <w:rPr>
          <w:rFonts w:hint="eastAsia" w:ascii="宋体" w:hAnsi="宋体" w:cs="宋体"/>
          <w:szCs w:val="21"/>
          <w:lang w:bidi="ar"/>
        </w:rPr>
        <w:t>《钢丝绳电动葫芦 第</w:t>
      </w:r>
      <w:r>
        <w:rPr>
          <w:szCs w:val="21"/>
          <w:lang w:bidi="ar"/>
        </w:rPr>
        <w:t>1</w:t>
      </w:r>
      <w:r>
        <w:rPr>
          <w:rFonts w:hint="eastAsia" w:ascii="宋体" w:hAnsi="宋体" w:cs="宋体"/>
          <w:szCs w:val="21"/>
          <w:lang w:bidi="ar"/>
        </w:rPr>
        <w:t>部分：型式与基本参数、技术条件》</w:t>
      </w:r>
    </w:p>
    <w:p>
      <w:pPr>
        <w:adjustRightInd w:val="0"/>
        <w:snapToGrid w:val="0"/>
        <w:spacing w:line="360" w:lineRule="auto"/>
        <w:ind w:firstLine="420" w:firstLineChars="200"/>
        <w:rPr>
          <w:szCs w:val="21"/>
        </w:rPr>
      </w:pPr>
      <w:r>
        <w:rPr>
          <w:szCs w:val="21"/>
          <w:lang w:bidi="ar"/>
        </w:rPr>
        <w:t>JB/T9008.2-2015</w:t>
      </w:r>
      <w:r>
        <w:rPr>
          <w:rFonts w:hint="eastAsia" w:ascii="宋体" w:hAnsi="宋体" w:cs="宋体"/>
          <w:szCs w:val="21"/>
          <w:lang w:bidi="ar"/>
        </w:rPr>
        <w:t>《钢丝绳电动葫芦 第</w:t>
      </w:r>
      <w:r>
        <w:rPr>
          <w:szCs w:val="21"/>
          <w:lang w:bidi="ar"/>
        </w:rPr>
        <w:t>2</w:t>
      </w:r>
      <w:r>
        <w:rPr>
          <w:rFonts w:hint="eastAsia" w:ascii="宋体" w:hAnsi="宋体" w:cs="宋体"/>
          <w:szCs w:val="21"/>
          <w:lang w:bidi="ar"/>
        </w:rPr>
        <w:t>部分：试验方法》</w:t>
      </w:r>
    </w:p>
    <w:p>
      <w:pPr>
        <w:adjustRightInd w:val="0"/>
        <w:snapToGrid w:val="0"/>
        <w:spacing w:line="360" w:lineRule="auto"/>
        <w:ind w:firstLine="420" w:firstLineChars="200"/>
        <w:rPr>
          <w:szCs w:val="21"/>
        </w:rPr>
      </w:pPr>
      <w:r>
        <w:rPr>
          <w:szCs w:val="21"/>
          <w:lang w:bidi="ar"/>
        </w:rPr>
        <w:t>GBT24811.1-2009</w:t>
      </w:r>
      <w:r>
        <w:rPr>
          <w:rFonts w:hint="eastAsia" w:ascii="宋体" w:hAnsi="宋体" w:cs="宋体"/>
          <w:szCs w:val="21"/>
          <w:lang w:bidi="ar"/>
        </w:rPr>
        <w:t>《起重机和起重机械 钢丝绳选择 第</w:t>
      </w:r>
      <w:r>
        <w:rPr>
          <w:szCs w:val="21"/>
          <w:lang w:bidi="ar"/>
        </w:rPr>
        <w:t>1</w:t>
      </w:r>
      <w:r>
        <w:rPr>
          <w:rFonts w:hint="eastAsia" w:ascii="宋体" w:hAnsi="宋体" w:cs="宋体"/>
          <w:szCs w:val="21"/>
          <w:lang w:bidi="ar"/>
        </w:rPr>
        <w:t>部分：总则》</w:t>
      </w:r>
    </w:p>
    <w:p>
      <w:pPr>
        <w:adjustRightInd w:val="0"/>
        <w:snapToGrid w:val="0"/>
        <w:spacing w:line="360" w:lineRule="auto"/>
        <w:ind w:firstLine="420" w:firstLineChars="200"/>
        <w:rPr>
          <w:szCs w:val="21"/>
        </w:rPr>
      </w:pPr>
      <w:r>
        <w:fldChar w:fldCharType="begin"/>
      </w:r>
      <w:r>
        <w:instrText xml:space="preserve"> HYPERLINK "http://www.csres.com/detail/308806.html" </w:instrText>
      </w:r>
      <w:r>
        <w:fldChar w:fldCharType="separate"/>
      </w:r>
      <w:r>
        <w:rPr>
          <w:rStyle w:val="33"/>
          <w:color w:val="auto"/>
          <w:sz w:val="21"/>
          <w:szCs w:val="21"/>
        </w:rPr>
        <w:t>GB/T20118-2017</w:t>
      </w:r>
      <w:r>
        <w:rPr>
          <w:rStyle w:val="33"/>
          <w:color w:val="auto"/>
          <w:sz w:val="21"/>
          <w:szCs w:val="21"/>
        </w:rPr>
        <w:fldChar w:fldCharType="end"/>
      </w:r>
      <w:r>
        <w:rPr>
          <w:rFonts w:hint="eastAsia" w:ascii="宋体" w:hAnsi="宋体" w:cs="宋体"/>
          <w:szCs w:val="21"/>
          <w:lang w:bidi="ar"/>
        </w:rPr>
        <w:t>《钢丝绳通用技术条件》</w:t>
      </w:r>
    </w:p>
    <w:p>
      <w:pPr>
        <w:adjustRightInd w:val="0"/>
        <w:snapToGrid w:val="0"/>
        <w:spacing w:line="360" w:lineRule="auto"/>
        <w:ind w:firstLine="420" w:firstLineChars="200"/>
        <w:rPr>
          <w:szCs w:val="21"/>
        </w:rPr>
      </w:pPr>
      <w:r>
        <w:rPr>
          <w:szCs w:val="21"/>
          <w:lang w:bidi="ar"/>
        </w:rPr>
        <w:t>JB/T4315-2020</w:t>
      </w:r>
      <w:r>
        <w:rPr>
          <w:rFonts w:hint="eastAsia" w:ascii="宋体" w:hAnsi="宋体" w:cs="宋体"/>
          <w:szCs w:val="21"/>
          <w:lang w:bidi="ar"/>
        </w:rPr>
        <w:t>《起重机械电控设备》</w:t>
      </w:r>
    </w:p>
    <w:p>
      <w:pPr>
        <w:adjustRightInd w:val="0"/>
        <w:snapToGrid w:val="0"/>
        <w:spacing w:line="360" w:lineRule="auto"/>
        <w:ind w:firstLine="420" w:firstLineChars="200"/>
        <w:rPr>
          <w:szCs w:val="21"/>
        </w:rPr>
      </w:pPr>
      <w:r>
        <w:rPr>
          <w:szCs w:val="21"/>
          <w:lang w:bidi="ar"/>
        </w:rPr>
        <w:t>GB/T4879-2016</w:t>
      </w:r>
      <w:r>
        <w:rPr>
          <w:rFonts w:hint="eastAsia" w:ascii="宋体" w:hAnsi="宋体" w:cs="宋体"/>
          <w:szCs w:val="21"/>
          <w:lang w:bidi="ar"/>
        </w:rPr>
        <w:t>《防锈包装》</w:t>
      </w:r>
    </w:p>
    <w:p>
      <w:pPr>
        <w:adjustRightInd w:val="0"/>
        <w:snapToGrid w:val="0"/>
        <w:spacing w:line="360" w:lineRule="auto"/>
        <w:ind w:firstLine="420" w:firstLineChars="200"/>
        <w:rPr>
          <w:szCs w:val="21"/>
        </w:rPr>
      </w:pPr>
      <w:r>
        <w:rPr>
          <w:szCs w:val="21"/>
          <w:lang w:bidi="ar"/>
        </w:rPr>
        <w:t>GB5083-1999</w:t>
      </w:r>
      <w:r>
        <w:rPr>
          <w:rFonts w:hint="eastAsia" w:ascii="宋体" w:hAnsi="宋体" w:cs="宋体"/>
          <w:szCs w:val="21"/>
          <w:lang w:bidi="ar"/>
        </w:rPr>
        <w:t>《生产设备安全卫生设计总则》</w:t>
      </w:r>
    </w:p>
    <w:p>
      <w:pPr>
        <w:adjustRightInd w:val="0"/>
        <w:snapToGrid w:val="0"/>
        <w:spacing w:line="360" w:lineRule="auto"/>
        <w:ind w:firstLine="420" w:firstLineChars="200"/>
        <w:rPr>
          <w:szCs w:val="21"/>
        </w:rPr>
      </w:pPr>
      <w:r>
        <w:rPr>
          <w:szCs w:val="21"/>
          <w:lang w:bidi="ar"/>
        </w:rPr>
        <w:t>GB50017-2017</w:t>
      </w:r>
      <w:r>
        <w:rPr>
          <w:rFonts w:hint="eastAsia" w:ascii="宋体" w:hAnsi="宋体" w:cs="宋体"/>
          <w:szCs w:val="21"/>
          <w:lang w:bidi="ar"/>
        </w:rPr>
        <w:t>《钢结构设计标准</w:t>
      </w:r>
      <w:r>
        <w:rPr>
          <w:szCs w:val="21"/>
          <w:lang w:bidi="ar"/>
        </w:rPr>
        <w:t>(</w:t>
      </w:r>
      <w:r>
        <w:rPr>
          <w:rFonts w:hint="eastAsia" w:ascii="宋体" w:hAnsi="宋体" w:cs="宋体"/>
          <w:szCs w:val="21"/>
          <w:lang w:bidi="ar"/>
        </w:rPr>
        <w:t>附条文说明</w:t>
      </w:r>
      <w:r>
        <w:rPr>
          <w:szCs w:val="21"/>
          <w:lang w:bidi="ar"/>
        </w:rPr>
        <w:t>[</w:t>
      </w:r>
      <w:r>
        <w:rPr>
          <w:rFonts w:hint="eastAsia" w:ascii="宋体" w:hAnsi="宋体" w:cs="宋体"/>
          <w:szCs w:val="21"/>
          <w:lang w:bidi="ar"/>
        </w:rPr>
        <w:t>另册</w:t>
      </w:r>
      <w:r>
        <w:rPr>
          <w:szCs w:val="21"/>
          <w:lang w:bidi="ar"/>
        </w:rPr>
        <w:t xml:space="preserve">]) </w:t>
      </w:r>
      <w:r>
        <w:rPr>
          <w:rFonts w:hint="eastAsia" w:ascii="宋体" w:hAnsi="宋体" w:cs="宋体"/>
          <w:szCs w:val="21"/>
          <w:lang w:bidi="ar"/>
        </w:rPr>
        <w:t>》</w:t>
      </w:r>
    </w:p>
    <w:p>
      <w:pPr>
        <w:adjustRightInd w:val="0"/>
        <w:snapToGrid w:val="0"/>
        <w:spacing w:line="360" w:lineRule="auto"/>
        <w:ind w:firstLine="420" w:firstLineChars="200"/>
        <w:rPr>
          <w:szCs w:val="21"/>
        </w:rPr>
      </w:pPr>
      <w:r>
        <w:rPr>
          <w:szCs w:val="21"/>
          <w:lang w:bidi="ar"/>
        </w:rPr>
        <w:t>GB50205-2020</w:t>
      </w:r>
      <w:r>
        <w:rPr>
          <w:rFonts w:hint="eastAsia" w:ascii="宋体" w:hAnsi="宋体" w:cs="宋体"/>
          <w:szCs w:val="21"/>
          <w:lang w:bidi="ar"/>
        </w:rPr>
        <w:t>《钢结构工程施工质量验收标准》</w:t>
      </w:r>
    </w:p>
    <w:p>
      <w:pPr>
        <w:adjustRightInd w:val="0"/>
        <w:snapToGrid w:val="0"/>
        <w:spacing w:line="360" w:lineRule="auto"/>
        <w:ind w:firstLine="420" w:firstLineChars="200"/>
        <w:rPr>
          <w:szCs w:val="21"/>
        </w:rPr>
      </w:pPr>
      <w:r>
        <w:rPr>
          <w:szCs w:val="21"/>
          <w:lang w:bidi="ar"/>
        </w:rPr>
        <w:t>JB/T 2839-2016</w:t>
      </w:r>
      <w:r>
        <w:rPr>
          <w:rFonts w:hint="eastAsia" w:ascii="宋体" w:hAnsi="宋体" w:cs="宋体"/>
          <w:szCs w:val="21"/>
          <w:lang w:bidi="ar"/>
        </w:rPr>
        <w:t>《电机用刷握及集电环》</w:t>
      </w:r>
    </w:p>
    <w:p>
      <w:pPr>
        <w:adjustRightInd w:val="0"/>
        <w:snapToGrid w:val="0"/>
        <w:spacing w:line="360" w:lineRule="auto"/>
        <w:ind w:firstLine="420" w:firstLineChars="200"/>
        <w:rPr>
          <w:szCs w:val="21"/>
        </w:rPr>
      </w:pPr>
      <w:r>
        <w:rPr>
          <w:szCs w:val="21"/>
          <w:lang w:bidi="ar"/>
        </w:rPr>
        <w:t>SY/T0407-2012</w:t>
      </w:r>
      <w:r>
        <w:rPr>
          <w:rFonts w:hint="eastAsia" w:ascii="宋体" w:hAnsi="宋体" w:cs="宋体"/>
          <w:szCs w:val="21"/>
          <w:lang w:bidi="ar"/>
        </w:rPr>
        <w:t>《涂装前钢材表面处理规范》</w:t>
      </w:r>
    </w:p>
    <w:p>
      <w:pPr>
        <w:adjustRightInd w:val="0"/>
        <w:snapToGrid w:val="0"/>
        <w:spacing w:line="360" w:lineRule="auto"/>
        <w:ind w:firstLine="420" w:firstLineChars="200"/>
        <w:rPr>
          <w:szCs w:val="21"/>
        </w:rPr>
      </w:pPr>
      <w:r>
        <w:rPr>
          <w:szCs w:val="21"/>
          <w:lang w:bidi="ar"/>
        </w:rPr>
        <w:t>CJ/T3035-1995</w:t>
      </w:r>
      <w:r>
        <w:rPr>
          <w:rFonts w:hint="eastAsia" w:ascii="宋体" w:hAnsi="宋体" w:cs="宋体"/>
          <w:szCs w:val="21"/>
          <w:lang w:bidi="ar"/>
        </w:rPr>
        <w:t>《城镇建设和建筑工业产品型号编制规则》</w:t>
      </w:r>
    </w:p>
    <w:p>
      <w:pPr>
        <w:adjustRightInd w:val="0"/>
        <w:snapToGrid w:val="0"/>
        <w:spacing w:line="360" w:lineRule="auto"/>
        <w:ind w:firstLine="420" w:firstLineChars="200"/>
        <w:rPr>
          <w:szCs w:val="21"/>
        </w:rPr>
      </w:pPr>
      <w:r>
        <w:rPr>
          <w:szCs w:val="21"/>
          <w:lang w:bidi="ar"/>
        </w:rPr>
        <w:t>GB 50231-2009</w:t>
      </w:r>
      <w:r>
        <w:rPr>
          <w:rFonts w:hint="eastAsia" w:ascii="宋体" w:hAnsi="宋体" w:cs="宋体"/>
          <w:szCs w:val="21"/>
          <w:lang w:bidi="ar"/>
        </w:rPr>
        <w:t>《机械设备安装工程施工及验收通用规范》</w:t>
      </w:r>
    </w:p>
    <w:p>
      <w:pPr>
        <w:adjustRightInd w:val="0"/>
        <w:snapToGrid w:val="0"/>
        <w:spacing w:line="360" w:lineRule="auto"/>
        <w:ind w:firstLine="420" w:firstLineChars="200"/>
        <w:rPr>
          <w:szCs w:val="21"/>
        </w:rPr>
      </w:pPr>
      <w:r>
        <w:rPr>
          <w:szCs w:val="21"/>
          <w:lang w:bidi="ar"/>
        </w:rPr>
        <w:t>GB/T17241.6-2008</w:t>
      </w:r>
      <w:r>
        <w:rPr>
          <w:rFonts w:hint="eastAsia" w:ascii="宋体" w:hAnsi="宋体" w:cs="宋体"/>
          <w:szCs w:val="21"/>
          <w:lang w:bidi="ar"/>
        </w:rPr>
        <w:t>《整体铸铁法兰》</w:t>
      </w:r>
    </w:p>
    <w:p>
      <w:pPr>
        <w:adjustRightInd w:val="0"/>
        <w:snapToGrid w:val="0"/>
        <w:spacing w:line="360" w:lineRule="auto"/>
        <w:ind w:firstLine="420" w:firstLineChars="200"/>
        <w:rPr>
          <w:szCs w:val="21"/>
        </w:rPr>
      </w:pPr>
      <w:r>
        <w:rPr>
          <w:szCs w:val="21"/>
          <w:lang w:bidi="ar"/>
        </w:rPr>
        <w:t>GB/T17241.7-1998</w:t>
      </w:r>
      <w:r>
        <w:rPr>
          <w:rFonts w:hint="eastAsia" w:ascii="宋体" w:hAnsi="宋体" w:cs="宋体"/>
          <w:szCs w:val="21"/>
          <w:lang w:bidi="ar"/>
        </w:rPr>
        <w:t>《铸铁管法兰 技术条件》</w:t>
      </w:r>
    </w:p>
    <w:p>
      <w:pPr>
        <w:adjustRightInd w:val="0"/>
        <w:snapToGrid w:val="0"/>
        <w:spacing w:line="360" w:lineRule="auto"/>
        <w:ind w:firstLine="420" w:firstLineChars="200"/>
        <w:rPr>
          <w:szCs w:val="21"/>
        </w:rPr>
      </w:pPr>
      <w:r>
        <w:rPr>
          <w:szCs w:val="21"/>
          <w:lang w:bidi="ar"/>
        </w:rPr>
        <w:t>GB/T6414-2017</w:t>
      </w:r>
      <w:r>
        <w:rPr>
          <w:rFonts w:hint="eastAsia" w:ascii="宋体" w:hAnsi="宋体" w:cs="宋体"/>
          <w:szCs w:val="21"/>
          <w:lang w:bidi="ar"/>
        </w:rPr>
        <w:t>《铸件 尺寸公差、几何公差与机械加工余量》</w:t>
      </w:r>
    </w:p>
    <w:p>
      <w:pPr>
        <w:adjustRightInd w:val="0"/>
        <w:snapToGrid w:val="0"/>
        <w:spacing w:line="360" w:lineRule="auto"/>
        <w:ind w:firstLine="420" w:firstLineChars="200"/>
        <w:rPr>
          <w:szCs w:val="21"/>
        </w:rPr>
      </w:pPr>
      <w:r>
        <w:rPr>
          <w:szCs w:val="21"/>
          <w:lang w:bidi="ar"/>
        </w:rPr>
        <w:t>GB/T1184-1996</w:t>
      </w:r>
      <w:r>
        <w:rPr>
          <w:rFonts w:hint="eastAsia" w:ascii="宋体" w:hAnsi="宋体" w:cs="宋体"/>
          <w:szCs w:val="21"/>
          <w:lang w:bidi="ar"/>
        </w:rPr>
        <w:t>《形状和位置公差 未注公差值》</w:t>
      </w:r>
    </w:p>
    <w:p>
      <w:pPr>
        <w:adjustRightInd w:val="0"/>
        <w:snapToGrid w:val="0"/>
        <w:spacing w:line="360" w:lineRule="auto"/>
        <w:ind w:firstLine="420" w:firstLineChars="200"/>
        <w:rPr>
          <w:szCs w:val="21"/>
        </w:rPr>
      </w:pPr>
      <w:r>
        <w:rPr>
          <w:szCs w:val="21"/>
          <w:lang w:bidi="ar"/>
        </w:rPr>
        <w:t>GB/T5226.1-2019</w:t>
      </w:r>
      <w:r>
        <w:rPr>
          <w:rFonts w:hint="eastAsia" w:ascii="宋体" w:hAnsi="宋体" w:cs="宋体"/>
          <w:szCs w:val="21"/>
          <w:lang w:bidi="ar"/>
        </w:rPr>
        <w:t>《机械电气安全 机械电气设备 第</w:t>
      </w:r>
      <w:r>
        <w:rPr>
          <w:szCs w:val="21"/>
          <w:lang w:bidi="ar"/>
        </w:rPr>
        <w:t>1</w:t>
      </w:r>
      <w:r>
        <w:rPr>
          <w:rFonts w:hint="eastAsia" w:ascii="宋体" w:hAnsi="宋体" w:cs="宋体"/>
          <w:szCs w:val="21"/>
          <w:lang w:bidi="ar"/>
        </w:rPr>
        <w:t>部分</w:t>
      </w:r>
      <w:r>
        <w:rPr>
          <w:szCs w:val="21"/>
          <w:lang w:bidi="ar"/>
        </w:rPr>
        <w:t>:</w:t>
      </w:r>
      <w:r>
        <w:rPr>
          <w:rFonts w:hint="eastAsia" w:ascii="宋体" w:hAnsi="宋体" w:cs="宋体"/>
          <w:szCs w:val="21"/>
          <w:lang w:bidi="ar"/>
        </w:rPr>
        <w:t>通用技术条件》</w:t>
      </w:r>
    </w:p>
    <w:p>
      <w:pPr>
        <w:adjustRightInd w:val="0"/>
        <w:snapToGrid w:val="0"/>
        <w:spacing w:line="360" w:lineRule="auto"/>
        <w:ind w:firstLine="420" w:firstLineChars="200"/>
        <w:rPr>
          <w:szCs w:val="21"/>
        </w:rPr>
      </w:pPr>
      <w:r>
        <w:rPr>
          <w:szCs w:val="21"/>
          <w:lang w:bidi="ar"/>
        </w:rPr>
        <w:t>GB/T1804-2000</w:t>
      </w:r>
      <w:r>
        <w:rPr>
          <w:rFonts w:hint="eastAsia" w:ascii="宋体" w:hAnsi="宋体" w:cs="宋体"/>
          <w:szCs w:val="21"/>
          <w:lang w:bidi="ar"/>
        </w:rPr>
        <w:t>《一般公差 未注公差的线性和角度尺寸的公差》</w:t>
      </w:r>
    </w:p>
    <w:p>
      <w:pPr>
        <w:adjustRightInd w:val="0"/>
        <w:snapToGrid w:val="0"/>
        <w:spacing w:line="360" w:lineRule="auto"/>
        <w:ind w:firstLine="420" w:firstLineChars="200"/>
        <w:rPr>
          <w:szCs w:val="21"/>
        </w:rPr>
      </w:pPr>
      <w:r>
        <w:rPr>
          <w:szCs w:val="21"/>
          <w:lang w:bidi="ar"/>
        </w:rPr>
        <w:t>GB/T 13306-2011</w:t>
      </w:r>
      <w:r>
        <w:rPr>
          <w:rFonts w:hint="eastAsia" w:ascii="宋体" w:hAnsi="宋体" w:cs="宋体"/>
          <w:szCs w:val="21"/>
          <w:lang w:bidi="ar"/>
        </w:rPr>
        <w:t>《标牌》</w:t>
      </w:r>
    </w:p>
    <w:p>
      <w:pPr>
        <w:adjustRightInd w:val="0"/>
        <w:snapToGrid w:val="0"/>
        <w:spacing w:line="360" w:lineRule="auto"/>
        <w:ind w:firstLine="420" w:firstLineChars="200"/>
        <w:rPr>
          <w:szCs w:val="21"/>
        </w:rPr>
      </w:pPr>
      <w:r>
        <w:rPr>
          <w:szCs w:val="21"/>
          <w:lang w:bidi="ar"/>
        </w:rPr>
        <w:t>GB/T 9089.2-2008</w:t>
      </w:r>
      <w:r>
        <w:rPr>
          <w:rFonts w:hint="eastAsia" w:ascii="宋体" w:hAnsi="宋体" w:cs="宋体"/>
          <w:szCs w:val="21"/>
          <w:lang w:bidi="ar"/>
        </w:rPr>
        <w:t>《户外严酷条件下的电气设施 第</w:t>
      </w:r>
      <w:r>
        <w:rPr>
          <w:szCs w:val="21"/>
          <w:lang w:bidi="ar"/>
        </w:rPr>
        <w:t>2</w:t>
      </w:r>
      <w:r>
        <w:rPr>
          <w:rFonts w:hint="eastAsia" w:ascii="宋体" w:hAnsi="宋体" w:cs="宋体"/>
          <w:szCs w:val="21"/>
          <w:lang w:bidi="ar"/>
        </w:rPr>
        <w:t>部分</w:t>
      </w:r>
      <w:r>
        <w:rPr>
          <w:szCs w:val="21"/>
          <w:lang w:bidi="ar"/>
        </w:rPr>
        <w:t xml:space="preserve">: </w:t>
      </w:r>
      <w:r>
        <w:rPr>
          <w:rFonts w:hint="eastAsia" w:ascii="宋体" w:hAnsi="宋体" w:cs="宋体"/>
          <w:szCs w:val="21"/>
          <w:lang w:bidi="ar"/>
        </w:rPr>
        <w:t>一般防护要求》</w:t>
      </w:r>
    </w:p>
    <w:p>
      <w:pPr>
        <w:adjustRightInd w:val="0"/>
        <w:snapToGrid w:val="0"/>
        <w:spacing w:line="360" w:lineRule="auto"/>
        <w:ind w:firstLine="420" w:firstLineChars="200"/>
        <w:rPr>
          <w:szCs w:val="21"/>
        </w:rPr>
      </w:pPr>
      <w:r>
        <w:rPr>
          <w:szCs w:val="21"/>
          <w:lang w:bidi="ar"/>
        </w:rPr>
        <w:t>JG/T5082.1-1996</w:t>
      </w:r>
      <w:r>
        <w:rPr>
          <w:rFonts w:hint="eastAsia" w:ascii="宋体" w:hAnsi="宋体" w:cs="宋体"/>
          <w:szCs w:val="21"/>
          <w:lang w:bidi="ar"/>
        </w:rPr>
        <w:t>《建筑机械与设备 焊接件通用技术条件》</w:t>
      </w:r>
    </w:p>
    <w:p>
      <w:pPr>
        <w:adjustRightInd w:val="0"/>
        <w:snapToGrid w:val="0"/>
        <w:spacing w:line="360" w:lineRule="auto"/>
        <w:ind w:firstLine="420" w:firstLineChars="200"/>
        <w:rPr>
          <w:szCs w:val="21"/>
        </w:rPr>
      </w:pPr>
      <w:r>
        <w:rPr>
          <w:szCs w:val="21"/>
          <w:lang w:bidi="ar"/>
        </w:rPr>
        <w:t>CJ/T3035-1995</w:t>
      </w:r>
      <w:r>
        <w:rPr>
          <w:rFonts w:hint="eastAsia" w:ascii="宋体" w:hAnsi="宋体" w:cs="宋体"/>
          <w:szCs w:val="21"/>
          <w:lang w:bidi="ar"/>
        </w:rPr>
        <w:t>《城镇建设和建筑工业产品型号编制规则</w:t>
      </w:r>
      <w:r>
        <w:rPr>
          <w:szCs w:val="21"/>
          <w:lang w:bidi="ar"/>
        </w:rPr>
        <w:t xml:space="preserve">CJ/T3035-1995 </w:t>
      </w:r>
      <w:r>
        <w:rPr>
          <w:rFonts w:hint="eastAsia" w:ascii="宋体" w:hAnsi="宋体" w:cs="宋体"/>
          <w:szCs w:val="21"/>
          <w:lang w:bidi="ar"/>
        </w:rPr>
        <w:t>》</w:t>
      </w:r>
    </w:p>
    <w:p>
      <w:pPr>
        <w:adjustRightInd w:val="0"/>
        <w:snapToGrid w:val="0"/>
        <w:spacing w:line="360" w:lineRule="auto"/>
        <w:ind w:firstLine="420" w:firstLineChars="200"/>
        <w:rPr>
          <w:szCs w:val="21"/>
        </w:rPr>
      </w:pPr>
      <w:r>
        <w:rPr>
          <w:szCs w:val="21"/>
          <w:lang w:bidi="ar"/>
        </w:rPr>
        <w:t>GB/T1176-2013</w:t>
      </w:r>
      <w:r>
        <w:rPr>
          <w:rFonts w:hint="eastAsia" w:ascii="宋体" w:hAnsi="宋体" w:cs="宋体"/>
          <w:szCs w:val="21"/>
          <w:lang w:bidi="ar"/>
        </w:rPr>
        <w:t>《铸造铜及铜合金》</w:t>
      </w:r>
    </w:p>
    <w:p>
      <w:pPr>
        <w:adjustRightInd w:val="0"/>
        <w:snapToGrid w:val="0"/>
        <w:spacing w:line="360" w:lineRule="auto"/>
        <w:ind w:firstLine="420" w:firstLineChars="200"/>
        <w:rPr>
          <w:szCs w:val="21"/>
        </w:rPr>
      </w:pPr>
      <w:r>
        <w:rPr>
          <w:szCs w:val="21"/>
          <w:lang w:bidi="ar"/>
        </w:rPr>
        <w:t>GB/T4942-2021</w:t>
      </w:r>
      <w:r>
        <w:rPr>
          <w:rFonts w:hint="eastAsia" w:ascii="宋体" w:hAnsi="宋体" w:cs="宋体"/>
          <w:szCs w:val="21"/>
          <w:lang w:bidi="ar"/>
        </w:rPr>
        <w:t>《旋转电机整体结构的防护等级（</w:t>
      </w:r>
      <w:r>
        <w:rPr>
          <w:szCs w:val="21"/>
          <w:lang w:bidi="ar"/>
        </w:rPr>
        <w:t>IP</w:t>
      </w:r>
      <w:r>
        <w:rPr>
          <w:rFonts w:hint="eastAsia" w:ascii="宋体" w:hAnsi="宋体" w:cs="宋体"/>
          <w:szCs w:val="21"/>
          <w:lang w:bidi="ar"/>
        </w:rPr>
        <w:t>代码） 分级》</w:t>
      </w:r>
    </w:p>
    <w:p>
      <w:pPr>
        <w:adjustRightInd w:val="0"/>
        <w:snapToGrid w:val="0"/>
        <w:spacing w:line="360" w:lineRule="auto"/>
        <w:ind w:firstLine="420" w:firstLineChars="200"/>
        <w:rPr>
          <w:szCs w:val="21"/>
        </w:rPr>
      </w:pPr>
      <w:r>
        <w:rPr>
          <w:szCs w:val="21"/>
          <w:lang w:bidi="ar"/>
        </w:rPr>
        <w:t>GB/T13384-2008</w:t>
      </w:r>
      <w:r>
        <w:rPr>
          <w:rFonts w:hint="eastAsia" w:ascii="宋体" w:hAnsi="宋体" w:cs="宋体"/>
          <w:szCs w:val="21"/>
          <w:lang w:bidi="ar"/>
        </w:rPr>
        <w:t>《机电产品包装通用技术条件》</w:t>
      </w:r>
    </w:p>
    <w:p>
      <w:pPr>
        <w:adjustRightInd w:val="0"/>
        <w:snapToGrid w:val="0"/>
        <w:spacing w:line="360" w:lineRule="auto"/>
        <w:ind w:firstLine="420" w:firstLineChars="200"/>
        <w:rPr>
          <w:szCs w:val="21"/>
        </w:rPr>
      </w:pPr>
      <w:r>
        <w:rPr>
          <w:szCs w:val="21"/>
          <w:lang w:bidi="ar"/>
        </w:rPr>
        <w:t>GB/T25409-2010</w:t>
      </w:r>
      <w:r>
        <w:rPr>
          <w:rFonts w:hint="eastAsia" w:ascii="宋体" w:hAnsi="宋体" w:cs="宋体"/>
          <w:szCs w:val="21"/>
          <w:lang w:bidi="ar"/>
        </w:rPr>
        <w:t>《小型潜水电泵》</w:t>
      </w:r>
    </w:p>
    <w:p>
      <w:pPr>
        <w:adjustRightInd w:val="0"/>
        <w:snapToGrid w:val="0"/>
        <w:spacing w:line="360" w:lineRule="auto"/>
        <w:ind w:firstLine="420" w:firstLineChars="200"/>
        <w:rPr>
          <w:szCs w:val="21"/>
        </w:rPr>
      </w:pPr>
      <w:r>
        <w:rPr>
          <w:szCs w:val="21"/>
          <w:lang w:bidi="ar"/>
        </w:rPr>
        <w:t>GB/T3216-2016</w:t>
      </w:r>
      <w:r>
        <w:rPr>
          <w:rFonts w:hint="eastAsia" w:ascii="宋体" w:hAnsi="宋体" w:cs="宋体"/>
          <w:szCs w:val="21"/>
          <w:lang w:bidi="ar"/>
        </w:rPr>
        <w:t xml:space="preserve">《回转动力泵 水力性能验收试验 </w:t>
      </w:r>
      <w:r>
        <w:rPr>
          <w:szCs w:val="21"/>
          <w:lang w:bidi="ar"/>
        </w:rPr>
        <w:t>1</w:t>
      </w:r>
      <w:r>
        <w:rPr>
          <w:rFonts w:hint="eastAsia" w:ascii="宋体" w:hAnsi="宋体" w:cs="宋体"/>
          <w:szCs w:val="21"/>
          <w:lang w:bidi="ar"/>
        </w:rPr>
        <w:t>级、</w:t>
      </w:r>
      <w:r>
        <w:rPr>
          <w:szCs w:val="21"/>
          <w:lang w:bidi="ar"/>
        </w:rPr>
        <w:t>2</w:t>
      </w:r>
      <w:r>
        <w:rPr>
          <w:rFonts w:hint="eastAsia" w:ascii="宋体" w:hAnsi="宋体" w:cs="宋体"/>
          <w:szCs w:val="21"/>
          <w:lang w:bidi="ar"/>
        </w:rPr>
        <w:t>级和</w:t>
      </w:r>
      <w:r>
        <w:rPr>
          <w:szCs w:val="21"/>
          <w:lang w:bidi="ar"/>
        </w:rPr>
        <w:t>3</w:t>
      </w:r>
      <w:r>
        <w:rPr>
          <w:rFonts w:hint="eastAsia" w:ascii="宋体" w:hAnsi="宋体" w:cs="宋体"/>
          <w:szCs w:val="21"/>
          <w:lang w:bidi="ar"/>
        </w:rPr>
        <w:t>级》</w:t>
      </w:r>
    </w:p>
    <w:p>
      <w:pPr>
        <w:adjustRightInd w:val="0"/>
        <w:snapToGrid w:val="0"/>
        <w:spacing w:line="360" w:lineRule="auto"/>
        <w:ind w:firstLine="420" w:firstLineChars="200"/>
        <w:rPr>
          <w:szCs w:val="21"/>
        </w:rPr>
      </w:pPr>
      <w:r>
        <w:rPr>
          <w:szCs w:val="21"/>
          <w:lang w:bidi="ar"/>
        </w:rPr>
        <w:t>GB/T5013.2-2008</w:t>
      </w:r>
      <w:r>
        <w:rPr>
          <w:rFonts w:hint="eastAsia" w:ascii="宋体" w:hAnsi="宋体" w:cs="宋体"/>
          <w:szCs w:val="21"/>
          <w:lang w:bidi="ar"/>
        </w:rPr>
        <w:t>《额定电压</w:t>
      </w:r>
      <w:r>
        <w:rPr>
          <w:szCs w:val="21"/>
          <w:lang w:bidi="ar"/>
        </w:rPr>
        <w:t>450/750V</w:t>
      </w:r>
      <w:r>
        <w:rPr>
          <w:rFonts w:hint="eastAsia" w:ascii="宋体" w:hAnsi="宋体" w:cs="宋体"/>
          <w:szCs w:val="21"/>
          <w:lang w:bidi="ar"/>
        </w:rPr>
        <w:t>及以下橡皮绝缘电缆 第</w:t>
      </w:r>
      <w:r>
        <w:rPr>
          <w:szCs w:val="21"/>
          <w:lang w:bidi="ar"/>
        </w:rPr>
        <w:t>2</w:t>
      </w:r>
      <w:r>
        <w:rPr>
          <w:rFonts w:hint="eastAsia" w:ascii="宋体" w:hAnsi="宋体" w:cs="宋体"/>
          <w:szCs w:val="21"/>
          <w:lang w:bidi="ar"/>
        </w:rPr>
        <w:t>部分：试验方法》</w:t>
      </w:r>
    </w:p>
    <w:p>
      <w:pPr>
        <w:adjustRightInd w:val="0"/>
        <w:snapToGrid w:val="0"/>
        <w:spacing w:line="360" w:lineRule="auto"/>
        <w:ind w:firstLine="420" w:firstLineChars="200"/>
        <w:rPr>
          <w:szCs w:val="21"/>
        </w:rPr>
      </w:pPr>
      <w:r>
        <w:rPr>
          <w:szCs w:val="21"/>
          <w:lang w:bidi="ar"/>
        </w:rPr>
        <w:t>GB/T9439-2010</w:t>
      </w:r>
      <w:r>
        <w:rPr>
          <w:rFonts w:hint="eastAsia" w:ascii="宋体" w:hAnsi="宋体" w:cs="宋体"/>
          <w:szCs w:val="21"/>
          <w:lang w:bidi="ar"/>
        </w:rPr>
        <w:t>《灰铸铁件》</w:t>
      </w:r>
    </w:p>
    <w:p>
      <w:pPr>
        <w:adjustRightInd w:val="0"/>
        <w:snapToGrid w:val="0"/>
        <w:spacing w:line="360" w:lineRule="auto"/>
        <w:ind w:firstLine="420" w:firstLineChars="200"/>
        <w:rPr>
          <w:szCs w:val="21"/>
        </w:rPr>
      </w:pPr>
      <w:r>
        <w:rPr>
          <w:szCs w:val="21"/>
          <w:lang w:bidi="ar"/>
        </w:rPr>
        <w:t>GB/T1220-2007</w:t>
      </w:r>
      <w:r>
        <w:rPr>
          <w:rFonts w:hint="eastAsia" w:ascii="宋体" w:hAnsi="宋体" w:cs="宋体"/>
          <w:szCs w:val="21"/>
          <w:lang w:bidi="ar"/>
        </w:rPr>
        <w:t>《不锈钢棒》</w:t>
      </w:r>
    </w:p>
    <w:p>
      <w:pPr>
        <w:adjustRightInd w:val="0"/>
        <w:snapToGrid w:val="0"/>
        <w:spacing w:line="360" w:lineRule="auto"/>
        <w:ind w:firstLine="420" w:firstLineChars="200"/>
        <w:rPr>
          <w:szCs w:val="21"/>
        </w:rPr>
      </w:pPr>
      <w:r>
        <w:rPr>
          <w:szCs w:val="21"/>
          <w:lang w:bidi="ar"/>
        </w:rPr>
        <w:t>GB/T 1348-2019</w:t>
      </w:r>
      <w:r>
        <w:rPr>
          <w:rFonts w:hint="eastAsia" w:ascii="宋体" w:hAnsi="宋体" w:cs="宋体"/>
          <w:szCs w:val="21"/>
          <w:lang w:bidi="ar"/>
        </w:rPr>
        <w:t>《球墨铸铁件》</w:t>
      </w:r>
    </w:p>
    <w:p>
      <w:pPr>
        <w:adjustRightInd w:val="0"/>
        <w:snapToGrid w:val="0"/>
        <w:spacing w:line="360" w:lineRule="auto"/>
        <w:ind w:firstLine="420" w:firstLineChars="200"/>
        <w:rPr>
          <w:szCs w:val="21"/>
        </w:rPr>
      </w:pPr>
      <w:r>
        <w:rPr>
          <w:szCs w:val="21"/>
          <w:lang w:bidi="ar"/>
        </w:rPr>
        <w:t>GB/T 9124.1-2019</w:t>
      </w:r>
      <w:r>
        <w:rPr>
          <w:rFonts w:hint="eastAsia" w:ascii="宋体" w:hAnsi="宋体" w:cs="宋体"/>
          <w:szCs w:val="21"/>
          <w:lang w:bidi="ar"/>
        </w:rPr>
        <w:t>《钢制管法兰 第</w:t>
      </w:r>
      <w:r>
        <w:rPr>
          <w:szCs w:val="21"/>
          <w:lang w:bidi="ar"/>
        </w:rPr>
        <w:t>1</w:t>
      </w:r>
      <w:r>
        <w:rPr>
          <w:rFonts w:hint="eastAsia" w:ascii="宋体" w:hAnsi="宋体" w:cs="宋体"/>
          <w:szCs w:val="21"/>
          <w:lang w:bidi="ar"/>
        </w:rPr>
        <w:t>部分：</w:t>
      </w:r>
      <w:r>
        <w:rPr>
          <w:szCs w:val="21"/>
          <w:lang w:bidi="ar"/>
        </w:rPr>
        <w:t xml:space="preserve">PN </w:t>
      </w:r>
      <w:r>
        <w:rPr>
          <w:rFonts w:hint="eastAsia" w:ascii="宋体" w:hAnsi="宋体" w:cs="宋体"/>
          <w:szCs w:val="21"/>
          <w:lang w:bidi="ar"/>
        </w:rPr>
        <w:t>系列》</w:t>
      </w:r>
    </w:p>
    <w:p>
      <w:pPr>
        <w:adjustRightInd w:val="0"/>
        <w:snapToGrid w:val="0"/>
        <w:spacing w:line="360" w:lineRule="auto"/>
        <w:ind w:firstLine="420" w:firstLineChars="200"/>
        <w:rPr>
          <w:szCs w:val="21"/>
        </w:rPr>
      </w:pPr>
      <w:r>
        <w:rPr>
          <w:szCs w:val="21"/>
          <w:lang w:bidi="ar"/>
        </w:rPr>
        <w:t>GB/T9124.2-2019</w:t>
      </w:r>
      <w:r>
        <w:rPr>
          <w:rFonts w:hint="eastAsia" w:ascii="宋体" w:hAnsi="宋体" w:cs="宋体"/>
          <w:szCs w:val="21"/>
          <w:lang w:bidi="ar"/>
        </w:rPr>
        <w:t>《钢制管法兰 第</w:t>
      </w:r>
      <w:r>
        <w:rPr>
          <w:szCs w:val="21"/>
          <w:lang w:bidi="ar"/>
        </w:rPr>
        <w:t>2</w:t>
      </w:r>
      <w:r>
        <w:rPr>
          <w:rFonts w:hint="eastAsia" w:ascii="宋体" w:hAnsi="宋体" w:cs="宋体"/>
          <w:szCs w:val="21"/>
          <w:lang w:bidi="ar"/>
        </w:rPr>
        <w:t>部分：</w:t>
      </w:r>
      <w:r>
        <w:rPr>
          <w:szCs w:val="21"/>
          <w:lang w:bidi="ar"/>
        </w:rPr>
        <w:t xml:space="preserve">Class </w:t>
      </w:r>
      <w:r>
        <w:rPr>
          <w:rFonts w:hint="eastAsia" w:ascii="宋体" w:hAnsi="宋体" w:cs="宋体"/>
          <w:szCs w:val="21"/>
          <w:lang w:bidi="ar"/>
        </w:rPr>
        <w:t>系列》</w:t>
      </w:r>
    </w:p>
    <w:p>
      <w:pPr>
        <w:adjustRightInd w:val="0"/>
        <w:snapToGrid w:val="0"/>
        <w:spacing w:line="360" w:lineRule="auto"/>
        <w:ind w:firstLine="420" w:firstLineChars="200"/>
        <w:rPr>
          <w:szCs w:val="21"/>
        </w:rPr>
      </w:pPr>
      <w:r>
        <w:rPr>
          <w:szCs w:val="21"/>
          <w:lang w:bidi="ar"/>
        </w:rPr>
        <w:t>GB/T2828.1-2012</w:t>
      </w:r>
      <w:r>
        <w:rPr>
          <w:rFonts w:hint="eastAsia" w:ascii="宋体" w:hAnsi="宋体" w:cs="宋体"/>
          <w:szCs w:val="21"/>
          <w:lang w:bidi="ar"/>
        </w:rPr>
        <w:t>《计数抽样检验程序 第</w:t>
      </w:r>
      <w:r>
        <w:rPr>
          <w:szCs w:val="21"/>
          <w:lang w:bidi="ar"/>
        </w:rPr>
        <w:t>1</w:t>
      </w:r>
      <w:r>
        <w:rPr>
          <w:rFonts w:hint="eastAsia" w:ascii="宋体" w:hAnsi="宋体" w:cs="宋体"/>
          <w:szCs w:val="21"/>
          <w:lang w:bidi="ar"/>
        </w:rPr>
        <w:t>部分：按接收质量限</w:t>
      </w:r>
      <w:r>
        <w:rPr>
          <w:szCs w:val="21"/>
          <w:lang w:bidi="ar"/>
        </w:rPr>
        <w:t>(AQL)</w:t>
      </w:r>
      <w:r>
        <w:rPr>
          <w:rFonts w:hint="eastAsia" w:ascii="宋体" w:hAnsi="宋体" w:cs="宋体"/>
          <w:szCs w:val="21"/>
          <w:lang w:bidi="ar"/>
        </w:rPr>
        <w:t>检索的逐批检验抽样计划》</w:t>
      </w:r>
    </w:p>
    <w:p>
      <w:pPr>
        <w:adjustRightInd w:val="0"/>
        <w:snapToGrid w:val="0"/>
        <w:spacing w:line="360" w:lineRule="auto"/>
        <w:ind w:firstLine="420" w:firstLineChars="200"/>
        <w:rPr>
          <w:szCs w:val="21"/>
        </w:rPr>
      </w:pPr>
      <w:r>
        <w:rPr>
          <w:szCs w:val="21"/>
          <w:lang w:bidi="ar"/>
        </w:rPr>
        <w:t>GB/T191-2008</w:t>
      </w:r>
      <w:r>
        <w:rPr>
          <w:rFonts w:hint="eastAsia" w:ascii="宋体" w:hAnsi="宋体" w:cs="宋体"/>
          <w:szCs w:val="21"/>
          <w:lang w:bidi="ar"/>
        </w:rPr>
        <w:t>《包装储运图示标志》</w:t>
      </w:r>
    </w:p>
    <w:p>
      <w:pPr>
        <w:adjustRightInd w:val="0"/>
        <w:snapToGrid w:val="0"/>
        <w:spacing w:line="360" w:lineRule="auto"/>
        <w:ind w:firstLine="420" w:firstLineChars="200"/>
        <w:rPr>
          <w:szCs w:val="21"/>
        </w:rPr>
      </w:pPr>
      <w:r>
        <w:rPr>
          <w:szCs w:val="21"/>
          <w:lang w:bidi="ar"/>
        </w:rPr>
        <w:t>GB/T22719.1-2008</w:t>
      </w:r>
      <w:r>
        <w:rPr>
          <w:rFonts w:hint="eastAsia" w:ascii="宋体" w:hAnsi="宋体" w:cs="宋体"/>
          <w:szCs w:val="21"/>
          <w:lang w:bidi="ar"/>
        </w:rPr>
        <w:t>《交流低压电机散嵌绕组匝间绝缘 第</w:t>
      </w:r>
      <w:r>
        <w:rPr>
          <w:szCs w:val="21"/>
          <w:lang w:bidi="ar"/>
        </w:rPr>
        <w:t>1</w:t>
      </w:r>
      <w:r>
        <w:rPr>
          <w:rFonts w:hint="eastAsia" w:ascii="宋体" w:hAnsi="宋体" w:cs="宋体"/>
          <w:szCs w:val="21"/>
          <w:lang w:bidi="ar"/>
        </w:rPr>
        <w:t>部分：试验方法》</w:t>
      </w:r>
    </w:p>
    <w:p>
      <w:pPr>
        <w:adjustRightInd w:val="0"/>
        <w:snapToGrid w:val="0"/>
        <w:spacing w:line="360" w:lineRule="auto"/>
        <w:ind w:firstLine="420" w:firstLineChars="200"/>
        <w:rPr>
          <w:szCs w:val="21"/>
        </w:rPr>
      </w:pPr>
      <w:r>
        <w:rPr>
          <w:szCs w:val="21"/>
          <w:lang w:bidi="ar"/>
        </w:rPr>
        <w:t>GB/T22719.2-2008</w:t>
      </w:r>
      <w:r>
        <w:rPr>
          <w:rFonts w:hint="eastAsia" w:ascii="宋体" w:hAnsi="宋体" w:cs="宋体"/>
          <w:szCs w:val="21"/>
          <w:lang w:bidi="ar"/>
        </w:rPr>
        <w:t>《交流低压电机散嵌绕组匝间绝缘 第</w:t>
      </w:r>
      <w:r>
        <w:rPr>
          <w:szCs w:val="21"/>
          <w:lang w:bidi="ar"/>
        </w:rPr>
        <w:t>2</w:t>
      </w:r>
      <w:r>
        <w:rPr>
          <w:rFonts w:hint="eastAsia" w:ascii="宋体" w:hAnsi="宋体" w:cs="宋体"/>
          <w:szCs w:val="21"/>
          <w:lang w:bidi="ar"/>
        </w:rPr>
        <w:t>部分：试验限值》</w:t>
      </w:r>
    </w:p>
    <w:p>
      <w:pPr>
        <w:adjustRightInd w:val="0"/>
        <w:snapToGrid w:val="0"/>
        <w:spacing w:line="360" w:lineRule="auto"/>
        <w:ind w:firstLine="420" w:firstLineChars="200"/>
        <w:rPr>
          <w:szCs w:val="21"/>
        </w:rPr>
      </w:pPr>
      <w:r>
        <w:rPr>
          <w:szCs w:val="21"/>
          <w:lang w:bidi="ar"/>
        </w:rPr>
        <w:t>GB18613-2020</w:t>
      </w:r>
      <w:r>
        <w:rPr>
          <w:rFonts w:hint="eastAsia" w:ascii="宋体" w:hAnsi="宋体" w:cs="宋体"/>
          <w:szCs w:val="21"/>
          <w:lang w:bidi="ar"/>
        </w:rPr>
        <w:t>《电动机能效限定值及能效等级》</w:t>
      </w:r>
    </w:p>
    <w:p>
      <w:pPr>
        <w:adjustRightInd w:val="0"/>
        <w:snapToGrid w:val="0"/>
        <w:spacing w:line="360" w:lineRule="auto"/>
        <w:ind w:firstLine="420" w:firstLineChars="200"/>
        <w:rPr>
          <w:szCs w:val="21"/>
        </w:rPr>
      </w:pPr>
      <w:r>
        <w:rPr>
          <w:szCs w:val="21"/>
          <w:lang w:bidi="ar"/>
        </w:rPr>
        <w:t>JB/T8857-2011</w:t>
      </w:r>
      <w:r>
        <w:rPr>
          <w:rFonts w:hint="eastAsia" w:ascii="宋体" w:hAnsi="宋体" w:cs="宋体"/>
          <w:szCs w:val="21"/>
          <w:lang w:bidi="ar"/>
        </w:rPr>
        <w:t>《离心式潜污泵》</w:t>
      </w:r>
    </w:p>
    <w:p>
      <w:pPr>
        <w:adjustRightInd w:val="0"/>
        <w:snapToGrid w:val="0"/>
        <w:spacing w:line="360" w:lineRule="auto"/>
        <w:ind w:firstLine="420" w:firstLineChars="200"/>
        <w:rPr>
          <w:szCs w:val="21"/>
        </w:rPr>
      </w:pPr>
      <w:r>
        <w:rPr>
          <w:szCs w:val="21"/>
          <w:lang w:bidi="ar"/>
        </w:rPr>
        <w:t>ISO1217:2009</w:t>
      </w:r>
      <w:r>
        <w:rPr>
          <w:rFonts w:hint="eastAsia" w:ascii="宋体" w:hAnsi="宋体" w:cs="宋体"/>
          <w:szCs w:val="21"/>
          <w:lang w:bidi="ar"/>
        </w:rPr>
        <w:t>《容积式压缩机</w:t>
      </w:r>
      <w:r>
        <w:rPr>
          <w:szCs w:val="21"/>
          <w:lang w:bidi="ar"/>
        </w:rPr>
        <w:t>—</w:t>
      </w:r>
      <w:r>
        <w:rPr>
          <w:rFonts w:hint="eastAsia" w:ascii="宋体" w:hAnsi="宋体" w:cs="宋体"/>
          <w:szCs w:val="21"/>
          <w:lang w:bidi="ar"/>
        </w:rPr>
        <w:t>验收试验》</w:t>
      </w:r>
    </w:p>
    <w:p>
      <w:pPr>
        <w:adjustRightInd w:val="0"/>
        <w:snapToGrid w:val="0"/>
        <w:spacing w:line="360" w:lineRule="auto"/>
        <w:ind w:firstLine="420" w:firstLineChars="200"/>
        <w:rPr>
          <w:szCs w:val="21"/>
        </w:rPr>
      </w:pPr>
      <w:r>
        <w:rPr>
          <w:szCs w:val="21"/>
          <w:lang w:bidi="ar"/>
        </w:rPr>
        <w:t>GB/T3853-2017</w:t>
      </w:r>
      <w:r>
        <w:rPr>
          <w:rFonts w:hint="eastAsia" w:ascii="宋体" w:hAnsi="宋体" w:cs="宋体"/>
          <w:szCs w:val="21"/>
          <w:lang w:bidi="ar"/>
        </w:rPr>
        <w:t>《容积式压缩机 验收试验》</w:t>
      </w:r>
    </w:p>
    <w:p>
      <w:pPr>
        <w:adjustRightInd w:val="0"/>
        <w:snapToGrid w:val="0"/>
        <w:spacing w:line="360" w:lineRule="auto"/>
        <w:ind w:firstLine="420" w:firstLineChars="200"/>
        <w:rPr>
          <w:szCs w:val="21"/>
        </w:rPr>
      </w:pPr>
      <w:r>
        <w:rPr>
          <w:szCs w:val="21"/>
          <w:lang w:bidi="ar"/>
        </w:rPr>
        <w:t>JB/T8941.1-2014</w:t>
      </w:r>
      <w:r>
        <w:rPr>
          <w:rFonts w:hint="eastAsia" w:ascii="宋体" w:hAnsi="宋体" w:cs="宋体"/>
          <w:szCs w:val="21"/>
          <w:lang w:bidi="ar"/>
        </w:rPr>
        <w:t>《一般用途罗茨鼓风机 第</w:t>
      </w:r>
      <w:r>
        <w:rPr>
          <w:szCs w:val="21"/>
          <w:lang w:bidi="ar"/>
        </w:rPr>
        <w:t>1</w:t>
      </w:r>
      <w:r>
        <w:rPr>
          <w:rFonts w:hint="eastAsia" w:ascii="宋体" w:hAnsi="宋体" w:cs="宋体"/>
          <w:szCs w:val="21"/>
          <w:lang w:bidi="ar"/>
        </w:rPr>
        <w:t>部分：技术条件》</w:t>
      </w:r>
    </w:p>
    <w:p>
      <w:pPr>
        <w:adjustRightInd w:val="0"/>
        <w:snapToGrid w:val="0"/>
        <w:spacing w:line="360" w:lineRule="auto"/>
        <w:ind w:firstLine="420" w:firstLineChars="200"/>
        <w:rPr>
          <w:szCs w:val="21"/>
        </w:rPr>
      </w:pPr>
      <w:r>
        <w:rPr>
          <w:szCs w:val="21"/>
          <w:lang w:bidi="ar"/>
        </w:rPr>
        <w:t>JB/T8941.2-2014</w:t>
      </w:r>
      <w:r>
        <w:rPr>
          <w:rFonts w:hint="eastAsia" w:ascii="宋体" w:hAnsi="宋体" w:cs="宋体"/>
          <w:szCs w:val="21"/>
          <w:lang w:bidi="ar"/>
        </w:rPr>
        <w:t>《一般用途罗茨鼓风机 第</w:t>
      </w:r>
      <w:r>
        <w:rPr>
          <w:szCs w:val="21"/>
          <w:lang w:bidi="ar"/>
        </w:rPr>
        <w:t>2</w:t>
      </w:r>
      <w:r>
        <w:rPr>
          <w:rFonts w:hint="eastAsia" w:ascii="宋体" w:hAnsi="宋体" w:cs="宋体"/>
          <w:szCs w:val="21"/>
          <w:lang w:bidi="ar"/>
        </w:rPr>
        <w:t>部分：性能试验方法》</w:t>
      </w:r>
    </w:p>
    <w:p>
      <w:pPr>
        <w:adjustRightInd w:val="0"/>
        <w:snapToGrid w:val="0"/>
        <w:spacing w:line="360" w:lineRule="auto"/>
        <w:ind w:firstLine="420" w:firstLineChars="200"/>
        <w:rPr>
          <w:szCs w:val="21"/>
        </w:rPr>
      </w:pPr>
      <w:r>
        <w:rPr>
          <w:szCs w:val="21"/>
          <w:lang w:bidi="ar"/>
        </w:rPr>
        <w:t>GB/T12238-2008</w:t>
      </w:r>
      <w:r>
        <w:rPr>
          <w:rFonts w:hint="eastAsia" w:ascii="宋体" w:hAnsi="宋体" w:cs="宋体"/>
          <w:szCs w:val="21"/>
          <w:lang w:bidi="ar"/>
        </w:rPr>
        <w:t>《法兰和对夹连接弹性密封蝶阀》</w:t>
      </w:r>
    </w:p>
    <w:p>
      <w:pPr>
        <w:adjustRightInd w:val="0"/>
        <w:snapToGrid w:val="0"/>
        <w:spacing w:line="360" w:lineRule="auto"/>
        <w:ind w:firstLine="420" w:firstLineChars="200"/>
        <w:rPr>
          <w:szCs w:val="21"/>
        </w:rPr>
      </w:pPr>
      <w:r>
        <w:rPr>
          <w:szCs w:val="21"/>
          <w:lang w:bidi="ar"/>
        </w:rPr>
        <w:t>GB/T13927-2008</w:t>
      </w:r>
      <w:r>
        <w:rPr>
          <w:rFonts w:hint="eastAsia" w:ascii="宋体" w:hAnsi="宋体" w:cs="宋体"/>
          <w:szCs w:val="21"/>
          <w:lang w:bidi="ar"/>
        </w:rPr>
        <w:t>《工业阀门 压力试验》</w:t>
      </w:r>
    </w:p>
    <w:p>
      <w:pPr>
        <w:adjustRightInd w:val="0"/>
        <w:snapToGrid w:val="0"/>
        <w:spacing w:line="360" w:lineRule="auto"/>
        <w:ind w:firstLine="420" w:firstLineChars="200"/>
        <w:rPr>
          <w:szCs w:val="21"/>
        </w:rPr>
      </w:pPr>
      <w:r>
        <w:rPr>
          <w:szCs w:val="21"/>
          <w:lang w:bidi="ar"/>
        </w:rPr>
        <w:t>GB/T12221-2005</w:t>
      </w:r>
      <w:r>
        <w:rPr>
          <w:rFonts w:hint="eastAsia" w:ascii="宋体" w:hAnsi="宋体" w:cs="宋体"/>
          <w:szCs w:val="21"/>
          <w:lang w:bidi="ar"/>
        </w:rPr>
        <w:t>《金属阀门结构长度》</w:t>
      </w:r>
    </w:p>
    <w:p>
      <w:pPr>
        <w:adjustRightInd w:val="0"/>
        <w:snapToGrid w:val="0"/>
        <w:spacing w:line="360" w:lineRule="auto"/>
        <w:ind w:firstLine="420" w:firstLineChars="200"/>
        <w:rPr>
          <w:szCs w:val="21"/>
        </w:rPr>
      </w:pPr>
      <w:r>
        <w:rPr>
          <w:szCs w:val="21"/>
          <w:lang w:bidi="ar"/>
        </w:rPr>
        <w:t>GB12348-2008</w:t>
      </w:r>
      <w:r>
        <w:rPr>
          <w:rFonts w:hint="eastAsia" w:ascii="宋体" w:hAnsi="宋体" w:cs="宋体"/>
          <w:szCs w:val="21"/>
          <w:lang w:bidi="ar"/>
        </w:rPr>
        <w:t>《工业企业厂界环境噪声排放标准》</w:t>
      </w:r>
    </w:p>
    <w:p>
      <w:pPr>
        <w:adjustRightInd w:val="0"/>
        <w:snapToGrid w:val="0"/>
        <w:spacing w:line="360" w:lineRule="auto"/>
        <w:ind w:firstLine="420" w:firstLineChars="200"/>
        <w:rPr>
          <w:szCs w:val="21"/>
        </w:rPr>
      </w:pPr>
      <w:r>
        <w:rPr>
          <w:szCs w:val="21"/>
          <w:lang w:bidi="ar"/>
        </w:rPr>
        <w:t>GB3096-2008</w:t>
      </w:r>
      <w:r>
        <w:rPr>
          <w:rFonts w:hint="eastAsia" w:ascii="宋体" w:hAnsi="宋体" w:cs="宋体"/>
          <w:szCs w:val="21"/>
          <w:lang w:bidi="ar"/>
        </w:rPr>
        <w:t>《声环境质量标准》</w:t>
      </w:r>
    </w:p>
    <w:p>
      <w:pPr>
        <w:adjustRightInd w:val="0"/>
        <w:snapToGrid w:val="0"/>
        <w:spacing w:line="360" w:lineRule="auto"/>
        <w:ind w:firstLine="420" w:firstLineChars="200"/>
        <w:rPr>
          <w:rFonts w:eastAsia="瀹嬩綋"/>
          <w:kern w:val="0"/>
          <w:sz w:val="27"/>
          <w:szCs w:val="27"/>
        </w:rPr>
      </w:pPr>
      <w:r>
        <w:rPr>
          <w:szCs w:val="21"/>
          <w:lang w:bidi="ar"/>
        </w:rPr>
        <w:t>CECS 451-2016</w:t>
      </w:r>
      <w:r>
        <w:rPr>
          <w:rFonts w:hint="eastAsia" w:ascii="宋体" w:hAnsi="宋体" w:cs="宋体"/>
          <w:szCs w:val="21"/>
          <w:lang w:bidi="ar"/>
        </w:rPr>
        <w:t>《上向流滤池设计规程》</w:t>
      </w:r>
    </w:p>
    <w:p>
      <w:pPr>
        <w:adjustRightInd w:val="0"/>
        <w:snapToGrid w:val="0"/>
        <w:spacing w:line="360" w:lineRule="auto"/>
        <w:ind w:firstLine="420" w:firstLineChars="200"/>
        <w:rPr>
          <w:szCs w:val="21"/>
        </w:rPr>
      </w:pPr>
      <w:r>
        <w:rPr>
          <w:szCs w:val="21"/>
          <w:lang w:bidi="ar"/>
        </w:rPr>
        <w:t>GB/T37528-2019</w:t>
      </w:r>
      <w:r>
        <w:rPr>
          <w:rFonts w:hint="eastAsia" w:ascii="宋体" w:hAnsi="宋体" w:cs="宋体"/>
          <w:szCs w:val="21"/>
          <w:lang w:bidi="ar"/>
        </w:rPr>
        <w:t>《脱氮生物滤池通用技术规范》</w:t>
      </w:r>
    </w:p>
    <w:p>
      <w:pPr>
        <w:adjustRightInd w:val="0"/>
        <w:snapToGrid w:val="0"/>
        <w:spacing w:line="360" w:lineRule="auto"/>
        <w:ind w:firstLine="420" w:firstLineChars="200"/>
        <w:rPr>
          <w:szCs w:val="21"/>
        </w:rPr>
      </w:pPr>
      <w:r>
        <w:rPr>
          <w:szCs w:val="21"/>
          <w:lang w:bidi="ar"/>
        </w:rPr>
        <w:t>JB/T4333.1-2013</w:t>
      </w:r>
      <w:r>
        <w:rPr>
          <w:rFonts w:hint="eastAsia" w:ascii="宋体" w:hAnsi="宋体" w:cs="宋体"/>
          <w:szCs w:val="21"/>
          <w:lang w:bidi="ar"/>
        </w:rPr>
        <w:t>《厢式压滤机和板框压滤机 第</w:t>
      </w:r>
      <w:r>
        <w:rPr>
          <w:szCs w:val="21"/>
          <w:lang w:bidi="ar"/>
        </w:rPr>
        <w:t>1</w:t>
      </w:r>
      <w:r>
        <w:rPr>
          <w:rFonts w:hint="eastAsia" w:ascii="宋体" w:hAnsi="宋体" w:cs="宋体"/>
          <w:szCs w:val="21"/>
          <w:lang w:bidi="ar"/>
        </w:rPr>
        <w:t>部分：型式与基本参数》</w:t>
      </w:r>
    </w:p>
    <w:p>
      <w:pPr>
        <w:adjustRightInd w:val="0"/>
        <w:snapToGrid w:val="0"/>
        <w:spacing w:line="360" w:lineRule="auto"/>
        <w:ind w:firstLine="420" w:firstLineChars="200"/>
        <w:rPr>
          <w:szCs w:val="21"/>
        </w:rPr>
      </w:pPr>
      <w:r>
        <w:rPr>
          <w:szCs w:val="21"/>
          <w:lang w:bidi="ar"/>
        </w:rPr>
        <w:t>JB/T4333.2-2013</w:t>
      </w:r>
      <w:r>
        <w:rPr>
          <w:rFonts w:hint="eastAsia" w:ascii="宋体" w:hAnsi="宋体" w:cs="宋体"/>
          <w:szCs w:val="21"/>
          <w:lang w:bidi="ar"/>
        </w:rPr>
        <w:t>《厢式压滤机和板框压滤机 第</w:t>
      </w:r>
      <w:r>
        <w:rPr>
          <w:szCs w:val="21"/>
          <w:lang w:bidi="ar"/>
        </w:rPr>
        <w:t>2</w:t>
      </w:r>
      <w:r>
        <w:rPr>
          <w:rFonts w:hint="eastAsia" w:ascii="宋体" w:hAnsi="宋体" w:cs="宋体"/>
          <w:szCs w:val="21"/>
          <w:lang w:bidi="ar"/>
        </w:rPr>
        <w:t>部分：技术条件》</w:t>
      </w:r>
    </w:p>
    <w:p>
      <w:pPr>
        <w:adjustRightInd w:val="0"/>
        <w:snapToGrid w:val="0"/>
        <w:spacing w:line="360" w:lineRule="auto"/>
        <w:ind w:firstLine="420" w:firstLineChars="200"/>
        <w:rPr>
          <w:szCs w:val="21"/>
        </w:rPr>
      </w:pPr>
      <w:r>
        <w:rPr>
          <w:szCs w:val="21"/>
          <w:lang w:bidi="ar"/>
        </w:rPr>
        <w:t>JB/T4333.3-2013</w:t>
      </w:r>
      <w:r>
        <w:rPr>
          <w:rFonts w:hint="eastAsia" w:ascii="宋体" w:hAnsi="宋体" w:cs="宋体"/>
          <w:szCs w:val="21"/>
          <w:lang w:bidi="ar"/>
        </w:rPr>
        <w:t>《厢式压滤机和板框压滤机 第</w:t>
      </w:r>
      <w:r>
        <w:rPr>
          <w:szCs w:val="21"/>
          <w:lang w:bidi="ar"/>
        </w:rPr>
        <w:t>3</w:t>
      </w:r>
      <w:r>
        <w:rPr>
          <w:rFonts w:hint="eastAsia" w:ascii="宋体" w:hAnsi="宋体" w:cs="宋体"/>
          <w:szCs w:val="21"/>
          <w:lang w:bidi="ar"/>
        </w:rPr>
        <w:t>部分：滤板》</w:t>
      </w:r>
    </w:p>
    <w:p>
      <w:pPr>
        <w:adjustRightInd w:val="0"/>
        <w:snapToGrid w:val="0"/>
        <w:spacing w:line="360" w:lineRule="auto"/>
        <w:ind w:firstLine="420" w:firstLineChars="200"/>
        <w:rPr>
          <w:szCs w:val="21"/>
        </w:rPr>
      </w:pPr>
      <w:r>
        <w:rPr>
          <w:szCs w:val="21"/>
          <w:lang w:bidi="ar"/>
        </w:rPr>
        <w:t>JB/T4333.4-2013</w:t>
      </w:r>
      <w:r>
        <w:rPr>
          <w:rFonts w:hint="eastAsia" w:ascii="宋体" w:hAnsi="宋体" w:cs="宋体"/>
          <w:szCs w:val="21"/>
          <w:lang w:bidi="ar"/>
        </w:rPr>
        <w:t>《厢式压滤机和板框压滤机 第</w:t>
      </w:r>
      <w:r>
        <w:rPr>
          <w:szCs w:val="21"/>
          <w:lang w:bidi="ar"/>
        </w:rPr>
        <w:t>4</w:t>
      </w:r>
      <w:r>
        <w:rPr>
          <w:rFonts w:hint="eastAsia" w:ascii="宋体" w:hAnsi="宋体" w:cs="宋体"/>
          <w:szCs w:val="21"/>
          <w:lang w:bidi="ar"/>
        </w:rPr>
        <w:t>部分：隔膜滤板》</w:t>
      </w:r>
    </w:p>
    <w:p>
      <w:pPr>
        <w:adjustRightInd w:val="0"/>
        <w:snapToGrid w:val="0"/>
        <w:spacing w:line="360" w:lineRule="auto"/>
        <w:ind w:firstLine="420" w:firstLineChars="200"/>
        <w:rPr>
          <w:szCs w:val="21"/>
        </w:rPr>
      </w:pPr>
      <w:r>
        <w:rPr>
          <w:szCs w:val="21"/>
          <w:lang w:bidi="ar"/>
        </w:rPr>
        <w:t>CJ/T540-2019</w:t>
      </w:r>
      <w:r>
        <w:rPr>
          <w:rFonts w:hint="eastAsia" w:ascii="宋体" w:hAnsi="宋体" w:cs="宋体"/>
          <w:szCs w:val="21"/>
          <w:lang w:bidi="ar"/>
        </w:rPr>
        <w:t>《重力式污泥浓缩池悬挂式中心传动浓缩机》</w:t>
      </w:r>
    </w:p>
    <w:p>
      <w:pPr>
        <w:adjustRightInd w:val="0"/>
        <w:snapToGrid w:val="0"/>
        <w:spacing w:line="360" w:lineRule="auto"/>
        <w:ind w:firstLine="420" w:firstLineChars="200"/>
        <w:rPr>
          <w:szCs w:val="21"/>
        </w:rPr>
      </w:pPr>
      <w:r>
        <w:rPr>
          <w:szCs w:val="21"/>
          <w:lang w:bidi="ar"/>
        </w:rPr>
        <w:t>GB/T10605-2015</w:t>
      </w:r>
      <w:r>
        <w:rPr>
          <w:rFonts w:hint="eastAsia" w:ascii="宋体" w:hAnsi="宋体" w:cs="宋体"/>
          <w:szCs w:val="21"/>
          <w:lang w:bidi="ar"/>
        </w:rPr>
        <w:t>《中心传动式浓缩机》</w:t>
      </w:r>
    </w:p>
    <w:p>
      <w:pPr>
        <w:adjustRightInd w:val="0"/>
        <w:snapToGrid w:val="0"/>
        <w:spacing w:line="360" w:lineRule="auto"/>
        <w:ind w:firstLine="420" w:firstLineChars="200"/>
        <w:rPr>
          <w:rFonts w:ascii="宋体" w:hAnsi="宋体"/>
          <w:szCs w:val="21"/>
        </w:rPr>
      </w:pPr>
      <w:r>
        <w:rPr>
          <w:szCs w:val="21"/>
          <w:lang w:bidi="ar"/>
        </w:rPr>
        <w:t>JB/T11832-2014</w:t>
      </w:r>
      <w:r>
        <w:rPr>
          <w:rFonts w:hint="eastAsia" w:ascii="宋体" w:hAnsi="宋体" w:cs="宋体"/>
          <w:szCs w:val="21"/>
          <w:lang w:bidi="ar"/>
        </w:rPr>
        <w:t>《污水处理厂鼓式螺压污泥浓缩设备》</w:t>
      </w:r>
    </w:p>
    <w:p>
      <w:pPr>
        <w:adjustRightInd w:val="0"/>
        <w:snapToGrid w:val="0"/>
        <w:spacing w:line="360" w:lineRule="auto"/>
        <w:jc w:val="left"/>
        <w:rPr>
          <w:szCs w:val="21"/>
        </w:rPr>
      </w:pPr>
      <w:r>
        <w:rPr>
          <w:rFonts w:hint="eastAsia" w:ascii="宋体" w:hAnsi="宋体" w:cs="宋体"/>
          <w:szCs w:val="21"/>
          <w:lang w:bidi="ar"/>
        </w:rPr>
        <w:t>除了以上中国国家标准外，国际标准化组织标准、国际电工技术委员标准，已颁布的有关标准也应是设计、制造工艺所遵循的标准。如所提供的设备暂无相应的中国标准和规范，投标人应提供实际使用情况证明及推荐相应的设计安装、验收标准。</w:t>
      </w:r>
    </w:p>
    <w:p>
      <w:pPr>
        <w:adjustRightInd w:val="0"/>
        <w:snapToGrid w:val="0"/>
        <w:spacing w:line="360" w:lineRule="auto"/>
        <w:ind w:firstLine="422" w:firstLineChars="200"/>
        <w:jc w:val="left"/>
        <w:rPr>
          <w:b/>
          <w:szCs w:val="21"/>
        </w:rPr>
      </w:pPr>
      <w:r>
        <w:rPr>
          <w:rFonts w:hint="eastAsia" w:ascii="宋体" w:hAnsi="宋体" w:cs="宋体"/>
          <w:b/>
          <w:szCs w:val="21"/>
          <w:lang w:bidi="ar"/>
        </w:rPr>
        <w:t>中标人在不增加额外费用的前提下，可向项目业主和招标人提出使用其它同等的国际标准，经项目业主、招标人及设计人的书面同意，确认不会低于技术规定中所用的标准水平。中标人应向项目业主和招标人表明该代用标准是合适的、相当的，并提供以前成功使用的范例。</w:t>
      </w:r>
    </w:p>
    <w:p>
      <w:pPr>
        <w:adjustRightInd w:val="0"/>
        <w:snapToGrid w:val="0"/>
        <w:spacing w:line="360" w:lineRule="auto"/>
        <w:ind w:firstLine="420" w:firstLineChars="200"/>
        <w:jc w:val="left"/>
        <w:rPr>
          <w:szCs w:val="21"/>
        </w:rPr>
      </w:pPr>
      <w:r>
        <w:rPr>
          <w:rFonts w:hint="eastAsia" w:ascii="宋体" w:hAnsi="宋体" w:cs="宋体"/>
          <w:szCs w:val="21"/>
          <w:lang w:bidi="ar"/>
        </w:rPr>
        <w:t>设备与管道接口以及设备与设备的接口尺寸必须符合</w:t>
      </w:r>
      <w:r>
        <w:rPr>
          <w:szCs w:val="21"/>
          <w:lang w:bidi="ar"/>
        </w:rPr>
        <w:t>ISO</w:t>
      </w:r>
      <w:r>
        <w:rPr>
          <w:rFonts w:hint="eastAsia" w:ascii="宋体" w:hAnsi="宋体" w:cs="宋体"/>
          <w:szCs w:val="21"/>
          <w:lang w:bidi="ar"/>
        </w:rPr>
        <w:t>标准，电气设备的连接方式及规格均符合</w:t>
      </w:r>
      <w:r>
        <w:rPr>
          <w:szCs w:val="21"/>
          <w:lang w:bidi="ar"/>
        </w:rPr>
        <w:t>IEC</w:t>
      </w:r>
      <w:r>
        <w:rPr>
          <w:rFonts w:hint="eastAsia" w:ascii="宋体" w:hAnsi="宋体" w:cs="宋体"/>
          <w:szCs w:val="21"/>
          <w:lang w:bidi="ar"/>
        </w:rPr>
        <w:t>标准。</w:t>
      </w:r>
    </w:p>
    <w:p>
      <w:pPr>
        <w:adjustRightInd w:val="0"/>
        <w:snapToGrid w:val="0"/>
        <w:spacing w:line="360" w:lineRule="auto"/>
        <w:ind w:firstLine="422" w:firstLineChars="200"/>
        <w:jc w:val="left"/>
        <w:rPr>
          <w:b/>
          <w:szCs w:val="21"/>
        </w:rPr>
      </w:pPr>
      <w:r>
        <w:rPr>
          <w:rFonts w:hint="eastAsia" w:ascii="宋体" w:hAnsi="宋体" w:cs="宋体"/>
          <w:b/>
          <w:szCs w:val="21"/>
          <w:lang w:bidi="ar"/>
        </w:rPr>
        <w:t>当本用户需求书或合同内没有表明或商定对应的任何标准时，所有详细资料、材料、设备及制造工艺应符合本用户需求书技术要求的规定并提交项目业主和招标人认可。</w:t>
      </w:r>
    </w:p>
    <w:p>
      <w:pPr>
        <w:adjustRightInd w:val="0"/>
        <w:snapToGrid w:val="0"/>
        <w:spacing w:line="360" w:lineRule="auto"/>
        <w:ind w:firstLine="420" w:firstLineChars="200"/>
        <w:jc w:val="left"/>
        <w:rPr>
          <w:szCs w:val="21"/>
        </w:rPr>
      </w:pPr>
      <w:r>
        <w:rPr>
          <w:rFonts w:hint="eastAsia" w:ascii="宋体" w:hAnsi="宋体" w:cs="宋体"/>
          <w:szCs w:val="21"/>
          <w:lang w:bidi="ar"/>
        </w:rPr>
        <w:t>当在设计的材料或设备选用上受法定条例、指令、法规或其他的国内有关法律影响时，那么所供应的材料和设备即使在本用户需求书中有特殊要求，但其有关要求也必须与这些条例相关章节的规定相符。</w:t>
      </w:r>
    </w:p>
    <w:p>
      <w:pPr>
        <w:pStyle w:val="5"/>
        <w:widowControl/>
        <w:numPr>
          <w:ilvl w:val="2"/>
          <w:numId w:val="4"/>
        </w:numPr>
        <w:spacing w:before="156"/>
        <w:rPr>
          <w:szCs w:val="21"/>
        </w:rPr>
      </w:pPr>
      <w:bookmarkStart w:id="784" w:name="_Toc26974"/>
      <w:bookmarkEnd w:id="784"/>
      <w:bookmarkStart w:id="785" w:name="_Toc20296"/>
      <w:r>
        <w:rPr>
          <w:rFonts w:hint="eastAsia" w:ascii="宋体" w:hAnsi="宋体" w:cs="宋体"/>
          <w:szCs w:val="21"/>
        </w:rPr>
        <w:t>标准缩写</w:t>
      </w:r>
      <w:bookmarkEnd w:id="785"/>
    </w:p>
    <w:p>
      <w:pPr>
        <w:adjustRightInd w:val="0"/>
        <w:snapToGrid w:val="0"/>
        <w:spacing w:line="360" w:lineRule="auto"/>
        <w:ind w:firstLine="420" w:firstLineChars="200"/>
        <w:jc w:val="left"/>
        <w:rPr>
          <w:szCs w:val="21"/>
        </w:rPr>
      </w:pPr>
      <w:r>
        <w:rPr>
          <w:rFonts w:hint="eastAsia" w:ascii="宋体" w:hAnsi="宋体" w:cs="宋体"/>
          <w:szCs w:val="21"/>
          <w:lang w:bidi="ar"/>
        </w:rPr>
        <w:t>技术要求中所用的参考标准、实施规范和刊物的缩写形式及其有关组织如下：</w:t>
      </w:r>
    </w:p>
    <w:p>
      <w:pPr>
        <w:adjustRightInd w:val="0"/>
        <w:snapToGrid w:val="0"/>
        <w:spacing w:line="360" w:lineRule="auto"/>
        <w:ind w:firstLine="420" w:firstLineChars="200"/>
        <w:jc w:val="left"/>
        <w:rPr>
          <w:szCs w:val="21"/>
        </w:rPr>
      </w:pPr>
      <w:r>
        <w:rPr>
          <w:szCs w:val="21"/>
          <w:lang w:bidi="ar"/>
        </w:rPr>
        <w:t>GB</w:t>
      </w:r>
      <w:r>
        <w:rPr>
          <w:rFonts w:hint="eastAsia" w:ascii="宋体" w:hAnsi="宋体" w:cs="宋体"/>
          <w:szCs w:val="21"/>
          <w:lang w:bidi="ar"/>
        </w:rPr>
        <w:t>中国国家标准</w:t>
      </w:r>
    </w:p>
    <w:p>
      <w:pPr>
        <w:adjustRightInd w:val="0"/>
        <w:snapToGrid w:val="0"/>
        <w:spacing w:line="360" w:lineRule="auto"/>
        <w:ind w:firstLine="420" w:firstLineChars="200"/>
        <w:jc w:val="left"/>
        <w:rPr>
          <w:szCs w:val="21"/>
        </w:rPr>
      </w:pPr>
      <w:r>
        <w:rPr>
          <w:szCs w:val="21"/>
          <w:lang w:bidi="ar"/>
        </w:rPr>
        <w:t>AGMA</w:t>
      </w:r>
      <w:r>
        <w:rPr>
          <w:rFonts w:hint="eastAsia" w:ascii="宋体" w:hAnsi="宋体" w:cs="宋体"/>
          <w:szCs w:val="21"/>
          <w:lang w:bidi="ar"/>
        </w:rPr>
        <w:t>美国齿轮制造商协会</w:t>
      </w:r>
    </w:p>
    <w:p>
      <w:pPr>
        <w:adjustRightInd w:val="0"/>
        <w:snapToGrid w:val="0"/>
        <w:spacing w:line="360" w:lineRule="auto"/>
        <w:ind w:firstLine="420" w:firstLineChars="200"/>
        <w:jc w:val="left"/>
        <w:rPr>
          <w:szCs w:val="21"/>
        </w:rPr>
      </w:pPr>
      <w:r>
        <w:rPr>
          <w:szCs w:val="21"/>
          <w:lang w:bidi="ar"/>
        </w:rPr>
        <w:t>AISI</w:t>
      </w:r>
      <w:r>
        <w:rPr>
          <w:rFonts w:hint="eastAsia" w:ascii="宋体" w:hAnsi="宋体" w:cs="宋体"/>
          <w:szCs w:val="21"/>
          <w:lang w:bidi="ar"/>
        </w:rPr>
        <w:t>美国钢铁学会</w:t>
      </w:r>
    </w:p>
    <w:p>
      <w:pPr>
        <w:adjustRightInd w:val="0"/>
        <w:snapToGrid w:val="0"/>
        <w:spacing w:line="360" w:lineRule="auto"/>
        <w:ind w:firstLine="420" w:firstLineChars="200"/>
        <w:jc w:val="left"/>
        <w:rPr>
          <w:szCs w:val="21"/>
        </w:rPr>
      </w:pPr>
      <w:r>
        <w:rPr>
          <w:szCs w:val="21"/>
          <w:lang w:bidi="ar"/>
        </w:rPr>
        <w:t>AS</w:t>
      </w:r>
      <w:r>
        <w:rPr>
          <w:rFonts w:hint="eastAsia" w:ascii="宋体" w:hAnsi="宋体" w:cs="宋体"/>
          <w:szCs w:val="21"/>
          <w:lang w:bidi="ar"/>
        </w:rPr>
        <w:t>澳大利亚标准协会</w:t>
      </w:r>
    </w:p>
    <w:p>
      <w:pPr>
        <w:adjustRightInd w:val="0"/>
        <w:snapToGrid w:val="0"/>
        <w:spacing w:line="360" w:lineRule="auto"/>
        <w:ind w:firstLine="420" w:firstLineChars="200"/>
        <w:jc w:val="left"/>
        <w:rPr>
          <w:szCs w:val="21"/>
        </w:rPr>
      </w:pPr>
      <w:r>
        <w:rPr>
          <w:szCs w:val="21"/>
          <w:lang w:bidi="ar"/>
        </w:rPr>
        <w:t>ASTM</w:t>
      </w:r>
      <w:r>
        <w:rPr>
          <w:rFonts w:hint="eastAsia" w:ascii="宋体" w:hAnsi="宋体" w:cs="宋体"/>
          <w:szCs w:val="21"/>
          <w:lang w:bidi="ar"/>
        </w:rPr>
        <w:t>美国测试与材料学会</w:t>
      </w:r>
    </w:p>
    <w:p>
      <w:pPr>
        <w:adjustRightInd w:val="0"/>
        <w:snapToGrid w:val="0"/>
        <w:spacing w:line="360" w:lineRule="auto"/>
        <w:ind w:firstLine="420" w:firstLineChars="200"/>
        <w:jc w:val="left"/>
        <w:rPr>
          <w:szCs w:val="21"/>
        </w:rPr>
      </w:pPr>
      <w:r>
        <w:rPr>
          <w:szCs w:val="21"/>
          <w:lang w:bidi="ar"/>
        </w:rPr>
        <w:t>IEC</w:t>
      </w:r>
      <w:r>
        <w:rPr>
          <w:rFonts w:hint="eastAsia" w:ascii="宋体" w:hAnsi="宋体" w:cs="宋体"/>
          <w:szCs w:val="21"/>
          <w:lang w:bidi="ar"/>
        </w:rPr>
        <w:t>国际电工委员会</w:t>
      </w:r>
    </w:p>
    <w:p>
      <w:pPr>
        <w:adjustRightInd w:val="0"/>
        <w:snapToGrid w:val="0"/>
        <w:spacing w:line="360" w:lineRule="auto"/>
        <w:ind w:firstLine="420" w:firstLineChars="200"/>
        <w:jc w:val="left"/>
        <w:rPr>
          <w:szCs w:val="21"/>
        </w:rPr>
      </w:pPr>
      <w:r>
        <w:rPr>
          <w:szCs w:val="21"/>
          <w:lang w:bidi="ar"/>
        </w:rPr>
        <w:t>BS</w:t>
      </w:r>
      <w:r>
        <w:rPr>
          <w:rFonts w:hint="eastAsia" w:ascii="宋体" w:hAnsi="宋体" w:cs="宋体"/>
          <w:szCs w:val="21"/>
          <w:lang w:bidi="ar"/>
        </w:rPr>
        <w:t>英国标准学会</w:t>
      </w:r>
    </w:p>
    <w:p>
      <w:pPr>
        <w:adjustRightInd w:val="0"/>
        <w:snapToGrid w:val="0"/>
        <w:spacing w:line="360" w:lineRule="auto"/>
        <w:ind w:firstLine="420" w:firstLineChars="200"/>
        <w:jc w:val="left"/>
        <w:rPr>
          <w:szCs w:val="21"/>
        </w:rPr>
      </w:pPr>
      <w:r>
        <w:rPr>
          <w:szCs w:val="21"/>
          <w:lang w:bidi="ar"/>
        </w:rPr>
        <w:t>AEMA</w:t>
      </w:r>
      <w:r>
        <w:rPr>
          <w:rFonts w:hint="eastAsia" w:ascii="宋体" w:hAnsi="宋体" w:cs="宋体"/>
          <w:szCs w:val="21"/>
          <w:lang w:bidi="ar"/>
        </w:rPr>
        <w:t>美国国家电气制造商协会</w:t>
      </w:r>
    </w:p>
    <w:p>
      <w:pPr>
        <w:adjustRightInd w:val="0"/>
        <w:snapToGrid w:val="0"/>
        <w:spacing w:line="360" w:lineRule="auto"/>
        <w:ind w:firstLine="420" w:firstLineChars="200"/>
        <w:jc w:val="left"/>
        <w:rPr>
          <w:szCs w:val="21"/>
        </w:rPr>
      </w:pPr>
      <w:r>
        <w:rPr>
          <w:szCs w:val="21"/>
          <w:lang w:bidi="ar"/>
        </w:rPr>
        <w:t>CP</w:t>
      </w:r>
      <w:r>
        <w:rPr>
          <w:rFonts w:hint="eastAsia" w:ascii="宋体" w:hAnsi="宋体" w:cs="宋体"/>
          <w:szCs w:val="21"/>
          <w:lang w:bidi="ar"/>
        </w:rPr>
        <w:t>英国标准学会（实施规范）</w:t>
      </w:r>
    </w:p>
    <w:p>
      <w:pPr>
        <w:adjustRightInd w:val="0"/>
        <w:snapToGrid w:val="0"/>
        <w:spacing w:line="360" w:lineRule="auto"/>
        <w:ind w:firstLine="420" w:firstLineChars="200"/>
        <w:jc w:val="left"/>
        <w:rPr>
          <w:szCs w:val="21"/>
        </w:rPr>
      </w:pPr>
      <w:r>
        <w:rPr>
          <w:szCs w:val="21"/>
          <w:lang w:bidi="ar"/>
        </w:rPr>
        <w:t>DIN</w:t>
      </w:r>
      <w:r>
        <w:rPr>
          <w:rFonts w:hint="eastAsia" w:ascii="宋体" w:hAnsi="宋体" w:cs="宋体"/>
          <w:szCs w:val="21"/>
          <w:lang w:bidi="ar"/>
        </w:rPr>
        <w:t>德国工业标准</w:t>
      </w:r>
    </w:p>
    <w:p>
      <w:pPr>
        <w:adjustRightInd w:val="0"/>
        <w:snapToGrid w:val="0"/>
        <w:spacing w:line="360" w:lineRule="auto"/>
        <w:ind w:firstLine="420" w:firstLineChars="200"/>
        <w:jc w:val="left"/>
        <w:rPr>
          <w:szCs w:val="21"/>
        </w:rPr>
      </w:pPr>
      <w:r>
        <w:rPr>
          <w:szCs w:val="21"/>
          <w:lang w:bidi="ar"/>
        </w:rPr>
        <w:t>ISO</w:t>
      </w:r>
      <w:r>
        <w:rPr>
          <w:rFonts w:hint="eastAsia" w:ascii="宋体" w:hAnsi="宋体" w:cs="宋体"/>
          <w:szCs w:val="21"/>
          <w:lang w:bidi="ar"/>
        </w:rPr>
        <w:t>国际标准化组织</w:t>
      </w:r>
    </w:p>
    <w:p>
      <w:pPr>
        <w:adjustRightInd w:val="0"/>
        <w:snapToGrid w:val="0"/>
        <w:spacing w:line="360" w:lineRule="auto"/>
        <w:ind w:firstLine="420" w:firstLineChars="200"/>
        <w:jc w:val="left"/>
        <w:rPr>
          <w:szCs w:val="21"/>
        </w:rPr>
      </w:pPr>
      <w:r>
        <w:rPr>
          <w:szCs w:val="21"/>
          <w:lang w:bidi="ar"/>
        </w:rPr>
        <w:t>JIS</w:t>
      </w:r>
      <w:r>
        <w:rPr>
          <w:rFonts w:hint="eastAsia" w:ascii="宋体" w:hAnsi="宋体" w:cs="宋体"/>
          <w:szCs w:val="21"/>
          <w:lang w:bidi="ar"/>
        </w:rPr>
        <w:t>日本工业标准</w:t>
      </w:r>
    </w:p>
    <w:p>
      <w:pPr>
        <w:adjustRightInd w:val="0"/>
        <w:snapToGrid w:val="0"/>
        <w:spacing w:line="360" w:lineRule="auto"/>
        <w:ind w:firstLine="420" w:firstLineChars="200"/>
        <w:jc w:val="left"/>
        <w:rPr>
          <w:szCs w:val="21"/>
        </w:rPr>
      </w:pPr>
      <w:r>
        <w:rPr>
          <w:szCs w:val="21"/>
          <w:lang w:bidi="ar"/>
        </w:rPr>
        <w:t>SI</w:t>
      </w:r>
      <w:r>
        <w:rPr>
          <w:rFonts w:hint="eastAsia" w:ascii="宋体" w:hAnsi="宋体" w:cs="宋体"/>
          <w:szCs w:val="21"/>
          <w:lang w:bidi="ar"/>
        </w:rPr>
        <w:t>国际单位制</w:t>
      </w:r>
    </w:p>
    <w:p>
      <w:pPr>
        <w:pStyle w:val="4"/>
        <w:widowControl/>
        <w:numPr>
          <w:ilvl w:val="1"/>
          <w:numId w:val="4"/>
        </w:numPr>
        <w:rPr>
          <w:rFonts w:eastAsia="宋体"/>
          <w:szCs w:val="21"/>
        </w:rPr>
      </w:pPr>
      <w:bookmarkStart w:id="786" w:name="_Toc28551"/>
      <w:bookmarkEnd w:id="786"/>
      <w:bookmarkStart w:id="787" w:name="_Toc20274"/>
      <w:r>
        <w:rPr>
          <w:rFonts w:hint="eastAsia" w:ascii="宋体" w:hAnsi="宋体" w:eastAsia="宋体" w:cs="宋体"/>
          <w:szCs w:val="21"/>
        </w:rPr>
        <w:t>相关费用的约定</w:t>
      </w:r>
      <w:bookmarkEnd w:id="787"/>
    </w:p>
    <w:p>
      <w:pPr>
        <w:adjustRightInd w:val="0"/>
        <w:snapToGrid w:val="0"/>
        <w:spacing w:line="360" w:lineRule="auto"/>
        <w:ind w:firstLine="420" w:firstLineChars="200"/>
        <w:rPr>
          <w:szCs w:val="21"/>
        </w:rPr>
      </w:pPr>
      <w:r>
        <w:rPr>
          <w:rFonts w:hint="eastAsia" w:ascii="宋体" w:hAnsi="宋体" w:cs="宋体"/>
          <w:szCs w:val="21"/>
          <w:lang w:bidi="ar"/>
        </w:rPr>
        <w:t>投标人对其提供的机械、电器、仪表设备和工艺方面所涉及的一切专利费和执照费及其他相关费用承担责任，并且负责保护项目业主和招标人的利益不受任何损害，一切由文字、商标和技术专利侵权的申诉或者由使用设备和工艺结构特征、元件的排列所引起的法律裁决、诉讼和费用与项目业主和招标人无关。投标人的报价已包括了专利费、执照费和其它与这方面相关的费用。</w:t>
      </w:r>
    </w:p>
    <w:p>
      <w:pPr>
        <w:pStyle w:val="4"/>
        <w:widowControl/>
        <w:numPr>
          <w:ilvl w:val="1"/>
          <w:numId w:val="4"/>
        </w:numPr>
        <w:rPr>
          <w:rFonts w:eastAsia="宋体"/>
          <w:szCs w:val="21"/>
        </w:rPr>
      </w:pPr>
      <w:bookmarkStart w:id="788" w:name="_Toc12456"/>
      <w:bookmarkEnd w:id="788"/>
      <w:bookmarkStart w:id="789" w:name="_Toc24766"/>
      <w:r>
        <w:rPr>
          <w:rFonts w:hint="eastAsia" w:ascii="宋体" w:hAnsi="宋体" w:eastAsia="宋体" w:cs="宋体"/>
          <w:szCs w:val="21"/>
        </w:rPr>
        <w:t>设备一般技术要求</w:t>
      </w:r>
      <w:bookmarkEnd w:id="789"/>
    </w:p>
    <w:p>
      <w:pPr>
        <w:pStyle w:val="5"/>
        <w:widowControl/>
        <w:numPr>
          <w:ilvl w:val="2"/>
          <w:numId w:val="4"/>
        </w:numPr>
        <w:spacing w:before="156"/>
        <w:rPr>
          <w:szCs w:val="21"/>
        </w:rPr>
      </w:pPr>
      <w:bookmarkStart w:id="790" w:name="_Toc20515"/>
      <w:bookmarkEnd w:id="790"/>
      <w:bookmarkStart w:id="791" w:name="_Toc2221"/>
      <w:r>
        <w:rPr>
          <w:rFonts w:hint="eastAsia" w:ascii="宋体" w:hAnsi="宋体" w:cs="宋体"/>
          <w:szCs w:val="21"/>
        </w:rPr>
        <w:t>设计使用期限</w:t>
      </w:r>
      <w:bookmarkEnd w:id="791"/>
    </w:p>
    <w:p>
      <w:pPr>
        <w:adjustRightInd w:val="0"/>
        <w:snapToGrid w:val="0"/>
        <w:spacing w:line="360" w:lineRule="auto"/>
        <w:ind w:firstLine="420" w:firstLineChars="200"/>
        <w:rPr>
          <w:szCs w:val="21"/>
        </w:rPr>
      </w:pPr>
      <w:r>
        <w:rPr>
          <w:rFonts w:hint="eastAsia" w:ascii="宋体" w:hAnsi="宋体" w:cs="宋体"/>
          <w:szCs w:val="21"/>
          <w:lang w:bidi="ar"/>
        </w:rPr>
        <w:t>设计的材料和设备均应能适合长期的连续运转，正常使用时限必须达到投标文件中承诺时间，重要配件亦应达到承诺的使用期限。</w:t>
      </w:r>
    </w:p>
    <w:p>
      <w:pPr>
        <w:adjustRightInd w:val="0"/>
        <w:snapToGrid w:val="0"/>
        <w:spacing w:line="360" w:lineRule="auto"/>
        <w:ind w:firstLine="420" w:firstLineChars="200"/>
        <w:rPr>
          <w:szCs w:val="21"/>
        </w:rPr>
      </w:pPr>
      <w:r>
        <w:rPr>
          <w:rFonts w:hint="eastAsia" w:ascii="宋体" w:hAnsi="宋体" w:cs="宋体"/>
          <w:szCs w:val="21"/>
          <w:lang w:bidi="ar"/>
        </w:rPr>
        <w:t>除去易耗件如密封填料等正常情况需要频繁更换的除外，凡是须经受磨耗的无论哪一种部件，从新使用到需要更换，或需要修理时的连续正常运转的使用寿命不应少于三年，所有的齿轮与轴承的设计使用寿命不低于</w:t>
      </w:r>
      <w:r>
        <w:rPr>
          <w:szCs w:val="21"/>
          <w:lang w:bidi="ar"/>
        </w:rPr>
        <w:t>10</w:t>
      </w:r>
      <w:r>
        <w:rPr>
          <w:rFonts w:hint="eastAsia" w:ascii="宋体" w:hAnsi="宋体" w:cs="宋体"/>
          <w:szCs w:val="21"/>
          <w:lang w:bidi="ar"/>
        </w:rPr>
        <w:t>万小时，其额定值至少为工作负荷的</w:t>
      </w:r>
      <w:r>
        <w:rPr>
          <w:szCs w:val="21"/>
          <w:lang w:bidi="ar"/>
        </w:rPr>
        <w:t>125%</w:t>
      </w:r>
      <w:r>
        <w:rPr>
          <w:rFonts w:hint="eastAsia" w:ascii="宋体" w:hAnsi="宋体" w:cs="宋体"/>
          <w:szCs w:val="21"/>
          <w:lang w:bidi="ar"/>
        </w:rPr>
        <w:t>。</w:t>
      </w:r>
    </w:p>
    <w:p>
      <w:pPr>
        <w:pStyle w:val="5"/>
        <w:widowControl/>
        <w:numPr>
          <w:ilvl w:val="2"/>
          <w:numId w:val="4"/>
        </w:numPr>
        <w:spacing w:before="156"/>
        <w:rPr>
          <w:szCs w:val="21"/>
        </w:rPr>
      </w:pPr>
      <w:bookmarkStart w:id="792" w:name="_Toc28684"/>
      <w:bookmarkEnd w:id="792"/>
      <w:bookmarkStart w:id="793" w:name="_Toc2517"/>
      <w:r>
        <w:rPr>
          <w:rFonts w:hint="eastAsia" w:ascii="宋体" w:hAnsi="宋体" w:cs="宋体"/>
          <w:szCs w:val="21"/>
        </w:rPr>
        <w:t>材料</w:t>
      </w:r>
      <w:bookmarkEnd w:id="793"/>
    </w:p>
    <w:p>
      <w:pPr>
        <w:adjustRightInd w:val="0"/>
        <w:snapToGrid w:val="0"/>
        <w:spacing w:line="360" w:lineRule="auto"/>
        <w:ind w:firstLine="420" w:firstLineChars="200"/>
        <w:rPr>
          <w:szCs w:val="21"/>
        </w:rPr>
      </w:pPr>
      <w:r>
        <w:rPr>
          <w:rFonts w:hint="eastAsia" w:ascii="宋体" w:hAnsi="宋体" w:cs="宋体"/>
          <w:szCs w:val="21"/>
          <w:lang w:bidi="ar"/>
        </w:rPr>
        <w:t>工程中所使用的材料必须是最适合该工作的，并应是新的、一流的商品质量，无缺陷的且应选择使用寿命长，维护要求低的材料。</w:t>
      </w:r>
    </w:p>
    <w:p>
      <w:pPr>
        <w:adjustRightInd w:val="0"/>
        <w:snapToGrid w:val="0"/>
        <w:spacing w:line="360" w:lineRule="auto"/>
        <w:ind w:firstLine="420" w:firstLineChars="200"/>
        <w:rPr>
          <w:szCs w:val="21"/>
        </w:rPr>
      </w:pPr>
      <w:r>
        <w:rPr>
          <w:rFonts w:hint="eastAsia" w:ascii="宋体" w:hAnsi="宋体" w:cs="宋体"/>
          <w:szCs w:val="21"/>
          <w:lang w:bidi="ar"/>
        </w:rPr>
        <w:t>水下设备的活动部分及表面，如销、栓与轴等，应是抗腐蚀的。直接与各种化学制品接触的部件应具有对这些化学制品完全的抗腐蚀、抗磨损的能力，并保证这些部件不会由于时间的消逝，暴露在日光下或任何其它原因引起腐蚀或老化。</w:t>
      </w:r>
    </w:p>
    <w:p>
      <w:pPr>
        <w:adjustRightInd w:val="0"/>
        <w:snapToGrid w:val="0"/>
        <w:spacing w:line="360" w:lineRule="auto"/>
        <w:ind w:firstLine="420" w:firstLineChars="200"/>
        <w:rPr>
          <w:szCs w:val="21"/>
        </w:rPr>
      </w:pPr>
      <w:r>
        <w:rPr>
          <w:rFonts w:hint="eastAsia" w:ascii="宋体" w:hAnsi="宋体" w:cs="宋体"/>
          <w:szCs w:val="21"/>
          <w:lang w:bidi="ar"/>
        </w:rPr>
        <w:t>处理工艺的主要机械设备、构件，水下部分需采用</w:t>
      </w:r>
      <w:r>
        <w:rPr>
          <w:szCs w:val="21"/>
          <w:lang w:bidi="ar"/>
        </w:rPr>
        <w:t>304</w:t>
      </w:r>
      <w:r>
        <w:rPr>
          <w:rFonts w:hint="eastAsia" w:ascii="宋体" w:hAnsi="宋体" w:cs="宋体"/>
          <w:szCs w:val="21"/>
          <w:lang w:bidi="ar"/>
        </w:rPr>
        <w:t>或</w:t>
      </w:r>
      <w:r>
        <w:rPr>
          <w:szCs w:val="21"/>
          <w:lang w:bidi="ar"/>
        </w:rPr>
        <w:t>304</w:t>
      </w:r>
      <w:r>
        <w:rPr>
          <w:rFonts w:hint="eastAsia" w:ascii="宋体" w:hAnsi="宋体" w:cs="宋体"/>
          <w:szCs w:val="21"/>
          <w:lang w:bidi="ar"/>
        </w:rPr>
        <w:t>以上的不锈钢，水上部分亦应优先采用</w:t>
      </w:r>
      <w:r>
        <w:rPr>
          <w:szCs w:val="21"/>
          <w:lang w:bidi="ar"/>
        </w:rPr>
        <w:t>304</w:t>
      </w:r>
      <w:r>
        <w:rPr>
          <w:rFonts w:hint="eastAsia" w:ascii="宋体" w:hAnsi="宋体" w:cs="宋体"/>
          <w:szCs w:val="21"/>
          <w:lang w:bidi="ar"/>
        </w:rPr>
        <w:t>或</w:t>
      </w:r>
      <w:r>
        <w:rPr>
          <w:szCs w:val="21"/>
          <w:lang w:bidi="ar"/>
        </w:rPr>
        <w:t>304L</w:t>
      </w:r>
      <w:r>
        <w:rPr>
          <w:rFonts w:hint="eastAsia" w:ascii="宋体" w:hAnsi="宋体" w:cs="宋体"/>
          <w:szCs w:val="21"/>
          <w:lang w:bidi="ar"/>
        </w:rPr>
        <w:t>的不锈钢，或采用重度防腐处理的碳钢材料。</w:t>
      </w:r>
    </w:p>
    <w:p>
      <w:pPr>
        <w:pStyle w:val="5"/>
        <w:widowControl/>
        <w:numPr>
          <w:ilvl w:val="2"/>
          <w:numId w:val="4"/>
        </w:numPr>
        <w:spacing w:before="156"/>
        <w:rPr>
          <w:szCs w:val="21"/>
        </w:rPr>
      </w:pPr>
      <w:bookmarkStart w:id="794" w:name="_Toc24695"/>
      <w:bookmarkEnd w:id="794"/>
      <w:bookmarkStart w:id="795" w:name="_Toc12145"/>
      <w:r>
        <w:rPr>
          <w:rFonts w:hint="eastAsia" w:ascii="宋体" w:hAnsi="宋体" w:cs="宋体"/>
          <w:szCs w:val="21"/>
        </w:rPr>
        <w:t>工作质量</w:t>
      </w:r>
      <w:bookmarkEnd w:id="795"/>
    </w:p>
    <w:p>
      <w:pPr>
        <w:adjustRightInd w:val="0"/>
        <w:snapToGrid w:val="0"/>
        <w:spacing w:line="360" w:lineRule="auto"/>
        <w:ind w:firstLine="420" w:firstLineChars="200"/>
        <w:rPr>
          <w:szCs w:val="21"/>
        </w:rPr>
      </w:pPr>
      <w:r>
        <w:rPr>
          <w:rFonts w:hint="eastAsia" w:ascii="宋体" w:hAnsi="宋体" w:cs="宋体"/>
          <w:szCs w:val="21"/>
          <w:lang w:bidi="ar"/>
        </w:rPr>
        <w:t>设备在运行时应没有异常振动，且只具有最少的噪音。旋转部件应是平衡的，以使它在各种不同操作速度进行运转时以及达到最大负荷时，均不应由于失去平衡而产生振动。</w:t>
      </w:r>
    </w:p>
    <w:p>
      <w:pPr>
        <w:adjustRightInd w:val="0"/>
        <w:snapToGrid w:val="0"/>
        <w:spacing w:line="360" w:lineRule="auto"/>
        <w:ind w:firstLine="420" w:firstLineChars="200"/>
        <w:rPr>
          <w:szCs w:val="21"/>
        </w:rPr>
      </w:pPr>
      <w:r>
        <w:rPr>
          <w:rFonts w:hint="eastAsia" w:ascii="宋体" w:hAnsi="宋体" w:cs="宋体"/>
          <w:szCs w:val="21"/>
          <w:lang w:bidi="ar"/>
        </w:rPr>
        <w:t>凡易被产生的灰尘或水溅等导致磨损或损坏的部件应整个地用防尘罩或防水罩封闭。</w:t>
      </w:r>
    </w:p>
    <w:p>
      <w:pPr>
        <w:pStyle w:val="5"/>
        <w:widowControl/>
        <w:numPr>
          <w:ilvl w:val="2"/>
          <w:numId w:val="4"/>
        </w:numPr>
        <w:spacing w:before="156"/>
        <w:rPr>
          <w:szCs w:val="21"/>
        </w:rPr>
      </w:pPr>
      <w:bookmarkStart w:id="796" w:name="_Toc32055"/>
      <w:bookmarkEnd w:id="796"/>
      <w:bookmarkStart w:id="797" w:name="_Toc18323"/>
      <w:r>
        <w:rPr>
          <w:rFonts w:hint="eastAsia" w:ascii="宋体" w:hAnsi="宋体" w:cs="宋体"/>
          <w:szCs w:val="21"/>
        </w:rPr>
        <w:t>齿轮传动与齿轮箱</w:t>
      </w:r>
      <w:bookmarkEnd w:id="797"/>
    </w:p>
    <w:p>
      <w:pPr>
        <w:adjustRightInd w:val="0"/>
        <w:snapToGrid w:val="0"/>
        <w:spacing w:line="360" w:lineRule="auto"/>
        <w:ind w:firstLine="420" w:firstLineChars="200"/>
        <w:rPr>
          <w:szCs w:val="21"/>
        </w:rPr>
      </w:pPr>
      <w:r>
        <w:rPr>
          <w:rFonts w:hint="eastAsia" w:ascii="宋体" w:hAnsi="宋体" w:cs="宋体"/>
          <w:szCs w:val="21"/>
          <w:lang w:bidi="ar"/>
        </w:rPr>
        <w:t>所有的齿轮传动均应符合</w:t>
      </w:r>
      <w:r>
        <w:rPr>
          <w:szCs w:val="21"/>
          <w:lang w:bidi="ar"/>
        </w:rPr>
        <w:t>ISO</w:t>
      </w:r>
      <w:r>
        <w:rPr>
          <w:rFonts w:hint="eastAsia" w:ascii="宋体" w:hAnsi="宋体" w:cs="宋体"/>
          <w:szCs w:val="21"/>
          <w:lang w:bidi="ar"/>
        </w:rPr>
        <w:t>、</w:t>
      </w:r>
      <w:r>
        <w:rPr>
          <w:szCs w:val="21"/>
          <w:lang w:bidi="ar"/>
        </w:rPr>
        <w:t>DIN</w:t>
      </w:r>
      <w:r>
        <w:rPr>
          <w:rFonts w:hint="eastAsia" w:ascii="宋体" w:hAnsi="宋体" w:cs="宋体"/>
          <w:szCs w:val="21"/>
          <w:lang w:bidi="ar"/>
        </w:rPr>
        <w:t>的标准，服务系数不低于</w:t>
      </w:r>
      <w:r>
        <w:rPr>
          <w:szCs w:val="21"/>
          <w:lang w:bidi="ar"/>
        </w:rPr>
        <w:t>2.0</w:t>
      </w:r>
      <w:r>
        <w:rPr>
          <w:rFonts w:hint="eastAsia" w:ascii="宋体" w:hAnsi="宋体" w:cs="宋体"/>
          <w:szCs w:val="21"/>
          <w:lang w:bidi="ar"/>
        </w:rPr>
        <w:t>，所有的齿轮传动除非另有批准均应是全封闭式的。</w:t>
      </w:r>
    </w:p>
    <w:p>
      <w:pPr>
        <w:adjustRightInd w:val="0"/>
        <w:snapToGrid w:val="0"/>
        <w:spacing w:line="360" w:lineRule="auto"/>
        <w:ind w:firstLine="420" w:firstLineChars="200"/>
        <w:rPr>
          <w:szCs w:val="21"/>
        </w:rPr>
      </w:pPr>
      <w:r>
        <w:rPr>
          <w:rFonts w:hint="eastAsia" w:ascii="宋体" w:hAnsi="宋体" w:cs="宋体"/>
          <w:szCs w:val="21"/>
          <w:lang w:bidi="ar"/>
        </w:rPr>
        <w:t>齿轮箱的所有接缝处须密封可靠以防止水与灰尘的进入和润滑剂的外流，齿轮传动部件应便于检查和进行维修。齿轮箱运行中温度上升不能影响设备的正常使用。</w:t>
      </w:r>
    </w:p>
    <w:p>
      <w:pPr>
        <w:keepNext/>
        <w:keepLines/>
        <w:spacing w:line="360" w:lineRule="auto"/>
        <w:ind w:firstLine="420" w:firstLineChars="200"/>
        <w:jc w:val="left"/>
        <w:outlineLvl w:val="3"/>
        <w:rPr>
          <w:b/>
          <w:bCs/>
          <w:szCs w:val="21"/>
        </w:rPr>
      </w:pPr>
      <w:r>
        <w:rPr>
          <w:rFonts w:hint="eastAsia" w:ascii="宋体" w:hAnsi="宋体" w:cs="宋体"/>
          <w:szCs w:val="21"/>
          <w:lang w:bidi="ar"/>
        </w:rPr>
        <w:t>齿轮箱应具有刻度清楚的观察玻璃或量油尺，以显示流动的或静止的油位。装有便于操作的排放旋塞或塞阀并与排放装置联结，一个带有用螺栓拧紧盖的检查孔，加油的接头与通气塞，如果需要的话，溢流与排放的接管应予以延伸以避免排出的油溢出。为了吊装必须设置手柄或吊环。在传动装置的调整工作完成后</w:t>
      </w:r>
      <w:r>
        <w:rPr>
          <w:szCs w:val="21"/>
          <w:lang w:bidi="ar"/>
        </w:rPr>
        <w:t>,</w:t>
      </w:r>
      <w:r>
        <w:rPr>
          <w:rFonts w:hint="eastAsia" w:ascii="宋体" w:hAnsi="宋体" w:cs="宋体"/>
          <w:szCs w:val="21"/>
          <w:lang w:bidi="ar"/>
        </w:rPr>
        <w:t>每个齿轮箱应在它的底板上用圆锥销定位。</w:t>
      </w:r>
    </w:p>
    <w:p>
      <w:pPr>
        <w:pStyle w:val="5"/>
        <w:widowControl/>
        <w:numPr>
          <w:ilvl w:val="2"/>
          <w:numId w:val="4"/>
        </w:numPr>
        <w:spacing w:before="156"/>
        <w:rPr>
          <w:szCs w:val="21"/>
        </w:rPr>
      </w:pPr>
      <w:bookmarkStart w:id="798" w:name="_Toc416"/>
      <w:bookmarkEnd w:id="798"/>
      <w:bookmarkStart w:id="799" w:name="_Toc6076"/>
      <w:r>
        <w:rPr>
          <w:rFonts w:hint="eastAsia" w:ascii="宋体" w:hAnsi="宋体" w:cs="宋体"/>
          <w:szCs w:val="21"/>
        </w:rPr>
        <w:t>平衡</w:t>
      </w:r>
      <w:bookmarkEnd w:id="799"/>
    </w:p>
    <w:p>
      <w:pPr>
        <w:adjustRightInd w:val="0"/>
        <w:snapToGrid w:val="0"/>
        <w:spacing w:line="360" w:lineRule="auto"/>
        <w:ind w:firstLine="420" w:firstLineChars="200"/>
        <w:rPr>
          <w:szCs w:val="21"/>
        </w:rPr>
      </w:pPr>
      <w:r>
        <w:rPr>
          <w:rFonts w:hint="eastAsia" w:ascii="宋体" w:hAnsi="宋体" w:cs="宋体"/>
          <w:szCs w:val="21"/>
          <w:lang w:bidi="ar"/>
        </w:rPr>
        <w:t>所有的旋转部分均应作适当的静态与动态平衡，以使在正常的全速运转时并在最险峻的负荷条件时，均不应在设备中或在车间中或在周围的附近处，出现过分的振动。</w:t>
      </w:r>
    </w:p>
    <w:p>
      <w:pPr>
        <w:pStyle w:val="5"/>
        <w:widowControl/>
        <w:numPr>
          <w:ilvl w:val="2"/>
          <w:numId w:val="4"/>
        </w:numPr>
        <w:spacing w:before="156"/>
        <w:rPr>
          <w:szCs w:val="21"/>
        </w:rPr>
      </w:pPr>
      <w:bookmarkStart w:id="800" w:name="_Toc13906"/>
      <w:bookmarkEnd w:id="800"/>
      <w:bookmarkStart w:id="801" w:name="_Toc840"/>
      <w:r>
        <w:rPr>
          <w:rFonts w:hint="eastAsia" w:ascii="宋体" w:hAnsi="宋体" w:cs="宋体"/>
          <w:szCs w:val="21"/>
        </w:rPr>
        <w:t>互换性</w:t>
      </w:r>
      <w:bookmarkEnd w:id="801"/>
    </w:p>
    <w:p>
      <w:pPr>
        <w:adjustRightInd w:val="0"/>
        <w:snapToGrid w:val="0"/>
        <w:spacing w:line="360" w:lineRule="auto"/>
        <w:ind w:firstLine="420" w:firstLineChars="200"/>
        <w:rPr>
          <w:szCs w:val="21"/>
        </w:rPr>
      </w:pPr>
      <w:r>
        <w:rPr>
          <w:rFonts w:hint="eastAsia" w:ascii="宋体" w:hAnsi="宋体" w:cs="宋体"/>
          <w:szCs w:val="21"/>
          <w:lang w:bidi="ar"/>
        </w:rPr>
        <w:t>所有相类似的设备、零备件或附属件应是可以互换的，所提供的设备的种类必须是合乎标准化的。</w:t>
      </w:r>
    </w:p>
    <w:p>
      <w:pPr>
        <w:pStyle w:val="5"/>
        <w:widowControl/>
        <w:numPr>
          <w:ilvl w:val="2"/>
          <w:numId w:val="4"/>
        </w:numPr>
        <w:spacing w:before="156"/>
        <w:rPr>
          <w:szCs w:val="21"/>
        </w:rPr>
      </w:pPr>
      <w:bookmarkStart w:id="802" w:name="_Toc7335"/>
      <w:bookmarkEnd w:id="802"/>
      <w:bookmarkStart w:id="803" w:name="_Toc31615"/>
      <w:r>
        <w:rPr>
          <w:rFonts w:hint="eastAsia" w:ascii="宋体" w:hAnsi="宋体" w:cs="宋体"/>
          <w:szCs w:val="21"/>
        </w:rPr>
        <w:t>噪音控制</w:t>
      </w:r>
      <w:bookmarkEnd w:id="803"/>
    </w:p>
    <w:p>
      <w:pPr>
        <w:adjustRightInd w:val="0"/>
        <w:snapToGrid w:val="0"/>
        <w:spacing w:line="360" w:lineRule="auto"/>
        <w:ind w:firstLine="420" w:firstLineChars="200"/>
        <w:rPr>
          <w:szCs w:val="21"/>
        </w:rPr>
      </w:pPr>
      <w:r>
        <w:rPr>
          <w:rFonts w:hint="eastAsia" w:ascii="宋体" w:hAnsi="宋体" w:cs="宋体"/>
          <w:szCs w:val="21"/>
          <w:lang w:bidi="ar"/>
        </w:rPr>
        <w:t>所有设备在正常运转时无异常噪声。如有必要，设备应自带消音器或隔音罩设计，满足相应技术参数部分对噪声控制的要求。</w:t>
      </w:r>
    </w:p>
    <w:p>
      <w:pPr>
        <w:pStyle w:val="5"/>
        <w:widowControl/>
        <w:numPr>
          <w:ilvl w:val="2"/>
          <w:numId w:val="4"/>
        </w:numPr>
        <w:spacing w:before="156"/>
        <w:rPr>
          <w:szCs w:val="21"/>
        </w:rPr>
      </w:pPr>
      <w:bookmarkStart w:id="804" w:name="_Toc15835"/>
      <w:bookmarkEnd w:id="804"/>
      <w:bookmarkStart w:id="805" w:name="_Toc13689"/>
      <w:r>
        <w:rPr>
          <w:rFonts w:hint="eastAsia" w:ascii="宋体" w:hAnsi="宋体" w:cs="宋体"/>
          <w:szCs w:val="21"/>
        </w:rPr>
        <w:t>润滑和清洗</w:t>
      </w:r>
      <w:bookmarkEnd w:id="805"/>
    </w:p>
    <w:p>
      <w:pPr>
        <w:adjustRightInd w:val="0"/>
        <w:snapToGrid w:val="0"/>
        <w:spacing w:line="360" w:lineRule="auto"/>
        <w:ind w:firstLine="420" w:firstLineChars="200"/>
        <w:rPr>
          <w:szCs w:val="21"/>
        </w:rPr>
      </w:pPr>
      <w:r>
        <w:rPr>
          <w:rFonts w:hint="eastAsia" w:ascii="宋体" w:hAnsi="宋体" w:cs="宋体"/>
          <w:szCs w:val="21"/>
          <w:lang w:bidi="ar"/>
        </w:rPr>
        <w:t>需要周期性加注润滑脂的机械装置、部件，均应设加油嘴，并设置在便于操作的部位。投标人需提供各润滑油脂的推荐等级。</w:t>
      </w:r>
    </w:p>
    <w:p>
      <w:pPr>
        <w:pStyle w:val="5"/>
        <w:widowControl/>
        <w:numPr>
          <w:ilvl w:val="2"/>
          <w:numId w:val="4"/>
        </w:numPr>
        <w:spacing w:before="156"/>
        <w:rPr>
          <w:szCs w:val="21"/>
        </w:rPr>
      </w:pPr>
      <w:bookmarkStart w:id="806" w:name="_Toc31063"/>
      <w:bookmarkEnd w:id="806"/>
      <w:bookmarkStart w:id="807" w:name="_Toc26143"/>
      <w:r>
        <w:rPr>
          <w:rFonts w:hint="eastAsia" w:ascii="宋体" w:hAnsi="宋体" w:cs="宋体"/>
          <w:szCs w:val="21"/>
        </w:rPr>
        <w:t>铭牌、标志与电路原理牌</w:t>
      </w:r>
      <w:bookmarkEnd w:id="807"/>
    </w:p>
    <w:p>
      <w:pPr>
        <w:adjustRightInd w:val="0"/>
        <w:snapToGrid w:val="0"/>
        <w:spacing w:line="360" w:lineRule="auto"/>
        <w:ind w:firstLine="420" w:firstLineChars="200"/>
        <w:rPr>
          <w:szCs w:val="21"/>
        </w:rPr>
      </w:pPr>
      <w:r>
        <w:rPr>
          <w:rFonts w:hint="eastAsia" w:ascii="宋体" w:hAnsi="宋体" w:cs="宋体"/>
          <w:szCs w:val="21"/>
          <w:lang w:bidi="ar"/>
        </w:rPr>
        <w:t>设备及附属电机均应具有</w:t>
      </w:r>
      <w:r>
        <w:rPr>
          <w:szCs w:val="21"/>
          <w:lang w:bidi="ar"/>
        </w:rPr>
        <w:t>304</w:t>
      </w:r>
      <w:r>
        <w:rPr>
          <w:rFonts w:hint="eastAsia" w:ascii="宋体" w:hAnsi="宋体" w:cs="宋体"/>
          <w:szCs w:val="21"/>
          <w:lang w:bidi="ar"/>
        </w:rPr>
        <w:t>不锈钢金属的铭牌，铭牌内字体蚀刻明显清晰，在正常的使用期内不得灭失，并采用不锈钢铆钉铆固的方式固定，把制造商名称、编号、工作特性、输出功率、电流、功率因数、效率、噪声、速度、压力、制造日期等清楚地标明在上面。</w:t>
      </w:r>
    </w:p>
    <w:p>
      <w:pPr>
        <w:adjustRightInd w:val="0"/>
        <w:snapToGrid w:val="0"/>
        <w:spacing w:line="360" w:lineRule="auto"/>
        <w:ind w:firstLine="420" w:firstLineChars="200"/>
        <w:rPr>
          <w:szCs w:val="21"/>
        </w:rPr>
      </w:pPr>
      <w:r>
        <w:rPr>
          <w:rFonts w:hint="eastAsia" w:ascii="宋体" w:hAnsi="宋体" w:cs="宋体"/>
          <w:szCs w:val="21"/>
          <w:lang w:bidi="ar"/>
        </w:rPr>
        <w:t>电控柜（箱）内需有清晰、详细的电路原理图、接线图及布置图，并稳定张贴于电控柜（箱）内。</w:t>
      </w:r>
    </w:p>
    <w:p>
      <w:pPr>
        <w:keepNext/>
        <w:keepLines/>
        <w:spacing w:line="360" w:lineRule="auto"/>
        <w:ind w:firstLine="422" w:firstLineChars="200"/>
        <w:jc w:val="left"/>
        <w:outlineLvl w:val="3"/>
        <w:rPr>
          <w:b/>
          <w:bCs/>
          <w:szCs w:val="21"/>
        </w:rPr>
      </w:pPr>
      <w:r>
        <w:rPr>
          <w:rFonts w:hint="eastAsia" w:ascii="宋体" w:hAnsi="宋体" w:cs="宋体"/>
          <w:b/>
          <w:bCs/>
          <w:szCs w:val="21"/>
          <w:lang w:bidi="ar"/>
        </w:rPr>
        <w:t>所有设备及配套系统的标识、标牌等要符合项目业主《</w:t>
      </w:r>
      <w:r>
        <w:rPr>
          <w:b/>
          <w:bCs/>
          <w:szCs w:val="21"/>
          <w:lang w:bidi="ar"/>
        </w:rPr>
        <w:t>6S</w:t>
      </w:r>
      <w:r>
        <w:rPr>
          <w:rFonts w:hint="eastAsia" w:ascii="宋体" w:hAnsi="宋体" w:cs="宋体"/>
          <w:b/>
          <w:bCs/>
          <w:szCs w:val="21"/>
          <w:lang w:bidi="ar"/>
        </w:rPr>
        <w:t>可视化管理执行标准手册》的相关要求，具体需中标人在确定中标后主动与项目业主沟通确认。</w:t>
      </w:r>
    </w:p>
    <w:p>
      <w:pPr>
        <w:pStyle w:val="5"/>
        <w:widowControl/>
        <w:numPr>
          <w:ilvl w:val="2"/>
          <w:numId w:val="4"/>
        </w:numPr>
        <w:spacing w:before="156"/>
        <w:rPr>
          <w:szCs w:val="21"/>
        </w:rPr>
      </w:pPr>
      <w:bookmarkStart w:id="808" w:name="_Toc22159"/>
      <w:bookmarkEnd w:id="808"/>
      <w:bookmarkStart w:id="809" w:name="_Toc9507"/>
      <w:r>
        <w:rPr>
          <w:rFonts w:hint="eastAsia" w:ascii="宋体" w:hAnsi="宋体" w:cs="宋体"/>
          <w:szCs w:val="21"/>
        </w:rPr>
        <w:t>安装紧固件</w:t>
      </w:r>
      <w:bookmarkEnd w:id="809"/>
    </w:p>
    <w:p>
      <w:pPr>
        <w:adjustRightInd w:val="0"/>
        <w:snapToGrid w:val="0"/>
        <w:spacing w:line="360" w:lineRule="auto"/>
        <w:ind w:firstLine="420" w:firstLineChars="200"/>
        <w:rPr>
          <w:szCs w:val="21"/>
        </w:rPr>
      </w:pPr>
      <w:r>
        <w:rPr>
          <w:rFonts w:hint="eastAsia" w:ascii="宋体" w:hAnsi="宋体" w:cs="宋体"/>
          <w:szCs w:val="21"/>
          <w:lang w:bidi="ar"/>
        </w:rPr>
        <w:t>投标人需提供设备安装所需的专门的所有紧固件，如地脚螺栓、垫板、托座、支承钢结构和座板等，其中用在混凝土，砖石中的基础螺栓，螺母和垫圈应为</w:t>
      </w:r>
      <w:r>
        <w:rPr>
          <w:szCs w:val="21"/>
          <w:lang w:bidi="ar"/>
        </w:rPr>
        <w:t>304</w:t>
      </w:r>
      <w:r>
        <w:rPr>
          <w:rFonts w:hint="eastAsia" w:ascii="宋体" w:hAnsi="宋体" w:cs="宋体"/>
          <w:szCs w:val="21"/>
          <w:lang w:bidi="ar"/>
        </w:rPr>
        <w:t>不锈钢（含</w:t>
      </w:r>
      <w:r>
        <w:rPr>
          <w:szCs w:val="21"/>
          <w:lang w:bidi="ar"/>
        </w:rPr>
        <w:t>304</w:t>
      </w:r>
      <w:r>
        <w:rPr>
          <w:rFonts w:hint="eastAsia" w:ascii="宋体" w:hAnsi="宋体" w:cs="宋体"/>
          <w:szCs w:val="21"/>
          <w:lang w:bidi="ar"/>
        </w:rPr>
        <w:t>不锈钢）以上材质。投标人应在投标文件上予以明确其材质、数量、尺寸等。</w:t>
      </w:r>
    </w:p>
    <w:p>
      <w:pPr>
        <w:pStyle w:val="5"/>
        <w:widowControl/>
        <w:numPr>
          <w:ilvl w:val="2"/>
          <w:numId w:val="4"/>
        </w:numPr>
        <w:spacing w:before="156"/>
        <w:rPr>
          <w:szCs w:val="21"/>
        </w:rPr>
      </w:pPr>
      <w:bookmarkStart w:id="810" w:name="_Toc2320"/>
      <w:bookmarkEnd w:id="810"/>
      <w:bookmarkStart w:id="811" w:name="_Toc28453"/>
      <w:r>
        <w:rPr>
          <w:rFonts w:hint="eastAsia" w:ascii="宋体" w:hAnsi="宋体" w:cs="宋体"/>
          <w:szCs w:val="21"/>
        </w:rPr>
        <w:t>防护及油漆</w:t>
      </w:r>
      <w:bookmarkEnd w:id="811"/>
    </w:p>
    <w:p>
      <w:pPr>
        <w:adjustRightInd w:val="0"/>
        <w:snapToGrid w:val="0"/>
        <w:spacing w:line="360" w:lineRule="auto"/>
        <w:ind w:firstLine="420" w:firstLineChars="200"/>
        <w:rPr>
          <w:szCs w:val="21"/>
        </w:rPr>
      </w:pPr>
      <w:r>
        <w:rPr>
          <w:rFonts w:hint="eastAsia" w:ascii="宋体" w:hAnsi="宋体" w:cs="宋体"/>
          <w:szCs w:val="21"/>
          <w:lang w:bidi="ar"/>
        </w:rPr>
        <w:t>除不锈钢材质外，用于本项目的所有设备机器构配件的其他金属材质均需按照相关标准做好油漆的防护，如有必要，不锈钢也应做哑光处理。</w:t>
      </w:r>
    </w:p>
    <w:p>
      <w:pPr>
        <w:pStyle w:val="5"/>
        <w:widowControl/>
        <w:numPr>
          <w:ilvl w:val="2"/>
          <w:numId w:val="4"/>
        </w:numPr>
        <w:spacing w:before="156"/>
        <w:rPr>
          <w:szCs w:val="21"/>
        </w:rPr>
      </w:pPr>
      <w:bookmarkStart w:id="812" w:name="_Toc26494"/>
      <w:bookmarkEnd w:id="812"/>
      <w:bookmarkStart w:id="813" w:name="_Toc20000"/>
      <w:r>
        <w:rPr>
          <w:rFonts w:hint="eastAsia" w:ascii="宋体" w:hAnsi="宋体" w:cs="宋体"/>
          <w:szCs w:val="21"/>
        </w:rPr>
        <w:t>螺母、螺钉、垫圈和螺栓</w:t>
      </w:r>
      <w:bookmarkEnd w:id="813"/>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）粗制螺栓、螺钉、螺母应符合</w:t>
      </w:r>
      <w:r>
        <w:rPr>
          <w:szCs w:val="21"/>
          <w:lang w:bidi="ar"/>
        </w:rPr>
        <w:t>ISO225</w:t>
      </w:r>
      <w:r>
        <w:rPr>
          <w:rFonts w:hint="eastAsia" w:ascii="宋体" w:hAnsi="宋体" w:cs="宋体"/>
          <w:szCs w:val="21"/>
          <w:lang w:bidi="ar"/>
        </w:rPr>
        <w:t>，</w:t>
      </w:r>
      <w:r>
        <w:rPr>
          <w:szCs w:val="21"/>
          <w:lang w:bidi="ar"/>
        </w:rPr>
        <w:t>ISO272</w:t>
      </w:r>
      <w:r>
        <w:rPr>
          <w:rFonts w:hint="eastAsia" w:ascii="宋体" w:hAnsi="宋体" w:cs="宋体"/>
          <w:szCs w:val="21"/>
          <w:lang w:bidi="ar"/>
        </w:rPr>
        <w:t>，</w:t>
      </w:r>
      <w:r>
        <w:rPr>
          <w:szCs w:val="21"/>
          <w:lang w:bidi="ar"/>
        </w:rPr>
        <w:t>ISO885</w:t>
      </w:r>
      <w:r>
        <w:rPr>
          <w:rFonts w:hint="eastAsia" w:ascii="宋体" w:hAnsi="宋体" w:cs="宋体"/>
          <w:szCs w:val="21"/>
          <w:lang w:bidi="ar"/>
        </w:rPr>
        <w:t>，</w:t>
      </w:r>
      <w:r>
        <w:rPr>
          <w:szCs w:val="21"/>
          <w:lang w:bidi="ar"/>
        </w:rPr>
        <w:t xml:space="preserve">ISO 888 </w:t>
      </w:r>
      <w:r>
        <w:rPr>
          <w:rFonts w:hint="eastAsia" w:ascii="宋体" w:hAnsi="宋体" w:cs="宋体"/>
          <w:szCs w:val="21"/>
          <w:lang w:bidi="ar"/>
        </w:rPr>
        <w:t>和</w:t>
      </w:r>
      <w:r>
        <w:rPr>
          <w:szCs w:val="21"/>
          <w:lang w:bidi="ar"/>
        </w:rPr>
        <w:t>ISO4759/1</w:t>
      </w:r>
      <w:r>
        <w:rPr>
          <w:rFonts w:hint="eastAsia" w:ascii="宋体" w:hAnsi="宋体" w:cs="宋体"/>
          <w:szCs w:val="21"/>
          <w:lang w:bidi="ar"/>
        </w:rPr>
        <w:t>。粗制碳钢六角螺栓、螺钉、螺母应符合</w:t>
      </w:r>
      <w:r>
        <w:rPr>
          <w:szCs w:val="21"/>
          <w:lang w:bidi="ar"/>
        </w:rPr>
        <w:t>ISO272</w:t>
      </w:r>
      <w:r>
        <w:rPr>
          <w:rFonts w:hint="eastAsia" w:ascii="宋体" w:hAnsi="宋体" w:cs="宋体"/>
          <w:szCs w:val="21"/>
          <w:lang w:bidi="ar"/>
        </w:rPr>
        <w:t>，</w:t>
      </w:r>
      <w:r>
        <w:rPr>
          <w:szCs w:val="21"/>
          <w:lang w:bidi="ar"/>
        </w:rPr>
        <w:t>ISO4759/1 8.8</w:t>
      </w:r>
      <w:r>
        <w:rPr>
          <w:rFonts w:hint="eastAsia" w:ascii="宋体" w:hAnsi="宋体" w:cs="宋体"/>
          <w:szCs w:val="21"/>
          <w:lang w:bidi="ar"/>
        </w:rPr>
        <w:t>级。垫圈应符合</w:t>
      </w:r>
      <w:r>
        <w:rPr>
          <w:szCs w:val="21"/>
          <w:lang w:bidi="ar"/>
        </w:rPr>
        <w:t>ISO/R887</w:t>
      </w:r>
      <w:r>
        <w:rPr>
          <w:rFonts w:hint="eastAsia" w:ascii="宋体" w:hAnsi="宋体" w:cs="宋体"/>
          <w:szCs w:val="21"/>
          <w:lang w:bidi="ar"/>
        </w:rPr>
        <w:t>，并使用在所有螺母，六角螺栓和螺钉之下。</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）浸没于污水中的螺栓、螺钉、螺母、垫圈材料应采用</w:t>
      </w:r>
      <w:r>
        <w:rPr>
          <w:szCs w:val="21"/>
          <w:lang w:bidi="ar"/>
        </w:rPr>
        <w:t>304</w:t>
      </w:r>
      <w:r>
        <w:rPr>
          <w:rFonts w:hint="eastAsia" w:ascii="宋体" w:hAnsi="宋体" w:cs="宋体"/>
          <w:szCs w:val="21"/>
          <w:lang w:bidi="ar"/>
        </w:rPr>
        <w:t>不锈钢或更优材质，其他暴露在大气中的螺栓、螺钉、螺母、垫圈材料应采用镀锌处理或其他更优防腐措施。</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）螺母的螺纹制造应符合</w:t>
      </w:r>
      <w:r>
        <w:rPr>
          <w:szCs w:val="21"/>
          <w:lang w:bidi="ar"/>
        </w:rPr>
        <w:t>ISO1459</w:t>
      </w:r>
      <w:r>
        <w:rPr>
          <w:rFonts w:hint="eastAsia" w:ascii="宋体" w:hAnsi="宋体" w:cs="宋体"/>
          <w:szCs w:val="21"/>
          <w:lang w:bidi="ar"/>
        </w:rPr>
        <w:t>，</w:t>
      </w:r>
      <w:r>
        <w:rPr>
          <w:szCs w:val="21"/>
          <w:lang w:bidi="ar"/>
        </w:rPr>
        <w:t xml:space="preserve">ISO1460 </w:t>
      </w:r>
      <w:r>
        <w:rPr>
          <w:rFonts w:hint="eastAsia" w:ascii="宋体" w:hAnsi="宋体" w:cs="宋体"/>
          <w:szCs w:val="21"/>
          <w:lang w:bidi="ar"/>
        </w:rPr>
        <w:t>和</w:t>
      </w:r>
      <w:r>
        <w:rPr>
          <w:szCs w:val="21"/>
          <w:lang w:bidi="ar"/>
        </w:rPr>
        <w:t>ISO1461</w:t>
      </w:r>
      <w:r>
        <w:rPr>
          <w:rFonts w:hint="eastAsia" w:ascii="宋体" w:hAnsi="宋体" w:cs="宋体"/>
          <w:szCs w:val="21"/>
          <w:lang w:bidi="ar"/>
        </w:rPr>
        <w:t>。</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）螺栓应有足够长度以确保螺母旋紧。</w:t>
      </w:r>
    </w:p>
    <w:p>
      <w:pPr>
        <w:pStyle w:val="5"/>
        <w:widowControl/>
        <w:numPr>
          <w:ilvl w:val="2"/>
          <w:numId w:val="4"/>
        </w:numPr>
        <w:spacing w:before="156"/>
        <w:rPr>
          <w:szCs w:val="21"/>
        </w:rPr>
      </w:pPr>
      <w:bookmarkStart w:id="814" w:name="_Toc11538"/>
      <w:bookmarkEnd w:id="814"/>
      <w:bookmarkStart w:id="815" w:name="_Toc17300"/>
      <w:r>
        <w:rPr>
          <w:rFonts w:hint="eastAsia" w:ascii="宋体" w:hAnsi="宋体" w:cs="宋体"/>
          <w:szCs w:val="21"/>
        </w:rPr>
        <w:t>安全措施</w:t>
      </w:r>
      <w:bookmarkEnd w:id="815"/>
    </w:p>
    <w:p>
      <w:pPr>
        <w:adjustRightInd w:val="0"/>
        <w:snapToGrid w:val="0"/>
        <w:spacing w:line="360" w:lineRule="auto"/>
        <w:ind w:firstLine="420" w:firstLineChars="200"/>
        <w:rPr>
          <w:szCs w:val="21"/>
        </w:rPr>
      </w:pPr>
      <w:r>
        <w:rPr>
          <w:rFonts w:hint="eastAsia" w:ascii="宋体" w:hAnsi="宋体" w:cs="宋体"/>
          <w:szCs w:val="21"/>
          <w:lang w:bidi="ar"/>
        </w:rPr>
        <w:t>设备除电气系统中过流过载保护外，一般应设机械式过扭矩保护，过扭矩保护需设自动复位。</w:t>
      </w:r>
    </w:p>
    <w:p>
      <w:pPr>
        <w:adjustRightInd w:val="0"/>
        <w:snapToGrid w:val="0"/>
        <w:spacing w:line="360" w:lineRule="auto"/>
        <w:ind w:firstLine="420" w:firstLineChars="200"/>
        <w:rPr>
          <w:szCs w:val="21"/>
        </w:rPr>
      </w:pPr>
      <w:r>
        <w:rPr>
          <w:rFonts w:hint="eastAsia" w:ascii="宋体" w:hAnsi="宋体" w:cs="宋体"/>
          <w:szCs w:val="21"/>
          <w:lang w:bidi="ar"/>
        </w:rPr>
        <w:t>设备的所有含有危险因素的部位应加上安全罩。在正常工况条件下，温度高于</w:t>
      </w:r>
      <w:r>
        <w:rPr>
          <w:szCs w:val="21"/>
          <w:lang w:bidi="ar"/>
        </w:rPr>
        <w:t>60℃</w:t>
      </w:r>
      <w:r>
        <w:rPr>
          <w:rFonts w:hint="eastAsia" w:ascii="宋体" w:hAnsi="宋体" w:cs="宋体"/>
          <w:szCs w:val="21"/>
          <w:lang w:bidi="ar"/>
        </w:rPr>
        <w:t>或小于</w:t>
      </w:r>
      <w:r>
        <w:rPr>
          <w:szCs w:val="21"/>
          <w:lang w:bidi="ar"/>
        </w:rPr>
        <w:t>5℃</w:t>
      </w:r>
      <w:r>
        <w:rPr>
          <w:rFonts w:hint="eastAsia" w:ascii="宋体" w:hAnsi="宋体" w:cs="宋体"/>
          <w:szCs w:val="21"/>
          <w:lang w:bidi="ar"/>
        </w:rPr>
        <w:t>的所有零件应装有防护栏或保温套。</w:t>
      </w:r>
    </w:p>
    <w:p>
      <w:pPr>
        <w:adjustRightInd w:val="0"/>
        <w:snapToGrid w:val="0"/>
        <w:spacing w:line="360" w:lineRule="auto"/>
        <w:ind w:firstLine="420" w:firstLineChars="200"/>
        <w:rPr>
          <w:szCs w:val="21"/>
        </w:rPr>
      </w:pPr>
      <w:r>
        <w:rPr>
          <w:rFonts w:hint="eastAsia" w:ascii="宋体" w:hAnsi="宋体" w:cs="宋体"/>
          <w:szCs w:val="21"/>
          <w:lang w:bidi="ar"/>
        </w:rPr>
        <w:t>所有电气传导件包括由此而形成的电器装置都应绝缘或设防护装置以防危险。</w:t>
      </w:r>
    </w:p>
    <w:p>
      <w:pPr>
        <w:adjustRightInd w:val="0"/>
        <w:snapToGrid w:val="0"/>
        <w:spacing w:line="360" w:lineRule="auto"/>
        <w:ind w:firstLine="420" w:firstLineChars="200"/>
        <w:rPr>
          <w:szCs w:val="21"/>
        </w:rPr>
      </w:pPr>
      <w:r>
        <w:rPr>
          <w:rFonts w:hint="eastAsia" w:ascii="宋体" w:hAnsi="宋体" w:cs="宋体"/>
          <w:szCs w:val="21"/>
          <w:lang w:bidi="ar"/>
        </w:rPr>
        <w:t>安全设计应符合</w:t>
      </w:r>
      <w:r>
        <w:rPr>
          <w:szCs w:val="21"/>
          <w:lang w:bidi="ar"/>
        </w:rPr>
        <w:t>GB5083-1999</w:t>
      </w:r>
      <w:r>
        <w:rPr>
          <w:rFonts w:hint="eastAsia" w:ascii="宋体" w:hAnsi="宋体" w:cs="宋体"/>
          <w:szCs w:val="21"/>
          <w:lang w:bidi="ar"/>
        </w:rPr>
        <w:t>《生产设备安全卫生设计总则》中的有关规定。电气设备户外和户内安装时，外壳保护等级应符合</w:t>
      </w:r>
      <w:r>
        <w:rPr>
          <w:szCs w:val="21"/>
          <w:lang w:bidi="ar"/>
        </w:rPr>
        <w:t xml:space="preserve">GB/T 4942.2-1993 </w:t>
      </w:r>
      <w:r>
        <w:rPr>
          <w:rFonts w:hint="eastAsia" w:ascii="宋体" w:hAnsi="宋体" w:cs="宋体"/>
          <w:szCs w:val="21"/>
          <w:lang w:bidi="ar"/>
        </w:rPr>
        <w:t>《低压电器外壳防护等级》中</w:t>
      </w:r>
      <w:r>
        <w:rPr>
          <w:szCs w:val="21"/>
          <w:lang w:bidi="ar"/>
        </w:rPr>
        <w:t>IP55</w:t>
      </w:r>
      <w:r>
        <w:rPr>
          <w:rFonts w:hint="eastAsia" w:ascii="宋体" w:hAnsi="宋体" w:cs="宋体"/>
          <w:szCs w:val="21"/>
          <w:lang w:bidi="ar"/>
        </w:rPr>
        <w:t>的规定。</w:t>
      </w:r>
    </w:p>
    <w:p>
      <w:pPr>
        <w:pStyle w:val="5"/>
        <w:widowControl/>
        <w:numPr>
          <w:ilvl w:val="2"/>
          <w:numId w:val="4"/>
        </w:numPr>
        <w:spacing w:before="156"/>
        <w:rPr>
          <w:szCs w:val="21"/>
        </w:rPr>
      </w:pPr>
      <w:bookmarkStart w:id="816" w:name="_Toc12718"/>
      <w:bookmarkEnd w:id="816"/>
      <w:bookmarkStart w:id="817" w:name="_Toc4025"/>
      <w:r>
        <w:rPr>
          <w:rFonts w:hint="eastAsia" w:ascii="宋体" w:hAnsi="宋体" w:cs="宋体"/>
          <w:szCs w:val="21"/>
        </w:rPr>
        <w:t>机械设备配套部件要求品牌及材质</w:t>
      </w:r>
      <w:bookmarkEnd w:id="817"/>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）配套减速箱：</w:t>
      </w:r>
      <w:r>
        <w:rPr>
          <w:szCs w:val="21"/>
          <w:lang w:bidi="ar"/>
        </w:rPr>
        <w:t>SEW</w:t>
      </w:r>
      <w:r>
        <w:rPr>
          <w:rFonts w:hint="eastAsia" w:ascii="宋体" w:hAnsi="宋体" w:cs="宋体"/>
          <w:szCs w:val="21"/>
          <w:lang w:bidi="ar"/>
        </w:rPr>
        <w:t>、</w:t>
      </w:r>
      <w:r>
        <w:rPr>
          <w:szCs w:val="21"/>
          <w:lang w:bidi="ar"/>
        </w:rPr>
        <w:t>DODGE</w:t>
      </w:r>
      <w:r>
        <w:rPr>
          <w:rFonts w:hint="eastAsia" w:ascii="宋体" w:hAnsi="宋体" w:cs="宋体"/>
          <w:szCs w:val="21"/>
          <w:lang w:bidi="ar"/>
        </w:rPr>
        <w:t>、</w:t>
      </w:r>
      <w:r>
        <w:rPr>
          <w:szCs w:val="21"/>
          <w:lang w:bidi="ar"/>
        </w:rPr>
        <w:t>FLENDER</w:t>
      </w:r>
      <w:r>
        <w:rPr>
          <w:rFonts w:hint="eastAsia" w:ascii="宋体" w:hAnsi="宋体" w:cs="宋体"/>
          <w:szCs w:val="21"/>
          <w:lang w:bidi="ar"/>
        </w:rPr>
        <w:t>、</w:t>
      </w:r>
      <w:r>
        <w:rPr>
          <w:szCs w:val="21"/>
          <w:lang w:bidi="ar"/>
        </w:rPr>
        <w:t>NORD</w:t>
      </w:r>
      <w:r>
        <w:rPr>
          <w:rFonts w:hint="eastAsia" w:ascii="宋体" w:hAnsi="宋体" w:cs="宋体"/>
          <w:szCs w:val="21"/>
          <w:lang w:bidi="ar"/>
        </w:rPr>
        <w:t>或具备同等质量的品牌产品。</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）配套控制柜的电气元件：</w:t>
      </w:r>
      <w:r>
        <w:rPr>
          <w:szCs w:val="21"/>
          <w:lang w:bidi="ar"/>
        </w:rPr>
        <w:t>AB</w:t>
      </w:r>
      <w:r>
        <w:rPr>
          <w:rFonts w:hint="eastAsia" w:ascii="宋体" w:hAnsi="宋体" w:cs="宋体"/>
          <w:szCs w:val="21"/>
          <w:lang w:bidi="ar"/>
        </w:rPr>
        <w:t>、</w:t>
      </w:r>
      <w:r>
        <w:rPr>
          <w:szCs w:val="21"/>
          <w:lang w:bidi="ar"/>
        </w:rPr>
        <w:t>ABB</w:t>
      </w:r>
      <w:r>
        <w:rPr>
          <w:rFonts w:hint="eastAsia" w:ascii="宋体" w:hAnsi="宋体" w:cs="宋体"/>
          <w:szCs w:val="21"/>
          <w:lang w:bidi="ar"/>
        </w:rPr>
        <w:t>、施耐德、西门子、</w:t>
      </w:r>
      <w:r>
        <w:rPr>
          <w:szCs w:val="21"/>
          <w:lang w:bidi="ar"/>
        </w:rPr>
        <w:t>GE</w:t>
      </w:r>
      <w:r>
        <w:rPr>
          <w:rFonts w:hint="eastAsia" w:ascii="宋体" w:hAnsi="宋体" w:cs="宋体"/>
          <w:szCs w:val="21"/>
          <w:lang w:bidi="ar"/>
        </w:rPr>
        <w:t>、菲尼克斯或具备同等质量的品牌产品，其中接触器和继电器的寿命不小于</w:t>
      </w:r>
      <w:r>
        <w:rPr>
          <w:szCs w:val="21"/>
          <w:lang w:bidi="ar"/>
        </w:rPr>
        <w:t>100</w:t>
      </w:r>
      <w:r>
        <w:rPr>
          <w:rFonts w:hint="eastAsia" w:ascii="宋体" w:hAnsi="宋体" w:cs="宋体"/>
          <w:szCs w:val="21"/>
          <w:lang w:bidi="ar"/>
        </w:rPr>
        <w:t>万次（每对触点开合次数）。</w:t>
      </w:r>
    </w:p>
    <w:p>
      <w:pPr>
        <w:pStyle w:val="5"/>
        <w:widowControl/>
        <w:numPr>
          <w:ilvl w:val="2"/>
          <w:numId w:val="4"/>
        </w:numPr>
        <w:spacing w:before="156"/>
        <w:rPr>
          <w:szCs w:val="21"/>
        </w:rPr>
      </w:pPr>
      <w:bookmarkStart w:id="818" w:name="_Toc31744"/>
      <w:bookmarkEnd w:id="818"/>
      <w:bookmarkStart w:id="819" w:name="_Toc15033"/>
      <w:r>
        <w:rPr>
          <w:rFonts w:hint="eastAsia" w:ascii="宋体" w:hAnsi="宋体" w:cs="宋体"/>
          <w:szCs w:val="21"/>
        </w:rPr>
        <w:t>机械设备的噪声控制</w:t>
      </w:r>
      <w:bookmarkEnd w:id="819"/>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）环境评价要求</w:t>
      </w:r>
    </w:p>
    <w:p>
      <w:pPr>
        <w:adjustRightInd w:val="0"/>
        <w:snapToGrid w:val="0"/>
        <w:spacing w:line="360" w:lineRule="auto"/>
        <w:ind w:firstLine="420" w:firstLineChars="200"/>
        <w:rPr>
          <w:szCs w:val="21"/>
        </w:rPr>
      </w:pPr>
      <w:r>
        <w:rPr>
          <w:szCs w:val="21"/>
          <w:lang w:bidi="ar"/>
        </w:rPr>
        <w:t>a.</w:t>
      </w:r>
      <w:r>
        <w:rPr>
          <w:rFonts w:hint="eastAsia" w:ascii="宋体" w:hAnsi="宋体" w:cs="宋体"/>
          <w:szCs w:val="21"/>
          <w:lang w:bidi="ar"/>
        </w:rPr>
        <w:t>声环境功能区区划与质量标准</w:t>
      </w:r>
    </w:p>
    <w:p>
      <w:pPr>
        <w:adjustRightInd w:val="0"/>
        <w:snapToGrid w:val="0"/>
        <w:spacing w:line="360" w:lineRule="auto"/>
        <w:ind w:firstLine="420" w:firstLineChars="200"/>
        <w:rPr>
          <w:szCs w:val="21"/>
        </w:rPr>
      </w:pPr>
      <w:r>
        <w:rPr>
          <w:rFonts w:hint="eastAsia" w:ascii="宋体" w:hAnsi="宋体" w:cs="宋体"/>
          <w:szCs w:val="21"/>
          <w:lang w:bidi="ar"/>
        </w:rPr>
        <w:t>根据《城市区域环境噪声功能区区划》，该项目按</w:t>
      </w:r>
      <w:r>
        <w:rPr>
          <w:szCs w:val="21"/>
          <w:lang w:bidi="ar"/>
        </w:rPr>
        <w:t>2</w:t>
      </w:r>
      <w:r>
        <w:rPr>
          <w:rFonts w:hint="eastAsia" w:ascii="宋体" w:hAnsi="宋体" w:cs="宋体"/>
          <w:szCs w:val="21"/>
          <w:lang w:bidi="ar"/>
        </w:rPr>
        <w:t>类居住、商业、工业混合区标准执行，即昼间</w:t>
      </w:r>
      <w:r>
        <w:rPr>
          <w:szCs w:val="21"/>
          <w:lang w:bidi="ar"/>
        </w:rPr>
        <w:t>60dB(A)</w:t>
      </w:r>
      <w:r>
        <w:rPr>
          <w:rFonts w:hint="eastAsia" w:ascii="宋体" w:hAnsi="宋体" w:cs="宋体"/>
          <w:szCs w:val="21"/>
          <w:lang w:bidi="ar"/>
        </w:rPr>
        <w:t>、夜间</w:t>
      </w:r>
      <w:r>
        <w:rPr>
          <w:szCs w:val="21"/>
          <w:lang w:bidi="ar"/>
        </w:rPr>
        <w:t>50dB(A)</w:t>
      </w:r>
      <w:r>
        <w:rPr>
          <w:rFonts w:hint="eastAsia" w:ascii="宋体" w:hAnsi="宋体" w:cs="宋体"/>
          <w:szCs w:val="21"/>
          <w:lang w:bidi="ar"/>
        </w:rPr>
        <w:t>。</w:t>
      </w:r>
    </w:p>
    <w:p>
      <w:pPr>
        <w:adjustRightInd w:val="0"/>
        <w:snapToGrid w:val="0"/>
        <w:spacing w:line="360" w:lineRule="auto"/>
        <w:ind w:firstLine="420" w:firstLineChars="200"/>
        <w:rPr>
          <w:szCs w:val="21"/>
        </w:rPr>
      </w:pPr>
      <w:r>
        <w:rPr>
          <w:szCs w:val="21"/>
          <w:lang w:bidi="ar"/>
        </w:rPr>
        <w:t>b.</w:t>
      </w:r>
      <w:r>
        <w:rPr>
          <w:rFonts w:hint="eastAsia" w:ascii="宋体" w:hAnsi="宋体" w:cs="宋体"/>
          <w:szCs w:val="21"/>
          <w:lang w:bidi="ar"/>
        </w:rPr>
        <w:t>厂界噪声标准</w:t>
      </w:r>
    </w:p>
    <w:p>
      <w:pPr>
        <w:adjustRightInd w:val="0"/>
        <w:snapToGrid w:val="0"/>
        <w:spacing w:line="360" w:lineRule="auto"/>
        <w:ind w:firstLine="420" w:firstLineChars="200"/>
        <w:rPr>
          <w:szCs w:val="21"/>
        </w:rPr>
      </w:pPr>
      <w:r>
        <w:rPr>
          <w:rFonts w:hint="eastAsia" w:ascii="宋体" w:hAnsi="宋体" w:cs="宋体"/>
          <w:szCs w:val="21"/>
          <w:lang w:bidi="ar"/>
        </w:rPr>
        <w:t>厂界噪声采用《工业企业厂界环境噪声排放标准》（</w:t>
      </w:r>
      <w:r>
        <w:rPr>
          <w:szCs w:val="21"/>
          <w:lang w:bidi="ar"/>
        </w:rPr>
        <w:t>GB12348-2008</w:t>
      </w:r>
      <w:r>
        <w:rPr>
          <w:rFonts w:hint="eastAsia" w:ascii="宋体" w:hAnsi="宋体" w:cs="宋体"/>
          <w:szCs w:val="21"/>
          <w:lang w:bidi="ar"/>
        </w:rPr>
        <w:t>）</w:t>
      </w:r>
      <w:r>
        <w:rPr>
          <w:szCs w:val="21"/>
          <w:lang w:bidi="ar"/>
        </w:rPr>
        <w:t>II</w:t>
      </w:r>
      <w:r>
        <w:rPr>
          <w:rFonts w:hint="eastAsia" w:ascii="宋体" w:hAnsi="宋体" w:cs="宋体"/>
          <w:szCs w:val="21"/>
          <w:lang w:bidi="ar"/>
        </w:rPr>
        <w:t>类标准，即昼间</w:t>
      </w:r>
      <w:r>
        <w:rPr>
          <w:szCs w:val="21"/>
          <w:lang w:bidi="ar"/>
        </w:rPr>
        <w:t>60dB(A)</w:t>
      </w:r>
      <w:r>
        <w:rPr>
          <w:rFonts w:hint="eastAsia" w:ascii="宋体" w:hAnsi="宋体" w:cs="宋体"/>
          <w:szCs w:val="21"/>
          <w:lang w:bidi="ar"/>
        </w:rPr>
        <w:t>，夜间</w:t>
      </w:r>
      <w:r>
        <w:rPr>
          <w:szCs w:val="21"/>
          <w:lang w:bidi="ar"/>
        </w:rPr>
        <w:t>50dB(A)</w:t>
      </w:r>
      <w:r>
        <w:rPr>
          <w:rFonts w:hint="eastAsia" w:ascii="宋体" w:hAnsi="宋体" w:cs="宋体"/>
          <w:szCs w:val="21"/>
          <w:lang w:bidi="ar"/>
        </w:rPr>
        <w:t>。</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）机械设备的噪声控制</w:t>
      </w:r>
    </w:p>
    <w:p>
      <w:pPr>
        <w:adjustRightInd w:val="0"/>
        <w:snapToGrid w:val="0"/>
        <w:spacing w:line="360" w:lineRule="auto"/>
        <w:ind w:firstLine="420" w:firstLineChars="200"/>
        <w:rPr>
          <w:szCs w:val="21"/>
        </w:rPr>
      </w:pPr>
      <w:r>
        <w:rPr>
          <w:rFonts w:hint="eastAsia" w:ascii="宋体" w:hAnsi="宋体" w:cs="宋体"/>
          <w:szCs w:val="21"/>
          <w:lang w:bidi="ar"/>
        </w:rPr>
        <w:t>机械设备的噪声控制要求及措施：</w:t>
      </w:r>
    </w:p>
    <w:p>
      <w:pPr>
        <w:adjustRightInd w:val="0"/>
        <w:snapToGrid w:val="0"/>
        <w:spacing w:line="360" w:lineRule="auto"/>
        <w:ind w:firstLine="420" w:firstLineChars="200"/>
        <w:rPr>
          <w:szCs w:val="21"/>
        </w:rPr>
      </w:pPr>
      <w:r>
        <w:rPr>
          <w:szCs w:val="21"/>
          <w:lang w:bidi="ar"/>
        </w:rPr>
        <w:t>a.</w:t>
      </w:r>
      <w:r>
        <w:rPr>
          <w:rFonts w:hint="eastAsia" w:ascii="宋体" w:hAnsi="宋体" w:cs="宋体"/>
          <w:szCs w:val="21"/>
          <w:lang w:bidi="ar"/>
        </w:rPr>
        <w:t>严格执行本项目环境影响报告书中的噪声控制要求；</w:t>
      </w:r>
    </w:p>
    <w:p>
      <w:pPr>
        <w:adjustRightInd w:val="0"/>
        <w:snapToGrid w:val="0"/>
        <w:spacing w:line="360" w:lineRule="auto"/>
        <w:ind w:firstLine="420" w:firstLineChars="200"/>
        <w:rPr>
          <w:szCs w:val="21"/>
        </w:rPr>
      </w:pPr>
      <w:r>
        <w:rPr>
          <w:szCs w:val="21"/>
          <w:lang w:bidi="ar"/>
        </w:rPr>
        <w:t>b.</w:t>
      </w:r>
      <w:r>
        <w:rPr>
          <w:rFonts w:hint="eastAsia" w:ascii="宋体" w:hAnsi="宋体" w:cs="宋体"/>
          <w:szCs w:val="21"/>
          <w:lang w:bidi="ar"/>
        </w:rPr>
        <w:t>采用优质、低噪声设备；</w:t>
      </w:r>
    </w:p>
    <w:p>
      <w:pPr>
        <w:adjustRightInd w:val="0"/>
        <w:snapToGrid w:val="0"/>
        <w:spacing w:line="360" w:lineRule="auto"/>
        <w:ind w:firstLine="420" w:firstLineChars="200"/>
        <w:rPr>
          <w:szCs w:val="21"/>
        </w:rPr>
      </w:pPr>
      <w:r>
        <w:rPr>
          <w:szCs w:val="21"/>
          <w:lang w:bidi="ar"/>
        </w:rPr>
        <w:t>c.</w:t>
      </w:r>
      <w:r>
        <w:rPr>
          <w:rFonts w:hint="eastAsia" w:ascii="宋体" w:hAnsi="宋体" w:cs="宋体"/>
          <w:szCs w:val="21"/>
          <w:lang w:bidi="ar"/>
        </w:rPr>
        <w:t>对于主要振动设备，当设备本身减振降噪不能达标的，必须自行配备有隔音罩等降噪隔音设施；</w:t>
      </w:r>
    </w:p>
    <w:p>
      <w:pPr>
        <w:adjustRightInd w:val="0"/>
        <w:snapToGrid w:val="0"/>
        <w:spacing w:line="360" w:lineRule="auto"/>
        <w:ind w:firstLine="420" w:firstLineChars="200"/>
        <w:rPr>
          <w:szCs w:val="21"/>
        </w:rPr>
      </w:pPr>
      <w:r>
        <w:rPr>
          <w:szCs w:val="21"/>
          <w:lang w:bidi="ar"/>
        </w:rPr>
        <w:t>d.</w:t>
      </w:r>
      <w:r>
        <w:rPr>
          <w:rFonts w:hint="eastAsia" w:ascii="宋体" w:hAnsi="宋体" w:cs="宋体"/>
          <w:szCs w:val="21"/>
          <w:lang w:bidi="ar"/>
        </w:rPr>
        <w:t>对于主要振动设备，应提供构建筑物结构降噪隔音方案。</w:t>
      </w:r>
    </w:p>
    <w:p>
      <w:pPr>
        <w:pStyle w:val="5"/>
        <w:widowControl/>
        <w:numPr>
          <w:ilvl w:val="2"/>
          <w:numId w:val="4"/>
        </w:numPr>
        <w:spacing w:before="156"/>
        <w:rPr>
          <w:szCs w:val="21"/>
        </w:rPr>
      </w:pPr>
      <w:bookmarkStart w:id="820" w:name="_Toc19460"/>
      <w:bookmarkEnd w:id="820"/>
      <w:bookmarkStart w:id="821" w:name="_Toc3231"/>
      <w:r>
        <w:rPr>
          <w:rFonts w:hint="eastAsia" w:ascii="宋体" w:hAnsi="宋体" w:cs="宋体"/>
          <w:szCs w:val="21"/>
        </w:rPr>
        <w:t>机械设备配套电气设备及控制箱（柜）一般技术要求</w:t>
      </w:r>
      <w:bookmarkEnd w:id="821"/>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）要求范围</w:t>
      </w:r>
    </w:p>
    <w:p>
      <w:pPr>
        <w:adjustRightInd w:val="0"/>
        <w:snapToGrid w:val="0"/>
        <w:spacing w:line="360" w:lineRule="auto"/>
        <w:ind w:firstLine="420" w:firstLineChars="200"/>
        <w:rPr>
          <w:szCs w:val="21"/>
        </w:rPr>
      </w:pPr>
      <w:r>
        <w:rPr>
          <w:rFonts w:hint="eastAsia" w:ascii="宋体" w:hAnsi="宋体" w:cs="宋体"/>
          <w:szCs w:val="21"/>
          <w:lang w:bidi="ar"/>
        </w:rPr>
        <w:t>本节所述电气控制箱（柜）为本需求书中涉及投标人应负责提供所供设备配套的现场电气控制箱（柜）及其电气附属设备。</w:t>
      </w:r>
    </w:p>
    <w:p>
      <w:pPr>
        <w:adjustRightInd w:val="0"/>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）需求执行要求</w:t>
      </w:r>
    </w:p>
    <w:p>
      <w:pPr>
        <w:adjustRightInd w:val="0"/>
        <w:snapToGrid w:val="0"/>
        <w:spacing w:line="360" w:lineRule="auto"/>
        <w:ind w:firstLine="420" w:firstLineChars="200"/>
        <w:rPr>
          <w:szCs w:val="21"/>
        </w:rPr>
      </w:pPr>
      <w:r>
        <w:rPr>
          <w:rFonts w:hint="eastAsia" w:ascii="宋体" w:hAnsi="宋体" w:cs="宋体"/>
          <w:szCs w:val="21"/>
          <w:lang w:bidi="ar"/>
        </w:rPr>
        <w:t>所有设备及材料的设计，制造及调试中应具备规定的性能。应确保所有设备及材料的设计、制造、试验或试运行的质量。</w:t>
      </w:r>
    </w:p>
    <w:p>
      <w:pPr>
        <w:adjustRightInd w:val="0"/>
        <w:snapToGrid w:val="0"/>
        <w:spacing w:line="360" w:lineRule="auto"/>
        <w:ind w:firstLine="422" w:firstLineChars="200"/>
        <w:rPr>
          <w:b/>
          <w:szCs w:val="21"/>
        </w:rPr>
      </w:pPr>
      <w:r>
        <w:rPr>
          <w:rFonts w:hint="eastAsia" w:ascii="宋体" w:hAnsi="宋体" w:cs="宋体"/>
          <w:b/>
          <w:szCs w:val="21"/>
          <w:lang w:bidi="ar"/>
        </w:rPr>
        <w:t>动力设备中使用的电动机须达到</w:t>
      </w:r>
      <w:r>
        <w:rPr>
          <w:szCs w:val="21"/>
          <w:lang w:bidi="ar"/>
        </w:rPr>
        <w:fldChar w:fldCharType="begin"/>
      </w:r>
      <w:r>
        <w:rPr>
          <w:szCs w:val="21"/>
          <w:lang w:bidi="ar"/>
        </w:rPr>
        <w:instrText xml:space="preserve"> HYPERLINK "http://www.csres.com/detail/345303.html" </w:instrText>
      </w:r>
      <w:r>
        <w:rPr>
          <w:szCs w:val="21"/>
          <w:lang w:bidi="ar"/>
        </w:rPr>
        <w:fldChar w:fldCharType="separate"/>
      </w:r>
      <w:r>
        <w:rPr>
          <w:rStyle w:val="33"/>
          <w:rFonts w:eastAsia="瀹嬩綋"/>
          <w:color w:val="auto"/>
          <w:kern w:val="0"/>
          <w:shd w:val="clear" w:color="auto" w:fill="FFFFFF"/>
        </w:rPr>
        <w:t>GB18613-2020</w:t>
      </w:r>
      <w:r>
        <w:rPr>
          <w:szCs w:val="21"/>
          <w:lang w:bidi="ar"/>
        </w:rPr>
        <w:fldChar w:fldCharType="end"/>
      </w:r>
      <w:r>
        <w:rPr>
          <w:rFonts w:hint="eastAsia" w:ascii="宋体" w:hAnsi="宋体" w:cs="宋体"/>
          <w:b/>
          <w:szCs w:val="21"/>
          <w:lang w:bidi="ar"/>
        </w:rPr>
        <w:t>《电动机能效限定值及能效等级》中规定的</w:t>
      </w:r>
      <w:r>
        <w:rPr>
          <w:b/>
          <w:szCs w:val="21"/>
          <w:lang w:bidi="ar"/>
        </w:rPr>
        <w:t>2</w:t>
      </w:r>
      <w:r>
        <w:rPr>
          <w:rFonts w:hint="eastAsia" w:ascii="宋体" w:hAnsi="宋体" w:cs="宋体"/>
          <w:b/>
          <w:szCs w:val="21"/>
          <w:lang w:bidi="ar"/>
        </w:rPr>
        <w:t>级能效标准要求。变速电机在工频工作时的效率也须达到上述要求。</w:t>
      </w:r>
    </w:p>
    <w:p>
      <w:pPr>
        <w:adjustRightInd w:val="0"/>
        <w:snapToGrid w:val="0"/>
        <w:spacing w:line="360" w:lineRule="auto"/>
        <w:ind w:firstLine="420" w:firstLineChars="200"/>
        <w:rPr>
          <w:szCs w:val="21"/>
        </w:rPr>
      </w:pPr>
      <w:r>
        <w:rPr>
          <w:rFonts w:hint="eastAsia" w:ascii="宋体" w:hAnsi="宋体" w:cs="宋体"/>
          <w:szCs w:val="21"/>
          <w:lang w:bidi="ar"/>
        </w:rPr>
        <w:t>电动机的绕组引接线须采用镀锡软电缆，电动机的接线端子线耳及接线螺栓、螺母和连接片等均须进行镀锡处理；电动机接线盒不得采用冲压或焊接等制成的铁皮线盒。</w:t>
      </w:r>
    </w:p>
    <w:p>
      <w:pPr>
        <w:adjustRightInd w:val="0"/>
        <w:snapToGrid w:val="0"/>
        <w:spacing w:line="360" w:lineRule="auto"/>
        <w:ind w:firstLine="420" w:firstLineChars="200"/>
        <w:rPr>
          <w:szCs w:val="21"/>
        </w:rPr>
      </w:pPr>
      <w:r>
        <w:rPr>
          <w:rFonts w:hint="eastAsia" w:ascii="宋体" w:hAnsi="宋体" w:cs="宋体"/>
          <w:szCs w:val="21"/>
          <w:lang w:bidi="ar"/>
        </w:rPr>
        <w:t>所有电气设备的连接线若采用硬芯电线或电缆，则裸露在外的铜导线须进行热镀锡处理。</w:t>
      </w:r>
    </w:p>
    <w:p>
      <w:pPr>
        <w:adjustRightInd w:val="0"/>
        <w:snapToGrid w:val="0"/>
        <w:spacing w:line="360" w:lineRule="auto"/>
        <w:ind w:firstLine="420" w:firstLineChars="200"/>
        <w:rPr>
          <w:szCs w:val="21"/>
        </w:rPr>
      </w:pPr>
      <w:r>
        <w:rPr>
          <w:rFonts w:hint="eastAsia" w:ascii="宋体" w:hAnsi="宋体" w:cs="宋体"/>
          <w:szCs w:val="21"/>
          <w:lang w:bidi="ar"/>
        </w:rPr>
        <w:t>现场控制箱（柜）的箱（柜）体采用</w:t>
      </w:r>
      <w:r>
        <w:rPr>
          <w:szCs w:val="21"/>
          <w:lang w:bidi="ar"/>
        </w:rPr>
        <w:t>2mm</w:t>
      </w:r>
      <w:r>
        <w:rPr>
          <w:rFonts w:hint="eastAsia" w:ascii="宋体" w:hAnsi="宋体" w:cs="宋体"/>
          <w:szCs w:val="21"/>
          <w:lang w:bidi="ar"/>
        </w:rPr>
        <w:t>厚的</w:t>
      </w:r>
      <w:r>
        <w:rPr>
          <w:szCs w:val="21"/>
          <w:lang w:bidi="ar"/>
        </w:rPr>
        <w:t>304</w:t>
      </w:r>
      <w:r>
        <w:rPr>
          <w:rFonts w:hint="eastAsia" w:ascii="宋体" w:hAnsi="宋体" w:cs="宋体"/>
          <w:szCs w:val="21"/>
          <w:lang w:bidi="ar"/>
        </w:rPr>
        <w:t>不锈钢制作，表面抛光处理。箱（柜）门一般采用双层结构，其中外层箱（柜）门锁的锁芯要具有防水功能。控制箱（柜）内应有防凝露的电加热单元和通风散热装置（自动温度启停控制）以及检修用的灯具，室内箱（柜）防护等级为</w:t>
      </w:r>
      <w:r>
        <w:rPr>
          <w:szCs w:val="21"/>
          <w:lang w:bidi="ar"/>
        </w:rPr>
        <w:t>IP55</w:t>
      </w:r>
      <w:r>
        <w:rPr>
          <w:rFonts w:hint="eastAsia" w:ascii="宋体" w:hAnsi="宋体" w:cs="宋体"/>
          <w:szCs w:val="21"/>
          <w:lang w:bidi="ar"/>
        </w:rPr>
        <w:t>，室外箱（柜）防护等级为</w:t>
      </w:r>
      <w:r>
        <w:rPr>
          <w:szCs w:val="21"/>
          <w:lang w:bidi="ar"/>
        </w:rPr>
        <w:t>IP65</w:t>
      </w:r>
      <w:r>
        <w:rPr>
          <w:rFonts w:hint="eastAsia" w:ascii="宋体" w:hAnsi="宋体" w:cs="宋体"/>
          <w:szCs w:val="21"/>
          <w:lang w:bidi="ar"/>
        </w:rPr>
        <w:t>。现场控制箱（柜）做到整体防雷接地，电源进线端安装隔离变压器及电子式避雷器，触摸屏与</w:t>
      </w:r>
      <w:r>
        <w:rPr>
          <w:szCs w:val="21"/>
          <w:lang w:bidi="ar"/>
        </w:rPr>
        <w:t>PLC</w:t>
      </w:r>
      <w:r>
        <w:rPr>
          <w:rFonts w:hint="eastAsia" w:ascii="宋体" w:hAnsi="宋体" w:cs="宋体"/>
          <w:szCs w:val="21"/>
          <w:lang w:bidi="ar"/>
        </w:rPr>
        <w:t>之间的通信线及其他传感器的信号线要加装浪涌保护器。电子式避雷器或浪涌保护器应选用安普迅、雷科星、海德或具备同等质量的品牌产品。</w:t>
      </w:r>
    </w:p>
    <w:p>
      <w:pPr>
        <w:adjustRightInd w:val="0"/>
        <w:snapToGrid w:val="0"/>
        <w:spacing w:line="360" w:lineRule="auto"/>
        <w:ind w:firstLine="420" w:firstLineChars="200"/>
        <w:rPr>
          <w:szCs w:val="21"/>
        </w:rPr>
      </w:pPr>
      <w:r>
        <w:rPr>
          <w:rFonts w:hint="eastAsia" w:ascii="宋体" w:hAnsi="宋体" w:cs="宋体"/>
          <w:szCs w:val="21"/>
          <w:lang w:bidi="ar"/>
        </w:rPr>
        <w:t>电气控制（箱）柜内的控制元器件如熔断器、断路器、接触器、各类继电器、软启动器、变频器、开关、按钮、指示灯等须选用所列品牌中的最优系列产品，接触器等须选用比额定值大一个规格的产品；控制柜（箱）到设备的动力电缆应同时满足以下要求：</w:t>
      </w:r>
      <w:r>
        <w:rPr>
          <w:szCs w:val="21"/>
          <w:lang w:bidi="ar"/>
        </w:rPr>
        <w:t>①</w:t>
      </w:r>
      <w:r>
        <w:rPr>
          <w:rFonts w:hint="eastAsia" w:ascii="宋体" w:hAnsi="宋体" w:cs="宋体"/>
          <w:szCs w:val="21"/>
          <w:lang w:bidi="ar"/>
        </w:rPr>
        <w:t>采用</w:t>
      </w:r>
      <w:r>
        <w:rPr>
          <w:szCs w:val="21"/>
          <w:lang w:bidi="ar"/>
        </w:rPr>
        <w:t>YJV</w:t>
      </w:r>
      <w:r>
        <w:rPr>
          <w:rFonts w:hint="eastAsia" w:ascii="宋体" w:hAnsi="宋体" w:cs="宋体"/>
          <w:szCs w:val="21"/>
          <w:lang w:bidi="ar"/>
        </w:rPr>
        <w:t>电缆；</w:t>
      </w:r>
      <w:r>
        <w:rPr>
          <w:szCs w:val="21"/>
          <w:lang w:bidi="ar"/>
        </w:rPr>
        <w:t>②</w:t>
      </w:r>
      <w:r>
        <w:rPr>
          <w:rFonts w:hint="eastAsia" w:ascii="宋体" w:hAnsi="宋体" w:cs="宋体"/>
          <w:szCs w:val="21"/>
          <w:lang w:bidi="ar"/>
        </w:rPr>
        <w:t>额定工作时最大电流密度不超过</w:t>
      </w:r>
      <w:r>
        <w:rPr>
          <w:szCs w:val="21"/>
          <w:lang w:bidi="ar"/>
        </w:rPr>
        <w:t>3.5A/mm</w:t>
      </w:r>
      <w:r>
        <w:rPr>
          <w:szCs w:val="21"/>
          <w:vertAlign w:val="superscript"/>
          <w:lang w:bidi="ar"/>
        </w:rPr>
        <w:t>2</w:t>
      </w:r>
      <w:r>
        <w:rPr>
          <w:rFonts w:hint="eastAsia" w:ascii="宋体" w:hAnsi="宋体" w:cs="宋体"/>
          <w:szCs w:val="21"/>
          <w:lang w:bidi="ar"/>
        </w:rPr>
        <w:t>；</w:t>
      </w:r>
      <w:r>
        <w:rPr>
          <w:szCs w:val="21"/>
          <w:lang w:bidi="ar"/>
        </w:rPr>
        <w:t>③</w:t>
      </w:r>
      <w:r>
        <w:rPr>
          <w:rFonts w:hint="eastAsia" w:ascii="宋体" w:hAnsi="宋体" w:cs="宋体"/>
          <w:szCs w:val="21"/>
          <w:lang w:bidi="ar"/>
        </w:rPr>
        <w:t>最大压降不超过额定工作电压的</w:t>
      </w:r>
      <w:r>
        <w:rPr>
          <w:szCs w:val="21"/>
          <w:lang w:bidi="ar"/>
        </w:rPr>
        <w:t>1%</w:t>
      </w:r>
      <w:r>
        <w:rPr>
          <w:rFonts w:hint="eastAsia" w:ascii="宋体" w:hAnsi="宋体" w:cs="宋体"/>
          <w:szCs w:val="21"/>
          <w:lang w:bidi="ar"/>
        </w:rPr>
        <w:t>；</w:t>
      </w:r>
      <w:r>
        <w:rPr>
          <w:szCs w:val="21"/>
          <w:lang w:bidi="ar"/>
        </w:rPr>
        <w:t>④</w:t>
      </w:r>
      <w:r>
        <w:rPr>
          <w:rFonts w:hint="eastAsia" w:ascii="宋体" w:hAnsi="宋体" w:cs="宋体"/>
          <w:szCs w:val="21"/>
          <w:lang w:bidi="ar"/>
        </w:rPr>
        <w:t>当动力设备功率较小时其所用电缆最小截面不得小于</w:t>
      </w:r>
      <w:r>
        <w:rPr>
          <w:szCs w:val="21"/>
          <w:lang w:bidi="ar"/>
        </w:rPr>
        <w:t>4mm</w:t>
      </w:r>
      <w:r>
        <w:rPr>
          <w:szCs w:val="21"/>
          <w:vertAlign w:val="superscript"/>
          <w:lang w:bidi="ar"/>
        </w:rPr>
        <w:t>2</w:t>
      </w:r>
      <w:r>
        <w:rPr>
          <w:rFonts w:hint="eastAsia" w:ascii="宋体" w:hAnsi="宋体" w:cs="宋体"/>
          <w:szCs w:val="21"/>
          <w:lang w:bidi="ar"/>
        </w:rPr>
        <w:t>。</w:t>
      </w:r>
    </w:p>
    <w:p>
      <w:pPr>
        <w:adjustRightInd w:val="0"/>
        <w:snapToGrid w:val="0"/>
        <w:spacing w:line="360" w:lineRule="auto"/>
        <w:ind w:firstLine="420" w:firstLineChars="200"/>
        <w:rPr>
          <w:b/>
          <w:szCs w:val="21"/>
        </w:rPr>
      </w:pPr>
      <w:r>
        <w:rPr>
          <w:rFonts w:hint="eastAsia" w:ascii="宋体" w:hAnsi="宋体" w:cs="宋体"/>
          <w:szCs w:val="21"/>
          <w:lang w:bidi="ar"/>
        </w:rPr>
        <w:t>控制柜（箱）到设备的控制电缆应同时满足以下要求：</w:t>
      </w:r>
      <w:r>
        <w:rPr>
          <w:szCs w:val="21"/>
          <w:lang w:bidi="ar"/>
        </w:rPr>
        <w:t>①</w:t>
      </w:r>
      <w:r>
        <w:rPr>
          <w:rFonts w:hint="eastAsia" w:ascii="宋体" w:hAnsi="宋体" w:cs="宋体"/>
          <w:szCs w:val="21"/>
          <w:lang w:bidi="ar"/>
        </w:rPr>
        <w:t>采用</w:t>
      </w:r>
      <w:r>
        <w:rPr>
          <w:szCs w:val="21"/>
          <w:lang w:bidi="ar"/>
        </w:rPr>
        <w:t>KVVP</w:t>
      </w:r>
      <w:r>
        <w:rPr>
          <w:rFonts w:hint="eastAsia" w:ascii="宋体" w:hAnsi="宋体" w:cs="宋体"/>
          <w:szCs w:val="21"/>
          <w:lang w:bidi="ar"/>
        </w:rPr>
        <w:t>带屏蔽层的控制电缆；</w:t>
      </w:r>
      <w:r>
        <w:rPr>
          <w:szCs w:val="21"/>
          <w:lang w:bidi="ar"/>
        </w:rPr>
        <w:t>②</w:t>
      </w:r>
      <w:r>
        <w:rPr>
          <w:rFonts w:hint="eastAsia" w:ascii="宋体" w:hAnsi="宋体" w:cs="宋体"/>
          <w:szCs w:val="21"/>
          <w:lang w:bidi="ar"/>
        </w:rPr>
        <w:t>芯线截面不低于</w:t>
      </w:r>
      <w:r>
        <w:rPr>
          <w:szCs w:val="21"/>
          <w:lang w:bidi="ar"/>
        </w:rPr>
        <w:t>1.5mm</w:t>
      </w:r>
      <w:r>
        <w:rPr>
          <w:szCs w:val="21"/>
          <w:vertAlign w:val="superscript"/>
          <w:lang w:bidi="ar"/>
        </w:rPr>
        <w:t>2</w:t>
      </w:r>
      <w:r>
        <w:rPr>
          <w:rFonts w:hint="eastAsia" w:ascii="宋体" w:hAnsi="宋体" w:cs="宋体"/>
          <w:szCs w:val="21"/>
          <w:lang w:bidi="ar"/>
        </w:rPr>
        <w:t>；</w:t>
      </w:r>
      <w:r>
        <w:rPr>
          <w:szCs w:val="21"/>
          <w:lang w:bidi="ar"/>
        </w:rPr>
        <w:t>③</w:t>
      </w:r>
      <w:r>
        <w:rPr>
          <w:rFonts w:hint="eastAsia" w:ascii="宋体" w:hAnsi="宋体" w:cs="宋体"/>
          <w:szCs w:val="21"/>
          <w:lang w:bidi="ar"/>
        </w:rPr>
        <w:t>模拟量信号电缆采用</w:t>
      </w:r>
      <w:r>
        <w:rPr>
          <w:szCs w:val="21"/>
          <w:lang w:bidi="ar"/>
        </w:rPr>
        <w:t>DJYVP</w:t>
      </w:r>
      <w:r>
        <w:rPr>
          <w:rFonts w:hint="eastAsia" w:ascii="宋体" w:hAnsi="宋体" w:cs="宋体"/>
          <w:szCs w:val="21"/>
          <w:lang w:bidi="ar"/>
        </w:rPr>
        <w:t>型电缆；</w:t>
      </w:r>
      <w:r>
        <w:rPr>
          <w:szCs w:val="21"/>
          <w:lang w:bidi="ar"/>
        </w:rPr>
        <w:t>④</w:t>
      </w:r>
      <w:r>
        <w:rPr>
          <w:rFonts w:hint="eastAsia" w:ascii="宋体" w:hAnsi="宋体" w:cs="宋体"/>
          <w:szCs w:val="21"/>
          <w:lang w:bidi="ar"/>
        </w:rPr>
        <w:t>无源接点需经过中间继电器输出。</w:t>
      </w:r>
    </w:p>
    <w:p>
      <w:pPr>
        <w:adjustRightInd w:val="0"/>
        <w:snapToGrid w:val="0"/>
        <w:spacing w:line="360" w:lineRule="auto"/>
        <w:ind w:firstLine="420" w:firstLineChars="200"/>
        <w:rPr>
          <w:szCs w:val="21"/>
        </w:rPr>
      </w:pPr>
      <w:r>
        <w:rPr>
          <w:rFonts w:hint="eastAsia" w:ascii="宋体" w:hAnsi="宋体" w:cs="宋体"/>
          <w:szCs w:val="21"/>
          <w:lang w:bidi="ar"/>
        </w:rPr>
        <w:t>箱（柜）内和面板上的元器件的安装布置要布局合理、整齐美观、稳固牢靠，标志清楚，且便于观察和操作、维护。标志清楚是指各箱内和面板上的元器件如开关、按钮、指示灯等要有注明用途的标签或标志牌，所有的端子排和接线应标注识别码，所有的标识装置应保证在设备正常的使用寿命周期内标识字码不会灭失，端子排要预留</w:t>
      </w:r>
      <w:r>
        <w:rPr>
          <w:szCs w:val="21"/>
          <w:lang w:bidi="ar"/>
        </w:rPr>
        <w:t>20%</w:t>
      </w:r>
      <w:r>
        <w:rPr>
          <w:rFonts w:hint="eastAsia" w:ascii="宋体" w:hAnsi="宋体" w:cs="宋体"/>
          <w:szCs w:val="21"/>
          <w:lang w:bidi="ar"/>
        </w:rPr>
        <w:t>的备用端子。</w:t>
      </w:r>
    </w:p>
    <w:p>
      <w:pPr>
        <w:adjustRightInd w:val="0"/>
        <w:snapToGrid w:val="0"/>
        <w:spacing w:line="360" w:lineRule="auto"/>
        <w:ind w:firstLine="420" w:firstLineChars="200"/>
        <w:rPr>
          <w:szCs w:val="21"/>
        </w:rPr>
      </w:pPr>
      <w:r>
        <w:rPr>
          <w:rFonts w:hint="eastAsia" w:ascii="宋体" w:hAnsi="宋体" w:cs="宋体"/>
          <w:szCs w:val="21"/>
          <w:lang w:bidi="ar"/>
        </w:rPr>
        <w:t>箱（柜）内随机的电气控制元器件，其导电接线端子（含端板、螺钉、螺栓、垫片）及线耳、线叉等，其表面均须进行镀锡处理，箱柜内连接用软电线（缆）须采用镀锡铜线。</w:t>
      </w:r>
    </w:p>
    <w:p>
      <w:pPr>
        <w:adjustRightInd w:val="0"/>
        <w:snapToGrid w:val="0"/>
        <w:spacing w:line="360" w:lineRule="auto"/>
        <w:ind w:firstLine="420" w:firstLineChars="200"/>
        <w:rPr>
          <w:szCs w:val="21"/>
        </w:rPr>
      </w:pPr>
      <w:r>
        <w:rPr>
          <w:rFonts w:hint="eastAsia" w:ascii="宋体" w:hAnsi="宋体" w:cs="宋体"/>
          <w:szCs w:val="21"/>
          <w:lang w:bidi="ar"/>
        </w:rPr>
        <w:t>所有控制箱（柜）上非导电紧固件须采用</w:t>
      </w:r>
      <w:r>
        <w:rPr>
          <w:szCs w:val="21"/>
          <w:lang w:bidi="ar"/>
        </w:rPr>
        <w:t>304</w:t>
      </w:r>
      <w:r>
        <w:rPr>
          <w:rFonts w:hint="eastAsia" w:ascii="宋体" w:hAnsi="宋体" w:cs="宋体"/>
          <w:szCs w:val="21"/>
          <w:lang w:bidi="ar"/>
        </w:rPr>
        <w:t>不锈钢材质。</w:t>
      </w:r>
    </w:p>
    <w:p>
      <w:pPr>
        <w:adjustRightInd w:val="0"/>
        <w:snapToGrid w:val="0"/>
        <w:spacing w:line="360" w:lineRule="auto"/>
        <w:ind w:firstLine="420" w:firstLineChars="200"/>
        <w:rPr>
          <w:szCs w:val="21"/>
        </w:rPr>
      </w:pPr>
      <w:r>
        <w:rPr>
          <w:rFonts w:hint="eastAsia" w:ascii="宋体" w:hAnsi="宋体" w:cs="宋体"/>
          <w:szCs w:val="21"/>
          <w:lang w:bidi="ar"/>
        </w:rPr>
        <w:t>设备控制</w:t>
      </w:r>
      <w:r>
        <w:rPr>
          <w:rFonts w:hint="eastAsia" w:ascii="宋体" w:hAnsi="宋体" w:cs="宋体"/>
          <w:kern w:val="0"/>
          <w:szCs w:val="21"/>
          <w:lang w:bidi="ar"/>
        </w:rPr>
        <w:t>箱（柜）输入、输出在没</w:t>
      </w:r>
      <w:r>
        <w:rPr>
          <w:kern w:val="0"/>
          <w:szCs w:val="21"/>
          <w:lang w:bidi="ar"/>
        </w:rPr>
        <w:t>PLC</w:t>
      </w:r>
      <w:r>
        <w:rPr>
          <w:rFonts w:hint="eastAsia" w:ascii="宋体" w:hAnsi="宋体" w:cs="宋体"/>
          <w:kern w:val="0"/>
          <w:szCs w:val="21"/>
          <w:lang w:bidi="ar"/>
        </w:rPr>
        <w:t>控制器的前提下模拟量信号采用</w:t>
      </w:r>
      <w:r>
        <w:rPr>
          <w:kern w:val="0"/>
          <w:szCs w:val="21"/>
          <w:lang w:bidi="ar"/>
        </w:rPr>
        <w:t>4</w:t>
      </w:r>
      <w:r>
        <w:rPr>
          <w:rFonts w:hint="eastAsia" w:ascii="宋体" w:hAnsi="宋体" w:cs="宋体"/>
          <w:kern w:val="0"/>
          <w:szCs w:val="21"/>
          <w:lang w:bidi="ar"/>
        </w:rPr>
        <w:t>～</w:t>
      </w:r>
      <w:r>
        <w:rPr>
          <w:kern w:val="0"/>
          <w:szCs w:val="21"/>
          <w:lang w:bidi="ar"/>
        </w:rPr>
        <w:t>20mA DC</w:t>
      </w:r>
      <w:r>
        <w:rPr>
          <w:rFonts w:hint="eastAsia" w:ascii="宋体" w:hAnsi="宋体" w:cs="宋体"/>
          <w:kern w:val="0"/>
          <w:szCs w:val="21"/>
          <w:lang w:bidi="ar"/>
        </w:rPr>
        <w:t>，开关量信号采用</w:t>
      </w:r>
      <w:r>
        <w:rPr>
          <w:kern w:val="0"/>
          <w:szCs w:val="21"/>
          <w:lang w:bidi="ar"/>
        </w:rPr>
        <w:t>24V DC</w:t>
      </w:r>
      <w:r>
        <w:rPr>
          <w:rFonts w:hint="eastAsia" w:ascii="宋体" w:hAnsi="宋体" w:cs="宋体"/>
          <w:kern w:val="0"/>
          <w:szCs w:val="21"/>
          <w:lang w:bidi="ar"/>
        </w:rPr>
        <w:t>信号，有</w:t>
      </w:r>
      <w:r>
        <w:rPr>
          <w:kern w:val="0"/>
          <w:szCs w:val="21"/>
          <w:lang w:bidi="ar"/>
        </w:rPr>
        <w:t>PLC</w:t>
      </w:r>
      <w:r>
        <w:rPr>
          <w:rFonts w:hint="eastAsia" w:ascii="宋体" w:hAnsi="宋体" w:cs="宋体"/>
          <w:kern w:val="0"/>
          <w:szCs w:val="21"/>
          <w:lang w:bidi="ar"/>
        </w:rPr>
        <w:t>系统则与上级自控系统采用以太网通讯，设备配套的仪表支持</w:t>
      </w:r>
      <w:r>
        <w:rPr>
          <w:kern w:val="0"/>
          <w:szCs w:val="21"/>
          <w:lang w:bidi="ar"/>
        </w:rPr>
        <w:t>Modbus</w:t>
      </w:r>
      <w:r>
        <w:rPr>
          <w:rFonts w:hint="eastAsia" w:ascii="宋体" w:hAnsi="宋体" w:cs="宋体"/>
          <w:szCs w:val="21"/>
          <w:lang w:bidi="ar"/>
        </w:rPr>
        <w:t>通讯。</w:t>
      </w:r>
    </w:p>
    <w:p>
      <w:pPr>
        <w:pStyle w:val="5"/>
        <w:widowControl/>
        <w:numPr>
          <w:ilvl w:val="2"/>
          <w:numId w:val="4"/>
        </w:numPr>
        <w:spacing w:before="156"/>
        <w:rPr>
          <w:szCs w:val="21"/>
        </w:rPr>
      </w:pPr>
      <w:bookmarkStart w:id="822" w:name="_Toc26809"/>
      <w:bookmarkEnd w:id="822"/>
      <w:bookmarkStart w:id="823" w:name="_Toc23215"/>
      <w:r>
        <w:rPr>
          <w:rFonts w:hint="eastAsia" w:ascii="宋体" w:hAnsi="宋体" w:cs="宋体"/>
          <w:szCs w:val="21"/>
        </w:rPr>
        <w:t>相关权利约定</w:t>
      </w:r>
      <w:bookmarkEnd w:id="823"/>
    </w:p>
    <w:p>
      <w:pPr>
        <w:widowControl/>
        <w:adjustRightInd w:val="0"/>
        <w:snapToGrid w:val="0"/>
        <w:spacing w:line="360" w:lineRule="auto"/>
        <w:ind w:firstLine="420" w:firstLineChars="200"/>
        <w:jc w:val="left"/>
        <w:rPr>
          <w:szCs w:val="21"/>
        </w:rPr>
      </w:pPr>
      <w:r>
        <w:rPr>
          <w:rFonts w:hint="eastAsia" w:ascii="宋体" w:hAnsi="宋体" w:cs="宋体"/>
          <w:szCs w:val="21"/>
          <w:lang w:bidi="ar"/>
        </w:rPr>
        <w:t>投标人必须保证在设备使用寿命内，项目业主无偿获得最终版</w:t>
      </w:r>
      <w:r>
        <w:rPr>
          <w:szCs w:val="21"/>
          <w:lang w:bidi="ar"/>
        </w:rPr>
        <w:t>PLC</w:t>
      </w:r>
      <w:r>
        <w:rPr>
          <w:rFonts w:hint="eastAsia" w:ascii="宋体" w:hAnsi="宋体" w:cs="宋体"/>
          <w:szCs w:val="21"/>
          <w:lang w:bidi="ar"/>
        </w:rPr>
        <w:t>控制源程序、触摸屏源程序等软件的知识产权，相关程序均不得设置密码（或免费向项目业主提供密码）、随机附带的软件程序等不得设置妨碍设备正常工作的后门程序。涉及设备正常使用、维护的一切软件在设备竣工验收时也应一并交付项目业主。</w:t>
      </w:r>
    </w:p>
    <w:p>
      <w:pPr>
        <w:adjustRightInd w:val="0"/>
        <w:snapToGrid w:val="0"/>
        <w:spacing w:line="360" w:lineRule="auto"/>
        <w:ind w:firstLine="420" w:firstLineChars="200"/>
      </w:pPr>
      <w:r>
        <w:rPr>
          <w:rFonts w:hint="eastAsia" w:ascii="宋体" w:hAnsi="宋体" w:cs="宋体"/>
          <w:szCs w:val="21"/>
          <w:lang w:bidi="ar"/>
        </w:rPr>
        <w:t>投标人必须保证在设备使用寿命内，项目业主无偿获得使用相应终端设备调阅数据采集、监控元器件数据的应用软件，特殊连接线缆以及连接方式方法。</w:t>
      </w:r>
    </w:p>
    <w:p>
      <w:pPr>
        <w:spacing w:line="360" w:lineRule="auto"/>
        <w:rPr>
          <w:szCs w:val="21"/>
        </w:rPr>
        <w:sectPr>
          <w:pgSz w:w="11906" w:h="16838"/>
          <w:pgMar w:top="1440" w:right="1800" w:bottom="1440" w:left="1800" w:header="851" w:footer="850" w:gutter="0"/>
          <w:cols w:space="425" w:num="1"/>
          <w:titlePg/>
          <w:docGrid w:type="lines" w:linePitch="312" w:charSpace="0"/>
        </w:sectPr>
      </w:pPr>
    </w:p>
    <w:p>
      <w:pPr>
        <w:pStyle w:val="3"/>
        <w:widowControl/>
        <w:numPr>
          <w:ilvl w:val="0"/>
          <w:numId w:val="4"/>
        </w:numPr>
        <w:spacing w:after="156"/>
        <w:rPr>
          <w:rFonts w:eastAsia="宋体"/>
          <w:szCs w:val="21"/>
        </w:rPr>
      </w:pPr>
      <w:bookmarkStart w:id="824" w:name="_Toc12263"/>
      <w:r>
        <w:rPr>
          <w:rFonts w:hint="eastAsia" w:ascii="宋体" w:hAnsi="宋体" w:eastAsia="宋体" w:cs="宋体"/>
          <w:szCs w:val="21"/>
        </w:rPr>
        <w:t>详细技术要求</w:t>
      </w:r>
      <w:bookmarkEnd w:id="824"/>
    </w:p>
    <w:p>
      <w:pPr>
        <w:spacing w:after="312" w:afterLines="100"/>
        <w:jc w:val="center"/>
        <w:rPr>
          <w:b/>
          <w:bCs/>
          <w:szCs w:val="21"/>
        </w:rPr>
      </w:pPr>
      <w:r>
        <w:rPr>
          <w:rFonts w:hint="eastAsia" w:ascii="宋体" w:hAnsi="宋体" w:cs="宋体"/>
          <w:b/>
          <w:szCs w:val="21"/>
          <w:lang w:bidi="ar"/>
        </w:rPr>
        <w:t>（刮泥机类设备详细技术要求）</w:t>
      </w:r>
    </w:p>
    <w:p>
      <w:pPr>
        <w:pStyle w:val="4"/>
        <w:widowControl/>
        <w:numPr>
          <w:ilvl w:val="1"/>
          <w:numId w:val="4"/>
        </w:numPr>
        <w:rPr>
          <w:rFonts w:eastAsia="宋体"/>
          <w:szCs w:val="21"/>
        </w:rPr>
      </w:pPr>
      <w:bookmarkStart w:id="825" w:name="_Toc22232"/>
      <w:r>
        <w:rPr>
          <w:rFonts w:hint="eastAsia" w:ascii="宋体" w:hAnsi="宋体" w:eastAsia="宋体" w:cs="宋体"/>
          <w:szCs w:val="21"/>
        </w:rPr>
        <w:t>概述</w:t>
      </w:r>
      <w:bookmarkEnd w:id="825"/>
    </w:p>
    <w:p>
      <w:pPr>
        <w:adjustRightInd w:val="0"/>
        <w:snapToGrid w:val="0"/>
        <w:spacing w:line="360" w:lineRule="auto"/>
        <w:ind w:firstLine="420" w:firstLineChars="200"/>
        <w:rPr>
          <w:szCs w:val="21"/>
        </w:rPr>
      </w:pPr>
      <w:r>
        <w:rPr>
          <w:rFonts w:hint="eastAsia" w:ascii="宋体" w:hAnsi="宋体" w:cs="宋体"/>
          <w:szCs w:val="21"/>
          <w:lang w:bidi="ar"/>
        </w:rPr>
        <w:t>本节规定了</w:t>
      </w:r>
      <w:r>
        <w:rPr>
          <w:rFonts w:hint="eastAsia" w:ascii="宋体" w:hAnsi="宋体" w:cs="宋体"/>
          <w:b/>
          <w:szCs w:val="21"/>
          <w:lang w:bidi="ar"/>
        </w:rPr>
        <w:t>东莞市</w:t>
      </w:r>
      <w:r>
        <w:rPr>
          <w:rFonts w:hint="eastAsia" w:ascii="宋体" w:hAnsi="宋体" w:cs="宋体"/>
          <w:b/>
          <w:bCs/>
          <w:szCs w:val="21"/>
          <w:lang w:bidi="ar"/>
        </w:rPr>
        <w:t>沙田福禄沙</w:t>
      </w:r>
      <w:r>
        <w:rPr>
          <w:rFonts w:hint="eastAsia" w:ascii="宋体" w:hAnsi="宋体" w:cs="宋体"/>
          <w:b/>
          <w:szCs w:val="21"/>
          <w:lang w:bidi="ar"/>
        </w:rPr>
        <w:t>污水处理厂二期工程、东莞市</w:t>
      </w:r>
      <w:r>
        <w:rPr>
          <w:rFonts w:hint="eastAsia" w:ascii="宋体" w:hAnsi="宋体" w:cs="宋体"/>
          <w:b/>
          <w:bCs/>
          <w:szCs w:val="21"/>
          <w:lang w:bidi="ar"/>
        </w:rPr>
        <w:t>清溪厦坭</w:t>
      </w:r>
      <w:r>
        <w:rPr>
          <w:rFonts w:hint="eastAsia" w:ascii="宋体" w:hAnsi="宋体" w:cs="宋体"/>
          <w:b/>
          <w:szCs w:val="21"/>
          <w:lang w:bidi="ar"/>
        </w:rPr>
        <w:t>污水处理厂二期工程、东莞市</w:t>
      </w:r>
      <w:r>
        <w:rPr>
          <w:rFonts w:hint="eastAsia" w:ascii="宋体" w:hAnsi="宋体" w:cs="宋体"/>
          <w:b/>
          <w:bCs/>
          <w:szCs w:val="21"/>
          <w:lang w:bidi="ar"/>
        </w:rPr>
        <w:t>黄江梅塘南部</w:t>
      </w:r>
      <w:r>
        <w:rPr>
          <w:rFonts w:hint="eastAsia" w:ascii="宋体" w:hAnsi="宋体" w:cs="宋体"/>
          <w:b/>
          <w:szCs w:val="21"/>
          <w:lang w:bidi="ar"/>
        </w:rPr>
        <w:t>污水处理厂</w:t>
      </w:r>
      <w:r>
        <w:rPr>
          <w:rFonts w:hint="eastAsia" w:ascii="宋体" w:hAnsi="宋体" w:cs="宋体"/>
          <w:b/>
          <w:bCs/>
          <w:szCs w:val="21"/>
          <w:lang w:bidi="ar"/>
        </w:rPr>
        <w:t>一期工程、东莞市凤岗竹塘污水处理厂三</w:t>
      </w:r>
      <w:r>
        <w:rPr>
          <w:rFonts w:hint="eastAsia" w:ascii="宋体" w:hAnsi="宋体" w:cs="宋体"/>
          <w:b/>
          <w:szCs w:val="21"/>
          <w:lang w:bidi="ar"/>
        </w:rPr>
        <w:t>期工程刮泥机类设备</w:t>
      </w:r>
      <w:r>
        <w:rPr>
          <w:rFonts w:hint="eastAsia" w:ascii="宋体" w:hAnsi="宋体" w:cs="宋体"/>
          <w:szCs w:val="21"/>
          <w:lang w:bidi="ar"/>
        </w:rPr>
        <w:t>的设计、制造、工厂试验的技术要求。</w:t>
      </w:r>
    </w:p>
    <w:p>
      <w:pPr>
        <w:adjustRightInd w:val="0"/>
        <w:snapToGrid w:val="0"/>
        <w:spacing w:line="360" w:lineRule="auto"/>
        <w:ind w:firstLine="420" w:firstLineChars="200"/>
        <w:rPr>
          <w:szCs w:val="21"/>
        </w:rPr>
      </w:pPr>
      <w:r>
        <w:rPr>
          <w:rFonts w:hint="eastAsia" w:ascii="宋体" w:hAnsi="宋体" w:cs="宋体"/>
          <w:szCs w:val="21"/>
          <w:lang w:bidi="ar"/>
        </w:rPr>
        <w:t>为了获得标准化的外观、运行、维修、备品备件以及制造商服务，投标人所提供的同类型设备必须是一个制造商的最终产品。</w:t>
      </w:r>
    </w:p>
    <w:p>
      <w:pPr>
        <w:adjustRightInd w:val="0"/>
        <w:snapToGrid w:val="0"/>
        <w:spacing w:line="360" w:lineRule="auto"/>
        <w:ind w:firstLine="420" w:firstLineChars="200"/>
        <w:rPr>
          <w:szCs w:val="21"/>
        </w:rPr>
      </w:pPr>
      <w:r>
        <w:rPr>
          <w:rFonts w:hint="eastAsia" w:ascii="宋体" w:hAnsi="宋体" w:cs="宋体"/>
          <w:szCs w:val="21"/>
          <w:lang w:bidi="ar"/>
        </w:rPr>
        <w:t>本节设备应该依据第二节中的要求应用合适的参考标准。</w:t>
      </w:r>
    </w:p>
    <w:p>
      <w:pPr>
        <w:adjustRightInd w:val="0"/>
        <w:snapToGrid w:val="0"/>
        <w:spacing w:line="360" w:lineRule="auto"/>
        <w:ind w:firstLine="420" w:firstLineChars="200"/>
        <w:rPr>
          <w:szCs w:val="21"/>
        </w:rPr>
      </w:pPr>
      <w:r>
        <w:rPr>
          <w:rFonts w:hint="eastAsia" w:ascii="宋体" w:hAnsi="宋体" w:cs="宋体"/>
          <w:szCs w:val="21"/>
          <w:lang w:bidi="ar"/>
        </w:rPr>
        <w:t>本节设备设计是在设备未招标情况下按照国内通用设备进行的，所有设备的安装图和预埋件图，均按照通用设备提供的资料设计，设备招标后，中标人在不改变土建的基础上要进行二次设计，要取得项目业主、招标人、设计单位、咨询单位的同意，不能改变原有设计的目的。也不能因为设备配件的不同而增加任何费用。</w:t>
      </w:r>
    </w:p>
    <w:p>
      <w:pPr>
        <w:pStyle w:val="4"/>
        <w:widowControl/>
        <w:numPr>
          <w:ilvl w:val="1"/>
          <w:numId w:val="4"/>
        </w:numPr>
        <w:rPr>
          <w:rFonts w:eastAsia="宋体"/>
          <w:szCs w:val="21"/>
        </w:rPr>
      </w:pPr>
      <w:bookmarkStart w:id="826" w:name="_Toc23807"/>
      <w:r>
        <w:rPr>
          <w:rFonts w:hint="eastAsia" w:ascii="宋体" w:hAnsi="宋体" w:eastAsia="宋体" w:cs="宋体"/>
          <w:szCs w:val="21"/>
        </w:rPr>
        <w:t>招标设备清单及主要技术参数要求</w:t>
      </w:r>
      <w:bookmarkEnd w:id="826"/>
    </w:p>
    <w:p>
      <w:pPr>
        <w:pStyle w:val="5"/>
        <w:widowControl/>
        <w:numPr>
          <w:ilvl w:val="2"/>
          <w:numId w:val="4"/>
        </w:numPr>
        <w:spacing w:before="156"/>
        <w:rPr>
          <w:szCs w:val="21"/>
        </w:rPr>
      </w:pPr>
      <w:bookmarkStart w:id="827" w:name="_Toc8763"/>
      <w:r>
        <w:rPr>
          <w:rFonts w:hint="eastAsia" w:ascii="宋体" w:hAnsi="宋体" w:cs="宋体"/>
          <w:szCs w:val="21"/>
        </w:rPr>
        <w:t>东莞市沙田福禄沙污水处理厂二期工程招标设备清单</w:t>
      </w:r>
      <w:bookmarkEnd w:id="827"/>
    </w:p>
    <w:tbl>
      <w:tblPr>
        <w:tblStyle w:val="29"/>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755"/>
        <w:gridCol w:w="3317"/>
        <w:gridCol w:w="690"/>
        <w:gridCol w:w="71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kern w:val="0"/>
                <w:szCs w:val="21"/>
              </w:rPr>
            </w:pPr>
            <w:r>
              <w:rPr>
                <w:rFonts w:hint="eastAsia" w:ascii="宋体" w:hAnsi="宋体" w:cs="宋体"/>
                <w:kern w:val="0"/>
                <w:szCs w:val="21"/>
                <w:lang w:bidi="ar"/>
              </w:rPr>
              <w:t>序号</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kern w:val="0"/>
                <w:szCs w:val="21"/>
              </w:rPr>
            </w:pPr>
            <w:r>
              <w:rPr>
                <w:rFonts w:hint="eastAsia" w:ascii="宋体" w:hAnsi="宋体" w:cs="宋体"/>
                <w:kern w:val="0"/>
                <w:szCs w:val="21"/>
                <w:lang w:bidi="ar"/>
              </w:rPr>
              <w:t>名称</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kern w:val="0"/>
                <w:szCs w:val="21"/>
              </w:rPr>
            </w:pPr>
            <w:r>
              <w:rPr>
                <w:rFonts w:hint="eastAsia" w:ascii="宋体" w:hAnsi="宋体" w:cs="宋体"/>
                <w:kern w:val="0"/>
                <w:szCs w:val="21"/>
                <w:lang w:bidi="ar"/>
              </w:rPr>
              <w:t>规格</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kern w:val="0"/>
                <w:szCs w:val="21"/>
              </w:rPr>
            </w:pPr>
            <w:r>
              <w:rPr>
                <w:rFonts w:hint="eastAsia" w:ascii="宋体" w:hAnsi="宋体" w:cs="宋体"/>
                <w:kern w:val="0"/>
                <w:szCs w:val="21"/>
                <w:lang w:bidi="ar"/>
              </w:rPr>
              <w:t>单位</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kern w:val="0"/>
                <w:szCs w:val="21"/>
              </w:rPr>
            </w:pPr>
            <w:r>
              <w:rPr>
                <w:rFonts w:hint="eastAsia" w:ascii="宋体" w:hAnsi="宋体" w:cs="宋体"/>
                <w:kern w:val="0"/>
                <w:szCs w:val="21"/>
                <w:lang w:bidi="ar"/>
              </w:rPr>
              <w:t>数量</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kern w:val="0"/>
                <w:szCs w:val="21"/>
              </w:rPr>
            </w:pPr>
            <w:r>
              <w:rPr>
                <w:rFonts w:hint="eastAsia" w:ascii="宋体" w:hAnsi="宋体" w:cs="宋体"/>
                <w:kern w:val="0"/>
                <w:szCs w:val="21"/>
                <w:lang w:bidi="ar"/>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textAlignment w:val="center"/>
              <w:rPr>
                <w:kern w:val="0"/>
                <w:szCs w:val="21"/>
              </w:rPr>
            </w:pPr>
            <w:r>
              <w:rPr>
                <w:kern w:val="0"/>
                <w:szCs w:val="21"/>
                <w:lang w:bidi="ar"/>
              </w:rPr>
              <w:t>1</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lang w:bidi="ar"/>
              </w:rPr>
              <w:t>非金属链板</w:t>
            </w:r>
          </w:p>
          <w:p>
            <w:pPr>
              <w:widowControl/>
              <w:jc w:val="center"/>
              <w:textAlignment w:val="center"/>
              <w:rPr>
                <w:kern w:val="0"/>
                <w:szCs w:val="21"/>
              </w:rPr>
            </w:pPr>
            <w:r>
              <w:rPr>
                <w:rFonts w:hint="eastAsia" w:ascii="宋体" w:hAnsi="宋体" w:cs="宋体"/>
                <w:kern w:val="0"/>
                <w:szCs w:val="21"/>
                <w:lang w:bidi="ar"/>
              </w:rPr>
              <w:t>式刮泥机</w:t>
            </w:r>
          </w:p>
        </w:tc>
        <w:tc>
          <w:tcPr>
            <w:tcW w:w="3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B=5.10m</w:t>
            </w:r>
            <w:r>
              <w:rPr>
                <w:rFonts w:hint="eastAsia" w:ascii="宋体" w:hAnsi="宋体" w:cs="宋体"/>
                <w:kern w:val="0"/>
                <w:szCs w:val="21"/>
                <w:lang w:bidi="ar"/>
              </w:rPr>
              <w:t>，</w:t>
            </w:r>
            <w:r>
              <w:rPr>
                <w:kern w:val="0"/>
                <w:szCs w:val="21"/>
                <w:lang w:bidi="ar"/>
              </w:rPr>
              <w:t>L=36.0m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，成套设备，配套电机和减速机（均含防护罩）、控制柜、导轨等全套设备，配套配水孔管、折流挡板、浮渣挡板、出水堰板、挡水裙板、导流板、渣框等</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 w:val="22"/>
                <w:szCs w:val="22"/>
                <w:lang w:bidi="ar"/>
              </w:rPr>
              <w:t>套</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 w:val="22"/>
                <w:szCs w:val="22"/>
                <w:lang w:bidi="ar"/>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textAlignment w:val="center"/>
              <w:rPr>
                <w:kern w:val="0"/>
                <w:szCs w:val="21"/>
              </w:rPr>
            </w:pPr>
            <w:r>
              <w:rPr>
                <w:kern w:val="0"/>
                <w:szCs w:val="21"/>
                <w:lang w:bidi="ar"/>
              </w:rPr>
              <w:t>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电动撇渣管</w:t>
            </w:r>
          </w:p>
        </w:tc>
        <w:tc>
          <w:tcPr>
            <w:tcW w:w="3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DN300</w:t>
            </w:r>
            <w:r>
              <w:rPr>
                <w:rFonts w:hint="eastAsia" w:ascii="宋体" w:hAnsi="宋体" w:cs="宋体"/>
                <w:kern w:val="0"/>
                <w:szCs w:val="21"/>
                <w:lang w:bidi="ar"/>
              </w:rPr>
              <w:t>，</w:t>
            </w:r>
            <w:r>
              <w:rPr>
                <w:kern w:val="0"/>
                <w:szCs w:val="21"/>
                <w:lang w:bidi="ar"/>
              </w:rPr>
              <w:t>L=5330mm</w:t>
            </w:r>
            <w:r>
              <w:rPr>
                <w:rFonts w:hint="eastAsia" w:ascii="宋体" w:hAnsi="宋体" w:cs="宋体"/>
                <w:kern w:val="0"/>
                <w:szCs w:val="21"/>
                <w:lang w:bidi="ar"/>
              </w:rPr>
              <w:t>，</w:t>
            </w:r>
            <w:r>
              <w:rPr>
                <w:kern w:val="0"/>
                <w:szCs w:val="21"/>
                <w:lang w:bidi="ar"/>
              </w:rPr>
              <w:t>P≈1.1kW</w:t>
            </w:r>
            <w:r>
              <w:rPr>
                <w:rFonts w:hint="eastAsia" w:ascii="宋体" w:hAnsi="宋体" w:cs="宋体"/>
                <w:kern w:val="0"/>
                <w:szCs w:val="21"/>
                <w:lang w:bidi="ar"/>
              </w:rPr>
              <w:t>，由刮泥机配套提供</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 w:val="22"/>
                <w:szCs w:val="22"/>
                <w:lang w:bidi="ar"/>
              </w:rPr>
              <w:t>套</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 w:val="22"/>
                <w:szCs w:val="22"/>
                <w:lang w:bidi="ar"/>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textAlignment w:val="center"/>
              <w:rPr>
                <w:kern w:val="0"/>
                <w:szCs w:val="21"/>
              </w:rPr>
            </w:pPr>
            <w:r>
              <w:rPr>
                <w:kern w:val="0"/>
                <w:szCs w:val="21"/>
                <w:lang w:bidi="ar"/>
              </w:rPr>
              <w:t>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液压排泥管及手电两用套筒阀</w:t>
            </w:r>
          </w:p>
        </w:tc>
        <w:tc>
          <w:tcPr>
            <w:tcW w:w="3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排泥管</w:t>
            </w:r>
            <w:r>
              <w:rPr>
                <w:kern w:val="0"/>
                <w:szCs w:val="21"/>
                <w:lang w:bidi="ar"/>
              </w:rPr>
              <w:t>DN250</w:t>
            </w:r>
            <w:r>
              <w:rPr>
                <w:rFonts w:hint="eastAsia" w:ascii="宋体" w:hAnsi="宋体" w:cs="宋体"/>
                <w:kern w:val="0"/>
                <w:szCs w:val="21"/>
                <w:lang w:bidi="ar"/>
              </w:rPr>
              <w:t>，套筒阀</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 套筒阀液位调节范围</w:t>
            </w:r>
            <w:r>
              <w:rPr>
                <w:kern w:val="0"/>
                <w:szCs w:val="21"/>
                <w:lang w:bidi="ar"/>
              </w:rPr>
              <w:t>1.0m</w:t>
            </w:r>
            <w:r>
              <w:rPr>
                <w:rFonts w:hint="eastAsia" w:ascii="宋体" w:hAnsi="宋体" w:cs="宋体"/>
                <w:kern w:val="0"/>
                <w:szCs w:val="21"/>
                <w:lang w:bidi="ar"/>
              </w:rPr>
              <w:t>，含液压排泥管与套筒阀的连接管，</w:t>
            </w:r>
            <w:r>
              <w:rPr>
                <w:kern w:val="0"/>
                <w:szCs w:val="21"/>
                <w:lang w:bidi="ar"/>
              </w:rPr>
              <w:t>304</w:t>
            </w:r>
            <w:r>
              <w:rPr>
                <w:rFonts w:hint="eastAsia" w:ascii="宋体" w:hAnsi="宋体" w:cs="宋体"/>
                <w:kern w:val="0"/>
                <w:szCs w:val="21"/>
                <w:lang w:bidi="ar"/>
              </w:rPr>
              <w:t>不锈钢，由刮泥机配套提供</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 w:val="22"/>
                <w:szCs w:val="22"/>
                <w:lang w:bidi="ar"/>
              </w:rPr>
              <w:t>套</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 w:val="22"/>
                <w:szCs w:val="22"/>
                <w:lang w:bidi="ar"/>
              </w:rPr>
              <w:t>36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textAlignment w:val="center"/>
              <w:rPr>
                <w:kern w:val="0"/>
                <w:szCs w:val="21"/>
              </w:rPr>
            </w:pPr>
            <w:r>
              <w:rPr>
                <w:kern w:val="0"/>
                <w:szCs w:val="21"/>
                <w:lang w:bidi="ar"/>
              </w:rPr>
              <w:t>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lang w:bidi="ar"/>
              </w:rPr>
              <w:t>非金属链板</w:t>
            </w:r>
          </w:p>
          <w:p>
            <w:pPr>
              <w:widowControl/>
              <w:jc w:val="center"/>
              <w:textAlignment w:val="center"/>
              <w:rPr>
                <w:szCs w:val="21"/>
              </w:rPr>
            </w:pPr>
            <w:r>
              <w:rPr>
                <w:rFonts w:hint="eastAsia" w:ascii="宋体" w:hAnsi="宋体" w:cs="宋体"/>
                <w:kern w:val="0"/>
                <w:szCs w:val="21"/>
                <w:lang w:bidi="ar"/>
              </w:rPr>
              <w:t>式刮泥机</w:t>
            </w:r>
          </w:p>
        </w:tc>
        <w:tc>
          <w:tcPr>
            <w:tcW w:w="3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渠宽</w:t>
            </w:r>
            <w:r>
              <w:rPr>
                <w:kern w:val="0"/>
                <w:szCs w:val="21"/>
                <w:lang w:bidi="ar"/>
              </w:rPr>
              <w:t>B=1.50m</w:t>
            </w:r>
            <w:r>
              <w:rPr>
                <w:rFonts w:hint="eastAsia" w:ascii="宋体" w:hAnsi="宋体" w:cs="宋体"/>
                <w:kern w:val="0"/>
                <w:szCs w:val="21"/>
                <w:lang w:bidi="ar"/>
              </w:rPr>
              <w:t>，</w:t>
            </w:r>
            <w:r>
              <w:rPr>
                <w:kern w:val="0"/>
                <w:szCs w:val="21"/>
                <w:lang w:bidi="ar"/>
              </w:rPr>
              <w:t>L=14.0m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，污泥渠，成套设备，配套电机和减速机（均含防护罩）、控制柜、导轨等全套设备</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 w:val="22"/>
                <w:szCs w:val="22"/>
                <w:lang w:bidi="ar"/>
              </w:rPr>
              <w:t>套</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 w:val="22"/>
                <w:szCs w:val="22"/>
                <w:lang w:bidi="ar"/>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textAlignment w:val="center"/>
              <w:rPr>
                <w:kern w:val="0"/>
                <w:szCs w:val="21"/>
              </w:rPr>
            </w:pPr>
            <w:r>
              <w:rPr>
                <w:kern w:val="0"/>
                <w:szCs w:val="21"/>
                <w:lang w:bidi="ar"/>
              </w:rPr>
              <w:t>5</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电动调节堰门</w:t>
            </w:r>
          </w:p>
        </w:tc>
        <w:tc>
          <w:tcPr>
            <w:tcW w:w="3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B=300mm</w:t>
            </w:r>
            <w:r>
              <w:rPr>
                <w:rFonts w:hint="eastAsia" w:ascii="宋体" w:hAnsi="宋体" w:cs="宋体"/>
                <w:kern w:val="0"/>
                <w:szCs w:val="21"/>
                <w:lang w:bidi="ar"/>
              </w:rPr>
              <w:t>，</w:t>
            </w:r>
            <w:r>
              <w:rPr>
                <w:kern w:val="0"/>
                <w:szCs w:val="21"/>
                <w:lang w:bidi="ar"/>
              </w:rPr>
              <w:t>H=500mm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0.24kW</w:t>
            </w:r>
            <w:r>
              <w:rPr>
                <w:rFonts w:hint="eastAsia" w:ascii="宋体" w:hAnsi="宋体" w:cs="宋体"/>
                <w:kern w:val="0"/>
                <w:szCs w:val="21"/>
                <w:lang w:bidi="ar"/>
              </w:rPr>
              <w:t>，排渣用，由刮泥机配套提供</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 w:val="22"/>
                <w:szCs w:val="22"/>
                <w:lang w:bidi="ar"/>
              </w:rPr>
              <w:t>套</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 w:val="22"/>
                <w:szCs w:val="22"/>
                <w:lang w:bidi="ar"/>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二沉池</w:t>
            </w:r>
          </w:p>
        </w:tc>
      </w:tr>
    </w:tbl>
    <w:p>
      <w:pPr>
        <w:rPr>
          <w:sz w:val="18"/>
          <w:szCs w:val="18"/>
        </w:rPr>
      </w:pPr>
      <w:r>
        <w:rPr>
          <w:rFonts w:hint="eastAsia" w:ascii="宋体" w:hAnsi="宋体" w:cs="宋体"/>
          <w:b/>
          <w:bCs/>
          <w:sz w:val="18"/>
          <w:szCs w:val="18"/>
          <w:lang w:bidi="ar"/>
        </w:rPr>
        <w:t>注：</w:t>
      </w:r>
      <w:r>
        <w:rPr>
          <w:rFonts w:hint="eastAsia" w:ascii="宋体" w:hAnsi="宋体" w:cs="宋体"/>
          <w:b/>
          <w:bCs/>
          <w:sz w:val="20"/>
          <w:szCs w:val="20"/>
          <w:lang w:bidi="ar"/>
        </w:rPr>
        <w:t>任何元件、设备、装置、控制或操作系统，如设备清单中未提及，但对于完整的性能优良的泥水分离系统是必不可少的，此类元件、设备、装置、控制或操作系统均属于供货范围，其费用包含在投标价中</w:t>
      </w:r>
      <w:r>
        <w:rPr>
          <w:rFonts w:hint="eastAsia" w:ascii="宋体" w:hAnsi="宋体" w:cs="宋体"/>
          <w:b/>
          <w:bCs/>
          <w:sz w:val="18"/>
          <w:szCs w:val="18"/>
          <w:lang w:bidi="ar"/>
        </w:rPr>
        <w:t>。</w:t>
      </w:r>
    </w:p>
    <w:p>
      <w:pPr>
        <w:pStyle w:val="5"/>
        <w:widowControl/>
        <w:numPr>
          <w:ilvl w:val="2"/>
          <w:numId w:val="4"/>
        </w:numPr>
        <w:spacing w:before="156"/>
        <w:rPr>
          <w:szCs w:val="21"/>
        </w:rPr>
      </w:pPr>
      <w:bookmarkStart w:id="828" w:name="_Toc15008"/>
      <w:r>
        <w:rPr>
          <w:rFonts w:hint="eastAsia" w:ascii="宋体" w:hAnsi="宋体" w:cs="宋体"/>
          <w:szCs w:val="21"/>
        </w:rPr>
        <w:t>东莞市清溪厦坭污水处理厂二期工程招标设备清单</w:t>
      </w:r>
      <w:bookmarkEnd w:id="828"/>
    </w:p>
    <w:tbl>
      <w:tblPr>
        <w:tblStyle w:val="29"/>
        <w:tblW w:w="82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26"/>
        <w:gridCol w:w="3323"/>
        <w:gridCol w:w="711"/>
        <w:gridCol w:w="71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序号</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名称</w:t>
            </w:r>
          </w:p>
        </w:tc>
        <w:tc>
          <w:tcPr>
            <w:tcW w:w="33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规格</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单位</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数量</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kern w:val="0"/>
                <w:szCs w:val="21"/>
                <w:lang w:bidi="ar"/>
              </w:rPr>
              <w:t>1</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非金属链板</w:t>
            </w:r>
            <w:r>
              <w:rPr>
                <w:kern w:val="0"/>
                <w:szCs w:val="21"/>
                <w:lang w:bidi="ar"/>
              </w:rPr>
              <w:t xml:space="preserve"> </w:t>
            </w:r>
          </w:p>
          <w:p>
            <w:pPr>
              <w:widowControl/>
              <w:adjustRightInd w:val="0"/>
              <w:snapToGrid w:val="0"/>
              <w:spacing w:line="360" w:lineRule="auto"/>
              <w:jc w:val="center"/>
              <w:rPr>
                <w:kern w:val="0"/>
                <w:szCs w:val="21"/>
              </w:rPr>
            </w:pPr>
            <w:r>
              <w:rPr>
                <w:rFonts w:hint="eastAsia" w:ascii="宋体" w:hAnsi="宋体" w:cs="宋体"/>
                <w:kern w:val="0"/>
                <w:szCs w:val="21"/>
                <w:lang w:bidi="ar"/>
              </w:rPr>
              <w:t>式刮泥机</w:t>
            </w:r>
          </w:p>
        </w:tc>
        <w:tc>
          <w:tcPr>
            <w:tcW w:w="33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B=5.60m</w:t>
            </w:r>
            <w:r>
              <w:rPr>
                <w:rFonts w:hint="eastAsia" w:ascii="宋体" w:hAnsi="宋体" w:cs="宋体"/>
                <w:kern w:val="0"/>
                <w:szCs w:val="21"/>
                <w:lang w:bidi="ar"/>
              </w:rPr>
              <w:t>，</w:t>
            </w:r>
            <w:r>
              <w:rPr>
                <w:kern w:val="0"/>
                <w:szCs w:val="21"/>
                <w:lang w:bidi="ar"/>
              </w:rPr>
              <w:t>L=33.0m</w:t>
            </w:r>
            <w:r>
              <w:rPr>
                <w:rFonts w:hint="eastAsia" w:ascii="宋体" w:hAnsi="宋体" w:cs="宋体"/>
                <w:kern w:val="0"/>
                <w:szCs w:val="21"/>
                <w:lang w:bidi="ar"/>
              </w:rPr>
              <w:t>，</w:t>
            </w:r>
            <w:r>
              <w:rPr>
                <w:kern w:val="0"/>
                <w:szCs w:val="21"/>
                <w:lang w:bidi="ar"/>
              </w:rPr>
              <w:t>P≈0.55kW</w:t>
            </w:r>
            <w:r>
              <w:rPr>
                <w:rFonts w:hint="eastAsia" w:ascii="宋体" w:hAnsi="宋体" w:cs="宋体"/>
                <w:kern w:val="0"/>
                <w:szCs w:val="21"/>
                <w:lang w:bidi="ar"/>
              </w:rPr>
              <w:t>，成套设备，配套电机和减速机（均含防护罩）、控制柜、导轨等全套设备，配套配水孔管、折流挡板、浮渣挡板、出水堰板、挡水裙板、导流板、渣框等</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套</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10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kern w:val="0"/>
                <w:szCs w:val="21"/>
                <w:lang w:bidi="ar"/>
              </w:rPr>
              <w:t>2</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液压排泥管及手电两用套筒阀</w:t>
            </w:r>
          </w:p>
        </w:tc>
        <w:tc>
          <w:tcPr>
            <w:tcW w:w="33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排泥管</w:t>
            </w:r>
            <w:r>
              <w:rPr>
                <w:kern w:val="0"/>
                <w:szCs w:val="21"/>
                <w:lang w:bidi="ar"/>
              </w:rPr>
              <w:t>DN250</w:t>
            </w:r>
            <w:r>
              <w:rPr>
                <w:rFonts w:hint="eastAsia" w:ascii="宋体" w:hAnsi="宋体" w:cs="宋体"/>
                <w:kern w:val="0"/>
                <w:szCs w:val="21"/>
                <w:lang w:bidi="ar"/>
              </w:rPr>
              <w:t>，套筒阀</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，套筒阀液位调节范围</w:t>
            </w:r>
            <w:r>
              <w:rPr>
                <w:kern w:val="0"/>
                <w:szCs w:val="21"/>
                <w:lang w:bidi="ar"/>
              </w:rPr>
              <w:t>1.0m</w:t>
            </w:r>
            <w:r>
              <w:rPr>
                <w:rFonts w:hint="eastAsia" w:ascii="宋体" w:hAnsi="宋体" w:cs="宋体"/>
                <w:kern w:val="0"/>
                <w:szCs w:val="21"/>
                <w:lang w:bidi="ar"/>
              </w:rPr>
              <w:t>，含液压排泥管与套筒阀的连接、与冲洗管的连接等，</w:t>
            </w:r>
            <w:r>
              <w:rPr>
                <w:kern w:val="0"/>
                <w:szCs w:val="21"/>
                <w:lang w:bidi="ar"/>
              </w:rPr>
              <w:t>304</w:t>
            </w:r>
            <w:r>
              <w:rPr>
                <w:rFonts w:hint="eastAsia" w:ascii="宋体" w:hAnsi="宋体" w:cs="宋体"/>
                <w:kern w:val="0"/>
                <w:szCs w:val="21"/>
                <w:lang w:bidi="ar"/>
              </w:rPr>
              <w:t>不锈钢，由刮泥机配套提供</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套</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50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kern w:val="0"/>
                <w:szCs w:val="21"/>
                <w:lang w:bidi="ar"/>
              </w:rPr>
              <w:t>3</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电动撇渣管</w:t>
            </w:r>
          </w:p>
        </w:tc>
        <w:tc>
          <w:tcPr>
            <w:tcW w:w="33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DN300</w:t>
            </w:r>
            <w:r>
              <w:rPr>
                <w:rFonts w:hint="eastAsia" w:ascii="宋体" w:hAnsi="宋体" w:cs="宋体"/>
                <w:kern w:val="0"/>
                <w:szCs w:val="21"/>
                <w:lang w:bidi="ar"/>
              </w:rPr>
              <w:t>，</w:t>
            </w:r>
            <w:r>
              <w:rPr>
                <w:kern w:val="0"/>
                <w:szCs w:val="21"/>
                <w:lang w:bidi="ar"/>
              </w:rPr>
              <w:t>L=5800mm</w:t>
            </w:r>
            <w:r>
              <w:rPr>
                <w:rFonts w:hint="eastAsia" w:ascii="宋体" w:hAnsi="宋体" w:cs="宋体"/>
                <w:kern w:val="0"/>
                <w:szCs w:val="21"/>
                <w:lang w:bidi="ar"/>
              </w:rPr>
              <w:t>，</w:t>
            </w:r>
            <w:r>
              <w:rPr>
                <w:kern w:val="0"/>
                <w:szCs w:val="21"/>
                <w:lang w:bidi="ar"/>
              </w:rPr>
              <w:t>P≈1.1kW</w:t>
            </w:r>
            <w:r>
              <w:rPr>
                <w:rFonts w:hint="eastAsia" w:ascii="宋体" w:hAnsi="宋体" w:cs="宋体"/>
                <w:kern w:val="0"/>
                <w:szCs w:val="21"/>
                <w:lang w:bidi="ar"/>
              </w:rPr>
              <w:t>，刮泥机配套提供，不锈钢</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套</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10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kern w:val="0"/>
                <w:szCs w:val="21"/>
                <w:lang w:bidi="ar"/>
              </w:rPr>
              <w:t>4</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电动调节堰门</w:t>
            </w:r>
          </w:p>
        </w:tc>
        <w:tc>
          <w:tcPr>
            <w:tcW w:w="33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渠宽</w:t>
            </w:r>
            <w:r>
              <w:rPr>
                <w:kern w:val="0"/>
                <w:szCs w:val="21"/>
                <w:lang w:bidi="ar"/>
              </w:rPr>
              <w:t>B=350mm</w:t>
            </w:r>
            <w:r>
              <w:rPr>
                <w:rFonts w:hint="eastAsia" w:ascii="宋体" w:hAnsi="宋体" w:cs="宋体"/>
                <w:kern w:val="0"/>
                <w:szCs w:val="21"/>
                <w:lang w:bidi="ar"/>
              </w:rPr>
              <w:t>，</w:t>
            </w:r>
            <w:r>
              <w:rPr>
                <w:kern w:val="0"/>
                <w:szCs w:val="21"/>
                <w:lang w:bidi="ar"/>
              </w:rPr>
              <w:t>H=500mm</w:t>
            </w:r>
            <w:r>
              <w:rPr>
                <w:rFonts w:hint="eastAsia" w:ascii="宋体" w:hAnsi="宋体" w:cs="宋体"/>
                <w:kern w:val="0"/>
                <w:szCs w:val="21"/>
                <w:lang w:bidi="ar"/>
              </w:rPr>
              <w:t>，</w:t>
            </w:r>
            <w:r>
              <w:rPr>
                <w:kern w:val="0"/>
                <w:szCs w:val="21"/>
                <w:lang w:bidi="ar"/>
              </w:rPr>
              <w:t>P≈0.25kW</w:t>
            </w:r>
            <w:r>
              <w:rPr>
                <w:rFonts w:hint="eastAsia" w:ascii="宋体" w:hAnsi="宋体" w:cs="宋体"/>
                <w:kern w:val="0"/>
                <w:szCs w:val="21"/>
                <w:lang w:bidi="ar"/>
              </w:rPr>
              <w:t>，进水渠末端排渣用</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套</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10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jc w:val="center"/>
              <w:rPr>
                <w:kern w:val="0"/>
                <w:szCs w:val="21"/>
              </w:rPr>
            </w:pPr>
            <w:r>
              <w:rPr>
                <w:kern w:val="0"/>
                <w:szCs w:val="21"/>
                <w:lang w:bidi="ar"/>
              </w:rPr>
              <w:t>5</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非金属链板</w:t>
            </w:r>
            <w:r>
              <w:rPr>
                <w:kern w:val="0"/>
                <w:szCs w:val="21"/>
                <w:lang w:bidi="ar"/>
              </w:rPr>
              <w:t xml:space="preserve"> </w:t>
            </w:r>
          </w:p>
          <w:p>
            <w:pPr>
              <w:widowControl/>
              <w:adjustRightInd w:val="0"/>
              <w:snapToGrid w:val="0"/>
              <w:spacing w:line="360" w:lineRule="auto"/>
              <w:jc w:val="center"/>
              <w:rPr>
                <w:kern w:val="0"/>
                <w:szCs w:val="21"/>
              </w:rPr>
            </w:pPr>
            <w:r>
              <w:rPr>
                <w:rFonts w:hint="eastAsia" w:ascii="宋体" w:hAnsi="宋体" w:cs="宋体"/>
                <w:kern w:val="0"/>
                <w:szCs w:val="21"/>
                <w:lang w:bidi="ar"/>
              </w:rPr>
              <w:t>式刮泥机</w:t>
            </w:r>
          </w:p>
        </w:tc>
        <w:tc>
          <w:tcPr>
            <w:tcW w:w="33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渠宽</w:t>
            </w:r>
            <w:r>
              <w:rPr>
                <w:kern w:val="0"/>
                <w:szCs w:val="21"/>
                <w:lang w:bidi="ar"/>
              </w:rPr>
              <w:t>B=1.20m</w:t>
            </w:r>
            <w:r>
              <w:rPr>
                <w:rFonts w:hint="eastAsia" w:ascii="宋体" w:hAnsi="宋体" w:cs="宋体"/>
                <w:kern w:val="0"/>
                <w:szCs w:val="21"/>
                <w:lang w:bidi="ar"/>
              </w:rPr>
              <w:t>，渠长</w:t>
            </w:r>
            <w:r>
              <w:rPr>
                <w:kern w:val="0"/>
                <w:szCs w:val="21"/>
                <w:lang w:bidi="ar"/>
              </w:rPr>
              <w:t>L=35.5m</w:t>
            </w:r>
            <w:r>
              <w:rPr>
                <w:rFonts w:hint="eastAsia" w:ascii="宋体" w:hAnsi="宋体" w:cs="宋体"/>
                <w:kern w:val="0"/>
                <w:szCs w:val="21"/>
                <w:lang w:bidi="ar"/>
              </w:rPr>
              <w:t>，</w:t>
            </w:r>
            <w:r>
              <w:rPr>
                <w:kern w:val="0"/>
                <w:szCs w:val="21"/>
                <w:lang w:bidi="ar"/>
              </w:rPr>
              <w:t>P≈0.55kW</w:t>
            </w:r>
            <w:r>
              <w:rPr>
                <w:rFonts w:hint="eastAsia" w:ascii="宋体" w:hAnsi="宋体" w:cs="宋体"/>
                <w:kern w:val="0"/>
                <w:szCs w:val="21"/>
                <w:lang w:bidi="ar"/>
              </w:rPr>
              <w:t>，污泥渠，成套设备，配套电机和减速机（均含防护罩）、控制柜、导轨等全套设备</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套</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kern w:val="0"/>
                <w:szCs w:val="21"/>
                <w:lang w:bidi="ar"/>
              </w:rPr>
              <w:t>2</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kern w:val="0"/>
                <w:szCs w:val="21"/>
              </w:rPr>
            </w:pPr>
            <w:r>
              <w:rPr>
                <w:rFonts w:hint="eastAsia" w:ascii="宋体" w:hAnsi="宋体" w:cs="宋体"/>
                <w:kern w:val="0"/>
                <w:szCs w:val="21"/>
                <w:lang w:bidi="ar"/>
              </w:rPr>
              <w:t>二沉池</w:t>
            </w:r>
          </w:p>
        </w:tc>
      </w:tr>
    </w:tbl>
    <w:p>
      <w:pPr>
        <w:rPr>
          <w:b/>
          <w:bCs/>
          <w:sz w:val="18"/>
          <w:szCs w:val="18"/>
        </w:rPr>
      </w:pPr>
      <w:r>
        <w:rPr>
          <w:rFonts w:hint="eastAsia" w:ascii="宋体" w:hAnsi="宋体" w:cs="宋体"/>
          <w:b/>
          <w:bCs/>
          <w:sz w:val="18"/>
          <w:szCs w:val="18"/>
          <w:lang w:bidi="ar"/>
        </w:rPr>
        <w:t>注：</w:t>
      </w:r>
      <w:r>
        <w:rPr>
          <w:rFonts w:hint="eastAsia" w:ascii="宋体" w:hAnsi="宋体" w:cs="宋体"/>
          <w:b/>
          <w:bCs/>
          <w:sz w:val="20"/>
          <w:szCs w:val="20"/>
          <w:lang w:bidi="ar"/>
        </w:rPr>
        <w:t>任何元件、设备、装置、控制或操作系统，如设备清单中未提及，但对于完整的性能优良的泥水分离系统是必不可少的，此类元件、设备、装置、控制或操作系统均属于供货范围，其费用包含在投标价中</w:t>
      </w:r>
      <w:r>
        <w:rPr>
          <w:rFonts w:hint="eastAsia" w:ascii="宋体" w:hAnsi="宋体" w:cs="宋体"/>
          <w:b/>
          <w:bCs/>
          <w:sz w:val="18"/>
          <w:szCs w:val="18"/>
          <w:lang w:bidi="ar"/>
        </w:rPr>
        <w:t>。</w:t>
      </w:r>
    </w:p>
    <w:p>
      <w:pPr>
        <w:pStyle w:val="5"/>
        <w:widowControl/>
        <w:numPr>
          <w:ilvl w:val="2"/>
          <w:numId w:val="4"/>
        </w:numPr>
        <w:spacing w:before="156"/>
        <w:rPr>
          <w:szCs w:val="21"/>
        </w:rPr>
      </w:pPr>
      <w:bookmarkStart w:id="829" w:name="_Toc11155"/>
      <w:r>
        <w:rPr>
          <w:rFonts w:hint="eastAsia" w:ascii="宋体" w:hAnsi="宋体" w:cs="宋体"/>
          <w:szCs w:val="21"/>
        </w:rPr>
        <w:t>东莞市黄江梅塘南部污水处理厂一期工程招标设备清单</w:t>
      </w:r>
      <w:bookmarkEnd w:id="829"/>
    </w:p>
    <w:tbl>
      <w:tblPr>
        <w:tblStyle w:val="29"/>
        <w:tblW w:w="4890" w:type="pct"/>
        <w:jc w:val="center"/>
        <w:tblLayout w:type="fixed"/>
        <w:tblCellMar>
          <w:top w:w="0" w:type="dxa"/>
          <w:left w:w="108" w:type="dxa"/>
          <w:bottom w:w="0" w:type="dxa"/>
          <w:right w:w="108" w:type="dxa"/>
        </w:tblCellMar>
      </w:tblPr>
      <w:tblGrid>
        <w:gridCol w:w="749"/>
        <w:gridCol w:w="1718"/>
        <w:gridCol w:w="3342"/>
        <w:gridCol w:w="700"/>
        <w:gridCol w:w="702"/>
        <w:gridCol w:w="1124"/>
      </w:tblGrid>
      <w:tr>
        <w:tblPrEx>
          <w:tblCellMar>
            <w:top w:w="0" w:type="dxa"/>
            <w:left w:w="108" w:type="dxa"/>
            <w:bottom w:w="0" w:type="dxa"/>
            <w:right w:w="108" w:type="dxa"/>
          </w:tblCellMar>
        </w:tblPrEx>
        <w:trPr>
          <w:trHeight w:val="283"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360" w:lineRule="auto"/>
              <w:ind w:left="13"/>
              <w:jc w:val="center"/>
              <w:rPr>
                <w:kern w:val="0"/>
                <w:szCs w:val="21"/>
              </w:rPr>
            </w:pPr>
            <w:r>
              <w:rPr>
                <w:rFonts w:hint="eastAsia" w:ascii="宋体" w:hAnsi="宋体" w:cs="宋体"/>
                <w:kern w:val="0"/>
                <w:szCs w:val="21"/>
                <w:lang w:bidi="ar"/>
              </w:rPr>
              <w:t>序号</w:t>
            </w:r>
          </w:p>
        </w:tc>
        <w:tc>
          <w:tcPr>
            <w:tcW w:w="1718"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60" w:lineRule="auto"/>
              <w:ind w:left="13"/>
              <w:jc w:val="center"/>
              <w:rPr>
                <w:kern w:val="0"/>
                <w:szCs w:val="21"/>
              </w:rPr>
            </w:pPr>
            <w:r>
              <w:rPr>
                <w:rFonts w:hint="eastAsia" w:ascii="宋体" w:hAnsi="宋体" w:cs="宋体"/>
                <w:kern w:val="0"/>
                <w:szCs w:val="21"/>
                <w:lang w:bidi="ar"/>
              </w:rPr>
              <w:t>名称</w:t>
            </w:r>
          </w:p>
        </w:tc>
        <w:tc>
          <w:tcPr>
            <w:tcW w:w="334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60" w:lineRule="auto"/>
              <w:ind w:left="13"/>
              <w:jc w:val="center"/>
              <w:rPr>
                <w:kern w:val="0"/>
                <w:szCs w:val="21"/>
              </w:rPr>
            </w:pPr>
            <w:r>
              <w:rPr>
                <w:rFonts w:hint="eastAsia" w:ascii="宋体" w:hAnsi="宋体" w:cs="宋体"/>
                <w:kern w:val="0"/>
                <w:szCs w:val="21"/>
                <w:lang w:bidi="ar"/>
              </w:rPr>
              <w:t>规格</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60" w:lineRule="auto"/>
              <w:ind w:left="13"/>
              <w:jc w:val="center"/>
              <w:rPr>
                <w:kern w:val="0"/>
                <w:szCs w:val="21"/>
              </w:rPr>
            </w:pPr>
            <w:r>
              <w:rPr>
                <w:rFonts w:hint="eastAsia" w:ascii="宋体" w:hAnsi="宋体" w:cs="宋体"/>
                <w:kern w:val="0"/>
                <w:szCs w:val="21"/>
                <w:lang w:bidi="ar"/>
              </w:rPr>
              <w:t>单位</w:t>
            </w:r>
          </w:p>
        </w:tc>
        <w:tc>
          <w:tcPr>
            <w:tcW w:w="70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60" w:lineRule="auto"/>
              <w:ind w:left="13"/>
              <w:jc w:val="center"/>
              <w:rPr>
                <w:kern w:val="0"/>
                <w:szCs w:val="21"/>
              </w:rPr>
            </w:pPr>
            <w:r>
              <w:rPr>
                <w:rFonts w:hint="eastAsia" w:ascii="宋体" w:hAnsi="宋体" w:cs="宋体"/>
                <w:kern w:val="0"/>
                <w:szCs w:val="21"/>
                <w:lang w:bidi="ar"/>
              </w:rPr>
              <w:t>数量</w:t>
            </w:r>
          </w:p>
        </w:tc>
        <w:tc>
          <w:tcPr>
            <w:tcW w:w="112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60" w:lineRule="auto"/>
              <w:ind w:left="13"/>
              <w:jc w:val="center"/>
              <w:rPr>
                <w:kern w:val="0"/>
                <w:szCs w:val="21"/>
              </w:rPr>
            </w:pPr>
            <w:r>
              <w:rPr>
                <w:rFonts w:hint="eastAsia" w:ascii="宋体" w:hAnsi="宋体" w:cs="宋体"/>
                <w:kern w:val="0"/>
                <w:szCs w:val="21"/>
                <w:lang w:bidi="ar"/>
              </w:rPr>
              <w:t>安装位置</w:t>
            </w:r>
          </w:p>
        </w:tc>
      </w:tr>
      <w:tr>
        <w:tblPrEx>
          <w:tblCellMar>
            <w:top w:w="0" w:type="dxa"/>
            <w:left w:w="108" w:type="dxa"/>
            <w:bottom w:w="0" w:type="dxa"/>
            <w:right w:w="108" w:type="dxa"/>
          </w:tblCellMar>
        </w:tblPrEx>
        <w:trPr>
          <w:trHeight w:val="372"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1</w:t>
            </w:r>
          </w:p>
        </w:tc>
        <w:tc>
          <w:tcPr>
            <w:tcW w:w="171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lang w:bidi="ar"/>
              </w:rPr>
              <w:t xml:space="preserve">非金属链板 </w:t>
            </w:r>
          </w:p>
          <w:p>
            <w:pPr>
              <w:widowControl/>
              <w:jc w:val="center"/>
              <w:textAlignment w:val="center"/>
              <w:rPr>
                <w:kern w:val="0"/>
                <w:szCs w:val="21"/>
              </w:rPr>
            </w:pPr>
            <w:r>
              <w:rPr>
                <w:rFonts w:hint="eastAsia" w:ascii="宋体" w:hAnsi="宋体" w:cs="宋体"/>
                <w:kern w:val="0"/>
                <w:szCs w:val="21"/>
                <w:lang w:bidi="ar"/>
              </w:rPr>
              <w:t>式刮泥机</w:t>
            </w:r>
          </w:p>
        </w:tc>
        <w:tc>
          <w:tcPr>
            <w:tcW w:w="3342" w:type="dxa"/>
            <w:tcBorders>
              <w:top w:val="nil"/>
              <w:left w:val="nil"/>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Cs w:val="21"/>
                <w:lang w:bidi="ar"/>
              </w:rPr>
              <w:t>B=5.10m</w:t>
            </w:r>
            <w:r>
              <w:rPr>
                <w:rFonts w:hint="eastAsia" w:ascii="宋体" w:hAnsi="宋体" w:cs="宋体"/>
                <w:kern w:val="0"/>
                <w:szCs w:val="21"/>
                <w:lang w:bidi="ar"/>
              </w:rPr>
              <w:t>，</w:t>
            </w:r>
            <w:r>
              <w:rPr>
                <w:kern w:val="0"/>
                <w:szCs w:val="21"/>
                <w:lang w:bidi="ar"/>
              </w:rPr>
              <w:t>L=43.0m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，成套设备，配套电机和减速机（均含防护罩）、控制柜、导轨等全套设备，配套配水孔管、折流挡板、浮渣挡板、出水堰板、挡水裙板、导流板、渣框等</w:t>
            </w:r>
          </w:p>
        </w:tc>
        <w:tc>
          <w:tcPr>
            <w:tcW w:w="700" w:type="dxa"/>
            <w:tcBorders>
              <w:top w:val="nil"/>
              <w:left w:val="nil"/>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套</w:t>
            </w:r>
          </w:p>
        </w:tc>
        <w:tc>
          <w:tcPr>
            <w:tcW w:w="702" w:type="dxa"/>
            <w:tcBorders>
              <w:top w:val="nil"/>
              <w:left w:val="nil"/>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8</w:t>
            </w:r>
          </w:p>
        </w:tc>
        <w:tc>
          <w:tcPr>
            <w:tcW w:w="1124" w:type="dxa"/>
            <w:tcBorders>
              <w:top w:val="nil"/>
              <w:left w:val="nil"/>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CellMar>
            <w:top w:w="0" w:type="dxa"/>
            <w:left w:w="108" w:type="dxa"/>
            <w:bottom w:w="0" w:type="dxa"/>
            <w:right w:w="108" w:type="dxa"/>
          </w:tblCellMar>
        </w:tblPrEx>
        <w:trPr>
          <w:trHeight w:val="109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2</w:t>
            </w:r>
          </w:p>
        </w:tc>
        <w:tc>
          <w:tcPr>
            <w:tcW w:w="171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lang w:bidi="ar"/>
              </w:rPr>
              <w:t xml:space="preserve">非金属链板 </w:t>
            </w:r>
          </w:p>
          <w:p>
            <w:pPr>
              <w:widowControl/>
              <w:jc w:val="center"/>
              <w:textAlignment w:val="center"/>
              <w:rPr>
                <w:kern w:val="0"/>
                <w:szCs w:val="21"/>
              </w:rPr>
            </w:pPr>
            <w:r>
              <w:rPr>
                <w:rFonts w:hint="eastAsia" w:ascii="宋体" w:hAnsi="宋体" w:cs="宋体"/>
                <w:kern w:val="0"/>
                <w:szCs w:val="21"/>
                <w:lang w:bidi="ar"/>
              </w:rPr>
              <w:t>式刮泥机</w:t>
            </w:r>
          </w:p>
        </w:tc>
        <w:tc>
          <w:tcPr>
            <w:tcW w:w="3342" w:type="dxa"/>
            <w:tcBorders>
              <w:top w:val="nil"/>
              <w:left w:val="nil"/>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Cs w:val="21"/>
                <w:lang w:bidi="ar"/>
              </w:rPr>
              <w:t>B=1.50m</w:t>
            </w:r>
            <w:r>
              <w:rPr>
                <w:rFonts w:hint="eastAsia" w:ascii="宋体" w:hAnsi="宋体" w:cs="宋体"/>
                <w:kern w:val="0"/>
                <w:szCs w:val="21"/>
                <w:lang w:bidi="ar"/>
              </w:rPr>
              <w:t>，</w:t>
            </w:r>
            <w:r>
              <w:rPr>
                <w:kern w:val="0"/>
                <w:szCs w:val="21"/>
                <w:lang w:bidi="ar"/>
              </w:rPr>
              <w:t>L=21.0m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，污泥渠，成套设备，配套电机和减速机（均含防护罩）、控制柜、导轨等全套设备</w:t>
            </w:r>
          </w:p>
        </w:tc>
        <w:tc>
          <w:tcPr>
            <w:tcW w:w="700" w:type="dxa"/>
            <w:tcBorders>
              <w:top w:val="nil"/>
              <w:left w:val="nil"/>
              <w:bottom w:val="nil"/>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套</w:t>
            </w:r>
          </w:p>
        </w:tc>
        <w:tc>
          <w:tcPr>
            <w:tcW w:w="702" w:type="dxa"/>
            <w:tcBorders>
              <w:top w:val="nil"/>
              <w:left w:val="nil"/>
              <w:bottom w:val="nil"/>
              <w:right w:val="single" w:color="auto" w:sz="4" w:space="0"/>
            </w:tcBorders>
            <w:shd w:val="clear" w:color="auto" w:fill="auto"/>
            <w:vAlign w:val="center"/>
          </w:tcPr>
          <w:p>
            <w:pPr>
              <w:widowControl/>
              <w:jc w:val="center"/>
              <w:textAlignment w:val="center"/>
              <w:rPr>
                <w:kern w:val="0"/>
                <w:szCs w:val="21"/>
              </w:rPr>
            </w:pPr>
            <w:r>
              <w:rPr>
                <w:kern w:val="0"/>
                <w:szCs w:val="21"/>
                <w:lang w:bidi="ar"/>
              </w:rPr>
              <w:t>2</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CellMar>
            <w:top w:w="0" w:type="dxa"/>
            <w:left w:w="108" w:type="dxa"/>
            <w:bottom w:w="0" w:type="dxa"/>
            <w:right w:w="108" w:type="dxa"/>
          </w:tblCellMar>
        </w:tblPrEx>
        <w:trPr>
          <w:trHeight w:val="9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3</w:t>
            </w:r>
          </w:p>
        </w:tc>
        <w:tc>
          <w:tcPr>
            <w:tcW w:w="1718" w:type="dxa"/>
            <w:tcBorders>
              <w:top w:val="nil"/>
              <w:left w:val="nil"/>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液压排泥管及手电两用套筒阀</w:t>
            </w:r>
          </w:p>
        </w:tc>
        <w:tc>
          <w:tcPr>
            <w:tcW w:w="3342" w:type="dxa"/>
            <w:tcBorders>
              <w:top w:val="nil"/>
              <w:left w:val="nil"/>
              <w:bottom w:val="single" w:color="auto" w:sz="4" w:space="0"/>
              <w:right w:val="single" w:color="auto" w:sz="4" w:space="0"/>
            </w:tcBorders>
            <w:shd w:val="clear" w:color="auto" w:fill="auto"/>
            <w:vAlign w:val="center"/>
          </w:tcPr>
          <w:p>
            <w:pPr>
              <w:widowControl/>
              <w:jc w:val="left"/>
              <w:textAlignment w:val="center"/>
              <w:rPr>
                <w:kern w:val="0"/>
                <w:szCs w:val="21"/>
              </w:rPr>
            </w:pPr>
            <w:r>
              <w:rPr>
                <w:rFonts w:hint="eastAsia" w:ascii="宋体" w:hAnsi="宋体" w:cs="宋体"/>
                <w:kern w:val="0"/>
                <w:szCs w:val="21"/>
                <w:lang w:bidi="ar"/>
              </w:rPr>
              <w:t>排泥管</w:t>
            </w:r>
            <w:r>
              <w:rPr>
                <w:kern w:val="0"/>
                <w:szCs w:val="21"/>
                <w:lang w:bidi="ar"/>
              </w:rPr>
              <w:t>DN250</w:t>
            </w:r>
            <w:r>
              <w:rPr>
                <w:rFonts w:hint="eastAsia" w:ascii="宋体" w:hAnsi="宋体" w:cs="宋体"/>
                <w:kern w:val="0"/>
                <w:szCs w:val="21"/>
                <w:lang w:bidi="ar"/>
              </w:rPr>
              <w:t>，套筒阀</w:t>
            </w:r>
            <w:r>
              <w:rPr>
                <w:kern w:val="0"/>
                <w:szCs w:val="21"/>
                <w:lang w:bidi="ar"/>
              </w:rPr>
              <w:t>P</w:t>
            </w:r>
            <w:r>
              <w:rPr>
                <w:rFonts w:hint="eastAsia" w:ascii="宋体" w:hAnsi="宋体" w:cs="宋体"/>
                <w:kern w:val="0"/>
                <w:szCs w:val="21"/>
                <w:lang w:bidi="ar"/>
              </w:rPr>
              <w:t>≈</w:t>
            </w:r>
            <w:r>
              <w:rPr>
                <w:kern w:val="0"/>
                <w:szCs w:val="21"/>
                <w:lang w:bidi="ar"/>
              </w:rPr>
              <w:t>0.55kW</w:t>
            </w:r>
            <w:r>
              <w:rPr>
                <w:rFonts w:hint="eastAsia" w:ascii="宋体" w:hAnsi="宋体" w:cs="宋体"/>
                <w:kern w:val="0"/>
                <w:szCs w:val="21"/>
                <w:lang w:bidi="ar"/>
              </w:rPr>
              <w:t>，套筒阀液位调节范围</w:t>
            </w:r>
            <w:r>
              <w:rPr>
                <w:kern w:val="0"/>
                <w:szCs w:val="21"/>
                <w:lang w:bidi="ar"/>
              </w:rPr>
              <w:t>1.0m</w:t>
            </w:r>
            <w:r>
              <w:rPr>
                <w:rFonts w:hint="eastAsia" w:ascii="宋体" w:hAnsi="宋体" w:cs="宋体"/>
                <w:kern w:val="0"/>
                <w:szCs w:val="21"/>
                <w:lang w:bidi="ar"/>
              </w:rPr>
              <w:t>，含液压排泥管与套筒阀的连接、与冲洗管的连接等，</w:t>
            </w:r>
            <w:r>
              <w:rPr>
                <w:kern w:val="0"/>
                <w:szCs w:val="21"/>
                <w:lang w:bidi="ar"/>
              </w:rPr>
              <w:t>304</w:t>
            </w:r>
            <w:r>
              <w:rPr>
                <w:rFonts w:hint="eastAsia" w:ascii="宋体" w:hAnsi="宋体" w:cs="宋体"/>
                <w:kern w:val="0"/>
                <w:szCs w:val="21"/>
                <w:lang w:bidi="ar"/>
              </w:rPr>
              <w:t>不锈钢，由刮泥机配套提供</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rFonts w:hint="eastAsia" w:ascii="宋体" w:hAnsi="宋体" w:cs="宋体"/>
                <w:kern w:val="0"/>
                <w:szCs w:val="21"/>
                <w:lang w:bidi="ar"/>
              </w:rPr>
              <w:t>套</w:t>
            </w:r>
          </w:p>
        </w:tc>
        <w:tc>
          <w:tcPr>
            <w:tcW w:w="7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56</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CellMar>
            <w:top w:w="0" w:type="dxa"/>
            <w:left w:w="108" w:type="dxa"/>
            <w:bottom w:w="0" w:type="dxa"/>
            <w:right w:w="108" w:type="dxa"/>
          </w:tblCellMar>
        </w:tblPrEx>
        <w:trPr>
          <w:trHeight w:val="57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4</w:t>
            </w:r>
          </w:p>
        </w:tc>
        <w:tc>
          <w:tcPr>
            <w:tcW w:w="17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rFonts w:hint="eastAsia" w:ascii="宋体" w:hAnsi="宋体" w:cs="宋体"/>
                <w:kern w:val="0"/>
                <w:szCs w:val="21"/>
                <w:lang w:bidi="ar"/>
              </w:rPr>
              <w:t>电动撇渣管</w:t>
            </w:r>
          </w:p>
        </w:tc>
        <w:tc>
          <w:tcPr>
            <w:tcW w:w="3342" w:type="dxa"/>
            <w:tcBorders>
              <w:top w:val="nil"/>
              <w:left w:val="nil"/>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Cs w:val="21"/>
                <w:lang w:bidi="ar"/>
              </w:rPr>
              <w:t>DN300</w:t>
            </w:r>
            <w:r>
              <w:rPr>
                <w:rFonts w:hint="eastAsia" w:ascii="宋体" w:hAnsi="宋体" w:cs="宋体"/>
                <w:kern w:val="0"/>
                <w:szCs w:val="21"/>
                <w:lang w:bidi="ar"/>
              </w:rPr>
              <w:t>，</w:t>
            </w:r>
            <w:r>
              <w:rPr>
                <w:kern w:val="0"/>
                <w:szCs w:val="21"/>
                <w:lang w:bidi="ar"/>
              </w:rPr>
              <w:t>L=5.33m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1.1kW</w:t>
            </w:r>
            <w:r>
              <w:rPr>
                <w:rFonts w:hint="eastAsia" w:ascii="宋体" w:hAnsi="宋体" w:cs="宋体"/>
                <w:kern w:val="0"/>
                <w:szCs w:val="21"/>
                <w:lang w:bidi="ar"/>
              </w:rPr>
              <w:t>，由刮泥机配套提供，不锈钢</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rFonts w:hint="eastAsia" w:ascii="宋体" w:hAnsi="宋体" w:cs="宋体"/>
                <w:kern w:val="0"/>
                <w:szCs w:val="21"/>
                <w:lang w:bidi="ar"/>
              </w:rPr>
              <w:t>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8</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CellMar>
            <w:top w:w="0" w:type="dxa"/>
            <w:left w:w="108" w:type="dxa"/>
            <w:bottom w:w="0" w:type="dxa"/>
            <w:right w:w="108" w:type="dxa"/>
          </w:tblCellMar>
        </w:tblPrEx>
        <w:trPr>
          <w:trHeight w:val="57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5</w:t>
            </w:r>
          </w:p>
        </w:tc>
        <w:tc>
          <w:tcPr>
            <w:tcW w:w="17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rFonts w:hint="eastAsia" w:ascii="宋体" w:hAnsi="宋体" w:cs="宋体"/>
                <w:kern w:val="0"/>
                <w:szCs w:val="21"/>
                <w:lang w:bidi="ar"/>
              </w:rPr>
              <w:t>电动调节堰门</w:t>
            </w:r>
          </w:p>
        </w:tc>
        <w:tc>
          <w:tcPr>
            <w:tcW w:w="3342" w:type="dxa"/>
            <w:tcBorders>
              <w:top w:val="nil"/>
              <w:left w:val="nil"/>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 w:val="22"/>
                <w:szCs w:val="22"/>
                <w:lang w:bidi="ar"/>
              </w:rPr>
              <w:t>B=300mm</w:t>
            </w:r>
            <w:r>
              <w:rPr>
                <w:rFonts w:hint="eastAsia" w:ascii="宋体" w:hAnsi="宋体" w:cs="宋体"/>
                <w:kern w:val="0"/>
                <w:sz w:val="22"/>
                <w:szCs w:val="22"/>
                <w:lang w:bidi="ar"/>
              </w:rPr>
              <w:t>，</w:t>
            </w:r>
            <w:r>
              <w:rPr>
                <w:kern w:val="0"/>
                <w:sz w:val="22"/>
                <w:szCs w:val="22"/>
                <w:lang w:bidi="ar"/>
              </w:rPr>
              <w:t>H=500mm</w:t>
            </w:r>
            <w:r>
              <w:rPr>
                <w:rFonts w:hint="eastAsia" w:ascii="宋体" w:hAnsi="宋体" w:cs="宋体"/>
                <w:kern w:val="0"/>
                <w:sz w:val="22"/>
                <w:szCs w:val="22"/>
                <w:lang w:bidi="ar"/>
              </w:rPr>
              <w:t>，</w:t>
            </w:r>
            <w:r>
              <w:rPr>
                <w:kern w:val="0"/>
                <w:szCs w:val="21"/>
                <w:lang w:bidi="ar"/>
              </w:rPr>
              <w:t>P</w:t>
            </w:r>
            <w:r>
              <w:rPr>
                <w:rFonts w:hint="eastAsia" w:ascii="宋体" w:hAnsi="宋体" w:cs="宋体"/>
                <w:kern w:val="0"/>
                <w:szCs w:val="21"/>
                <w:lang w:bidi="ar"/>
              </w:rPr>
              <w:t>≈</w:t>
            </w:r>
            <w:r>
              <w:rPr>
                <w:kern w:val="0"/>
                <w:szCs w:val="21"/>
                <w:lang w:bidi="ar"/>
              </w:rPr>
              <w:t>0.24kW</w:t>
            </w:r>
            <w:r>
              <w:rPr>
                <w:rFonts w:hint="eastAsia" w:ascii="宋体" w:hAnsi="宋体" w:cs="宋体"/>
                <w:kern w:val="0"/>
                <w:szCs w:val="21"/>
                <w:lang w:bidi="ar"/>
              </w:rPr>
              <w:t>，进水渠末端排渣用，由刮泥机配套提供</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rFonts w:hint="eastAsia" w:ascii="宋体" w:hAnsi="宋体" w:cs="宋体"/>
                <w:kern w:val="0"/>
                <w:szCs w:val="21"/>
                <w:lang w:bidi="ar"/>
              </w:rPr>
              <w:t>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8</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bl>
    <w:p>
      <w:pPr>
        <w:rPr>
          <w:b/>
          <w:bCs/>
          <w:sz w:val="18"/>
          <w:szCs w:val="18"/>
        </w:rPr>
      </w:pPr>
      <w:r>
        <w:rPr>
          <w:rFonts w:hint="eastAsia" w:ascii="宋体" w:hAnsi="宋体" w:cs="宋体"/>
          <w:b/>
          <w:bCs/>
          <w:sz w:val="18"/>
          <w:szCs w:val="18"/>
          <w:lang w:bidi="ar"/>
        </w:rPr>
        <w:t>注：</w:t>
      </w:r>
      <w:r>
        <w:rPr>
          <w:rFonts w:hint="eastAsia" w:ascii="宋体" w:hAnsi="宋体" w:cs="宋体"/>
          <w:b/>
          <w:bCs/>
          <w:sz w:val="20"/>
          <w:szCs w:val="20"/>
          <w:lang w:bidi="ar"/>
        </w:rPr>
        <w:t>任何元件、设备、装置、控制或操作系统，如设备清单中未提及，但对于完整的性能优良的泥水分离系统是必不可少的，此类元件、设备、装置、控制或操作系统均属于供货范围，其费用包含在投标价中</w:t>
      </w:r>
      <w:r>
        <w:rPr>
          <w:rFonts w:hint="eastAsia" w:ascii="宋体" w:hAnsi="宋体" w:cs="宋体"/>
          <w:b/>
          <w:bCs/>
          <w:sz w:val="18"/>
          <w:szCs w:val="18"/>
          <w:lang w:bidi="ar"/>
        </w:rPr>
        <w:t>。</w:t>
      </w:r>
    </w:p>
    <w:p>
      <w:pPr>
        <w:pStyle w:val="5"/>
        <w:widowControl/>
        <w:numPr>
          <w:ilvl w:val="2"/>
          <w:numId w:val="4"/>
        </w:numPr>
        <w:spacing w:before="156"/>
        <w:rPr>
          <w:szCs w:val="21"/>
        </w:rPr>
      </w:pPr>
      <w:bookmarkStart w:id="830" w:name="_Toc4869"/>
      <w:r>
        <w:rPr>
          <w:rFonts w:hint="eastAsia" w:ascii="宋体" w:hAnsi="宋体" w:cs="宋体"/>
          <w:szCs w:val="21"/>
        </w:rPr>
        <w:t>东莞市凤岗竹塘污水处理厂三期工程招标设备清单</w:t>
      </w:r>
      <w:bookmarkEnd w:id="830"/>
    </w:p>
    <w:tbl>
      <w:tblPr>
        <w:tblStyle w:val="29"/>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16"/>
        <w:gridCol w:w="3326"/>
        <w:gridCol w:w="700"/>
        <w:gridCol w:w="681"/>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rFonts w:hint="eastAsia" w:ascii="宋体" w:hAnsi="宋体" w:cs="宋体"/>
                <w:kern w:val="0"/>
                <w:szCs w:val="21"/>
                <w:lang w:bidi="ar"/>
              </w:rPr>
              <w:t>序号</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rFonts w:hint="eastAsia" w:ascii="宋体" w:hAnsi="宋体" w:cs="宋体"/>
                <w:kern w:val="0"/>
                <w:szCs w:val="21"/>
                <w:lang w:bidi="ar"/>
              </w:rPr>
              <w:t>名称</w:t>
            </w:r>
          </w:p>
        </w:tc>
        <w:tc>
          <w:tcPr>
            <w:tcW w:w="3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rFonts w:hint="eastAsia" w:ascii="宋体" w:hAnsi="宋体" w:cs="宋体"/>
                <w:kern w:val="0"/>
                <w:szCs w:val="21"/>
                <w:lang w:bidi="ar"/>
              </w:rPr>
              <w:t>规格</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rFonts w:hint="eastAsia" w:ascii="宋体" w:hAnsi="宋体" w:cs="宋体"/>
                <w:kern w:val="0"/>
                <w:szCs w:val="21"/>
                <w:lang w:bidi="ar"/>
              </w:rPr>
              <w:t>单位</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rFonts w:hint="eastAsia" w:ascii="宋体" w:hAnsi="宋体" w:cs="宋体"/>
                <w:kern w:val="0"/>
                <w:szCs w:val="21"/>
                <w:lang w:bidi="ar"/>
              </w:rPr>
              <w:t>数量</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rFonts w:hint="eastAsia" w:ascii="宋体" w:hAnsi="宋体" w:cs="宋体"/>
                <w:kern w:val="0"/>
                <w:szCs w:val="21"/>
                <w:lang w:bidi="ar"/>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1</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lang w:bidi="ar"/>
              </w:rPr>
              <w:t xml:space="preserve">非金属链板 </w:t>
            </w:r>
          </w:p>
          <w:p>
            <w:pPr>
              <w:widowControl/>
              <w:jc w:val="center"/>
              <w:textAlignment w:val="center"/>
              <w:rPr>
                <w:kern w:val="0"/>
                <w:szCs w:val="21"/>
              </w:rPr>
            </w:pPr>
            <w:r>
              <w:rPr>
                <w:rFonts w:hint="eastAsia" w:ascii="宋体" w:hAnsi="宋体" w:cs="宋体"/>
                <w:kern w:val="0"/>
                <w:szCs w:val="21"/>
                <w:lang w:bidi="ar"/>
              </w:rPr>
              <w:t>式刮泥机</w:t>
            </w:r>
          </w:p>
        </w:tc>
        <w:tc>
          <w:tcPr>
            <w:tcW w:w="3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Cs w:val="21"/>
                <w:lang w:bidi="ar"/>
              </w:rPr>
              <w:t>B=6.6m</w:t>
            </w:r>
            <w:r>
              <w:rPr>
                <w:rFonts w:hint="eastAsia" w:ascii="宋体" w:hAnsi="宋体" w:cs="宋体"/>
                <w:kern w:val="0"/>
                <w:szCs w:val="21"/>
                <w:lang w:bidi="ar"/>
              </w:rPr>
              <w:t>，</w:t>
            </w:r>
            <w:r>
              <w:rPr>
                <w:kern w:val="0"/>
                <w:szCs w:val="21"/>
                <w:lang w:bidi="ar"/>
              </w:rPr>
              <w:t>L=42.0m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0.378kW</w:t>
            </w:r>
            <w:r>
              <w:rPr>
                <w:rFonts w:hint="eastAsia" w:ascii="宋体" w:hAnsi="宋体" w:cs="宋体"/>
                <w:kern w:val="0"/>
                <w:szCs w:val="21"/>
                <w:lang w:bidi="ar"/>
              </w:rPr>
              <w:t>，成套设备，配套电机和减速机（均含防护罩）、控制柜、导轨等全套设备，配套配水孔管、折流挡板、浮渣挡板、出水堰板、挡水裙板、导流板、渣框等</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套</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8</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2</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穿孔排泥管及套筒阀</w:t>
            </w:r>
          </w:p>
        </w:tc>
        <w:tc>
          <w:tcPr>
            <w:tcW w:w="3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Cs w:val="21"/>
                <w:lang w:bidi="ar"/>
              </w:rPr>
              <w:t>DN200</w:t>
            </w:r>
            <w:r>
              <w:rPr>
                <w:rFonts w:hint="eastAsia" w:ascii="宋体" w:hAnsi="宋体" w:cs="宋体"/>
                <w:kern w:val="0"/>
                <w:szCs w:val="21"/>
                <w:lang w:bidi="ar"/>
              </w:rPr>
              <w:t>，，套筒阀</w:t>
            </w:r>
            <w:r>
              <w:rPr>
                <w:kern w:val="0"/>
                <w:szCs w:val="21"/>
                <w:lang w:bidi="ar"/>
              </w:rPr>
              <w:t>P</w:t>
            </w:r>
            <w:r>
              <w:rPr>
                <w:rFonts w:hint="eastAsia" w:ascii="宋体" w:hAnsi="宋体" w:cs="宋体"/>
                <w:kern w:val="0"/>
                <w:szCs w:val="21"/>
                <w:lang w:bidi="ar"/>
              </w:rPr>
              <w:t>≈</w:t>
            </w:r>
            <w:r>
              <w:rPr>
                <w:kern w:val="0"/>
                <w:szCs w:val="21"/>
                <w:lang w:bidi="ar"/>
              </w:rPr>
              <w:t>1.1kW</w:t>
            </w:r>
            <w:r>
              <w:rPr>
                <w:rFonts w:hint="eastAsia" w:ascii="宋体" w:hAnsi="宋体" w:cs="宋体"/>
                <w:kern w:val="0"/>
                <w:szCs w:val="21"/>
                <w:lang w:bidi="ar"/>
              </w:rPr>
              <w:t>， 套筒阀液位调节范围</w:t>
            </w:r>
            <w:r>
              <w:rPr>
                <w:kern w:val="0"/>
                <w:szCs w:val="21"/>
                <w:lang w:bidi="ar"/>
              </w:rPr>
              <w:t>1.0m</w:t>
            </w:r>
            <w:r>
              <w:rPr>
                <w:rFonts w:hint="eastAsia" w:ascii="宋体" w:hAnsi="宋体" w:cs="宋体"/>
                <w:kern w:val="0"/>
                <w:szCs w:val="21"/>
                <w:lang w:bidi="ar"/>
              </w:rPr>
              <w:t>，含液压排泥管与套筒阀的连接、与冲洗管的连接等，</w:t>
            </w:r>
            <w:r>
              <w:rPr>
                <w:kern w:val="0"/>
                <w:szCs w:val="21"/>
                <w:lang w:bidi="ar"/>
              </w:rPr>
              <w:t>304</w:t>
            </w:r>
            <w:r>
              <w:rPr>
                <w:rFonts w:hint="eastAsia" w:ascii="宋体" w:hAnsi="宋体" w:cs="宋体"/>
                <w:kern w:val="0"/>
                <w:szCs w:val="21"/>
                <w:lang w:bidi="ar"/>
              </w:rPr>
              <w:t>不锈钢，由刮泥机配套提供</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套</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48</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kern w:val="0"/>
                <w:szCs w:val="21"/>
              </w:rPr>
            </w:pPr>
            <w:r>
              <w:rPr>
                <w:kern w:val="0"/>
                <w:szCs w:val="21"/>
                <w:lang w:bidi="ar"/>
              </w:rPr>
              <w:t>3</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电动撇渣管</w:t>
            </w:r>
          </w:p>
        </w:tc>
        <w:tc>
          <w:tcPr>
            <w:tcW w:w="3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kern w:val="0"/>
                <w:szCs w:val="21"/>
              </w:rPr>
            </w:pPr>
            <w:r>
              <w:rPr>
                <w:kern w:val="0"/>
                <w:szCs w:val="21"/>
                <w:lang w:bidi="ar"/>
              </w:rPr>
              <w:t>DN300</w:t>
            </w:r>
            <w:r>
              <w:rPr>
                <w:rFonts w:hint="eastAsia" w:ascii="宋体" w:hAnsi="宋体" w:cs="宋体"/>
                <w:kern w:val="0"/>
                <w:szCs w:val="21"/>
                <w:lang w:bidi="ar"/>
              </w:rPr>
              <w:t>，</w:t>
            </w:r>
            <w:r>
              <w:rPr>
                <w:kern w:val="0"/>
                <w:szCs w:val="21"/>
                <w:lang w:bidi="ar"/>
              </w:rPr>
              <w:t>L=7.1m</w:t>
            </w:r>
            <w:r>
              <w:rPr>
                <w:rFonts w:hint="eastAsia" w:ascii="宋体" w:hAnsi="宋体" w:cs="宋体"/>
                <w:kern w:val="0"/>
                <w:szCs w:val="21"/>
                <w:lang w:bidi="ar"/>
              </w:rPr>
              <w:t>，</w:t>
            </w:r>
            <w:r>
              <w:rPr>
                <w:kern w:val="0"/>
                <w:szCs w:val="21"/>
                <w:lang w:bidi="ar"/>
              </w:rPr>
              <w:t>P</w:t>
            </w:r>
            <w:r>
              <w:rPr>
                <w:rFonts w:hint="eastAsia" w:ascii="宋体" w:hAnsi="宋体" w:cs="宋体"/>
                <w:kern w:val="0"/>
                <w:szCs w:val="21"/>
                <w:lang w:bidi="ar"/>
              </w:rPr>
              <w:t>≈</w:t>
            </w:r>
            <w:r>
              <w:rPr>
                <w:kern w:val="0"/>
                <w:szCs w:val="21"/>
                <w:lang w:bidi="ar"/>
              </w:rPr>
              <w:t>2.2kW</w:t>
            </w:r>
            <w:r>
              <w:rPr>
                <w:rFonts w:hint="eastAsia" w:ascii="宋体" w:hAnsi="宋体" w:cs="宋体"/>
                <w:kern w:val="0"/>
                <w:szCs w:val="21"/>
                <w:lang w:bidi="ar"/>
              </w:rPr>
              <w:t>，由刮泥机配套提供，不锈钢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套</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kern w:val="0"/>
                <w:szCs w:val="21"/>
                <w:lang w:bidi="ar"/>
              </w:rPr>
              <w:t>8</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kern w:val="0"/>
                <w:szCs w:val="21"/>
              </w:rPr>
            </w:pPr>
            <w:r>
              <w:rPr>
                <w:rFonts w:hint="eastAsia" w:ascii="宋体" w:hAnsi="宋体" w:cs="宋体"/>
                <w:kern w:val="0"/>
                <w:szCs w:val="21"/>
                <w:lang w:bidi="ar"/>
              </w:rPr>
              <w:t>二沉池</w:t>
            </w:r>
          </w:p>
        </w:tc>
      </w:tr>
    </w:tbl>
    <w:p>
      <w:pPr>
        <w:rPr>
          <w:b/>
          <w:bCs/>
          <w:sz w:val="18"/>
          <w:szCs w:val="18"/>
        </w:rPr>
      </w:pPr>
      <w:r>
        <w:rPr>
          <w:rFonts w:hint="eastAsia" w:ascii="宋体" w:hAnsi="宋体" w:cs="宋体"/>
          <w:b/>
          <w:bCs/>
          <w:sz w:val="18"/>
          <w:szCs w:val="18"/>
          <w:lang w:bidi="ar"/>
        </w:rPr>
        <w:t>注：</w:t>
      </w:r>
      <w:r>
        <w:rPr>
          <w:rFonts w:hint="eastAsia" w:ascii="宋体" w:hAnsi="宋体" w:cs="宋体"/>
          <w:b/>
          <w:bCs/>
          <w:sz w:val="20"/>
          <w:szCs w:val="20"/>
          <w:lang w:bidi="ar"/>
        </w:rPr>
        <w:t>任何元件、设备、装置、控制或操作系统，如设备清单中未提及，但对于完整的性能优良的泥水分离系统是必不可少的，此类元件、设备、装置、控制或操作系统均属于供货范围，其费用包含在投标价中</w:t>
      </w:r>
      <w:r>
        <w:rPr>
          <w:rFonts w:hint="eastAsia" w:ascii="宋体" w:hAnsi="宋体" w:cs="宋体"/>
          <w:b/>
          <w:bCs/>
          <w:sz w:val="18"/>
          <w:szCs w:val="18"/>
          <w:lang w:bidi="ar"/>
        </w:rPr>
        <w:t>。</w:t>
      </w:r>
    </w:p>
    <w:p>
      <w:pPr>
        <w:pStyle w:val="4"/>
        <w:widowControl/>
        <w:numPr>
          <w:ilvl w:val="1"/>
          <w:numId w:val="4"/>
        </w:numPr>
        <w:rPr>
          <w:rFonts w:eastAsia="宋体"/>
          <w:szCs w:val="21"/>
        </w:rPr>
      </w:pPr>
      <w:bookmarkStart w:id="831" w:name="_Toc13252"/>
      <w:r>
        <w:rPr>
          <w:rFonts w:hint="eastAsia" w:ascii="宋体" w:hAnsi="宋体" w:eastAsia="宋体" w:cs="宋体"/>
          <w:szCs w:val="21"/>
        </w:rPr>
        <w:t>供货及安装界限</w:t>
      </w:r>
      <w:bookmarkEnd w:id="831"/>
    </w:p>
    <w:p>
      <w:pPr>
        <w:pStyle w:val="5"/>
        <w:widowControl/>
        <w:numPr>
          <w:ilvl w:val="2"/>
          <w:numId w:val="4"/>
        </w:numPr>
        <w:spacing w:before="156"/>
        <w:rPr>
          <w:szCs w:val="21"/>
        </w:rPr>
      </w:pPr>
      <w:bookmarkStart w:id="832" w:name="_Toc31350"/>
      <w:r>
        <w:rPr>
          <w:rFonts w:hint="eastAsia" w:ascii="宋体" w:hAnsi="宋体" w:cs="宋体"/>
          <w:szCs w:val="21"/>
        </w:rPr>
        <w:t>东莞市沙田福禄沙污水处理厂二期工程设备供货及安装界限</w:t>
      </w:r>
      <w:bookmarkEnd w:id="832"/>
    </w:p>
    <w:p>
      <w:pPr>
        <w:snapToGrid w:val="0"/>
        <w:spacing w:line="360" w:lineRule="auto"/>
        <w:ind w:firstLine="420" w:firstLineChars="200"/>
        <w:rPr>
          <w:kern w:val="0"/>
          <w:szCs w:val="21"/>
        </w:rPr>
      </w:pPr>
      <w:r>
        <w:rPr>
          <w:kern w:val="0"/>
          <w:szCs w:val="21"/>
          <w:lang w:bidi="ar"/>
        </w:rPr>
        <w:t>1</w:t>
      </w:r>
      <w:r>
        <w:rPr>
          <w:rFonts w:hint="eastAsia" w:ascii="宋体" w:hAnsi="宋体" w:cs="宋体"/>
          <w:kern w:val="0"/>
          <w:szCs w:val="21"/>
          <w:lang w:bidi="ar"/>
        </w:rPr>
        <w:t>、投标人提供成套的刮泥机系统设备、配套套筒阀、撇渣管、折流挡板、浮渣挡板、出水堰板、配水孔管、挡水裙板、集水出水槽、渣框等的供货及安装，含设备配套的控制箱（柜）及套筒阀（启闭机）的固定构配件等，配套的零配件、连接件、螺栓等的供货及安装。</w:t>
      </w:r>
    </w:p>
    <w:p>
      <w:pPr>
        <w:snapToGrid w:val="0"/>
        <w:spacing w:line="360" w:lineRule="auto"/>
        <w:ind w:firstLine="420" w:firstLineChars="200"/>
        <w:rPr>
          <w:kern w:val="0"/>
          <w:szCs w:val="21"/>
        </w:rPr>
      </w:pPr>
      <w:r>
        <w:rPr>
          <w:kern w:val="0"/>
          <w:szCs w:val="21"/>
          <w:lang w:bidi="ar"/>
        </w:rPr>
        <w:t>2</w:t>
      </w:r>
      <w:r>
        <w:rPr>
          <w:rFonts w:hint="eastAsia" w:ascii="宋体" w:hAnsi="宋体" w:cs="宋体"/>
          <w:kern w:val="0"/>
          <w:szCs w:val="21"/>
          <w:lang w:bidi="ar"/>
        </w:rPr>
        <w:t>、安装界限：投标人负责供货设备的安装，包括设备安装、电气安装、自控安装以及系统调试等。</w:t>
      </w:r>
    </w:p>
    <w:p>
      <w:pPr>
        <w:snapToGrid w:val="0"/>
        <w:spacing w:line="360" w:lineRule="auto"/>
        <w:ind w:firstLine="420" w:firstLineChars="200"/>
        <w:rPr>
          <w:kern w:val="0"/>
          <w:szCs w:val="21"/>
        </w:rPr>
      </w:pPr>
      <w:r>
        <w:rPr>
          <w:kern w:val="0"/>
          <w:szCs w:val="21"/>
          <w:lang w:bidi="ar"/>
        </w:rPr>
        <w:t>3</w:t>
      </w:r>
      <w:r>
        <w:rPr>
          <w:rFonts w:hint="eastAsia" w:ascii="宋体" w:hAnsi="宋体" w:cs="宋体"/>
          <w:kern w:val="0"/>
          <w:szCs w:val="21"/>
          <w:lang w:bidi="ar"/>
        </w:rPr>
        <w:t>、电控线缆界面：以现场控制箱（柜）为分界线，控制箱（柜）至设备的电缆、控制电缆线缆、光纤由投标人负责提供。控制箱（柜）的进线电缆、桥架的供货、安装、接线由施工总承包单位（由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招标人另行委托）负责；设备与中控上位机连接的进线电缆、线缆、光纤由自控专业承包单位（由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招标人另行委托）负责供货、安装。</w:t>
      </w:r>
    </w:p>
    <w:p>
      <w:pPr>
        <w:snapToGrid w:val="0"/>
        <w:spacing w:line="360" w:lineRule="auto"/>
        <w:ind w:firstLine="420" w:firstLineChars="200"/>
        <w:rPr>
          <w:kern w:val="0"/>
          <w:szCs w:val="21"/>
        </w:rPr>
      </w:pPr>
      <w:r>
        <w:rPr>
          <w:kern w:val="0"/>
          <w:szCs w:val="21"/>
          <w:lang w:bidi="ar"/>
        </w:rPr>
        <w:t>4</w:t>
      </w:r>
      <w:r>
        <w:rPr>
          <w:rFonts w:hint="eastAsia" w:ascii="宋体" w:hAnsi="宋体" w:cs="宋体"/>
          <w:kern w:val="0"/>
          <w:szCs w:val="21"/>
          <w:lang w:bidi="ar"/>
        </w:rPr>
        <w:t>、土建界限：除配水孔管由投标人供货，施工总承包单位（由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招标人另行委托）安装外，其余设备安装所需的土建预埋件（管）由施工总承包单位（由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w:t>
      </w:r>
    </w:p>
    <w:p>
      <w:pPr>
        <w:snapToGrid w:val="0"/>
        <w:spacing w:line="360" w:lineRule="auto"/>
        <w:ind w:firstLine="420" w:firstLineChars="200"/>
        <w:rPr>
          <w:kern w:val="0"/>
          <w:szCs w:val="21"/>
        </w:rPr>
      </w:pPr>
      <w:r>
        <w:rPr>
          <w:kern w:val="0"/>
          <w:szCs w:val="21"/>
          <w:lang w:bidi="ar"/>
        </w:rPr>
        <w:t>5</w:t>
      </w:r>
      <w:r>
        <w:rPr>
          <w:rFonts w:hint="eastAsia" w:ascii="宋体" w:hAnsi="宋体" w:cs="宋体"/>
          <w:kern w:val="0"/>
          <w:szCs w:val="21"/>
          <w:lang w:bidi="ar"/>
        </w:rPr>
        <w:t>、管道界限：</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w:t>
      </w:r>
      <w:r>
        <w:rPr>
          <w:kern w:val="0"/>
          <w:szCs w:val="21"/>
          <w:lang w:bidi="ar"/>
        </w:rPr>
        <w:t>DN300</w:t>
      </w:r>
      <w:r>
        <w:rPr>
          <w:rFonts w:hint="eastAsia" w:ascii="宋体" w:hAnsi="宋体" w:cs="宋体"/>
          <w:kern w:val="0"/>
          <w:szCs w:val="21"/>
          <w:lang w:bidi="ar"/>
        </w:rPr>
        <w:t>放空管、</w:t>
      </w:r>
      <w:r>
        <w:rPr>
          <w:kern w:val="0"/>
          <w:szCs w:val="21"/>
          <w:lang w:bidi="ar"/>
        </w:rPr>
        <w:t>DN300</w:t>
      </w:r>
      <w:r>
        <w:rPr>
          <w:rFonts w:hint="eastAsia" w:ascii="宋体" w:hAnsi="宋体" w:cs="宋体"/>
          <w:kern w:val="0"/>
          <w:szCs w:val="21"/>
          <w:lang w:bidi="ar"/>
        </w:rPr>
        <w:t>排渣管、</w:t>
      </w:r>
      <w:r>
        <w:rPr>
          <w:kern w:val="0"/>
          <w:szCs w:val="21"/>
          <w:lang w:bidi="ar"/>
        </w:rPr>
        <w:t>DN200</w:t>
      </w:r>
      <w:r>
        <w:rPr>
          <w:rFonts w:hint="eastAsia" w:ascii="宋体" w:hAnsi="宋体" w:cs="宋体"/>
          <w:kern w:val="0"/>
          <w:szCs w:val="21"/>
          <w:lang w:bidi="ar"/>
        </w:rPr>
        <w:t>排渣管、冲洗水管、外回流系统、剩余污泥系统管道全段由施工总承包单位（由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招标人另行委托）负责供货及安装，包括橡胶接头、限位伸缩接头、与剩余污泥泵连接安装所需的垫片、螺栓等零配件供货及安装。其中。</w:t>
      </w:r>
    </w:p>
    <w:p>
      <w:pPr>
        <w:spacing w:line="360" w:lineRule="auto"/>
        <w:ind w:firstLine="420" w:firstLineChars="200"/>
        <w:rPr>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w:t>
      </w:r>
      <w:r>
        <w:rPr>
          <w:kern w:val="0"/>
          <w:szCs w:val="21"/>
          <w:lang w:bidi="ar"/>
        </w:rPr>
        <w:t>DN40</w:t>
      </w:r>
      <w:r>
        <w:rPr>
          <w:rFonts w:hint="eastAsia" w:ascii="宋体" w:hAnsi="宋体" w:cs="宋体"/>
          <w:kern w:val="0"/>
          <w:szCs w:val="21"/>
          <w:lang w:bidi="ar"/>
        </w:rPr>
        <w:t>预埋钢管（</w:t>
      </w:r>
      <w:r>
        <w:rPr>
          <w:kern w:val="0"/>
          <w:szCs w:val="21"/>
          <w:lang w:bidi="ar"/>
        </w:rPr>
        <w:t>304</w:t>
      </w:r>
      <w:r>
        <w:rPr>
          <w:rFonts w:hint="eastAsia" w:ascii="宋体" w:hAnsi="宋体" w:cs="宋体"/>
          <w:kern w:val="0"/>
          <w:szCs w:val="21"/>
          <w:lang w:bidi="ar"/>
        </w:rPr>
        <w:t>不锈钢材质，厚度≥</w:t>
      </w:r>
      <w:r>
        <w:rPr>
          <w:kern w:val="0"/>
          <w:szCs w:val="21"/>
          <w:lang w:bidi="ar"/>
        </w:rPr>
        <w:t>3.5mm</w:t>
      </w:r>
      <w:r>
        <w:rPr>
          <w:rFonts w:hint="eastAsia" w:ascii="宋体" w:hAnsi="宋体" w:cs="宋体"/>
          <w:kern w:val="0"/>
          <w:szCs w:val="21"/>
          <w:lang w:bidi="ar"/>
        </w:rPr>
        <w:t>）底部接排泥管由投标人配套提供并安装：施工总承包单位（由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招标人另行委托）负责相应的穿墙预埋。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3</w:t>
      </w:r>
      <w:r>
        <w:rPr>
          <w:rFonts w:hint="eastAsia" w:ascii="宋体" w:hAnsi="宋体" w:cs="宋体"/>
          <w:kern w:val="0"/>
          <w:szCs w:val="21"/>
          <w:lang w:bidi="ar"/>
        </w:rPr>
        <w:t>）撇渣管从电动撒渣管至浮渣井段由投标人供货及安装，墙管、单法墙管由施工总承包单位（由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招标人另行委托）供货及预埋。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4</w:t>
      </w:r>
      <w:r>
        <w:rPr>
          <w:rFonts w:hint="eastAsia" w:ascii="宋体" w:hAnsi="宋体" w:cs="宋体"/>
          <w:kern w:val="0"/>
          <w:szCs w:val="21"/>
          <w:lang w:bidi="ar"/>
        </w:rPr>
        <w:t>）</w:t>
      </w:r>
      <w:r>
        <w:rPr>
          <w:kern w:val="0"/>
          <w:szCs w:val="21"/>
          <w:lang w:bidi="ar"/>
        </w:rPr>
        <w:t>DN250</w:t>
      </w:r>
      <w:r>
        <w:rPr>
          <w:rFonts w:hint="eastAsia" w:ascii="宋体" w:hAnsi="宋体" w:cs="宋体"/>
          <w:kern w:val="0"/>
          <w:szCs w:val="21"/>
          <w:lang w:bidi="ar"/>
        </w:rPr>
        <w:t>套筒阀至排泥槽排泥管（含</w:t>
      </w:r>
      <w:r>
        <w:rPr>
          <w:rFonts w:hint="eastAsia" w:ascii="宋体" w:hAnsi="宋体" w:cs="宋体"/>
          <w:szCs w:val="21"/>
          <w:lang w:bidi="ar"/>
        </w:rPr>
        <w:t>套筒阀下面的L型排泥管</w:t>
      </w:r>
      <w:r>
        <w:rPr>
          <w:rFonts w:hint="eastAsia" w:ascii="宋体" w:hAnsi="宋体" w:cs="宋体"/>
          <w:kern w:val="0"/>
          <w:szCs w:val="21"/>
          <w:lang w:bidi="ar"/>
        </w:rPr>
        <w:t>）、池底排泥槽排泥盖板由投标人负责提供，配水孔管</w:t>
      </w:r>
      <w:r>
        <w:rPr>
          <w:kern w:val="0"/>
          <w:szCs w:val="21"/>
          <w:lang w:bidi="ar"/>
        </w:rPr>
        <w:t>DN100</w:t>
      </w:r>
      <w:r>
        <w:rPr>
          <w:rFonts w:hint="eastAsia" w:ascii="宋体" w:hAnsi="宋体" w:cs="宋体"/>
          <w:kern w:val="0"/>
          <w:szCs w:val="21"/>
          <w:lang w:bidi="ar"/>
        </w:rPr>
        <w:t>由投标人负责供货，指导施工总承包单位（由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招标人另行委托）预埋及二次浇筑。</w:t>
      </w:r>
    </w:p>
    <w:p>
      <w:pPr>
        <w:ind w:firstLine="420" w:firstLineChars="200"/>
        <w:rPr>
          <w:szCs w:val="21"/>
        </w:rPr>
      </w:pPr>
      <w:r>
        <w:rPr>
          <w:kern w:val="0"/>
          <w:szCs w:val="21"/>
          <w:lang w:bidi="ar"/>
        </w:rPr>
        <w:t>6</w:t>
      </w:r>
      <w:r>
        <w:rPr>
          <w:rFonts w:hint="eastAsia" w:ascii="宋体" w:hAnsi="宋体" w:cs="宋体"/>
          <w:kern w:val="0"/>
          <w:szCs w:val="21"/>
          <w:lang w:bidi="ar"/>
        </w:rPr>
        <w:t>、除以上说明外，刮泥机系统图纸范围内的工程属投标人负责</w:t>
      </w:r>
      <w:r>
        <w:rPr>
          <w:kern w:val="0"/>
          <w:szCs w:val="21"/>
          <w:lang w:bidi="ar"/>
        </w:rPr>
        <w:t>(</w:t>
      </w:r>
      <w:r>
        <w:rPr>
          <w:rFonts w:hint="eastAsia" w:ascii="宋体" w:hAnsi="宋体" w:cs="宋体"/>
          <w:kern w:val="0"/>
          <w:szCs w:val="21"/>
          <w:lang w:bidi="ar"/>
        </w:rPr>
        <w:t>供货、安装、调试</w:t>
      </w:r>
      <w:r>
        <w:rPr>
          <w:kern w:val="0"/>
          <w:szCs w:val="21"/>
          <w:lang w:bidi="ar"/>
        </w:rPr>
        <w:t>)</w:t>
      </w:r>
      <w:r>
        <w:rPr>
          <w:rFonts w:hint="eastAsia" w:ascii="宋体" w:hAnsi="宋体" w:cs="宋体"/>
          <w:kern w:val="0"/>
          <w:szCs w:val="21"/>
          <w:lang w:bidi="ar"/>
        </w:rPr>
        <w:t>。</w:t>
      </w:r>
    </w:p>
    <w:p>
      <w:pPr>
        <w:pStyle w:val="5"/>
        <w:widowControl/>
        <w:numPr>
          <w:ilvl w:val="2"/>
          <w:numId w:val="4"/>
        </w:numPr>
        <w:spacing w:before="156"/>
        <w:rPr>
          <w:szCs w:val="21"/>
        </w:rPr>
      </w:pPr>
      <w:bookmarkStart w:id="833" w:name="_Toc24836"/>
      <w:r>
        <w:rPr>
          <w:rFonts w:hint="eastAsia" w:ascii="宋体" w:hAnsi="宋体" w:cs="宋体"/>
          <w:szCs w:val="21"/>
        </w:rPr>
        <w:t>东莞市清溪厦坭污水处理厂二期工程设备供货及安装界限</w:t>
      </w:r>
      <w:bookmarkEnd w:id="833"/>
    </w:p>
    <w:p>
      <w:pPr>
        <w:autoSpaceDE w:val="0"/>
        <w:autoSpaceDN w:val="0"/>
        <w:adjustRightInd w:val="0"/>
        <w:spacing w:line="360" w:lineRule="auto"/>
        <w:ind w:firstLine="420" w:firstLineChars="200"/>
        <w:jc w:val="left"/>
        <w:rPr>
          <w:kern w:val="0"/>
          <w:szCs w:val="21"/>
        </w:rPr>
      </w:pPr>
      <w:r>
        <w:rPr>
          <w:kern w:val="0"/>
          <w:szCs w:val="21"/>
          <w:lang w:bidi="ar"/>
        </w:rPr>
        <w:t>1</w:t>
      </w:r>
      <w:r>
        <w:rPr>
          <w:rFonts w:hint="eastAsia" w:ascii="宋体" w:hAnsi="宋体" w:cs="宋体"/>
          <w:kern w:val="0"/>
          <w:szCs w:val="21"/>
          <w:lang w:bidi="ar"/>
        </w:rPr>
        <w:t>、投标人提供成套的刮泥机系统设备、配套套筒阀、撇渣管、折流挡板、浮渣挡板、出水堰板、配水孔管、挡水裙板、集水出水槽、渣框等的供货及安装，含设备配套的控制箱（柜），配套的零配件、连接件、螺栓等的供货及安装。</w:t>
      </w:r>
    </w:p>
    <w:p>
      <w:pPr>
        <w:snapToGrid w:val="0"/>
        <w:spacing w:line="360" w:lineRule="auto"/>
        <w:ind w:firstLine="420" w:firstLineChars="200"/>
        <w:rPr>
          <w:kern w:val="0"/>
          <w:szCs w:val="21"/>
        </w:rPr>
      </w:pPr>
      <w:r>
        <w:rPr>
          <w:kern w:val="0"/>
          <w:szCs w:val="21"/>
          <w:lang w:bidi="ar"/>
        </w:rPr>
        <w:t>2</w:t>
      </w:r>
      <w:r>
        <w:rPr>
          <w:rFonts w:hint="eastAsia" w:ascii="宋体" w:hAnsi="宋体" w:cs="宋体"/>
          <w:kern w:val="0"/>
          <w:szCs w:val="21"/>
          <w:lang w:bidi="ar"/>
        </w:rPr>
        <w:t>、安装界限：投标人负责供货设备的安装，包括设备安装、电气安装、自控安装以及系统调试等。</w:t>
      </w:r>
    </w:p>
    <w:p>
      <w:pPr>
        <w:snapToGrid w:val="0"/>
        <w:spacing w:line="360" w:lineRule="auto"/>
        <w:ind w:firstLine="420" w:firstLineChars="200"/>
        <w:rPr>
          <w:kern w:val="0"/>
          <w:szCs w:val="21"/>
        </w:rPr>
      </w:pPr>
      <w:r>
        <w:rPr>
          <w:kern w:val="0"/>
          <w:szCs w:val="21"/>
          <w:lang w:bidi="ar"/>
        </w:rPr>
        <w:t>3</w:t>
      </w:r>
      <w:r>
        <w:rPr>
          <w:rFonts w:hint="eastAsia" w:ascii="宋体" w:hAnsi="宋体" w:cs="宋体"/>
          <w:kern w:val="0"/>
          <w:szCs w:val="21"/>
          <w:lang w:bidi="ar"/>
        </w:rPr>
        <w:t>、电控线缆界面：以现场控制箱（柜）为分界线，控制箱（柜）至设备的电缆、控制电缆线缆、光纤由投标人负责提供。控制箱（柜）的进线电缆、桥架的供货、安装、接线由施工总承包单位（由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招标人另行委托）负责；设备与中控上位机连接的进线电缆、线缆、光纤由自控专业承包单位（由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招标人另行委托）负责供货、安装。</w:t>
      </w:r>
    </w:p>
    <w:p>
      <w:pPr>
        <w:snapToGrid w:val="0"/>
        <w:spacing w:line="360" w:lineRule="auto"/>
        <w:ind w:firstLine="420" w:firstLineChars="200"/>
        <w:rPr>
          <w:kern w:val="0"/>
          <w:szCs w:val="21"/>
        </w:rPr>
      </w:pPr>
      <w:r>
        <w:rPr>
          <w:kern w:val="0"/>
          <w:szCs w:val="21"/>
          <w:lang w:bidi="ar"/>
        </w:rPr>
        <w:t>4</w:t>
      </w:r>
      <w:r>
        <w:rPr>
          <w:rFonts w:hint="eastAsia" w:ascii="宋体" w:hAnsi="宋体" w:cs="宋体"/>
          <w:kern w:val="0"/>
          <w:szCs w:val="21"/>
          <w:lang w:bidi="ar"/>
        </w:rPr>
        <w:t>、土建界限：除配水孔管由投标人供货，施工总承包单位（由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招标人另行委托）安装外，其余设备安装所需的土建预埋件（管）由施工总承包单位（由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w:t>
      </w:r>
    </w:p>
    <w:p>
      <w:pPr>
        <w:snapToGrid w:val="0"/>
        <w:spacing w:line="360" w:lineRule="auto"/>
        <w:ind w:firstLine="420" w:firstLineChars="200"/>
        <w:rPr>
          <w:kern w:val="0"/>
          <w:szCs w:val="21"/>
        </w:rPr>
      </w:pPr>
      <w:r>
        <w:rPr>
          <w:kern w:val="0"/>
          <w:szCs w:val="21"/>
          <w:lang w:bidi="ar"/>
        </w:rPr>
        <w:t>5</w:t>
      </w:r>
      <w:r>
        <w:rPr>
          <w:rFonts w:hint="eastAsia" w:ascii="宋体" w:hAnsi="宋体" w:cs="宋体"/>
          <w:kern w:val="0"/>
          <w:szCs w:val="21"/>
          <w:lang w:bidi="ar"/>
        </w:rPr>
        <w:t>、管道界限：</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w:t>
      </w:r>
      <w:r>
        <w:rPr>
          <w:kern w:val="0"/>
          <w:szCs w:val="21"/>
          <w:lang w:bidi="ar"/>
        </w:rPr>
        <w:t>DN1000</w:t>
      </w:r>
      <w:r>
        <w:rPr>
          <w:rFonts w:hint="eastAsia" w:ascii="宋体" w:hAnsi="宋体" w:cs="宋体"/>
          <w:kern w:val="0"/>
          <w:szCs w:val="21"/>
          <w:lang w:bidi="ar"/>
        </w:rPr>
        <w:t>出水管、</w:t>
      </w:r>
      <w:r>
        <w:rPr>
          <w:kern w:val="0"/>
          <w:szCs w:val="21"/>
          <w:lang w:bidi="ar"/>
        </w:rPr>
        <w:t>DN600</w:t>
      </w:r>
      <w:r>
        <w:rPr>
          <w:rFonts w:hint="eastAsia" w:ascii="宋体" w:hAnsi="宋体" w:cs="宋体"/>
          <w:kern w:val="0"/>
          <w:szCs w:val="21"/>
          <w:lang w:bidi="ar"/>
        </w:rPr>
        <w:t>废水管、</w:t>
      </w:r>
      <w:r>
        <w:rPr>
          <w:kern w:val="0"/>
          <w:szCs w:val="21"/>
          <w:lang w:bidi="ar"/>
        </w:rPr>
        <w:t>DN400</w:t>
      </w:r>
      <w:r>
        <w:rPr>
          <w:rFonts w:hint="eastAsia" w:ascii="宋体" w:hAnsi="宋体" w:cs="宋体"/>
          <w:kern w:val="0"/>
          <w:szCs w:val="21"/>
          <w:lang w:bidi="ar"/>
        </w:rPr>
        <w:t>污水管、</w:t>
      </w:r>
      <w:r>
        <w:rPr>
          <w:kern w:val="0"/>
          <w:szCs w:val="21"/>
          <w:lang w:bidi="ar"/>
        </w:rPr>
        <w:t>DN700</w:t>
      </w:r>
      <w:r>
        <w:rPr>
          <w:rFonts w:hint="eastAsia" w:ascii="宋体" w:hAnsi="宋体" w:cs="宋体"/>
          <w:kern w:val="0"/>
          <w:szCs w:val="21"/>
          <w:lang w:bidi="ar"/>
        </w:rPr>
        <w:t>外回流污泥管接至生反池、</w:t>
      </w:r>
      <w:r>
        <w:rPr>
          <w:kern w:val="0"/>
          <w:szCs w:val="21"/>
          <w:lang w:bidi="ar"/>
        </w:rPr>
        <w:t>DN200</w:t>
      </w:r>
      <w:r>
        <w:rPr>
          <w:rFonts w:hint="eastAsia" w:ascii="宋体" w:hAnsi="宋体" w:cs="宋体"/>
          <w:kern w:val="0"/>
          <w:szCs w:val="21"/>
          <w:lang w:bidi="ar"/>
        </w:rPr>
        <w:t>剩余污泥管接至储泥池、</w:t>
      </w:r>
      <w:r>
        <w:rPr>
          <w:kern w:val="0"/>
          <w:szCs w:val="21"/>
          <w:lang w:bidi="ar"/>
        </w:rPr>
        <w:t>DN150</w:t>
      </w:r>
      <w:r>
        <w:rPr>
          <w:rFonts w:hint="eastAsia" w:ascii="宋体" w:hAnsi="宋体" w:cs="宋体"/>
          <w:kern w:val="0"/>
          <w:szCs w:val="21"/>
          <w:lang w:bidi="ar"/>
        </w:rPr>
        <w:t>剩余污泥管、</w:t>
      </w:r>
      <w:r>
        <w:rPr>
          <w:kern w:val="0"/>
          <w:szCs w:val="21"/>
          <w:lang w:bidi="ar"/>
        </w:rPr>
        <w:t>DN200</w:t>
      </w:r>
      <w:r>
        <w:rPr>
          <w:rFonts w:hint="eastAsia" w:ascii="宋体" w:hAnsi="宋体" w:cs="宋体"/>
          <w:kern w:val="0"/>
          <w:szCs w:val="21"/>
          <w:lang w:bidi="ar"/>
        </w:rPr>
        <w:t>剩余污泥管、</w:t>
      </w:r>
      <w:r>
        <w:rPr>
          <w:kern w:val="0"/>
          <w:szCs w:val="21"/>
          <w:lang w:bidi="ar"/>
        </w:rPr>
        <w:t>DN200</w:t>
      </w:r>
      <w:r>
        <w:rPr>
          <w:rFonts w:hint="eastAsia" w:ascii="宋体" w:hAnsi="宋体" w:cs="宋体"/>
          <w:kern w:val="0"/>
          <w:szCs w:val="21"/>
          <w:lang w:bidi="ar"/>
        </w:rPr>
        <w:t>排渣管、</w:t>
      </w:r>
      <w:r>
        <w:rPr>
          <w:kern w:val="0"/>
          <w:szCs w:val="21"/>
          <w:lang w:bidi="ar"/>
        </w:rPr>
        <w:t>DN300</w:t>
      </w:r>
      <w:r>
        <w:rPr>
          <w:rFonts w:hint="eastAsia" w:ascii="宋体" w:hAnsi="宋体" w:cs="宋体"/>
          <w:kern w:val="0"/>
          <w:szCs w:val="21"/>
          <w:lang w:bidi="ar"/>
        </w:rPr>
        <w:t>排渣管和</w:t>
      </w:r>
      <w:r>
        <w:rPr>
          <w:kern w:val="0"/>
          <w:szCs w:val="21"/>
          <w:lang w:bidi="ar"/>
        </w:rPr>
        <w:t>DN300</w:t>
      </w:r>
      <w:r>
        <w:rPr>
          <w:rFonts w:hint="eastAsia" w:ascii="宋体" w:hAnsi="宋体" w:cs="宋体"/>
          <w:kern w:val="0"/>
          <w:szCs w:val="21"/>
          <w:lang w:bidi="ar"/>
        </w:rPr>
        <w:t>放空管均由施工总承包单位（由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招标人另行委托）负责供货及安装包括橡胶接头、限位伸缩接头、与剩余污泥泵连接安装所需的垫片、螺栓等零配件供货及安装。</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w:t>
      </w:r>
      <w:r>
        <w:rPr>
          <w:kern w:val="0"/>
          <w:szCs w:val="21"/>
          <w:lang w:bidi="ar"/>
        </w:rPr>
        <w:t>DN250</w:t>
      </w:r>
      <w:r>
        <w:rPr>
          <w:rFonts w:hint="eastAsia" w:ascii="宋体" w:hAnsi="宋体" w:cs="宋体"/>
          <w:kern w:val="0"/>
          <w:szCs w:val="21"/>
          <w:lang w:bidi="ar"/>
        </w:rPr>
        <w:t>套筒阀至排泥槽排泥管（含</w:t>
      </w:r>
      <w:r>
        <w:rPr>
          <w:rFonts w:hint="eastAsia" w:ascii="宋体" w:hAnsi="宋体" w:cs="宋体"/>
          <w:szCs w:val="21"/>
          <w:lang w:bidi="ar"/>
        </w:rPr>
        <w:t>套筒阀下面的L型排泥管</w:t>
      </w:r>
      <w:r>
        <w:rPr>
          <w:rFonts w:hint="eastAsia" w:ascii="宋体" w:hAnsi="宋体" w:cs="宋体"/>
          <w:kern w:val="0"/>
          <w:szCs w:val="21"/>
          <w:lang w:bidi="ar"/>
        </w:rPr>
        <w:t>）、池底排泥槽排泥盖板由投标人负责供货，施工总承包单位（由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招标人另行委托）负责预埋及二次浇筑；</w:t>
      </w:r>
      <w:r>
        <w:rPr>
          <w:kern w:val="0"/>
          <w:szCs w:val="21"/>
          <w:lang w:bidi="ar"/>
        </w:rPr>
        <w:t>DN40</w:t>
      </w:r>
      <w:r>
        <w:rPr>
          <w:rFonts w:hint="eastAsia" w:ascii="宋体" w:hAnsi="宋体" w:cs="宋体"/>
          <w:kern w:val="0"/>
          <w:szCs w:val="21"/>
          <w:lang w:bidi="ar"/>
        </w:rPr>
        <w:t>预埋钢管（</w:t>
      </w:r>
      <w:r>
        <w:rPr>
          <w:kern w:val="0"/>
          <w:szCs w:val="21"/>
          <w:lang w:bidi="ar"/>
        </w:rPr>
        <w:t>304</w:t>
      </w:r>
      <w:r>
        <w:rPr>
          <w:rFonts w:hint="eastAsia" w:ascii="宋体" w:hAnsi="宋体" w:cs="宋体"/>
          <w:kern w:val="0"/>
          <w:szCs w:val="21"/>
          <w:lang w:bidi="ar"/>
        </w:rPr>
        <w:t>不锈钢材质，厚度≥</w:t>
      </w:r>
      <w:r>
        <w:rPr>
          <w:kern w:val="0"/>
          <w:szCs w:val="21"/>
          <w:lang w:bidi="ar"/>
        </w:rPr>
        <w:t>3.5mm</w:t>
      </w:r>
      <w:r>
        <w:rPr>
          <w:rFonts w:hint="eastAsia" w:ascii="宋体" w:hAnsi="宋体" w:cs="宋体"/>
          <w:kern w:val="0"/>
          <w:szCs w:val="21"/>
          <w:lang w:bidi="ar"/>
        </w:rPr>
        <w:t>）底部接排泥管的连接管道由投标人负责供货，施工总承包单位（由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3</w:t>
      </w:r>
      <w:r>
        <w:rPr>
          <w:rFonts w:hint="eastAsia" w:ascii="宋体" w:hAnsi="宋体" w:cs="宋体"/>
          <w:kern w:val="0"/>
          <w:szCs w:val="21"/>
          <w:lang w:bidi="ar"/>
        </w:rPr>
        <w:t>）电动撤渣管</w:t>
      </w:r>
      <w:r>
        <w:rPr>
          <w:kern w:val="0"/>
          <w:szCs w:val="21"/>
          <w:lang w:bidi="ar"/>
        </w:rPr>
        <w:t>DN300</w:t>
      </w:r>
      <w:r>
        <w:rPr>
          <w:rFonts w:hint="eastAsia" w:ascii="宋体" w:hAnsi="宋体" w:cs="宋体"/>
          <w:kern w:val="0"/>
          <w:szCs w:val="21"/>
          <w:lang w:bidi="ar"/>
        </w:rPr>
        <w:t>至排渣渠以内的管道由投标人负责供货、安装；墙管、单法墙管由施工总承包单位（由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招标人另行委托）供货及预埋。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4</w:t>
      </w:r>
      <w:r>
        <w:rPr>
          <w:rFonts w:hint="eastAsia" w:ascii="宋体" w:hAnsi="宋体" w:cs="宋体"/>
          <w:kern w:val="0"/>
          <w:szCs w:val="21"/>
          <w:lang w:bidi="ar"/>
        </w:rPr>
        <w:t>）DN100配水孔管由投标人负责供货，指导施工总承包单位（由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招标人另行委托）安装预埋。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5</w:t>
      </w:r>
      <w:r>
        <w:rPr>
          <w:rFonts w:hint="eastAsia" w:ascii="宋体" w:hAnsi="宋体" w:cs="宋体"/>
          <w:kern w:val="0"/>
          <w:szCs w:val="21"/>
          <w:lang w:bidi="ar"/>
        </w:rPr>
        <w:t>）出水堰板、浮渣挡板、裙板、挡板等均由投标人负责供货、安装。</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6</w:t>
      </w:r>
      <w:r>
        <w:rPr>
          <w:rFonts w:hint="eastAsia" w:ascii="宋体" w:hAnsi="宋体" w:cs="宋体"/>
          <w:kern w:val="0"/>
          <w:szCs w:val="21"/>
          <w:lang w:bidi="ar"/>
        </w:rPr>
        <w:t>）</w:t>
      </w:r>
      <w:r>
        <w:rPr>
          <w:kern w:val="0"/>
          <w:szCs w:val="21"/>
          <w:lang w:bidi="ar"/>
        </w:rPr>
        <w:t>DN40</w:t>
      </w:r>
      <w:r>
        <w:rPr>
          <w:rFonts w:hint="eastAsia" w:ascii="宋体" w:hAnsi="宋体" w:cs="宋体"/>
          <w:kern w:val="0"/>
          <w:szCs w:val="21"/>
          <w:lang w:bidi="ar"/>
        </w:rPr>
        <w:t>预埋钢管（</w:t>
      </w:r>
      <w:r>
        <w:rPr>
          <w:kern w:val="0"/>
          <w:szCs w:val="21"/>
          <w:lang w:bidi="ar"/>
        </w:rPr>
        <w:t>304</w:t>
      </w:r>
      <w:r>
        <w:rPr>
          <w:rFonts w:hint="eastAsia" w:ascii="宋体" w:hAnsi="宋体" w:cs="宋体"/>
          <w:kern w:val="0"/>
          <w:szCs w:val="21"/>
          <w:lang w:bidi="ar"/>
        </w:rPr>
        <w:t>不锈钢材质，厚度≥</w:t>
      </w:r>
      <w:r>
        <w:rPr>
          <w:kern w:val="0"/>
          <w:szCs w:val="21"/>
          <w:lang w:bidi="ar"/>
        </w:rPr>
        <w:t>3.5mm</w:t>
      </w:r>
      <w:r>
        <w:rPr>
          <w:rFonts w:hint="eastAsia" w:ascii="宋体" w:hAnsi="宋体" w:cs="宋体"/>
          <w:kern w:val="0"/>
          <w:szCs w:val="21"/>
          <w:lang w:bidi="ar"/>
        </w:rPr>
        <w:t>）底部接排泥管由投标人配套提供并安装：施工总承包单位（由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招标人另行委托）负责相应的穿墙预埋。</w:t>
      </w:r>
    </w:p>
    <w:p>
      <w:pPr>
        <w:snapToGrid w:val="0"/>
        <w:spacing w:line="360" w:lineRule="auto"/>
        <w:ind w:firstLine="420" w:firstLineChars="200"/>
        <w:rPr>
          <w:kern w:val="0"/>
          <w:szCs w:val="21"/>
        </w:rPr>
      </w:pPr>
      <w:r>
        <w:rPr>
          <w:kern w:val="0"/>
          <w:szCs w:val="21"/>
          <w:lang w:bidi="ar"/>
        </w:rPr>
        <w:t>6</w:t>
      </w:r>
      <w:r>
        <w:rPr>
          <w:rFonts w:hint="eastAsia" w:ascii="宋体" w:hAnsi="宋体" w:cs="宋体"/>
          <w:kern w:val="0"/>
          <w:szCs w:val="21"/>
          <w:lang w:bidi="ar"/>
        </w:rPr>
        <w:t>、除以上说明外，刮泥机系统图纸范围内的工程属投标人负责（供货、安装、调试）。</w:t>
      </w:r>
    </w:p>
    <w:p>
      <w:pPr>
        <w:pStyle w:val="5"/>
        <w:widowControl/>
        <w:numPr>
          <w:ilvl w:val="2"/>
          <w:numId w:val="4"/>
        </w:numPr>
        <w:spacing w:before="156"/>
        <w:rPr>
          <w:szCs w:val="21"/>
        </w:rPr>
      </w:pPr>
      <w:bookmarkStart w:id="834" w:name="_Toc7454"/>
      <w:r>
        <w:rPr>
          <w:rFonts w:hint="eastAsia" w:ascii="宋体" w:hAnsi="宋体" w:cs="宋体"/>
          <w:szCs w:val="21"/>
        </w:rPr>
        <w:t>东莞市黄江梅塘南部污水处理厂一期工程设备供货及安装界限</w:t>
      </w:r>
      <w:bookmarkEnd w:id="834"/>
    </w:p>
    <w:p>
      <w:pPr>
        <w:snapToGrid w:val="0"/>
        <w:spacing w:line="360" w:lineRule="auto"/>
        <w:ind w:firstLine="420" w:firstLineChars="200"/>
        <w:rPr>
          <w:kern w:val="0"/>
          <w:szCs w:val="21"/>
        </w:rPr>
      </w:pPr>
      <w:r>
        <w:rPr>
          <w:kern w:val="0"/>
          <w:szCs w:val="21"/>
          <w:lang w:bidi="ar"/>
        </w:rPr>
        <w:t>1</w:t>
      </w:r>
      <w:r>
        <w:rPr>
          <w:rFonts w:hint="eastAsia" w:ascii="宋体" w:hAnsi="宋体" w:cs="宋体"/>
          <w:kern w:val="0"/>
          <w:szCs w:val="21"/>
          <w:lang w:bidi="ar"/>
        </w:rPr>
        <w:t>、投标人提供成套的刮泥机系统设备、配套套筒阀、撇渣管、折流挡板、浮渣挡板、出水堰板、配水孔管、挡水裙板、集水出水槽、渣框等的供货及安装，含设备配套的控制箱（柜），配套的零配件、连接件、螺栓等的供货及安装。</w:t>
      </w:r>
    </w:p>
    <w:p>
      <w:pPr>
        <w:snapToGrid w:val="0"/>
        <w:spacing w:line="360" w:lineRule="auto"/>
        <w:ind w:firstLine="420" w:firstLineChars="200"/>
        <w:rPr>
          <w:kern w:val="0"/>
          <w:szCs w:val="21"/>
        </w:rPr>
      </w:pPr>
      <w:r>
        <w:rPr>
          <w:kern w:val="0"/>
          <w:szCs w:val="21"/>
          <w:lang w:bidi="ar"/>
        </w:rPr>
        <w:t>2</w:t>
      </w:r>
      <w:r>
        <w:rPr>
          <w:rFonts w:hint="eastAsia" w:ascii="宋体" w:hAnsi="宋体" w:cs="宋体"/>
          <w:kern w:val="0"/>
          <w:szCs w:val="21"/>
          <w:lang w:bidi="ar"/>
        </w:rPr>
        <w:t>、安装界限：投标人负责供货设备的安装，包括设备安装、电气安装、自控安装以及系统调试等。</w:t>
      </w:r>
    </w:p>
    <w:p>
      <w:pPr>
        <w:snapToGrid w:val="0"/>
        <w:spacing w:line="360" w:lineRule="auto"/>
        <w:ind w:firstLine="420" w:firstLineChars="200"/>
        <w:rPr>
          <w:kern w:val="0"/>
          <w:szCs w:val="21"/>
        </w:rPr>
      </w:pPr>
      <w:r>
        <w:rPr>
          <w:kern w:val="0"/>
          <w:szCs w:val="21"/>
          <w:lang w:bidi="ar"/>
        </w:rPr>
        <w:t>3</w:t>
      </w:r>
      <w:r>
        <w:rPr>
          <w:rFonts w:hint="eastAsia" w:ascii="宋体" w:hAnsi="宋体" w:cs="宋体"/>
          <w:kern w:val="0"/>
          <w:szCs w:val="21"/>
          <w:lang w:bidi="ar"/>
        </w:rPr>
        <w:t>、电控线缆界面：以现场控制箱（柜）为分界线，控制箱（柜）至设备的电缆、控制电缆线缆、光纤由投标人负责提供。控制箱（柜）的进线电缆、桥架的供货、安装、接线由施工总承包单位（由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招标人另行委托）负责；设备与中控上位机连接的进线电缆、线缆、光纤由自控专业承包单位（由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招标人另行委托）负责供货、安装。</w:t>
      </w:r>
      <w:r>
        <w:rPr>
          <w:rFonts w:hint="eastAsia"/>
          <w:kern w:val="0"/>
          <w:szCs w:val="21"/>
          <w:lang w:bidi="ar"/>
        </w:rPr>
        <w:t xml:space="preserve"> </w:t>
      </w:r>
    </w:p>
    <w:p>
      <w:pPr>
        <w:snapToGrid w:val="0"/>
        <w:spacing w:line="360" w:lineRule="auto"/>
        <w:ind w:firstLine="420" w:firstLineChars="200"/>
        <w:rPr>
          <w:kern w:val="0"/>
          <w:szCs w:val="21"/>
        </w:rPr>
      </w:pPr>
      <w:r>
        <w:rPr>
          <w:kern w:val="0"/>
          <w:szCs w:val="21"/>
          <w:lang w:bidi="ar"/>
        </w:rPr>
        <w:t>4</w:t>
      </w:r>
      <w:r>
        <w:rPr>
          <w:rFonts w:hint="eastAsia" w:ascii="宋体" w:hAnsi="宋体" w:cs="宋体"/>
          <w:kern w:val="0"/>
          <w:szCs w:val="21"/>
          <w:lang w:bidi="ar"/>
        </w:rPr>
        <w:t>、土建界限：除配水孔管由投标人供货，施工总承包单位（由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招标人另行委托）安装外，其余设备安装所需的土建预埋件（管）由施工总承包单位（由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w:t>
      </w:r>
    </w:p>
    <w:p>
      <w:pPr>
        <w:snapToGrid w:val="0"/>
        <w:spacing w:line="360" w:lineRule="auto"/>
        <w:ind w:firstLine="420" w:firstLineChars="200"/>
        <w:rPr>
          <w:kern w:val="0"/>
          <w:szCs w:val="21"/>
        </w:rPr>
      </w:pPr>
      <w:r>
        <w:rPr>
          <w:kern w:val="0"/>
          <w:szCs w:val="21"/>
          <w:lang w:bidi="ar"/>
        </w:rPr>
        <w:t>5</w:t>
      </w:r>
      <w:r>
        <w:rPr>
          <w:rFonts w:hint="eastAsia" w:ascii="宋体" w:hAnsi="宋体" w:cs="宋体"/>
          <w:kern w:val="0"/>
          <w:szCs w:val="21"/>
          <w:lang w:bidi="ar"/>
        </w:rPr>
        <w:t>、管道界限：</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w:t>
      </w:r>
      <w:r>
        <w:rPr>
          <w:kern w:val="0"/>
          <w:szCs w:val="21"/>
          <w:lang w:bidi="ar"/>
        </w:rPr>
        <w:t>DN200</w:t>
      </w:r>
      <w:r>
        <w:rPr>
          <w:rFonts w:hint="eastAsia" w:ascii="宋体" w:hAnsi="宋体" w:cs="宋体"/>
          <w:kern w:val="0"/>
          <w:szCs w:val="21"/>
          <w:lang w:bidi="ar"/>
        </w:rPr>
        <w:t>排渣管、</w:t>
      </w:r>
      <w:r>
        <w:rPr>
          <w:kern w:val="0"/>
          <w:szCs w:val="21"/>
          <w:lang w:bidi="ar"/>
        </w:rPr>
        <w:t>DN300</w:t>
      </w:r>
      <w:r>
        <w:rPr>
          <w:rFonts w:hint="eastAsia" w:ascii="宋体" w:hAnsi="宋体" w:cs="宋体"/>
          <w:kern w:val="0"/>
          <w:szCs w:val="21"/>
          <w:lang w:bidi="ar"/>
        </w:rPr>
        <w:t>排渣管、</w:t>
      </w:r>
      <w:r>
        <w:rPr>
          <w:kern w:val="0"/>
          <w:szCs w:val="21"/>
          <w:lang w:bidi="ar"/>
        </w:rPr>
        <w:t>DN300</w:t>
      </w:r>
      <w:r>
        <w:rPr>
          <w:rFonts w:hint="eastAsia" w:ascii="宋体" w:hAnsi="宋体" w:cs="宋体"/>
          <w:kern w:val="0"/>
          <w:szCs w:val="21"/>
          <w:lang w:bidi="ar"/>
        </w:rPr>
        <w:t>放空管、</w:t>
      </w:r>
      <w:r>
        <w:rPr>
          <w:kern w:val="0"/>
          <w:szCs w:val="21"/>
          <w:lang w:bidi="ar"/>
        </w:rPr>
        <w:t>DN400</w:t>
      </w:r>
      <w:r>
        <w:rPr>
          <w:rFonts w:hint="eastAsia" w:ascii="宋体" w:hAnsi="宋体" w:cs="宋体"/>
          <w:kern w:val="0"/>
          <w:szCs w:val="21"/>
          <w:lang w:bidi="ar"/>
        </w:rPr>
        <w:t>放空管、</w:t>
      </w:r>
      <w:r>
        <w:rPr>
          <w:kern w:val="0"/>
          <w:szCs w:val="21"/>
          <w:lang w:bidi="ar"/>
        </w:rPr>
        <w:t>DN600</w:t>
      </w:r>
      <w:r>
        <w:rPr>
          <w:rFonts w:hint="eastAsia" w:ascii="宋体" w:hAnsi="宋体" w:cs="宋体"/>
          <w:kern w:val="0"/>
          <w:szCs w:val="21"/>
          <w:lang w:bidi="ar"/>
        </w:rPr>
        <w:t>放空管、</w:t>
      </w:r>
      <w:r>
        <w:rPr>
          <w:kern w:val="0"/>
          <w:szCs w:val="21"/>
          <w:lang w:bidi="ar"/>
        </w:rPr>
        <w:t>DN200</w:t>
      </w:r>
      <w:r>
        <w:rPr>
          <w:rFonts w:hint="eastAsia" w:ascii="宋体" w:hAnsi="宋体" w:cs="宋体"/>
          <w:kern w:val="0"/>
          <w:szCs w:val="21"/>
          <w:lang w:bidi="ar"/>
        </w:rPr>
        <w:t>剩余污泥管、</w:t>
      </w:r>
      <w:r>
        <w:rPr>
          <w:kern w:val="0"/>
          <w:szCs w:val="21"/>
          <w:lang w:bidi="ar"/>
        </w:rPr>
        <w:t>DN300</w:t>
      </w:r>
      <w:r>
        <w:rPr>
          <w:rFonts w:hint="eastAsia" w:ascii="宋体" w:hAnsi="宋体" w:cs="宋体"/>
          <w:kern w:val="0"/>
          <w:szCs w:val="21"/>
          <w:lang w:bidi="ar"/>
        </w:rPr>
        <w:t>剩余污泥管、</w:t>
      </w:r>
      <w:r>
        <w:rPr>
          <w:kern w:val="0"/>
          <w:szCs w:val="21"/>
          <w:lang w:bidi="ar"/>
        </w:rPr>
        <w:t>DN300</w:t>
      </w:r>
      <w:r>
        <w:rPr>
          <w:rFonts w:hint="eastAsia" w:ascii="宋体" w:hAnsi="宋体" w:cs="宋体"/>
          <w:kern w:val="0"/>
          <w:szCs w:val="21"/>
          <w:lang w:bidi="ar"/>
        </w:rPr>
        <w:t>排泥管、</w:t>
      </w:r>
      <w:r>
        <w:rPr>
          <w:kern w:val="0"/>
          <w:szCs w:val="21"/>
          <w:lang w:bidi="ar"/>
        </w:rPr>
        <w:t>DN65</w:t>
      </w:r>
      <w:r>
        <w:rPr>
          <w:rFonts w:hint="eastAsia" w:ascii="宋体" w:hAnsi="宋体" w:cs="宋体"/>
          <w:kern w:val="0"/>
          <w:szCs w:val="21"/>
          <w:lang w:bidi="ar"/>
        </w:rPr>
        <w:t>排水管接至二沉池进水渠均由施工总承包单位（由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招标人另行委托）负责供货及安装，包括橡胶接头、限位伸缩接头、与剩余污泥泵连接安装所需的垫片、螺栓等零配件供货及安装。</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w:t>
      </w:r>
      <w:r>
        <w:rPr>
          <w:kern w:val="0"/>
          <w:szCs w:val="21"/>
          <w:lang w:bidi="ar"/>
        </w:rPr>
        <w:t>DN250</w:t>
      </w:r>
      <w:r>
        <w:rPr>
          <w:rFonts w:hint="eastAsia" w:ascii="宋体" w:hAnsi="宋体" w:cs="宋体"/>
          <w:kern w:val="0"/>
          <w:szCs w:val="21"/>
          <w:lang w:bidi="ar"/>
        </w:rPr>
        <w:t>套筒阀至排泥槽排泥管（含</w:t>
      </w:r>
      <w:r>
        <w:rPr>
          <w:rFonts w:hint="eastAsia" w:ascii="宋体" w:hAnsi="宋体" w:cs="宋体"/>
          <w:szCs w:val="21"/>
          <w:lang w:bidi="ar"/>
        </w:rPr>
        <w:t>套筒阀下面的L型排泥管</w:t>
      </w:r>
      <w:r>
        <w:rPr>
          <w:rFonts w:hint="eastAsia" w:ascii="宋体" w:hAnsi="宋体" w:cs="宋体"/>
          <w:kern w:val="0"/>
          <w:szCs w:val="21"/>
          <w:lang w:bidi="ar"/>
        </w:rPr>
        <w:t>）、池底排泥槽排泥盖板由投标人负责供货，施工总承包单位（由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招标人另行委托）负责预埋及二次浇筑。</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3</w:t>
      </w:r>
      <w:r>
        <w:rPr>
          <w:rFonts w:hint="eastAsia" w:ascii="宋体" w:hAnsi="宋体" w:cs="宋体"/>
          <w:kern w:val="0"/>
          <w:szCs w:val="21"/>
          <w:lang w:bidi="ar"/>
        </w:rPr>
        <w:t>）电动撇渣管</w:t>
      </w:r>
      <w:r>
        <w:rPr>
          <w:kern w:val="0"/>
          <w:szCs w:val="21"/>
          <w:lang w:bidi="ar"/>
        </w:rPr>
        <w:t>DN300</w:t>
      </w:r>
      <w:r>
        <w:rPr>
          <w:rFonts w:hint="eastAsia" w:ascii="宋体" w:hAnsi="宋体" w:cs="宋体"/>
          <w:kern w:val="0"/>
          <w:szCs w:val="21"/>
          <w:lang w:bidi="ar"/>
        </w:rPr>
        <w:t>至排渣渠以内的管道由投标人负责供货、安装；墙管、单法墙管由施工总承包单位（由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招标人另行委托）供货及预埋。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4</w:t>
      </w:r>
      <w:r>
        <w:rPr>
          <w:rFonts w:hint="eastAsia" w:ascii="宋体" w:hAnsi="宋体" w:cs="宋体"/>
          <w:kern w:val="0"/>
          <w:szCs w:val="21"/>
          <w:lang w:bidi="ar"/>
        </w:rPr>
        <w:t>）DN100配水孔管由投标人负责供货，指导施工总承包单位（由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招标人另行委托）安装预埋。</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5</w:t>
      </w:r>
      <w:r>
        <w:rPr>
          <w:rFonts w:hint="eastAsia" w:ascii="宋体" w:hAnsi="宋体" w:cs="宋体"/>
          <w:kern w:val="0"/>
          <w:szCs w:val="21"/>
          <w:lang w:bidi="ar"/>
        </w:rPr>
        <w:t>）出水堰板、浮渣挡板、裙板、挡板等均由投标人负责供货、安装。</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6</w:t>
      </w:r>
      <w:r>
        <w:rPr>
          <w:rFonts w:hint="eastAsia" w:ascii="宋体" w:hAnsi="宋体" w:cs="宋体"/>
          <w:kern w:val="0"/>
          <w:szCs w:val="21"/>
          <w:lang w:bidi="ar"/>
        </w:rPr>
        <w:t>）</w:t>
      </w:r>
      <w:r>
        <w:rPr>
          <w:kern w:val="0"/>
          <w:szCs w:val="21"/>
          <w:lang w:bidi="ar"/>
        </w:rPr>
        <w:t>DN40</w:t>
      </w:r>
      <w:r>
        <w:rPr>
          <w:rFonts w:hint="eastAsia" w:ascii="宋体" w:hAnsi="宋体" w:cs="宋体"/>
          <w:kern w:val="0"/>
          <w:szCs w:val="21"/>
          <w:lang w:bidi="ar"/>
        </w:rPr>
        <w:t>预埋钢管（</w:t>
      </w:r>
      <w:r>
        <w:rPr>
          <w:kern w:val="0"/>
          <w:szCs w:val="21"/>
          <w:lang w:bidi="ar"/>
        </w:rPr>
        <w:t>304</w:t>
      </w:r>
      <w:r>
        <w:rPr>
          <w:rFonts w:hint="eastAsia" w:ascii="宋体" w:hAnsi="宋体" w:cs="宋体"/>
          <w:kern w:val="0"/>
          <w:szCs w:val="21"/>
          <w:lang w:bidi="ar"/>
        </w:rPr>
        <w:t>不锈钢材质，厚度≥</w:t>
      </w:r>
      <w:r>
        <w:rPr>
          <w:kern w:val="0"/>
          <w:szCs w:val="21"/>
          <w:lang w:bidi="ar"/>
        </w:rPr>
        <w:t>3.5mm</w:t>
      </w:r>
      <w:r>
        <w:rPr>
          <w:rFonts w:hint="eastAsia" w:ascii="宋体" w:hAnsi="宋体" w:cs="宋体"/>
          <w:kern w:val="0"/>
          <w:szCs w:val="21"/>
          <w:lang w:bidi="ar"/>
        </w:rPr>
        <w:t>）底部接排泥管由投标人配套提供并安装：施工总承包单位（由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招标人另行委托）负责相应的穿墙预埋。</w:t>
      </w:r>
    </w:p>
    <w:p>
      <w:pPr>
        <w:ind w:firstLine="420" w:firstLineChars="200"/>
        <w:rPr>
          <w:szCs w:val="21"/>
        </w:rPr>
      </w:pPr>
      <w:r>
        <w:rPr>
          <w:kern w:val="0"/>
          <w:szCs w:val="21"/>
          <w:lang w:bidi="ar"/>
        </w:rPr>
        <w:t>6</w:t>
      </w:r>
      <w:r>
        <w:rPr>
          <w:rFonts w:hint="eastAsia" w:ascii="宋体" w:hAnsi="宋体" w:cs="宋体"/>
          <w:kern w:val="0"/>
          <w:szCs w:val="21"/>
          <w:lang w:bidi="ar"/>
        </w:rPr>
        <w:t>、除以上说明外，刮泥机系统图纸范围内的工程属投标人负责（供货、安装、调试）。</w:t>
      </w:r>
    </w:p>
    <w:p>
      <w:pPr>
        <w:pStyle w:val="5"/>
        <w:widowControl/>
        <w:numPr>
          <w:ilvl w:val="2"/>
          <w:numId w:val="4"/>
        </w:numPr>
        <w:spacing w:before="156"/>
        <w:rPr>
          <w:szCs w:val="21"/>
        </w:rPr>
      </w:pPr>
      <w:bookmarkStart w:id="835" w:name="_Toc31349"/>
      <w:r>
        <w:rPr>
          <w:rFonts w:hint="eastAsia" w:ascii="宋体" w:hAnsi="宋体" w:cs="宋体"/>
          <w:szCs w:val="21"/>
        </w:rPr>
        <w:t>东莞市凤岗竹塘污水处理厂三期工程设备供货及安装界限</w:t>
      </w:r>
      <w:bookmarkEnd w:id="835"/>
    </w:p>
    <w:p>
      <w:pPr>
        <w:snapToGrid w:val="0"/>
        <w:spacing w:line="360" w:lineRule="auto"/>
        <w:ind w:firstLine="420" w:firstLineChars="200"/>
        <w:rPr>
          <w:kern w:val="0"/>
          <w:szCs w:val="21"/>
        </w:rPr>
      </w:pPr>
      <w:r>
        <w:rPr>
          <w:kern w:val="0"/>
          <w:szCs w:val="21"/>
          <w:lang w:bidi="ar"/>
        </w:rPr>
        <w:t>1</w:t>
      </w:r>
      <w:r>
        <w:rPr>
          <w:rFonts w:hint="eastAsia" w:ascii="宋体" w:hAnsi="宋体" w:cs="宋体"/>
          <w:kern w:val="0"/>
          <w:szCs w:val="21"/>
          <w:lang w:bidi="ar"/>
        </w:rPr>
        <w:t>、投标人提供成套的刮泥机系统设备、配套套筒阀、撇渣管、折流挡板、浮渣挡板、出水堰板、配水孔管、挡水裙板、集水出水槽、渣框等的供货及安装，含设备配套的控制箱（柜），配套的零配件、连接件、螺栓等的供货及安装。</w:t>
      </w:r>
    </w:p>
    <w:p>
      <w:pPr>
        <w:snapToGrid w:val="0"/>
        <w:spacing w:line="360" w:lineRule="auto"/>
        <w:ind w:firstLine="420" w:firstLineChars="200"/>
        <w:rPr>
          <w:kern w:val="0"/>
          <w:szCs w:val="21"/>
        </w:rPr>
      </w:pPr>
      <w:r>
        <w:rPr>
          <w:kern w:val="0"/>
          <w:szCs w:val="21"/>
          <w:lang w:bidi="ar"/>
        </w:rPr>
        <w:t>2</w:t>
      </w:r>
      <w:r>
        <w:rPr>
          <w:rFonts w:hint="eastAsia" w:ascii="宋体" w:hAnsi="宋体" w:cs="宋体"/>
          <w:kern w:val="0"/>
          <w:szCs w:val="21"/>
          <w:lang w:bidi="ar"/>
        </w:rPr>
        <w:t>、安装界限：投标人负责供货设备的安装，包括设备安装、电气安装、自控安装以及系统调试等。</w:t>
      </w:r>
    </w:p>
    <w:p>
      <w:pPr>
        <w:snapToGrid w:val="0"/>
        <w:spacing w:line="360" w:lineRule="auto"/>
        <w:ind w:firstLine="420" w:firstLineChars="200"/>
        <w:rPr>
          <w:kern w:val="0"/>
          <w:szCs w:val="21"/>
        </w:rPr>
      </w:pPr>
      <w:r>
        <w:rPr>
          <w:kern w:val="0"/>
          <w:szCs w:val="21"/>
          <w:lang w:bidi="ar"/>
        </w:rPr>
        <w:t>3</w:t>
      </w:r>
      <w:r>
        <w:rPr>
          <w:rFonts w:hint="eastAsia" w:ascii="宋体" w:hAnsi="宋体" w:cs="宋体"/>
          <w:kern w:val="0"/>
          <w:szCs w:val="21"/>
          <w:lang w:bidi="ar"/>
        </w:rPr>
        <w:t>、电控线缆界面：以现场控制箱（柜）为分界线，控制箱（柜）至设备的电缆、控制电缆线缆、光纤由投标人负责提供。控制箱（柜）的进线电缆、桥架的供货、安装、接线由施工总承包单位（由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招标人另行委托）负责；设备与中控上位机连接的进线电缆、线缆、光纤由自控专业承包单位（由招标人另行委托）负责供货、安装。</w:t>
      </w:r>
    </w:p>
    <w:p>
      <w:pPr>
        <w:snapToGrid w:val="0"/>
        <w:spacing w:line="360" w:lineRule="auto"/>
        <w:ind w:firstLine="420" w:firstLineChars="200"/>
        <w:rPr>
          <w:kern w:val="0"/>
          <w:szCs w:val="21"/>
        </w:rPr>
      </w:pPr>
      <w:r>
        <w:rPr>
          <w:kern w:val="0"/>
          <w:szCs w:val="21"/>
          <w:lang w:bidi="ar"/>
        </w:rPr>
        <w:t>4</w:t>
      </w:r>
      <w:r>
        <w:rPr>
          <w:rFonts w:hint="eastAsia" w:ascii="宋体" w:hAnsi="宋体" w:cs="宋体"/>
          <w:kern w:val="0"/>
          <w:szCs w:val="21"/>
          <w:lang w:bidi="ar"/>
        </w:rPr>
        <w:t>、土建界限：除配水孔管由投标人供货，施工总承包单位（由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招标人另行委托）安装外，其余设备安装所需的土建预埋件（管）由施工总承包单位（由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招标人另行委托）负责供货及安装。</w:t>
      </w:r>
    </w:p>
    <w:p>
      <w:pPr>
        <w:snapToGrid w:val="0"/>
        <w:spacing w:line="360" w:lineRule="auto"/>
        <w:ind w:firstLine="420" w:firstLineChars="200"/>
        <w:rPr>
          <w:kern w:val="0"/>
          <w:szCs w:val="21"/>
        </w:rPr>
      </w:pPr>
      <w:r>
        <w:rPr>
          <w:kern w:val="0"/>
          <w:szCs w:val="21"/>
          <w:lang w:bidi="ar"/>
        </w:rPr>
        <w:t>5</w:t>
      </w:r>
      <w:r>
        <w:rPr>
          <w:rFonts w:hint="eastAsia" w:ascii="宋体" w:hAnsi="宋体" w:cs="宋体"/>
          <w:kern w:val="0"/>
          <w:szCs w:val="21"/>
          <w:lang w:bidi="ar"/>
        </w:rPr>
        <w:t>、管道界限：</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1</w:t>
      </w:r>
      <w:r>
        <w:rPr>
          <w:rFonts w:hint="eastAsia" w:ascii="宋体" w:hAnsi="宋体" w:cs="宋体"/>
          <w:kern w:val="0"/>
          <w:szCs w:val="21"/>
          <w:lang w:bidi="ar"/>
        </w:rPr>
        <w:t>）</w:t>
      </w:r>
      <w:r>
        <w:rPr>
          <w:kern w:val="0"/>
          <w:szCs w:val="21"/>
          <w:lang w:bidi="ar"/>
        </w:rPr>
        <w:t>DN1400</w:t>
      </w:r>
      <w:r>
        <w:rPr>
          <w:rFonts w:hint="eastAsia" w:ascii="宋体" w:hAnsi="宋体" w:cs="宋体"/>
          <w:kern w:val="0"/>
          <w:szCs w:val="21"/>
          <w:lang w:bidi="ar"/>
        </w:rPr>
        <w:t>进水管、</w:t>
      </w:r>
      <w:r>
        <w:rPr>
          <w:kern w:val="0"/>
          <w:szCs w:val="21"/>
          <w:lang w:bidi="ar"/>
        </w:rPr>
        <w:t>DN600</w:t>
      </w:r>
      <w:r>
        <w:rPr>
          <w:rFonts w:hint="eastAsia" w:ascii="宋体" w:hAnsi="宋体" w:cs="宋体"/>
          <w:kern w:val="0"/>
          <w:szCs w:val="21"/>
          <w:lang w:bidi="ar"/>
        </w:rPr>
        <w:t>进水支管、</w:t>
      </w:r>
      <w:r>
        <w:rPr>
          <w:kern w:val="0"/>
          <w:szCs w:val="21"/>
          <w:lang w:bidi="ar"/>
        </w:rPr>
        <w:t>DN1200</w:t>
      </w:r>
      <w:r>
        <w:rPr>
          <w:rFonts w:hint="eastAsia" w:ascii="宋体" w:hAnsi="宋体" w:cs="宋体"/>
          <w:kern w:val="0"/>
          <w:szCs w:val="21"/>
          <w:lang w:bidi="ar"/>
        </w:rPr>
        <w:t>出水管、</w:t>
      </w:r>
      <w:r>
        <w:rPr>
          <w:kern w:val="0"/>
          <w:szCs w:val="21"/>
          <w:lang w:bidi="ar"/>
        </w:rPr>
        <w:t>DN300</w:t>
      </w:r>
      <w:r>
        <w:rPr>
          <w:rFonts w:hint="eastAsia" w:ascii="宋体" w:hAnsi="宋体" w:cs="宋体"/>
          <w:kern w:val="0"/>
          <w:szCs w:val="21"/>
          <w:lang w:bidi="ar"/>
        </w:rPr>
        <w:t>排水管、</w:t>
      </w:r>
      <w:r>
        <w:rPr>
          <w:kern w:val="0"/>
          <w:szCs w:val="21"/>
          <w:lang w:bidi="ar"/>
        </w:rPr>
        <w:t>DN300</w:t>
      </w:r>
      <w:r>
        <w:rPr>
          <w:rFonts w:hint="eastAsia" w:ascii="宋体" w:hAnsi="宋体" w:cs="宋体"/>
          <w:kern w:val="0"/>
          <w:szCs w:val="21"/>
          <w:lang w:bidi="ar"/>
        </w:rPr>
        <w:t>排渣管、放空管、冲洗水管、</w:t>
      </w:r>
      <w:r>
        <w:rPr>
          <w:kern w:val="0"/>
          <w:szCs w:val="21"/>
          <w:lang w:bidi="ar"/>
        </w:rPr>
        <w:t>DN900</w:t>
      </w:r>
      <w:r>
        <w:rPr>
          <w:rFonts w:hint="eastAsia" w:ascii="宋体" w:hAnsi="宋体" w:cs="宋体"/>
          <w:kern w:val="0"/>
          <w:szCs w:val="21"/>
          <w:lang w:bidi="ar"/>
        </w:rPr>
        <w:t>混合液回流管、</w:t>
      </w:r>
      <w:r>
        <w:rPr>
          <w:kern w:val="0"/>
          <w:szCs w:val="21"/>
          <w:lang w:bidi="ar"/>
        </w:rPr>
        <w:t>DN150</w:t>
      </w:r>
      <w:r>
        <w:rPr>
          <w:rFonts w:hint="eastAsia" w:ascii="宋体" w:hAnsi="宋体" w:cs="宋体"/>
          <w:kern w:val="0"/>
          <w:szCs w:val="21"/>
          <w:lang w:bidi="ar"/>
        </w:rPr>
        <w:t>剩余污泥管由施工总承包单位（由项目业主或招标人另行委托）负责供货及安装；</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2</w:t>
      </w:r>
      <w:r>
        <w:rPr>
          <w:rFonts w:hint="eastAsia" w:ascii="宋体" w:hAnsi="宋体" w:cs="宋体"/>
          <w:kern w:val="0"/>
          <w:szCs w:val="21"/>
          <w:lang w:bidi="ar"/>
        </w:rPr>
        <w:t>）排泥套筒阀至排泥槽段排泥管由投标人供货及安装；排泥槽上盖雨水篦子由施工总承包单位（由项目业主或招标人另行委托）供货及安装。</w:t>
      </w:r>
    </w:p>
    <w:p>
      <w:pPr>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3</w:t>
      </w:r>
      <w:r>
        <w:rPr>
          <w:rFonts w:hint="eastAsia" w:ascii="宋体" w:hAnsi="宋体" w:cs="宋体"/>
          <w:kern w:val="0"/>
          <w:szCs w:val="21"/>
          <w:lang w:bidi="ar"/>
        </w:rPr>
        <w:t>）撇渣管从电动撇渣管至浮渣井段由投标人供货及安装，墙管、单法墙管由施工总承包单位（由项目业主或招标人另行委托）供货及预埋。</w:t>
      </w:r>
    </w:p>
    <w:p>
      <w:pPr>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4</w:t>
      </w:r>
      <w:r>
        <w:rPr>
          <w:rFonts w:hint="eastAsia" w:ascii="宋体" w:hAnsi="宋体" w:cs="宋体"/>
          <w:kern w:val="0"/>
          <w:szCs w:val="21"/>
          <w:lang w:bidi="ar"/>
        </w:rPr>
        <w:t>）</w:t>
      </w:r>
      <w:r>
        <w:rPr>
          <w:kern w:val="0"/>
          <w:szCs w:val="21"/>
          <w:lang w:bidi="ar"/>
        </w:rPr>
        <w:t>DN150</w:t>
      </w:r>
      <w:r>
        <w:rPr>
          <w:rFonts w:hint="eastAsia" w:ascii="宋体" w:hAnsi="宋体" w:cs="宋体"/>
          <w:kern w:val="0"/>
          <w:szCs w:val="21"/>
          <w:lang w:bidi="ar"/>
        </w:rPr>
        <w:t>配水孔管由投标人负责供货，指导施工总承包单位（由项目业主或招标人另行委托）安装预埋。</w:t>
      </w:r>
    </w:p>
    <w:p>
      <w:pPr>
        <w:adjustRightInd w:val="0"/>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5</w:t>
      </w:r>
      <w:r>
        <w:rPr>
          <w:rFonts w:hint="eastAsia" w:ascii="宋体" w:hAnsi="宋体" w:cs="宋体"/>
          <w:kern w:val="0"/>
          <w:szCs w:val="21"/>
          <w:lang w:bidi="ar"/>
        </w:rPr>
        <w:t>）</w:t>
      </w:r>
      <w:r>
        <w:rPr>
          <w:kern w:val="0"/>
          <w:szCs w:val="21"/>
          <w:lang w:bidi="ar"/>
        </w:rPr>
        <w:t>DN40</w:t>
      </w:r>
      <w:r>
        <w:rPr>
          <w:rFonts w:hint="eastAsia" w:ascii="宋体" w:hAnsi="宋体" w:cs="宋体"/>
          <w:kern w:val="0"/>
          <w:szCs w:val="21"/>
          <w:lang w:bidi="ar"/>
        </w:rPr>
        <w:t>预埋钢管（</w:t>
      </w:r>
      <w:r>
        <w:rPr>
          <w:kern w:val="0"/>
          <w:szCs w:val="21"/>
          <w:lang w:bidi="ar"/>
        </w:rPr>
        <w:t>304</w:t>
      </w:r>
      <w:r>
        <w:rPr>
          <w:rFonts w:hint="eastAsia" w:ascii="宋体" w:hAnsi="宋体" w:cs="宋体"/>
          <w:kern w:val="0"/>
          <w:szCs w:val="21"/>
          <w:lang w:bidi="ar"/>
        </w:rPr>
        <w:t>不锈钢材质，厚度≥</w:t>
      </w:r>
      <w:r>
        <w:rPr>
          <w:kern w:val="0"/>
          <w:szCs w:val="21"/>
          <w:lang w:bidi="ar"/>
        </w:rPr>
        <w:t>3.5mm</w:t>
      </w:r>
      <w:r>
        <w:rPr>
          <w:rFonts w:hint="eastAsia" w:ascii="宋体" w:hAnsi="宋体" w:cs="宋体"/>
          <w:kern w:val="0"/>
          <w:szCs w:val="21"/>
          <w:lang w:bidi="ar"/>
        </w:rPr>
        <w:t>）底部接排泥管由投标人配套提供并安装：施工总承包单位（由</w:t>
      </w:r>
      <w:r>
        <w:rPr>
          <w:rFonts w:hint="eastAsia" w:ascii="宋体" w:hAnsi="宋体" w:cs="宋体"/>
          <w:szCs w:val="21"/>
          <w:lang w:bidi="ar"/>
        </w:rPr>
        <w:t>项目业主或</w:t>
      </w:r>
      <w:r>
        <w:rPr>
          <w:rFonts w:hint="eastAsia" w:ascii="宋体" w:hAnsi="宋体" w:cs="宋体"/>
          <w:kern w:val="0"/>
          <w:szCs w:val="21"/>
          <w:lang w:bidi="ar"/>
        </w:rPr>
        <w:t>招标人另行委托）负责相应的穿墙预埋。</w:t>
      </w:r>
    </w:p>
    <w:p>
      <w:pPr>
        <w:adjustRightInd w:val="0"/>
        <w:snapToGrid w:val="0"/>
        <w:spacing w:line="360" w:lineRule="auto"/>
        <w:ind w:firstLine="420" w:firstLineChars="200"/>
        <w:rPr>
          <w:kern w:val="0"/>
          <w:szCs w:val="21"/>
        </w:rPr>
      </w:pPr>
      <w:r>
        <w:rPr>
          <w:kern w:val="0"/>
          <w:szCs w:val="21"/>
          <w:lang w:bidi="ar"/>
        </w:rPr>
        <w:t>6</w:t>
      </w:r>
      <w:r>
        <w:rPr>
          <w:rFonts w:hint="eastAsia" w:ascii="宋体" w:hAnsi="宋体" w:cs="宋体"/>
          <w:kern w:val="0"/>
          <w:szCs w:val="21"/>
          <w:lang w:bidi="ar"/>
        </w:rPr>
        <w:t>、除以上说明外，刮泥机系统图纸范围内的工程属投标人负责（供货、安装、调试）。</w:t>
      </w:r>
    </w:p>
    <w:p>
      <w:pPr>
        <w:pStyle w:val="4"/>
        <w:widowControl/>
        <w:numPr>
          <w:ilvl w:val="1"/>
          <w:numId w:val="4"/>
        </w:numPr>
        <w:rPr>
          <w:rFonts w:eastAsia="宋体"/>
          <w:szCs w:val="21"/>
        </w:rPr>
      </w:pPr>
      <w:bookmarkStart w:id="836" w:name="_Toc19119"/>
      <w:r>
        <w:rPr>
          <w:rFonts w:hint="eastAsia" w:ascii="宋体" w:hAnsi="宋体" w:eastAsia="宋体" w:cs="宋体"/>
          <w:szCs w:val="21"/>
        </w:rPr>
        <w:t>技术要求</w:t>
      </w:r>
      <w:bookmarkEnd w:id="836"/>
    </w:p>
    <w:p>
      <w:pPr>
        <w:pStyle w:val="5"/>
        <w:widowControl/>
        <w:numPr>
          <w:ilvl w:val="2"/>
          <w:numId w:val="4"/>
        </w:numPr>
        <w:spacing w:before="156"/>
        <w:rPr>
          <w:szCs w:val="21"/>
        </w:rPr>
      </w:pPr>
      <w:bookmarkStart w:id="837" w:name="_Toc2482"/>
      <w:r>
        <w:rPr>
          <w:rFonts w:hint="eastAsia" w:ascii="宋体" w:hAnsi="宋体" w:cs="宋体"/>
          <w:szCs w:val="21"/>
        </w:rPr>
        <w:t>链板式刮泥机</w:t>
      </w:r>
      <w:bookmarkEnd w:id="837"/>
    </w:p>
    <w:p>
      <w:pPr>
        <w:pStyle w:val="6"/>
        <w:widowControl/>
        <w:numPr>
          <w:ilvl w:val="3"/>
          <w:numId w:val="4"/>
        </w:numPr>
        <w:spacing w:before="156"/>
        <w:rPr>
          <w:rFonts w:ascii="Arial" w:hAnsi="Arial" w:cs="Arial"/>
          <w:szCs w:val="21"/>
        </w:rPr>
      </w:pPr>
      <w:r>
        <w:rPr>
          <w:rFonts w:hint="eastAsia" w:ascii="宋体" w:hAnsi="宋体"/>
          <w:szCs w:val="21"/>
        </w:rPr>
        <w:t>主要技术参数</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）刮泥机型式：链板式刮泥机，满足各项目实际需求。</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）二沉池净尺寸：东莞市沙田福禄沙污水处理厂二期工程：单池池宽</w:t>
      </w:r>
      <w:r>
        <w:rPr>
          <w:szCs w:val="21"/>
          <w:lang w:bidi="ar"/>
        </w:rPr>
        <w:t>8m</w:t>
      </w:r>
      <w:r>
        <w:rPr>
          <w:rFonts w:hint="eastAsia" w:ascii="宋体" w:hAnsi="宋体" w:cs="宋体"/>
          <w:szCs w:val="21"/>
          <w:lang w:bidi="ar"/>
        </w:rPr>
        <w:t>，池长</w:t>
      </w:r>
      <w:r>
        <w:rPr>
          <w:szCs w:val="21"/>
          <w:lang w:bidi="ar"/>
        </w:rPr>
        <w:t>36m</w:t>
      </w:r>
      <w:r>
        <w:rPr>
          <w:rFonts w:hint="eastAsia" w:ascii="宋体" w:hAnsi="宋体" w:cs="宋体"/>
          <w:szCs w:val="21"/>
          <w:lang w:bidi="ar"/>
        </w:rPr>
        <w:t>；东莞市清溪厦坭污水处理厂二期工程：单池池宽</w:t>
      </w:r>
      <w:r>
        <w:rPr>
          <w:szCs w:val="21"/>
          <w:lang w:bidi="ar"/>
        </w:rPr>
        <w:t>8.5m</w:t>
      </w:r>
      <w:r>
        <w:rPr>
          <w:rFonts w:hint="eastAsia" w:ascii="宋体" w:hAnsi="宋体" w:cs="宋体"/>
          <w:szCs w:val="21"/>
          <w:lang w:bidi="ar"/>
        </w:rPr>
        <w:t>，池长</w:t>
      </w:r>
      <w:r>
        <w:rPr>
          <w:szCs w:val="21"/>
          <w:lang w:bidi="ar"/>
        </w:rPr>
        <w:t>33m</w:t>
      </w:r>
      <w:r>
        <w:rPr>
          <w:rFonts w:hint="eastAsia" w:ascii="宋体" w:hAnsi="宋体" w:cs="宋体"/>
          <w:szCs w:val="21"/>
          <w:lang w:bidi="ar"/>
        </w:rPr>
        <w:t>；东莞市黄江梅塘南部污水处理厂一期工程：单池池宽</w:t>
      </w:r>
      <w:r>
        <w:rPr>
          <w:szCs w:val="21"/>
          <w:lang w:bidi="ar"/>
        </w:rPr>
        <w:t>8m</w:t>
      </w:r>
      <w:r>
        <w:rPr>
          <w:rFonts w:hint="eastAsia" w:ascii="宋体" w:hAnsi="宋体" w:cs="宋体"/>
          <w:szCs w:val="21"/>
          <w:lang w:bidi="ar"/>
        </w:rPr>
        <w:t>，池长</w:t>
      </w:r>
      <w:r>
        <w:rPr>
          <w:szCs w:val="21"/>
          <w:lang w:bidi="ar"/>
        </w:rPr>
        <w:t>43m</w:t>
      </w:r>
      <w:r>
        <w:rPr>
          <w:rFonts w:hint="eastAsia" w:ascii="宋体" w:hAnsi="宋体" w:cs="宋体"/>
          <w:szCs w:val="21"/>
          <w:lang w:bidi="ar"/>
        </w:rPr>
        <w:t>；东莞市凤岗竹塘污水处理厂三期工程：单池池宽</w:t>
      </w:r>
      <w:r>
        <w:rPr>
          <w:szCs w:val="21"/>
          <w:lang w:bidi="ar"/>
        </w:rPr>
        <w:t>9.5m</w:t>
      </w:r>
      <w:r>
        <w:rPr>
          <w:rFonts w:hint="eastAsia" w:ascii="宋体" w:hAnsi="宋体" w:cs="宋体"/>
          <w:szCs w:val="21"/>
          <w:lang w:bidi="ar"/>
        </w:rPr>
        <w:t>，池长</w:t>
      </w:r>
      <w:r>
        <w:rPr>
          <w:szCs w:val="21"/>
          <w:lang w:bidi="ar"/>
        </w:rPr>
        <w:t>42m</w:t>
      </w:r>
      <w:r>
        <w:rPr>
          <w:rFonts w:hint="eastAsia" w:ascii="宋体" w:hAnsi="宋体" w:cs="宋体"/>
          <w:szCs w:val="21"/>
          <w:lang w:bidi="ar"/>
        </w:rPr>
        <w:t>。</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）池数量：东莞市沙田福禄沙污水处理厂二期工程：</w:t>
      </w:r>
      <w:r>
        <w:rPr>
          <w:szCs w:val="21"/>
          <w:lang w:bidi="ar"/>
        </w:rPr>
        <w:t>6</w:t>
      </w:r>
      <w:r>
        <w:rPr>
          <w:rFonts w:hint="eastAsia" w:ascii="宋体" w:hAnsi="宋体" w:cs="宋体"/>
          <w:szCs w:val="21"/>
          <w:lang w:bidi="ar"/>
        </w:rPr>
        <w:t>组；东莞市清溪厦坭污水处理厂二期工程：</w:t>
      </w:r>
      <w:r>
        <w:rPr>
          <w:szCs w:val="21"/>
          <w:lang w:bidi="ar"/>
        </w:rPr>
        <w:t>10</w:t>
      </w:r>
      <w:r>
        <w:rPr>
          <w:rFonts w:hint="eastAsia" w:ascii="宋体" w:hAnsi="宋体" w:cs="宋体"/>
          <w:szCs w:val="21"/>
          <w:lang w:bidi="ar"/>
        </w:rPr>
        <w:t>组；东莞市黄江梅塘南部污水处理厂一期工程：</w:t>
      </w:r>
      <w:r>
        <w:rPr>
          <w:szCs w:val="21"/>
          <w:lang w:bidi="ar"/>
        </w:rPr>
        <w:t>8</w:t>
      </w:r>
      <w:r>
        <w:rPr>
          <w:rFonts w:hint="eastAsia" w:ascii="宋体" w:hAnsi="宋体" w:cs="宋体"/>
          <w:szCs w:val="21"/>
          <w:lang w:bidi="ar"/>
        </w:rPr>
        <w:t>组；东莞市凤岗竹塘污水处理厂三期工程：</w:t>
      </w:r>
      <w:r>
        <w:rPr>
          <w:szCs w:val="21"/>
          <w:lang w:bidi="ar"/>
        </w:rPr>
        <w:t>8</w:t>
      </w:r>
      <w:r>
        <w:rPr>
          <w:rFonts w:hint="eastAsia" w:ascii="宋体" w:hAnsi="宋体" w:cs="宋体"/>
          <w:szCs w:val="21"/>
          <w:lang w:bidi="ar"/>
        </w:rPr>
        <w:t>组。</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）设计规模：东莞市沙田福禄沙污水处理厂二期工程：</w:t>
      </w:r>
      <w:r>
        <w:rPr>
          <w:szCs w:val="21"/>
          <w:lang w:bidi="ar"/>
        </w:rPr>
        <w:t>4</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，变化系数</w:t>
      </w:r>
      <w:r>
        <w:rPr>
          <w:szCs w:val="21"/>
          <w:lang w:bidi="ar"/>
        </w:rPr>
        <w:t>1.32</w:t>
      </w:r>
      <w:r>
        <w:rPr>
          <w:rFonts w:hint="eastAsia" w:ascii="宋体" w:hAnsi="宋体" w:cs="宋体"/>
          <w:szCs w:val="21"/>
          <w:lang w:bidi="ar"/>
        </w:rPr>
        <w:t>；东莞市清溪厦坭污水处理厂二期工程：</w:t>
      </w:r>
      <w:r>
        <w:rPr>
          <w:szCs w:val="21"/>
          <w:lang w:bidi="ar"/>
        </w:rPr>
        <w:t>5.0</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，变化系数</w:t>
      </w:r>
      <w:r>
        <w:rPr>
          <w:szCs w:val="21"/>
          <w:lang w:bidi="ar"/>
        </w:rPr>
        <w:t>1.58</w:t>
      </w:r>
      <w:r>
        <w:rPr>
          <w:rFonts w:hint="eastAsia" w:ascii="宋体" w:hAnsi="宋体" w:cs="宋体"/>
          <w:szCs w:val="21"/>
          <w:lang w:bidi="ar"/>
        </w:rPr>
        <w:t>；东莞市黄江梅塘南部污水处理厂一期工程：</w:t>
      </w:r>
      <w:r>
        <w:rPr>
          <w:szCs w:val="21"/>
          <w:lang w:bidi="ar"/>
        </w:rPr>
        <w:t>5.0</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，变化系数</w:t>
      </w:r>
      <w:r>
        <w:rPr>
          <w:szCs w:val="21"/>
          <w:lang w:bidi="ar"/>
        </w:rPr>
        <w:t>1.58</w:t>
      </w:r>
      <w:r>
        <w:rPr>
          <w:rFonts w:hint="eastAsia" w:ascii="宋体" w:hAnsi="宋体" w:cs="宋体"/>
          <w:szCs w:val="21"/>
          <w:lang w:bidi="ar"/>
        </w:rPr>
        <w:t>；东莞市凤岗竹塘污水处理厂三期工程：</w:t>
      </w:r>
      <w:r>
        <w:rPr>
          <w:szCs w:val="21"/>
          <w:lang w:bidi="ar"/>
        </w:rPr>
        <w:t>7.0</w:t>
      </w:r>
      <w:r>
        <w:rPr>
          <w:rFonts w:hint="eastAsia" w:ascii="宋体" w:hAnsi="宋体" w:cs="宋体"/>
          <w:szCs w:val="21"/>
          <w:lang w:bidi="ar"/>
        </w:rPr>
        <w:t>万</w:t>
      </w:r>
      <w:r>
        <w:rPr>
          <w:szCs w:val="21"/>
          <w:lang w:bidi="ar"/>
        </w:rPr>
        <w:t>m</w:t>
      </w:r>
      <w:r>
        <w:rPr>
          <w:szCs w:val="21"/>
          <w:vertAlign w:val="superscript"/>
          <w:lang w:bidi="ar"/>
        </w:rPr>
        <w:t>3</w:t>
      </w:r>
      <w:r>
        <w:rPr>
          <w:szCs w:val="21"/>
          <w:lang w:bidi="ar"/>
        </w:rPr>
        <w:t>/d</w:t>
      </w:r>
      <w:r>
        <w:rPr>
          <w:rFonts w:hint="eastAsia" w:ascii="宋体" w:hAnsi="宋体" w:cs="宋体"/>
          <w:szCs w:val="21"/>
          <w:lang w:bidi="ar"/>
        </w:rPr>
        <w:t>，变化系数</w:t>
      </w:r>
      <w:r>
        <w:rPr>
          <w:szCs w:val="21"/>
          <w:lang w:bidi="ar"/>
        </w:rPr>
        <w:t>1.58</w:t>
      </w:r>
      <w:r>
        <w:rPr>
          <w:rFonts w:hint="eastAsia" w:ascii="宋体" w:hAnsi="宋体" w:cs="宋体"/>
          <w:szCs w:val="21"/>
          <w:lang w:bidi="ar"/>
        </w:rPr>
        <w:t>。</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）介质：生化池出水</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6</w:t>
      </w:r>
      <w:r>
        <w:rPr>
          <w:rFonts w:hint="eastAsia" w:ascii="宋体" w:hAnsi="宋体" w:cs="宋体"/>
          <w:szCs w:val="21"/>
          <w:lang w:bidi="ar"/>
        </w:rPr>
        <w:t>）</w:t>
      </w:r>
      <w:r>
        <w:rPr>
          <w:szCs w:val="21"/>
          <w:lang w:bidi="ar"/>
        </w:rPr>
        <w:t>PH</w:t>
      </w:r>
      <w:r>
        <w:rPr>
          <w:rFonts w:hint="eastAsia" w:ascii="宋体" w:hAnsi="宋体" w:cs="宋体"/>
          <w:szCs w:val="21"/>
          <w:lang w:bidi="ar"/>
        </w:rPr>
        <w:t>：</w:t>
      </w:r>
      <w:r>
        <w:rPr>
          <w:szCs w:val="21"/>
          <w:lang w:bidi="ar"/>
        </w:rPr>
        <w:t>6</w:t>
      </w:r>
      <w:r>
        <w:rPr>
          <w:rFonts w:hint="eastAsia" w:ascii="宋体" w:hAnsi="宋体" w:cs="宋体"/>
          <w:szCs w:val="21"/>
          <w:lang w:bidi="ar"/>
        </w:rPr>
        <w:t>～</w:t>
      </w:r>
      <w:r>
        <w:rPr>
          <w:szCs w:val="21"/>
          <w:lang w:bidi="ar"/>
        </w:rPr>
        <w:t>9</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7</w:t>
      </w:r>
      <w:r>
        <w:rPr>
          <w:rFonts w:hint="eastAsia" w:ascii="宋体" w:hAnsi="宋体" w:cs="宋体"/>
          <w:szCs w:val="21"/>
          <w:lang w:bidi="ar"/>
        </w:rPr>
        <w:t>）污水温度：</w:t>
      </w:r>
      <w:r>
        <w:rPr>
          <w:szCs w:val="21"/>
          <w:lang w:bidi="ar"/>
        </w:rPr>
        <w:t>10</w:t>
      </w:r>
      <w:r>
        <w:rPr>
          <w:rFonts w:hint="eastAsia" w:ascii="宋体" w:hAnsi="宋体" w:cs="宋体"/>
          <w:szCs w:val="21"/>
          <w:lang w:bidi="ar"/>
        </w:rPr>
        <w:t>～</w:t>
      </w:r>
      <w:r>
        <w:rPr>
          <w:szCs w:val="21"/>
          <w:lang w:bidi="ar"/>
        </w:rPr>
        <w:t>25</w:t>
      </w:r>
      <w:r>
        <w:rPr>
          <w:rFonts w:ascii="Symbol" w:hAnsi="Symbol" w:cs="Symbol"/>
          <w:szCs w:val="21"/>
          <w:lang w:bidi="ar"/>
        </w:rPr>
        <w:t>°</w:t>
      </w:r>
      <w:r>
        <w:rPr>
          <w:szCs w:val="21"/>
          <w:lang w:bidi="ar"/>
        </w:rPr>
        <w:t>C</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8</w:t>
      </w:r>
      <w:r>
        <w:rPr>
          <w:rFonts w:hint="eastAsia" w:ascii="宋体" w:hAnsi="宋体" w:cs="宋体"/>
          <w:szCs w:val="21"/>
          <w:lang w:bidi="ar"/>
        </w:rPr>
        <w:t>）最大表面负荷：东莞市沙田福禄沙污水处理厂二期工程：</w:t>
      </w:r>
      <w:r>
        <w:rPr>
          <w:szCs w:val="21"/>
          <w:lang w:bidi="ar"/>
        </w:rPr>
        <w:t>1.27m</w:t>
      </w:r>
      <w:r>
        <w:rPr>
          <w:szCs w:val="21"/>
          <w:vertAlign w:val="superscript"/>
          <w:lang w:bidi="ar"/>
        </w:rPr>
        <w:t>3</w:t>
      </w:r>
      <w:r>
        <w:rPr>
          <w:szCs w:val="21"/>
          <w:lang w:bidi="ar"/>
        </w:rPr>
        <w:t>/</w:t>
      </w:r>
      <w:r>
        <w:rPr>
          <w:rFonts w:hint="eastAsia" w:ascii="宋体" w:hAnsi="宋体" w:cs="宋体"/>
          <w:szCs w:val="21"/>
          <w:lang w:bidi="ar"/>
        </w:rPr>
        <w:t>（</w:t>
      </w:r>
      <w:r>
        <w:rPr>
          <w:szCs w:val="21"/>
          <w:lang w:bidi="ar"/>
        </w:rPr>
        <w:t>m</w:t>
      </w:r>
      <w:r>
        <w:rPr>
          <w:szCs w:val="21"/>
          <w:vertAlign w:val="superscript"/>
          <w:lang w:bidi="ar"/>
        </w:rPr>
        <w:t>2</w:t>
      </w:r>
      <w:r>
        <w:rPr>
          <w:rFonts w:hint="eastAsia" w:ascii="宋体" w:hAnsi="宋体" w:cs="宋体"/>
          <w:szCs w:val="21"/>
          <w:lang w:bidi="ar"/>
        </w:rPr>
        <w:t>·</w:t>
      </w:r>
      <w:r>
        <w:rPr>
          <w:szCs w:val="21"/>
          <w:lang w:bidi="ar"/>
        </w:rPr>
        <w:t>h</w:t>
      </w:r>
      <w:r>
        <w:rPr>
          <w:rFonts w:hint="eastAsia" w:ascii="宋体" w:hAnsi="宋体" w:cs="宋体"/>
          <w:szCs w:val="21"/>
          <w:lang w:bidi="ar"/>
        </w:rPr>
        <w:t>）；东莞市清溪厦坭污水处理厂二期工程：</w:t>
      </w:r>
      <w:r>
        <w:rPr>
          <w:szCs w:val="21"/>
          <w:lang w:bidi="ar"/>
        </w:rPr>
        <w:t>1.17m</w:t>
      </w:r>
      <w:r>
        <w:rPr>
          <w:szCs w:val="21"/>
          <w:vertAlign w:val="superscript"/>
          <w:lang w:bidi="ar"/>
        </w:rPr>
        <w:t>3</w:t>
      </w:r>
      <w:r>
        <w:rPr>
          <w:szCs w:val="21"/>
          <w:lang w:bidi="ar"/>
        </w:rPr>
        <w:t>/</w:t>
      </w:r>
      <w:r>
        <w:rPr>
          <w:rFonts w:hint="eastAsia" w:ascii="宋体" w:hAnsi="宋体" w:cs="宋体"/>
          <w:szCs w:val="21"/>
          <w:lang w:bidi="ar"/>
        </w:rPr>
        <w:t>（</w:t>
      </w:r>
      <w:r>
        <w:rPr>
          <w:szCs w:val="21"/>
          <w:lang w:bidi="ar"/>
        </w:rPr>
        <w:t>m</w:t>
      </w:r>
      <w:r>
        <w:rPr>
          <w:szCs w:val="21"/>
          <w:vertAlign w:val="superscript"/>
          <w:lang w:bidi="ar"/>
        </w:rPr>
        <w:t>2</w:t>
      </w:r>
      <w:r>
        <w:rPr>
          <w:rFonts w:hint="eastAsia" w:ascii="宋体" w:hAnsi="宋体" w:cs="宋体"/>
          <w:szCs w:val="21"/>
          <w:lang w:bidi="ar"/>
        </w:rPr>
        <w:t>·</w:t>
      </w:r>
      <w:r>
        <w:rPr>
          <w:szCs w:val="21"/>
          <w:lang w:bidi="ar"/>
        </w:rPr>
        <w:t>h</w:t>
      </w:r>
      <w:r>
        <w:rPr>
          <w:rFonts w:hint="eastAsia" w:ascii="宋体" w:hAnsi="宋体" w:cs="宋体"/>
          <w:szCs w:val="21"/>
          <w:lang w:bidi="ar"/>
        </w:rPr>
        <w:t>）；黄江梅塘南部污水处理厂一期工程：</w:t>
      </w:r>
      <w:r>
        <w:rPr>
          <w:szCs w:val="21"/>
          <w:lang w:bidi="ar"/>
        </w:rPr>
        <w:t>1.20m</w:t>
      </w:r>
      <w:r>
        <w:rPr>
          <w:szCs w:val="21"/>
          <w:vertAlign w:val="superscript"/>
          <w:lang w:bidi="ar"/>
        </w:rPr>
        <w:t>3</w:t>
      </w:r>
      <w:r>
        <w:rPr>
          <w:szCs w:val="21"/>
          <w:lang w:bidi="ar"/>
        </w:rPr>
        <w:t>/</w:t>
      </w:r>
      <w:r>
        <w:rPr>
          <w:rFonts w:hint="eastAsia" w:ascii="宋体" w:hAnsi="宋体" w:cs="宋体"/>
          <w:szCs w:val="21"/>
          <w:lang w:bidi="ar"/>
        </w:rPr>
        <w:t>（</w:t>
      </w:r>
      <w:r>
        <w:rPr>
          <w:szCs w:val="21"/>
          <w:lang w:bidi="ar"/>
        </w:rPr>
        <w:t>m</w:t>
      </w:r>
      <w:r>
        <w:rPr>
          <w:szCs w:val="21"/>
          <w:vertAlign w:val="superscript"/>
          <w:lang w:bidi="ar"/>
        </w:rPr>
        <w:t>2</w:t>
      </w:r>
      <w:r>
        <w:rPr>
          <w:rFonts w:hint="eastAsia" w:ascii="宋体" w:hAnsi="宋体" w:cs="宋体"/>
          <w:szCs w:val="21"/>
          <w:lang w:bidi="ar"/>
        </w:rPr>
        <w:t>·</w:t>
      </w:r>
      <w:r>
        <w:rPr>
          <w:szCs w:val="21"/>
          <w:lang w:bidi="ar"/>
        </w:rPr>
        <w:t>h</w:t>
      </w:r>
      <w:r>
        <w:rPr>
          <w:rFonts w:hint="eastAsia" w:ascii="宋体" w:hAnsi="宋体" w:cs="宋体"/>
          <w:szCs w:val="21"/>
          <w:lang w:bidi="ar"/>
        </w:rPr>
        <w:t>）；东莞市凤岗竹塘污水处理厂三期工程：</w:t>
      </w:r>
      <w:r>
        <w:rPr>
          <w:szCs w:val="21"/>
          <w:lang w:bidi="ar"/>
        </w:rPr>
        <w:t>1.44m</w:t>
      </w:r>
      <w:r>
        <w:rPr>
          <w:szCs w:val="21"/>
          <w:vertAlign w:val="superscript"/>
          <w:lang w:bidi="ar"/>
        </w:rPr>
        <w:t>3</w:t>
      </w:r>
      <w:r>
        <w:rPr>
          <w:szCs w:val="21"/>
          <w:lang w:bidi="ar"/>
        </w:rPr>
        <w:t>/</w:t>
      </w:r>
      <w:r>
        <w:rPr>
          <w:rFonts w:hint="eastAsia" w:ascii="宋体" w:hAnsi="宋体" w:cs="宋体"/>
          <w:szCs w:val="21"/>
          <w:lang w:bidi="ar"/>
        </w:rPr>
        <w:t>（</w:t>
      </w:r>
      <w:r>
        <w:rPr>
          <w:szCs w:val="21"/>
          <w:lang w:bidi="ar"/>
        </w:rPr>
        <w:t>m</w:t>
      </w:r>
      <w:r>
        <w:rPr>
          <w:szCs w:val="21"/>
          <w:vertAlign w:val="superscript"/>
          <w:lang w:bidi="ar"/>
        </w:rPr>
        <w:t>2</w:t>
      </w:r>
      <w:r>
        <w:rPr>
          <w:rFonts w:hint="eastAsia" w:ascii="宋体" w:hAnsi="宋体" w:cs="宋体"/>
          <w:szCs w:val="21"/>
          <w:lang w:bidi="ar"/>
        </w:rPr>
        <w:t>·</w:t>
      </w:r>
      <w:r>
        <w:rPr>
          <w:szCs w:val="21"/>
          <w:lang w:bidi="ar"/>
        </w:rPr>
        <w:t>h</w:t>
      </w:r>
      <w:r>
        <w:rPr>
          <w:rFonts w:hint="eastAsia" w:ascii="宋体" w:hAnsi="宋体" w:cs="宋体"/>
          <w:szCs w:val="21"/>
          <w:lang w:bidi="ar"/>
        </w:rPr>
        <w:t>）。</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9</w:t>
      </w:r>
      <w:r>
        <w:rPr>
          <w:rFonts w:hint="eastAsia" w:ascii="宋体" w:hAnsi="宋体" w:cs="宋体"/>
          <w:szCs w:val="21"/>
          <w:lang w:bidi="ar"/>
        </w:rPr>
        <w:t>）回流比：</w:t>
      </w:r>
      <w:r>
        <w:rPr>
          <w:szCs w:val="21"/>
          <w:lang w:bidi="ar"/>
        </w:rPr>
        <w:t>33</w:t>
      </w:r>
      <w:r>
        <w:rPr>
          <w:rFonts w:hint="eastAsia" w:ascii="宋体" w:hAnsi="宋体" w:cs="宋体"/>
          <w:szCs w:val="21"/>
          <w:lang w:bidi="ar"/>
        </w:rPr>
        <w:t>～</w:t>
      </w:r>
      <w:r>
        <w:rPr>
          <w:szCs w:val="21"/>
          <w:lang w:bidi="ar"/>
        </w:rPr>
        <w:t>100</w:t>
      </w:r>
      <w:r>
        <w:rPr>
          <w:rFonts w:hint="eastAsia" w:ascii="宋体" w:hAnsi="宋体" w:cs="宋体"/>
          <w:szCs w:val="21"/>
          <w:lang w:bidi="ar"/>
        </w:rPr>
        <w:t>％</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10</w:t>
      </w:r>
      <w:r>
        <w:rPr>
          <w:rFonts w:hint="eastAsia" w:ascii="宋体" w:hAnsi="宋体" w:cs="宋体"/>
          <w:szCs w:val="21"/>
          <w:lang w:bidi="ar"/>
        </w:rPr>
        <w:t>）出水</w:t>
      </w:r>
      <w:r>
        <w:rPr>
          <w:szCs w:val="21"/>
          <w:lang w:bidi="ar"/>
        </w:rPr>
        <w:t>SS</w:t>
      </w:r>
      <w:r>
        <w:rPr>
          <w:rFonts w:hint="eastAsia" w:ascii="宋体" w:hAnsi="宋体" w:cs="宋体"/>
          <w:szCs w:val="21"/>
          <w:lang w:bidi="ar"/>
        </w:rPr>
        <w:t>保证值：＜</w:t>
      </w:r>
      <w:r>
        <w:rPr>
          <w:szCs w:val="21"/>
          <w:lang w:bidi="ar"/>
        </w:rPr>
        <w:t>20mg/L</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11</w:t>
      </w:r>
      <w:r>
        <w:rPr>
          <w:rFonts w:hint="eastAsia" w:ascii="宋体" w:hAnsi="宋体" w:cs="宋体"/>
          <w:szCs w:val="21"/>
          <w:lang w:bidi="ar"/>
        </w:rPr>
        <w:t>）进水浓度（</w:t>
      </w:r>
      <w:r>
        <w:rPr>
          <w:szCs w:val="21"/>
          <w:lang w:bidi="ar"/>
        </w:rPr>
        <w:t>MLSS</w:t>
      </w:r>
      <w:r>
        <w:rPr>
          <w:rFonts w:hint="eastAsia" w:ascii="宋体" w:hAnsi="宋体" w:cs="宋体"/>
          <w:szCs w:val="21"/>
          <w:lang w:bidi="ar"/>
        </w:rPr>
        <w:t>）：</w:t>
      </w:r>
      <w:r>
        <w:rPr>
          <w:szCs w:val="21"/>
          <w:lang w:bidi="ar"/>
        </w:rPr>
        <w:t>2000</w:t>
      </w:r>
      <w:r>
        <w:rPr>
          <w:rFonts w:hint="eastAsia" w:ascii="宋体" w:hAnsi="宋体" w:cs="宋体"/>
          <w:szCs w:val="21"/>
          <w:lang w:bidi="ar"/>
        </w:rPr>
        <w:t>～</w:t>
      </w:r>
      <w:r>
        <w:rPr>
          <w:szCs w:val="21"/>
          <w:lang w:bidi="ar"/>
        </w:rPr>
        <w:t>10000mg/l</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12</w:t>
      </w:r>
      <w:r>
        <w:rPr>
          <w:rFonts w:hint="eastAsia" w:ascii="宋体" w:hAnsi="宋体" w:cs="宋体"/>
          <w:szCs w:val="21"/>
          <w:lang w:bidi="ar"/>
        </w:rPr>
        <w:t>）出泥浓度（</w:t>
      </w:r>
      <w:r>
        <w:rPr>
          <w:szCs w:val="21"/>
          <w:lang w:bidi="ar"/>
        </w:rPr>
        <w:t>MLSS</w:t>
      </w:r>
      <w:r>
        <w:rPr>
          <w:rFonts w:hint="eastAsia" w:ascii="宋体" w:hAnsi="宋体" w:cs="宋体"/>
          <w:szCs w:val="21"/>
          <w:lang w:bidi="ar"/>
        </w:rPr>
        <w:t>）：</w:t>
      </w:r>
      <w:r>
        <w:rPr>
          <w:szCs w:val="21"/>
          <w:lang w:bidi="ar"/>
        </w:rPr>
        <w:t>6000</w:t>
      </w:r>
      <w:r>
        <w:rPr>
          <w:rFonts w:hint="eastAsia" w:ascii="宋体" w:hAnsi="宋体" w:cs="宋体"/>
          <w:szCs w:val="21"/>
          <w:lang w:bidi="ar"/>
        </w:rPr>
        <w:t>～</w:t>
      </w:r>
      <w:r>
        <w:rPr>
          <w:szCs w:val="21"/>
          <w:lang w:bidi="ar"/>
        </w:rPr>
        <w:t>20000mg/l</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13</w:t>
      </w:r>
      <w:r>
        <w:rPr>
          <w:rFonts w:hint="eastAsia" w:ascii="宋体" w:hAnsi="宋体" w:cs="宋体"/>
          <w:szCs w:val="21"/>
          <w:lang w:bidi="ar"/>
        </w:rPr>
        <w:t>）工作制：</w:t>
      </w:r>
      <w:r>
        <w:rPr>
          <w:szCs w:val="21"/>
          <w:lang w:bidi="ar"/>
        </w:rPr>
        <w:t>24h/d</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14</w:t>
      </w:r>
      <w:r>
        <w:rPr>
          <w:rFonts w:hint="eastAsia" w:ascii="宋体" w:hAnsi="宋体" w:cs="宋体"/>
          <w:szCs w:val="21"/>
          <w:lang w:bidi="ar"/>
        </w:rPr>
        <w:t>）供电电源：</w:t>
      </w:r>
      <w:r>
        <w:rPr>
          <w:szCs w:val="21"/>
          <w:lang w:bidi="ar"/>
        </w:rPr>
        <w:t>380V 3PH 50Hz</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15</w:t>
      </w:r>
      <w:r>
        <w:rPr>
          <w:rFonts w:hint="eastAsia" w:ascii="宋体" w:hAnsi="宋体" w:cs="宋体"/>
          <w:szCs w:val="21"/>
          <w:lang w:bidi="ar"/>
        </w:rPr>
        <w:t>）噪声：</w:t>
      </w:r>
      <w:r>
        <w:rPr>
          <w:szCs w:val="21"/>
          <w:lang w:bidi="ar"/>
        </w:rPr>
        <w:t>≤70dB (A)</w:t>
      </w:r>
      <w:r>
        <w:rPr>
          <w:rFonts w:hint="eastAsia" w:ascii="宋体" w:hAnsi="宋体" w:cs="宋体"/>
          <w:szCs w:val="21"/>
          <w:lang w:bidi="ar"/>
        </w:rPr>
        <w:t>（电机</w:t>
      </w:r>
      <w:r>
        <w:rPr>
          <w:szCs w:val="21"/>
          <w:lang w:bidi="ar"/>
        </w:rPr>
        <w:t>1</w:t>
      </w:r>
      <w:r>
        <w:rPr>
          <w:rFonts w:hint="eastAsia" w:ascii="宋体" w:hAnsi="宋体" w:cs="宋体"/>
          <w:szCs w:val="21"/>
          <w:lang w:bidi="ar"/>
        </w:rPr>
        <w:t>米外）</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16</w:t>
      </w:r>
      <w:r>
        <w:rPr>
          <w:rFonts w:hint="eastAsia" w:ascii="宋体" w:hAnsi="宋体" w:cs="宋体"/>
          <w:szCs w:val="21"/>
          <w:lang w:bidi="ar"/>
        </w:rPr>
        <w:t>）电机：</w:t>
      </w:r>
      <w:r>
        <w:rPr>
          <w:szCs w:val="21"/>
          <w:lang w:bidi="ar"/>
        </w:rPr>
        <w:t>SEW</w:t>
      </w:r>
      <w:r>
        <w:rPr>
          <w:rFonts w:hint="eastAsia" w:ascii="宋体" w:hAnsi="宋体" w:cs="宋体"/>
          <w:szCs w:val="21"/>
          <w:lang w:bidi="ar"/>
        </w:rPr>
        <w:t>、</w:t>
      </w:r>
      <w:r>
        <w:rPr>
          <w:szCs w:val="21"/>
          <w:lang w:bidi="ar"/>
        </w:rPr>
        <w:t>NORD</w:t>
      </w:r>
      <w:r>
        <w:rPr>
          <w:rFonts w:hint="eastAsia" w:ascii="宋体" w:hAnsi="宋体" w:cs="宋体"/>
          <w:szCs w:val="21"/>
          <w:lang w:bidi="ar"/>
        </w:rPr>
        <w:t>、</w:t>
      </w:r>
      <w:r>
        <w:rPr>
          <w:szCs w:val="21"/>
          <w:lang w:bidi="ar"/>
        </w:rPr>
        <w:t>FLENDER</w:t>
      </w:r>
      <w:r>
        <w:rPr>
          <w:rFonts w:hint="eastAsia" w:ascii="宋体" w:hAnsi="宋体" w:cs="宋体"/>
          <w:szCs w:val="21"/>
          <w:lang w:bidi="ar"/>
        </w:rPr>
        <w:t>或同等品牌产品</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17</w:t>
      </w:r>
      <w:r>
        <w:rPr>
          <w:rFonts w:hint="eastAsia" w:ascii="宋体" w:hAnsi="宋体" w:cs="宋体"/>
          <w:szCs w:val="21"/>
          <w:lang w:bidi="ar"/>
        </w:rPr>
        <w:t>）电机保护等级：</w:t>
      </w:r>
      <w:r>
        <w:rPr>
          <w:szCs w:val="21"/>
          <w:lang w:bidi="ar"/>
        </w:rPr>
        <w:t>IP65</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18</w:t>
      </w:r>
      <w:r>
        <w:rPr>
          <w:rFonts w:hint="eastAsia" w:ascii="宋体" w:hAnsi="宋体" w:cs="宋体"/>
          <w:szCs w:val="21"/>
          <w:lang w:bidi="ar"/>
        </w:rPr>
        <w:t>）电机绝缘等级：</w:t>
      </w:r>
      <w:r>
        <w:rPr>
          <w:szCs w:val="21"/>
          <w:lang w:bidi="ar"/>
        </w:rPr>
        <w:t>F</w:t>
      </w:r>
    </w:p>
    <w:p>
      <w:pPr>
        <w:rPr>
          <w:szCs w:val="21"/>
        </w:rPr>
      </w:pPr>
      <w:r>
        <w:rPr>
          <w:rFonts w:hint="eastAsia" w:ascii="宋体" w:hAnsi="宋体" w:cs="宋体"/>
          <w:szCs w:val="21"/>
          <w:lang w:bidi="ar"/>
        </w:rPr>
        <w:t>（</w:t>
      </w:r>
      <w:r>
        <w:rPr>
          <w:szCs w:val="21"/>
          <w:lang w:bidi="ar"/>
        </w:rPr>
        <w:t>19</w:t>
      </w:r>
      <w:r>
        <w:rPr>
          <w:rFonts w:hint="eastAsia" w:ascii="宋体" w:hAnsi="宋体" w:cs="宋体"/>
          <w:szCs w:val="21"/>
          <w:lang w:bidi="ar"/>
        </w:rPr>
        <w:t>）减速机：</w:t>
      </w:r>
      <w:r>
        <w:rPr>
          <w:szCs w:val="21"/>
          <w:lang w:bidi="ar"/>
        </w:rPr>
        <w:t>SEW</w:t>
      </w:r>
      <w:r>
        <w:rPr>
          <w:rFonts w:hint="eastAsia" w:ascii="宋体" w:hAnsi="宋体" w:cs="宋体"/>
          <w:szCs w:val="21"/>
          <w:lang w:bidi="ar"/>
        </w:rPr>
        <w:t>、</w:t>
      </w:r>
      <w:r>
        <w:rPr>
          <w:szCs w:val="21"/>
          <w:lang w:bidi="ar"/>
        </w:rPr>
        <w:t>NORD</w:t>
      </w:r>
      <w:r>
        <w:rPr>
          <w:rFonts w:hint="eastAsia" w:ascii="宋体" w:hAnsi="宋体" w:cs="宋体"/>
          <w:szCs w:val="21"/>
          <w:lang w:bidi="ar"/>
        </w:rPr>
        <w:t>、</w:t>
      </w:r>
      <w:r>
        <w:rPr>
          <w:szCs w:val="21"/>
          <w:lang w:bidi="ar"/>
        </w:rPr>
        <w:t>FLENDER</w:t>
      </w:r>
      <w:r>
        <w:rPr>
          <w:rFonts w:hint="eastAsia" w:ascii="宋体" w:hAnsi="宋体" w:cs="宋体"/>
          <w:szCs w:val="21"/>
          <w:lang w:bidi="ar"/>
        </w:rPr>
        <w:t>或同等品牌产品</w:t>
      </w:r>
    </w:p>
    <w:p>
      <w:pPr>
        <w:pStyle w:val="6"/>
        <w:widowControl/>
        <w:numPr>
          <w:ilvl w:val="3"/>
          <w:numId w:val="4"/>
        </w:numPr>
        <w:spacing w:before="156"/>
        <w:rPr>
          <w:rFonts w:ascii="Arial" w:hAnsi="Arial" w:cs="Arial"/>
          <w:szCs w:val="21"/>
        </w:rPr>
      </w:pPr>
      <w:r>
        <w:rPr>
          <w:rFonts w:hint="eastAsia" w:ascii="宋体" w:hAnsi="宋体"/>
          <w:szCs w:val="21"/>
        </w:rPr>
        <w:t>刮泥机主要结构及性能要求</w:t>
      </w:r>
    </w:p>
    <w:p>
      <w:pPr>
        <w:widowControl/>
        <w:spacing w:line="360" w:lineRule="auto"/>
        <w:ind w:firstLine="422" w:firstLineChars="200"/>
        <w:jc w:val="left"/>
        <w:rPr>
          <w:b/>
          <w:szCs w:val="21"/>
        </w:rPr>
      </w:pPr>
      <w:r>
        <w:rPr>
          <w:rFonts w:hint="eastAsia" w:ascii="宋体" w:hAnsi="宋体" w:cs="宋体"/>
          <w:b/>
          <w:szCs w:val="21"/>
          <w:lang w:bidi="ar"/>
        </w:rPr>
        <w:t>（</w:t>
      </w:r>
      <w:r>
        <w:rPr>
          <w:b/>
          <w:szCs w:val="21"/>
          <w:lang w:bidi="ar"/>
        </w:rPr>
        <w:t>1</w:t>
      </w:r>
      <w:r>
        <w:rPr>
          <w:rFonts w:hint="eastAsia" w:ascii="宋体" w:hAnsi="宋体" w:cs="宋体"/>
          <w:b/>
          <w:szCs w:val="21"/>
          <w:lang w:bidi="ar"/>
        </w:rPr>
        <w:t>）设计要求</w:t>
      </w:r>
    </w:p>
    <w:p>
      <w:pPr>
        <w:widowControl/>
        <w:spacing w:line="360" w:lineRule="auto"/>
        <w:ind w:firstLine="422" w:firstLineChars="200"/>
        <w:jc w:val="left"/>
        <w:rPr>
          <w:b/>
          <w:szCs w:val="21"/>
        </w:rPr>
      </w:pPr>
      <w:r>
        <w:rPr>
          <w:rFonts w:hint="eastAsia" w:ascii="宋体" w:hAnsi="宋体" w:cs="宋体"/>
          <w:b/>
          <w:szCs w:val="21"/>
          <w:lang w:bidi="ar"/>
        </w:rPr>
        <w:t>本招标条件仅对投标人最低技术要求做简要说明，并未涵盖所有细节。投标人应对二沉池刮泥机进行工艺深化设计，主要包括进出水渠、出水堰，进水孔口、沉淀区刮泥机、进水裙边挡板及全部机械设备等。随投标文件提供二沉池布水孔和刮泥机的计算结果（包括图纸）。</w:t>
      </w:r>
    </w:p>
    <w:p>
      <w:pPr>
        <w:snapToGrid w:val="0"/>
        <w:spacing w:line="360" w:lineRule="auto"/>
        <w:ind w:firstLine="420" w:firstLineChars="200"/>
        <w:rPr>
          <w:szCs w:val="21"/>
        </w:rPr>
      </w:pPr>
      <w:r>
        <w:rPr>
          <w:rFonts w:hint="eastAsia" w:ascii="宋体" w:hAnsi="宋体" w:cs="宋体"/>
          <w:bCs/>
          <w:szCs w:val="21"/>
          <w:lang w:bidi="ar"/>
        </w:rPr>
        <w:t>投标人提供的刮泥机系统包括但不仅限于：链条刮泥机主机（非金属刮泥板牵引链条、非金属刮板、牵引链条链轮、非金属驱动链条、驱动链轮及从动链轮、轴承、耐磨靴、导轨、扭矩过载保护装置、电机过载保护、撇渣管、电控箱并配备满足安全有效运行和安装所必须的所有附件）；二沉池配水系统（进水堰板、进水渠配水孔管、反射挡板、导水裙板、排水渠出水堰板、浮渣挡板及支撑架等）；二沉池排泥系统（液压穿孔排泥管、污泥控制阀、排泥管与污泥控制阀之间的连接管等）。</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）结构及性能</w:t>
      </w:r>
    </w:p>
    <w:p>
      <w:pPr>
        <w:snapToGrid w:val="0"/>
        <w:spacing w:line="360" w:lineRule="auto"/>
        <w:ind w:firstLine="420" w:firstLineChars="200"/>
        <w:rPr>
          <w:szCs w:val="21"/>
        </w:rPr>
      </w:pPr>
      <w:r>
        <w:rPr>
          <w:rFonts w:hint="eastAsia" w:ascii="宋体" w:hAnsi="宋体" w:cs="宋体"/>
          <w:szCs w:val="21"/>
          <w:lang w:bidi="ar"/>
        </w:rPr>
        <w:t>链板式刮泥机为成套装置，应包括池侧传动的摆线和齿轮减速电机、套筒滚子链组、牵引链轮组、刮泥板、导向链轮、链条拉紧装置、所有支架、过载保护装置和单元控制设备等，并配备有效和安全运行所必需的附件，使能成为完整的操作单元。</w:t>
      </w:r>
    </w:p>
    <w:p>
      <w:pPr>
        <w:snapToGrid w:val="0"/>
        <w:spacing w:line="360" w:lineRule="auto"/>
        <w:ind w:firstLine="420" w:firstLineChars="200"/>
        <w:rPr>
          <w:szCs w:val="21"/>
        </w:rPr>
      </w:pPr>
      <w:r>
        <w:rPr>
          <w:rFonts w:hint="eastAsia" w:ascii="宋体" w:hAnsi="宋体" w:cs="宋体"/>
          <w:szCs w:val="21"/>
          <w:lang w:bidi="ar"/>
        </w:rPr>
        <w:t>驱动电机、减速机输出扭矩经过非金属驱动链和链轮传送到刮泥机的主轴，主轴链轮驱动置于池体两侧的链条做回转运动，刮板与链板均布连接，由从动轮及导轨支撑，去程于池底刮泥，4轴刮泥机回程于水面撇渣。集泥槽无需撇渣，刮泥机采用3轴形式，应满足能够每天工作24小时连续运行或间歇运行</w:t>
      </w:r>
    </w:p>
    <w:p>
      <w:pPr>
        <w:adjustRightInd w:val="0"/>
        <w:snapToGrid w:val="0"/>
        <w:spacing w:line="360" w:lineRule="auto"/>
        <w:ind w:firstLine="411" w:firstLineChars="196"/>
        <w:rPr>
          <w:kern w:val="0"/>
          <w:szCs w:val="21"/>
        </w:rPr>
      </w:pPr>
      <w:r>
        <w:rPr>
          <w:rFonts w:hint="eastAsia" w:ascii="宋体" w:hAnsi="宋体" w:cs="宋体"/>
          <w:kern w:val="0"/>
          <w:szCs w:val="21"/>
          <w:lang w:bidi="ar"/>
        </w:rPr>
        <w:t>（</w:t>
      </w:r>
      <w:r>
        <w:rPr>
          <w:kern w:val="0"/>
          <w:szCs w:val="21"/>
          <w:lang w:bidi="ar"/>
        </w:rPr>
        <w:t>3</w:t>
      </w:r>
      <w:r>
        <w:rPr>
          <w:rFonts w:hint="eastAsia" w:ascii="宋体" w:hAnsi="宋体" w:cs="宋体"/>
          <w:kern w:val="0"/>
          <w:szCs w:val="21"/>
          <w:lang w:bidi="ar"/>
        </w:rPr>
        <w:t>）驱动装置</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驱动装置采用电机直联的摆线减速机或齿轮减速电机型式，全封闭油传动并全部为耐磨轴承输出。整套驱动装置位于沉淀池池端的平台上，通过链传动对水下的牵引链的驱动轴系传递动力。应设置可检测和显示的过载保护装置。</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驱动链应采用非金属工程塑料或不锈钢</w:t>
      </w:r>
      <w:r>
        <w:rPr>
          <w:kern w:val="0"/>
          <w:szCs w:val="21"/>
          <w:lang w:bidi="ar"/>
        </w:rPr>
        <w:t>304</w:t>
      </w:r>
      <w:r>
        <w:rPr>
          <w:rFonts w:hint="eastAsia" w:ascii="宋体" w:hAnsi="宋体" w:cs="宋体"/>
          <w:kern w:val="0"/>
          <w:szCs w:val="21"/>
          <w:lang w:bidi="ar"/>
        </w:rPr>
        <w:t>以上材质链条，工作荷载对破断强度的安全系数</w:t>
      </w:r>
      <w:r>
        <w:rPr>
          <w:kern w:val="0"/>
          <w:szCs w:val="21"/>
          <w:lang w:bidi="ar"/>
        </w:rPr>
        <w:t>≥4</w:t>
      </w:r>
      <w:r>
        <w:rPr>
          <w:rFonts w:hint="eastAsia" w:ascii="宋体" w:hAnsi="宋体" w:cs="宋体"/>
          <w:kern w:val="0"/>
          <w:szCs w:val="21"/>
          <w:lang w:bidi="ar"/>
        </w:rPr>
        <w:t>。</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驱动电机适用于户外使用，适用于恒速，大载荷起动。在正常操作条件下，连续驱动设备不会过载。电机为</w:t>
      </w:r>
      <w:r>
        <w:rPr>
          <w:kern w:val="0"/>
          <w:szCs w:val="21"/>
          <w:lang w:bidi="ar"/>
        </w:rPr>
        <w:t>ISO</w:t>
      </w:r>
      <w:r>
        <w:rPr>
          <w:rFonts w:hint="eastAsia" w:ascii="宋体" w:hAnsi="宋体" w:cs="宋体"/>
          <w:kern w:val="0"/>
          <w:szCs w:val="21"/>
          <w:lang w:bidi="ar"/>
        </w:rPr>
        <w:t>标准，电压</w:t>
      </w:r>
      <w:r>
        <w:rPr>
          <w:kern w:val="0"/>
          <w:szCs w:val="21"/>
          <w:lang w:bidi="ar"/>
        </w:rPr>
        <w:t>380V</w:t>
      </w:r>
      <w:r>
        <w:rPr>
          <w:rFonts w:hint="eastAsia" w:ascii="宋体" w:hAnsi="宋体" w:cs="宋体"/>
          <w:kern w:val="0"/>
          <w:szCs w:val="21"/>
          <w:lang w:bidi="ar"/>
        </w:rPr>
        <w:t>、</w:t>
      </w:r>
      <w:r>
        <w:rPr>
          <w:kern w:val="0"/>
          <w:szCs w:val="21"/>
          <w:lang w:bidi="ar"/>
        </w:rPr>
        <w:t>3</w:t>
      </w:r>
      <w:r>
        <w:rPr>
          <w:rFonts w:hint="eastAsia" w:ascii="宋体" w:hAnsi="宋体" w:cs="宋体"/>
          <w:kern w:val="0"/>
          <w:szCs w:val="21"/>
          <w:lang w:bidi="ar"/>
        </w:rPr>
        <w:t>相、</w:t>
      </w:r>
      <w:r>
        <w:rPr>
          <w:kern w:val="0"/>
          <w:szCs w:val="21"/>
          <w:lang w:bidi="ar"/>
        </w:rPr>
        <w:t>50HZ</w:t>
      </w:r>
      <w:r>
        <w:rPr>
          <w:rFonts w:hint="eastAsia" w:ascii="宋体" w:hAnsi="宋体" w:cs="宋体"/>
          <w:kern w:val="0"/>
          <w:szCs w:val="21"/>
          <w:lang w:bidi="ar"/>
        </w:rPr>
        <w:t>，防护等级不低于</w:t>
      </w:r>
      <w:r>
        <w:rPr>
          <w:kern w:val="0"/>
          <w:szCs w:val="21"/>
          <w:lang w:bidi="ar"/>
        </w:rPr>
        <w:t>IP65</w:t>
      </w:r>
      <w:r>
        <w:rPr>
          <w:rFonts w:hint="eastAsia" w:ascii="宋体" w:hAnsi="宋体" w:cs="宋体"/>
          <w:kern w:val="0"/>
          <w:szCs w:val="21"/>
          <w:lang w:bidi="ar"/>
        </w:rPr>
        <w:t>，绝缘</w:t>
      </w:r>
      <w:r>
        <w:rPr>
          <w:kern w:val="0"/>
          <w:szCs w:val="21"/>
          <w:lang w:bidi="ar"/>
        </w:rPr>
        <w:t>F</w:t>
      </w:r>
      <w:r>
        <w:rPr>
          <w:rFonts w:hint="eastAsia" w:ascii="宋体" w:hAnsi="宋体" w:cs="宋体"/>
          <w:kern w:val="0"/>
          <w:szCs w:val="21"/>
          <w:lang w:bidi="ar"/>
        </w:rPr>
        <w:t>级，</w:t>
      </w:r>
      <w:r>
        <w:rPr>
          <w:kern w:val="0"/>
          <w:szCs w:val="21"/>
          <w:lang w:bidi="ar"/>
        </w:rPr>
        <w:t>B</w:t>
      </w:r>
      <w:r>
        <w:rPr>
          <w:rFonts w:hint="eastAsia" w:ascii="宋体" w:hAnsi="宋体" w:cs="宋体"/>
          <w:kern w:val="0"/>
          <w:szCs w:val="21"/>
          <w:lang w:bidi="ar"/>
        </w:rPr>
        <w:t>级温升。带不锈钢防护罩。</w:t>
      </w:r>
    </w:p>
    <w:p>
      <w:pPr>
        <w:adjustRightInd w:val="0"/>
        <w:snapToGrid w:val="0"/>
        <w:spacing w:line="360" w:lineRule="auto"/>
        <w:ind w:firstLine="420" w:firstLineChars="200"/>
        <w:rPr>
          <w:kern w:val="0"/>
          <w:szCs w:val="21"/>
        </w:rPr>
      </w:pPr>
      <w:r>
        <w:rPr>
          <w:rFonts w:hint="eastAsia" w:ascii="宋体" w:hAnsi="宋体" w:cs="宋体"/>
          <w:kern w:val="0"/>
          <w:szCs w:val="21"/>
          <w:lang w:bidi="ar"/>
        </w:rPr>
        <w:t>减速箱的齿轮设计应符合</w:t>
      </w:r>
      <w:r>
        <w:rPr>
          <w:kern w:val="0"/>
          <w:szCs w:val="21"/>
          <w:lang w:bidi="ar"/>
        </w:rPr>
        <w:t>ISO</w:t>
      </w:r>
      <w:r>
        <w:rPr>
          <w:rFonts w:hint="eastAsia" w:ascii="宋体" w:hAnsi="宋体" w:cs="宋体"/>
          <w:kern w:val="0"/>
          <w:szCs w:val="21"/>
          <w:lang w:bidi="ar"/>
        </w:rPr>
        <w:t>或同类标准，服务系数不小于</w:t>
      </w:r>
      <w:r>
        <w:rPr>
          <w:kern w:val="0"/>
          <w:szCs w:val="21"/>
          <w:lang w:bidi="ar"/>
        </w:rPr>
        <w:t>2.0</w:t>
      </w:r>
      <w:r>
        <w:rPr>
          <w:rFonts w:hint="eastAsia" w:ascii="宋体" w:hAnsi="宋体" w:cs="宋体"/>
          <w:kern w:val="0"/>
          <w:szCs w:val="21"/>
          <w:lang w:bidi="ar"/>
        </w:rPr>
        <w:t>，轴承寿命</w:t>
      </w:r>
      <w:r>
        <w:rPr>
          <w:kern w:val="0"/>
          <w:szCs w:val="21"/>
          <w:lang w:bidi="ar"/>
        </w:rPr>
        <w:t>≥10</w:t>
      </w:r>
      <w:r>
        <w:rPr>
          <w:rFonts w:hint="eastAsia" w:ascii="宋体" w:hAnsi="宋体" w:cs="宋体"/>
          <w:kern w:val="0"/>
          <w:szCs w:val="21"/>
          <w:lang w:bidi="ar"/>
        </w:rPr>
        <w:t>万小时，齿轮材料为合金钢，齿面硬度</w:t>
      </w:r>
      <w:r>
        <w:rPr>
          <w:kern w:val="0"/>
          <w:szCs w:val="21"/>
          <w:lang w:bidi="ar"/>
        </w:rPr>
        <w:t>≥HRC58</w:t>
      </w:r>
      <w:r>
        <w:rPr>
          <w:rFonts w:hint="eastAsia" w:ascii="宋体" w:hAnsi="宋体" w:cs="宋体"/>
          <w:kern w:val="0"/>
          <w:szCs w:val="21"/>
          <w:lang w:bidi="ar"/>
        </w:rPr>
        <w:t>。</w:t>
      </w:r>
    </w:p>
    <w:p>
      <w:pPr>
        <w:pStyle w:val="27"/>
        <w:widowControl w:val="0"/>
        <w:adjustRightInd w:val="0"/>
        <w:snapToGrid w:val="0"/>
        <w:spacing w:before="0" w:beforeAutospacing="0" w:after="0" w:afterAutospacing="0" w:line="360" w:lineRule="auto"/>
        <w:ind w:firstLine="422" w:firstLineChars="200"/>
        <w:jc w:val="both"/>
        <w:rPr>
          <w:rFonts w:ascii="Times New Roman" w:hAnsi="Times New Roman"/>
          <w:b/>
          <w:sz w:val="21"/>
          <w:szCs w:val="21"/>
        </w:rPr>
      </w:pPr>
      <w:r>
        <w:rPr>
          <w:rFonts w:ascii="Times New Roman" w:hAnsi="Times New Roman"/>
          <w:b/>
          <w:sz w:val="21"/>
          <w:szCs w:val="21"/>
          <w:lang w:bidi="ar"/>
        </w:rPr>
        <w:t>★</w:t>
      </w:r>
      <w:r>
        <w:rPr>
          <w:rFonts w:hint="eastAsia" w:cs="宋体"/>
          <w:b/>
          <w:sz w:val="21"/>
          <w:szCs w:val="21"/>
          <w:lang w:bidi="ar"/>
        </w:rPr>
        <w:t>驱动减速装置应采用低噪音、高效率、密封良好的产品，其品牌应不低于</w:t>
      </w:r>
      <w:r>
        <w:rPr>
          <w:rFonts w:ascii="Times New Roman" w:hAnsi="Times New Roman"/>
          <w:b/>
          <w:sz w:val="21"/>
          <w:szCs w:val="21"/>
          <w:lang w:bidi="ar"/>
        </w:rPr>
        <w:t>SEW</w:t>
      </w:r>
      <w:r>
        <w:rPr>
          <w:rFonts w:hint="eastAsia" w:cs="宋体"/>
          <w:b/>
          <w:sz w:val="21"/>
          <w:szCs w:val="21"/>
          <w:lang w:bidi="ar"/>
        </w:rPr>
        <w:t>、</w:t>
      </w:r>
      <w:r>
        <w:rPr>
          <w:rFonts w:ascii="Times New Roman" w:hAnsi="Times New Roman"/>
          <w:b/>
          <w:sz w:val="21"/>
          <w:szCs w:val="21"/>
          <w:lang w:bidi="ar"/>
        </w:rPr>
        <w:t>NORD</w:t>
      </w:r>
      <w:r>
        <w:rPr>
          <w:rFonts w:hint="eastAsia" w:cs="宋体"/>
          <w:b/>
          <w:sz w:val="21"/>
          <w:szCs w:val="21"/>
          <w:lang w:bidi="ar"/>
        </w:rPr>
        <w:t>、</w:t>
      </w:r>
      <w:r>
        <w:rPr>
          <w:rFonts w:ascii="Times New Roman" w:hAnsi="Times New Roman"/>
          <w:b/>
          <w:sz w:val="21"/>
          <w:szCs w:val="21"/>
          <w:lang w:bidi="ar"/>
        </w:rPr>
        <w:t>FLENDER</w:t>
      </w:r>
      <w:r>
        <w:rPr>
          <w:rFonts w:hint="eastAsia" w:cs="宋体"/>
          <w:b/>
          <w:sz w:val="21"/>
          <w:szCs w:val="21"/>
          <w:lang w:bidi="ar"/>
        </w:rPr>
        <w:t>或同等品牌产品。电机其品牌质量应不低于</w:t>
      </w:r>
      <w:r>
        <w:rPr>
          <w:rFonts w:ascii="Times New Roman" w:hAnsi="Times New Roman"/>
          <w:b/>
          <w:sz w:val="21"/>
          <w:szCs w:val="21"/>
          <w:lang w:bidi="ar"/>
        </w:rPr>
        <w:t>SEW</w:t>
      </w:r>
      <w:r>
        <w:rPr>
          <w:rFonts w:hint="eastAsia" w:cs="宋体"/>
          <w:b/>
          <w:sz w:val="21"/>
          <w:szCs w:val="21"/>
          <w:lang w:bidi="ar"/>
        </w:rPr>
        <w:t>、</w:t>
      </w:r>
      <w:r>
        <w:rPr>
          <w:rFonts w:ascii="Times New Roman" w:hAnsi="Times New Roman"/>
          <w:b/>
          <w:sz w:val="21"/>
          <w:szCs w:val="21"/>
          <w:lang w:bidi="ar"/>
        </w:rPr>
        <w:t>NORD</w:t>
      </w:r>
      <w:r>
        <w:rPr>
          <w:rFonts w:hint="eastAsia" w:cs="宋体"/>
          <w:b/>
          <w:sz w:val="21"/>
          <w:szCs w:val="21"/>
          <w:lang w:bidi="ar"/>
        </w:rPr>
        <w:t>、</w:t>
      </w:r>
      <w:r>
        <w:rPr>
          <w:rFonts w:ascii="Times New Roman" w:hAnsi="Times New Roman"/>
          <w:b/>
          <w:sz w:val="21"/>
          <w:szCs w:val="21"/>
          <w:lang w:bidi="ar"/>
        </w:rPr>
        <w:t>FLENDER</w:t>
      </w:r>
      <w:r>
        <w:rPr>
          <w:rFonts w:hint="eastAsia" w:cs="宋体"/>
          <w:b/>
          <w:sz w:val="21"/>
          <w:szCs w:val="21"/>
          <w:lang w:bidi="ar"/>
        </w:rPr>
        <w:t>或同等品牌产品质量。</w:t>
      </w:r>
    </w:p>
    <w:p>
      <w:pPr>
        <w:adjustRightInd w:val="0"/>
        <w:snapToGrid w:val="0"/>
        <w:spacing w:line="360" w:lineRule="auto"/>
        <w:ind w:firstLine="411" w:firstLineChars="196"/>
        <w:rPr>
          <w:kern w:val="0"/>
          <w:szCs w:val="21"/>
        </w:rPr>
      </w:pPr>
      <w:r>
        <w:rPr>
          <w:rFonts w:hint="eastAsia" w:ascii="宋体" w:hAnsi="宋体" w:cs="宋体"/>
          <w:kern w:val="0"/>
          <w:szCs w:val="21"/>
          <w:lang w:bidi="ar"/>
        </w:rPr>
        <w:t>（</w:t>
      </w:r>
      <w:r>
        <w:rPr>
          <w:kern w:val="0"/>
          <w:szCs w:val="21"/>
          <w:lang w:bidi="ar"/>
        </w:rPr>
        <w:t>4</w:t>
      </w:r>
      <w:r>
        <w:rPr>
          <w:rFonts w:hint="eastAsia" w:ascii="宋体" w:hAnsi="宋体" w:cs="宋体"/>
          <w:kern w:val="0"/>
          <w:szCs w:val="21"/>
          <w:lang w:bidi="ar"/>
        </w:rPr>
        <w:t>）刮泥板牵引链条</w:t>
      </w:r>
    </w:p>
    <w:p>
      <w:pPr>
        <w:adjustRightInd w:val="0"/>
        <w:snapToGrid w:val="0"/>
        <w:spacing w:line="360" w:lineRule="auto"/>
        <w:ind w:firstLine="422" w:firstLineChars="200"/>
        <w:rPr>
          <w:b/>
          <w:kern w:val="0"/>
          <w:szCs w:val="21"/>
        </w:rPr>
      </w:pPr>
      <w:r>
        <w:rPr>
          <w:b/>
          <w:kern w:val="0"/>
          <w:szCs w:val="21"/>
          <w:lang w:bidi="ar"/>
        </w:rPr>
        <w:t>★</w:t>
      </w:r>
      <w:r>
        <w:rPr>
          <w:rFonts w:hint="eastAsia" w:ascii="宋体" w:hAnsi="宋体" w:cs="宋体"/>
          <w:b/>
          <w:kern w:val="0"/>
          <w:szCs w:val="21"/>
          <w:lang w:bidi="ar"/>
        </w:rPr>
        <w:t>刮泥板牵引链条采用热塑性聚酯或热塑性乙缩醛树脂或玻璃纤维长丝缠绕浇铸料制造，链条的允许工作荷载</w:t>
      </w:r>
      <w:r>
        <w:rPr>
          <w:b/>
          <w:kern w:val="0"/>
          <w:szCs w:val="21"/>
          <w:lang w:bidi="ar"/>
        </w:rPr>
        <w:t>≥1400kgf</w:t>
      </w:r>
      <w:r>
        <w:rPr>
          <w:rFonts w:hint="eastAsia" w:ascii="宋体" w:hAnsi="宋体" w:cs="宋体"/>
          <w:b/>
          <w:kern w:val="0"/>
          <w:szCs w:val="21"/>
          <w:lang w:bidi="ar"/>
        </w:rPr>
        <w:t>，保证强度应大于</w:t>
      </w:r>
      <w:r>
        <w:rPr>
          <w:b/>
          <w:kern w:val="0"/>
          <w:szCs w:val="21"/>
          <w:lang w:bidi="ar"/>
        </w:rPr>
        <w:t>2900 kgf</w:t>
      </w:r>
      <w:r>
        <w:rPr>
          <w:rFonts w:hint="eastAsia" w:ascii="宋体" w:hAnsi="宋体" w:cs="宋体"/>
          <w:b/>
          <w:kern w:val="0"/>
          <w:szCs w:val="21"/>
          <w:lang w:bidi="ar"/>
        </w:rPr>
        <w:t>，破断强度≥</w:t>
      </w:r>
      <w:r>
        <w:rPr>
          <w:b/>
          <w:kern w:val="0"/>
          <w:szCs w:val="21"/>
          <w:lang w:bidi="ar"/>
        </w:rPr>
        <w:t>3400kgf</w:t>
      </w:r>
      <w:r>
        <w:rPr>
          <w:rFonts w:hint="eastAsia" w:ascii="宋体" w:hAnsi="宋体" w:cs="宋体"/>
          <w:b/>
          <w:kern w:val="0"/>
          <w:szCs w:val="21"/>
          <w:lang w:bidi="ar"/>
        </w:rPr>
        <w:t>。</w:t>
      </w:r>
    </w:p>
    <w:p>
      <w:pPr>
        <w:adjustRightInd w:val="0"/>
        <w:snapToGrid w:val="0"/>
        <w:spacing w:line="360" w:lineRule="auto"/>
        <w:ind w:left="2" w:leftChars="1" w:firstLine="420" w:firstLineChars="200"/>
        <w:rPr>
          <w:kern w:val="0"/>
          <w:szCs w:val="21"/>
        </w:rPr>
      </w:pPr>
      <w:r>
        <w:rPr>
          <w:rFonts w:hint="eastAsia" w:ascii="宋体" w:hAnsi="宋体" w:cs="宋体"/>
          <w:kern w:val="0"/>
          <w:szCs w:val="21"/>
          <w:lang w:bidi="ar"/>
        </w:rPr>
        <w:t>链节形式为销合式</w:t>
      </w:r>
      <w:r>
        <w:rPr>
          <w:kern w:val="0"/>
          <w:szCs w:val="21"/>
          <w:lang w:bidi="ar"/>
        </w:rPr>
        <w:t>(</w:t>
      </w:r>
      <w:r>
        <w:rPr>
          <w:rFonts w:hint="eastAsia" w:ascii="宋体" w:hAnsi="宋体" w:cs="宋体"/>
          <w:kern w:val="0"/>
          <w:szCs w:val="21"/>
          <w:lang w:bidi="ar"/>
        </w:rPr>
        <w:t>板式链或凹口式链</w:t>
      </w:r>
      <w:r>
        <w:rPr>
          <w:kern w:val="0"/>
          <w:szCs w:val="21"/>
          <w:lang w:bidi="ar"/>
        </w:rPr>
        <w:t>)</w:t>
      </w:r>
      <w:r>
        <w:rPr>
          <w:rFonts w:hint="eastAsia" w:ascii="宋体" w:hAnsi="宋体" w:cs="宋体"/>
          <w:kern w:val="0"/>
          <w:szCs w:val="21"/>
          <w:lang w:bidi="ar"/>
        </w:rPr>
        <w:t>的形式，整体注塑成形，链条应有足够的耐磨性或耐磨措施以保证其工作寿命。为延长工作寿命，销轴孔和加肋侧板必须精密塑造，保证精度要求。销合链的滚筒表面应具有足够的硬度，在正常运转条件下，节距的延伸量不大于</w:t>
      </w:r>
      <w:r>
        <w:rPr>
          <w:kern w:val="0"/>
          <w:szCs w:val="21"/>
          <w:lang w:bidi="ar"/>
        </w:rPr>
        <w:t>0.5</w:t>
      </w:r>
      <w:r>
        <w:rPr>
          <w:rFonts w:hint="eastAsia" w:ascii="宋体" w:hAnsi="宋体" w:cs="宋体"/>
          <w:kern w:val="0"/>
          <w:szCs w:val="21"/>
          <w:lang w:bidi="ar"/>
        </w:rPr>
        <w:t>％。在设计工况下保证链节的连续工作寿命大于</w:t>
      </w:r>
      <w:r>
        <w:rPr>
          <w:kern w:val="0"/>
          <w:szCs w:val="21"/>
          <w:lang w:bidi="ar"/>
        </w:rPr>
        <w:t>10</w:t>
      </w:r>
      <w:r>
        <w:rPr>
          <w:rFonts w:hint="eastAsia" w:ascii="宋体" w:hAnsi="宋体" w:cs="宋体"/>
          <w:kern w:val="0"/>
          <w:szCs w:val="21"/>
          <w:lang w:bidi="ar"/>
        </w:rPr>
        <w:t>年。</w:t>
      </w:r>
    </w:p>
    <w:p>
      <w:pPr>
        <w:adjustRightInd w:val="0"/>
        <w:snapToGrid w:val="0"/>
        <w:spacing w:line="360" w:lineRule="auto"/>
        <w:ind w:firstLine="420" w:firstLineChars="200"/>
        <w:rPr>
          <w:dstrike/>
          <w:kern w:val="0"/>
          <w:szCs w:val="21"/>
        </w:rPr>
      </w:pPr>
      <w:r>
        <w:rPr>
          <w:rFonts w:hint="eastAsia" w:ascii="宋体" w:hAnsi="宋体" w:cs="宋体"/>
          <w:kern w:val="0"/>
          <w:szCs w:val="21"/>
          <w:lang w:bidi="ar"/>
        </w:rPr>
        <w:t>牵引链拉紧后，二支承点间的弧垂度应小于</w:t>
      </w:r>
      <w:r>
        <w:rPr>
          <w:kern w:val="0"/>
          <w:szCs w:val="21"/>
          <w:lang w:bidi="ar"/>
        </w:rPr>
        <w:t>1</w:t>
      </w:r>
      <w:r>
        <w:rPr>
          <w:rFonts w:hint="eastAsia" w:ascii="宋体" w:hAnsi="宋体" w:cs="宋体"/>
          <w:kern w:val="0"/>
          <w:szCs w:val="21"/>
          <w:lang w:bidi="ar"/>
        </w:rPr>
        <w:t>／</w:t>
      </w:r>
      <w:r>
        <w:rPr>
          <w:kern w:val="0"/>
          <w:szCs w:val="21"/>
          <w:lang w:bidi="ar"/>
        </w:rPr>
        <w:t>50</w:t>
      </w:r>
      <w:r>
        <w:rPr>
          <w:rFonts w:hint="eastAsia" w:ascii="宋体" w:hAnsi="宋体" w:cs="宋体"/>
          <w:kern w:val="0"/>
          <w:szCs w:val="21"/>
          <w:lang w:bidi="ar"/>
        </w:rPr>
        <w:t>支承点距离，链节破断强度至少应大于链条张紧力的</w:t>
      </w:r>
      <w:r>
        <w:rPr>
          <w:kern w:val="0"/>
          <w:szCs w:val="21"/>
          <w:lang w:bidi="ar"/>
        </w:rPr>
        <w:t>6</w:t>
      </w:r>
      <w:r>
        <w:rPr>
          <w:rFonts w:hint="eastAsia" w:ascii="宋体" w:hAnsi="宋体" w:cs="宋体"/>
          <w:kern w:val="0"/>
          <w:szCs w:val="21"/>
          <w:lang w:bidi="ar"/>
        </w:rPr>
        <w:t>倍。</w:t>
      </w:r>
    </w:p>
    <w:p>
      <w:pPr>
        <w:adjustRightInd w:val="0"/>
        <w:snapToGrid w:val="0"/>
        <w:spacing w:line="360" w:lineRule="auto"/>
        <w:ind w:firstLine="420" w:firstLineChars="200"/>
        <w:rPr>
          <w:kern w:val="0"/>
          <w:szCs w:val="21"/>
        </w:rPr>
      </w:pPr>
      <w:r>
        <w:rPr>
          <w:rFonts w:hint="eastAsia" w:ascii="宋体" w:hAnsi="宋体" w:cs="宋体"/>
          <w:kern w:val="0"/>
          <w:szCs w:val="21"/>
          <w:lang w:bidi="ar"/>
        </w:rPr>
        <w:t>牵引链条应适用于本次招标所需刮泥机使用。</w:t>
      </w:r>
    </w:p>
    <w:p>
      <w:pPr>
        <w:adjustRightInd w:val="0"/>
        <w:snapToGrid w:val="0"/>
        <w:spacing w:line="360" w:lineRule="auto"/>
        <w:ind w:firstLine="420" w:firstLineChars="200"/>
        <w:rPr>
          <w:kern w:val="0"/>
          <w:szCs w:val="21"/>
        </w:rPr>
      </w:pPr>
      <w:r>
        <w:rPr>
          <w:rFonts w:hint="eastAsia" w:ascii="宋体" w:hAnsi="宋体" w:cs="宋体"/>
          <w:kern w:val="0"/>
          <w:szCs w:val="21"/>
          <w:lang w:bidi="ar"/>
        </w:rPr>
        <w:t>（</w:t>
      </w:r>
      <w:r>
        <w:rPr>
          <w:kern w:val="0"/>
          <w:szCs w:val="21"/>
          <w:lang w:bidi="ar"/>
        </w:rPr>
        <w:t>5</w:t>
      </w:r>
      <w:r>
        <w:rPr>
          <w:rFonts w:hint="eastAsia" w:ascii="宋体" w:hAnsi="宋体" w:cs="宋体"/>
          <w:kern w:val="0"/>
          <w:szCs w:val="21"/>
          <w:lang w:bidi="ar"/>
        </w:rPr>
        <w:t>）刮泥板</w:t>
      </w:r>
    </w:p>
    <w:p>
      <w:pPr>
        <w:adjustRightInd w:val="0"/>
        <w:snapToGrid w:val="0"/>
        <w:spacing w:line="360" w:lineRule="auto"/>
        <w:ind w:firstLine="420" w:firstLineChars="200"/>
        <w:rPr>
          <w:kern w:val="0"/>
          <w:szCs w:val="21"/>
        </w:rPr>
      </w:pPr>
      <w:r>
        <w:rPr>
          <w:rFonts w:hint="eastAsia" w:ascii="宋体" w:hAnsi="宋体" w:cs="宋体"/>
          <w:kern w:val="0"/>
          <w:szCs w:val="21"/>
          <w:lang w:bidi="ar"/>
        </w:rPr>
        <w:t>刮泥板应适用于本次招标所需刮泥机的要求。</w:t>
      </w:r>
    </w:p>
    <w:p>
      <w:pPr>
        <w:adjustRightInd w:val="0"/>
        <w:snapToGrid w:val="0"/>
        <w:spacing w:line="360" w:lineRule="auto"/>
        <w:ind w:firstLine="422" w:firstLineChars="200"/>
        <w:rPr>
          <w:kern w:val="0"/>
          <w:szCs w:val="21"/>
        </w:rPr>
      </w:pPr>
      <w:r>
        <w:rPr>
          <w:b/>
          <w:kern w:val="0"/>
          <w:szCs w:val="21"/>
          <w:lang w:bidi="ar"/>
        </w:rPr>
        <w:t>★</w:t>
      </w:r>
      <w:r>
        <w:rPr>
          <w:rFonts w:hint="eastAsia" w:ascii="宋体" w:hAnsi="宋体" w:cs="宋体"/>
          <w:b/>
          <w:kern w:val="0"/>
          <w:szCs w:val="21"/>
          <w:lang w:bidi="ar"/>
        </w:rPr>
        <w:t>刮泥板应由加强型玻璃钢或更好材料制成，其中玻璃纤维占</w:t>
      </w:r>
      <w:r>
        <w:rPr>
          <w:b/>
          <w:kern w:val="0"/>
          <w:szCs w:val="21"/>
          <w:lang w:bidi="ar"/>
        </w:rPr>
        <w:t>60%</w:t>
      </w:r>
      <w:r>
        <w:rPr>
          <w:rFonts w:hint="eastAsia" w:ascii="宋体" w:hAnsi="宋体" w:cs="宋体"/>
          <w:b/>
          <w:kern w:val="0"/>
          <w:szCs w:val="21"/>
          <w:lang w:bidi="ar"/>
        </w:rPr>
        <w:t>以上，刮板应具有足够的强度和刚度，允许挠度不大于</w:t>
      </w:r>
      <w:r>
        <w:rPr>
          <w:b/>
          <w:kern w:val="0"/>
          <w:szCs w:val="21"/>
          <w:lang w:bidi="ar"/>
        </w:rPr>
        <w:t>1</w:t>
      </w:r>
      <w:r>
        <w:rPr>
          <w:rFonts w:hint="eastAsia" w:ascii="宋体" w:hAnsi="宋体" w:cs="宋体"/>
          <w:b/>
          <w:kern w:val="0"/>
          <w:szCs w:val="21"/>
          <w:lang w:bidi="ar"/>
        </w:rPr>
        <w:t>／</w:t>
      </w:r>
      <w:r>
        <w:rPr>
          <w:b/>
          <w:kern w:val="0"/>
          <w:szCs w:val="21"/>
          <w:lang w:bidi="ar"/>
        </w:rPr>
        <w:t>1000</w:t>
      </w:r>
      <w:r>
        <w:rPr>
          <w:rFonts w:hint="eastAsia" w:ascii="宋体" w:hAnsi="宋体" w:cs="宋体"/>
          <w:b/>
          <w:kern w:val="0"/>
          <w:szCs w:val="21"/>
          <w:lang w:bidi="ar"/>
        </w:rPr>
        <w:t>。</w:t>
      </w:r>
    </w:p>
    <w:p>
      <w:pPr>
        <w:adjustRightInd w:val="0"/>
        <w:snapToGrid w:val="0"/>
        <w:spacing w:line="360" w:lineRule="auto"/>
        <w:ind w:firstLine="422" w:firstLineChars="200"/>
        <w:rPr>
          <w:dstrike/>
          <w:kern w:val="0"/>
          <w:szCs w:val="21"/>
        </w:rPr>
      </w:pPr>
      <w:r>
        <w:rPr>
          <w:b/>
          <w:kern w:val="0"/>
          <w:szCs w:val="21"/>
          <w:lang w:bidi="ar"/>
        </w:rPr>
        <w:t>★</w:t>
      </w:r>
      <w:r>
        <w:rPr>
          <w:rFonts w:hint="eastAsia" w:ascii="宋体" w:hAnsi="宋体" w:cs="宋体"/>
          <w:b/>
          <w:kern w:val="0"/>
          <w:szCs w:val="21"/>
          <w:lang w:bidi="ar"/>
        </w:rPr>
        <w:t>刮泥板间隔应布置均匀，</w:t>
      </w:r>
      <w:r>
        <w:rPr>
          <w:rFonts w:hint="eastAsia" w:ascii="宋体" w:hAnsi="宋体" w:cs="宋体"/>
          <w:b/>
          <w:szCs w:val="21"/>
          <w:lang w:bidi="ar"/>
        </w:rPr>
        <w:t>沉淀池刮泥板最大间距不大于</w:t>
      </w:r>
      <w:r>
        <w:rPr>
          <w:b/>
          <w:szCs w:val="21"/>
          <w:lang w:bidi="ar"/>
        </w:rPr>
        <w:t>3.1</w:t>
      </w:r>
      <w:r>
        <w:rPr>
          <w:rFonts w:hint="eastAsia" w:ascii="宋体" w:hAnsi="宋体" w:cs="宋体"/>
          <w:b/>
          <w:szCs w:val="21"/>
          <w:lang w:bidi="ar"/>
        </w:rPr>
        <w:t>米。刮板高度应不小于</w:t>
      </w:r>
      <w:r>
        <w:rPr>
          <w:b/>
          <w:szCs w:val="21"/>
          <w:lang w:bidi="ar"/>
        </w:rPr>
        <w:t>180mm</w:t>
      </w:r>
      <w:r>
        <w:rPr>
          <w:rFonts w:hint="eastAsia" w:ascii="宋体" w:hAnsi="宋体" w:cs="宋体"/>
          <w:b/>
          <w:szCs w:val="21"/>
          <w:lang w:bidi="ar"/>
        </w:rPr>
        <w:t>，以保证刮泥效果。</w:t>
      </w:r>
    </w:p>
    <w:p>
      <w:pPr>
        <w:adjustRightInd w:val="0"/>
        <w:snapToGrid w:val="0"/>
        <w:spacing w:line="360" w:lineRule="auto"/>
        <w:ind w:firstLine="420" w:firstLineChars="200"/>
        <w:rPr>
          <w:kern w:val="0"/>
          <w:szCs w:val="21"/>
        </w:rPr>
      </w:pPr>
      <w:r>
        <w:rPr>
          <w:rFonts w:hint="eastAsia" w:ascii="宋体" w:hAnsi="宋体" w:cs="宋体"/>
          <w:kern w:val="0"/>
          <w:szCs w:val="21"/>
          <w:lang w:bidi="ar"/>
        </w:rPr>
        <w:t>刮泥板二侧与带连接座的专用（销合链节距相等）链节连接，并采用不锈钢</w:t>
      </w:r>
      <w:r>
        <w:rPr>
          <w:kern w:val="0"/>
          <w:szCs w:val="21"/>
          <w:lang w:bidi="ar"/>
        </w:rPr>
        <w:t>316</w:t>
      </w:r>
      <w:r>
        <w:rPr>
          <w:rFonts w:hint="eastAsia" w:ascii="宋体" w:hAnsi="宋体" w:cs="宋体"/>
          <w:kern w:val="0"/>
          <w:szCs w:val="21"/>
          <w:lang w:bidi="ar"/>
        </w:rPr>
        <w:t>螺栓紧固。</w:t>
      </w:r>
    </w:p>
    <w:p>
      <w:pPr>
        <w:adjustRightInd w:val="0"/>
        <w:snapToGrid w:val="0"/>
        <w:spacing w:line="360" w:lineRule="auto"/>
        <w:ind w:firstLine="422" w:firstLineChars="200"/>
        <w:rPr>
          <w:kern w:val="0"/>
          <w:szCs w:val="21"/>
        </w:rPr>
      </w:pPr>
      <w:r>
        <w:rPr>
          <w:b/>
          <w:kern w:val="0"/>
          <w:szCs w:val="21"/>
          <w:lang w:bidi="ar"/>
        </w:rPr>
        <w:t>★</w:t>
      </w:r>
      <w:r>
        <w:rPr>
          <w:rFonts w:hint="eastAsia" w:ascii="宋体" w:hAnsi="宋体" w:cs="宋体"/>
          <w:b/>
          <w:kern w:val="0"/>
          <w:szCs w:val="21"/>
          <w:lang w:bidi="ar"/>
        </w:rPr>
        <w:t>投标方应在投标文件中明确刮泥板形状和有关参数指标。</w:t>
      </w:r>
    </w:p>
    <w:p>
      <w:pPr>
        <w:adjustRightInd w:val="0"/>
        <w:snapToGrid w:val="0"/>
        <w:spacing w:line="360" w:lineRule="auto"/>
        <w:ind w:firstLine="470" w:firstLineChars="224"/>
        <w:rPr>
          <w:kern w:val="0"/>
          <w:szCs w:val="21"/>
        </w:rPr>
      </w:pPr>
      <w:r>
        <w:rPr>
          <w:rFonts w:hint="eastAsia" w:ascii="宋体" w:hAnsi="宋体" w:cs="宋体"/>
          <w:kern w:val="0"/>
          <w:szCs w:val="21"/>
          <w:lang w:bidi="ar"/>
        </w:rPr>
        <w:t>（</w:t>
      </w:r>
      <w:r>
        <w:rPr>
          <w:kern w:val="0"/>
          <w:szCs w:val="21"/>
          <w:lang w:bidi="ar"/>
        </w:rPr>
        <w:t>6</w:t>
      </w:r>
      <w:r>
        <w:rPr>
          <w:rFonts w:hint="eastAsia" w:ascii="宋体" w:hAnsi="宋体" w:cs="宋体"/>
          <w:kern w:val="0"/>
          <w:szCs w:val="21"/>
          <w:lang w:bidi="ar"/>
        </w:rPr>
        <w:t>）耐磨靴</w:t>
      </w:r>
    </w:p>
    <w:p>
      <w:pPr>
        <w:adjustRightInd w:val="0"/>
        <w:snapToGrid w:val="0"/>
        <w:spacing w:line="360" w:lineRule="auto"/>
        <w:ind w:firstLine="474" w:firstLineChars="225"/>
        <w:rPr>
          <w:kern w:val="0"/>
          <w:szCs w:val="21"/>
        </w:rPr>
      </w:pPr>
      <w:r>
        <w:rPr>
          <w:rFonts w:hint="eastAsia" w:ascii="宋体" w:hAnsi="宋体" w:cs="宋体"/>
          <w:b/>
          <w:kern w:val="0"/>
          <w:szCs w:val="21"/>
          <w:lang w:bidi="ar"/>
        </w:rPr>
        <w:t>刮泥板的上、下侧均需安装厚度</w:t>
      </w:r>
      <w:r>
        <w:rPr>
          <w:b/>
          <w:kern w:val="0"/>
          <w:szCs w:val="21"/>
          <w:lang w:bidi="ar"/>
        </w:rPr>
        <w:t>≥12mm</w:t>
      </w:r>
      <w:r>
        <w:rPr>
          <w:rFonts w:hint="eastAsia" w:ascii="宋体" w:hAnsi="宋体" w:cs="宋体"/>
          <w:b/>
          <w:kern w:val="0"/>
          <w:szCs w:val="21"/>
          <w:lang w:bidi="ar"/>
        </w:rPr>
        <w:t>的耐磨靴，刮泥时下侧耐磨靴与设在池底的导轨接触，回程时上侧耐磨靴与托架导轨接触。耐磨靴应采用铸造尼龙</w:t>
      </w:r>
      <w:r>
        <w:rPr>
          <w:b/>
          <w:kern w:val="0"/>
          <w:szCs w:val="21"/>
          <w:lang w:bidi="ar"/>
        </w:rPr>
        <w:t>6</w:t>
      </w:r>
      <w:r>
        <w:rPr>
          <w:rFonts w:hint="eastAsia" w:ascii="宋体" w:hAnsi="宋体" w:cs="宋体"/>
          <w:b/>
          <w:kern w:val="0"/>
          <w:szCs w:val="21"/>
          <w:lang w:bidi="ar"/>
        </w:rPr>
        <w:t>或尼龙</w:t>
      </w:r>
      <w:r>
        <w:rPr>
          <w:b/>
          <w:kern w:val="0"/>
          <w:szCs w:val="21"/>
          <w:lang w:bidi="ar"/>
        </w:rPr>
        <w:t>6/6</w:t>
      </w:r>
      <w:r>
        <w:rPr>
          <w:rFonts w:hint="eastAsia" w:ascii="宋体" w:hAnsi="宋体" w:cs="宋体"/>
          <w:b/>
          <w:kern w:val="0"/>
          <w:szCs w:val="21"/>
          <w:lang w:bidi="ar"/>
        </w:rPr>
        <w:t>或增强聚乙烯（</w:t>
      </w:r>
      <w:r>
        <w:rPr>
          <w:b/>
          <w:kern w:val="0"/>
          <w:szCs w:val="21"/>
          <w:lang w:bidi="ar"/>
        </w:rPr>
        <w:t>UHMW-PE)</w:t>
      </w:r>
      <w:r>
        <w:rPr>
          <w:rFonts w:hint="eastAsia" w:ascii="宋体" w:hAnsi="宋体" w:cs="宋体"/>
          <w:b/>
          <w:kern w:val="0"/>
          <w:szCs w:val="21"/>
          <w:lang w:bidi="ar"/>
        </w:rPr>
        <w:t>更好材料制造。耐磨靴的工作寿命应保证在设计工况条件下连续运行</w:t>
      </w:r>
      <w:r>
        <w:rPr>
          <w:b/>
          <w:kern w:val="0"/>
          <w:szCs w:val="21"/>
          <w:lang w:bidi="ar"/>
        </w:rPr>
        <w:t>5</w:t>
      </w:r>
      <w:r>
        <w:rPr>
          <w:rFonts w:hint="eastAsia" w:ascii="宋体" w:hAnsi="宋体" w:cs="宋体"/>
          <w:b/>
          <w:kern w:val="0"/>
          <w:szCs w:val="21"/>
          <w:lang w:bidi="ar"/>
        </w:rPr>
        <w:t>年以上。</w:t>
      </w:r>
    </w:p>
    <w:p>
      <w:pPr>
        <w:adjustRightInd w:val="0"/>
        <w:snapToGrid w:val="0"/>
        <w:spacing w:line="360" w:lineRule="auto"/>
        <w:ind w:firstLine="472" w:firstLineChars="225"/>
        <w:rPr>
          <w:kern w:val="0"/>
          <w:szCs w:val="21"/>
        </w:rPr>
      </w:pPr>
      <w:r>
        <w:rPr>
          <w:rFonts w:hint="eastAsia" w:ascii="宋体" w:hAnsi="宋体" w:cs="宋体"/>
          <w:kern w:val="0"/>
          <w:szCs w:val="21"/>
          <w:lang w:bidi="ar"/>
        </w:rPr>
        <w:t>最小抗拉强度</w:t>
      </w:r>
      <w:r>
        <w:rPr>
          <w:kern w:val="0"/>
          <w:szCs w:val="21"/>
          <w:lang w:bidi="ar"/>
        </w:rPr>
        <w:t>82MPa</w:t>
      </w:r>
      <w:r>
        <w:rPr>
          <w:rFonts w:hint="eastAsia" w:ascii="宋体" w:hAnsi="宋体" w:cs="宋体"/>
          <w:kern w:val="0"/>
          <w:szCs w:val="21"/>
          <w:lang w:bidi="ar"/>
        </w:rPr>
        <w:t>，洛氏硬度不低于</w:t>
      </w:r>
      <w:r>
        <w:rPr>
          <w:kern w:val="0"/>
          <w:szCs w:val="21"/>
          <w:lang w:bidi="ar"/>
        </w:rPr>
        <w:t>R110</w:t>
      </w:r>
      <w:r>
        <w:rPr>
          <w:rFonts w:hint="eastAsia" w:ascii="宋体" w:hAnsi="宋体" w:cs="宋体"/>
          <w:kern w:val="0"/>
          <w:szCs w:val="21"/>
          <w:lang w:bidi="ar"/>
        </w:rPr>
        <w:t>。</w:t>
      </w:r>
    </w:p>
    <w:p>
      <w:pPr>
        <w:adjustRightInd w:val="0"/>
        <w:snapToGrid w:val="0"/>
        <w:spacing w:line="360" w:lineRule="auto"/>
        <w:ind w:firstLine="308" w:firstLineChars="146"/>
        <w:rPr>
          <w:kern w:val="0"/>
          <w:szCs w:val="21"/>
        </w:rPr>
      </w:pPr>
      <w:r>
        <w:rPr>
          <w:b/>
          <w:kern w:val="0"/>
          <w:szCs w:val="21"/>
          <w:lang w:bidi="ar"/>
        </w:rPr>
        <w:t>★</w:t>
      </w:r>
      <w:r>
        <w:rPr>
          <w:rFonts w:hint="eastAsia" w:ascii="宋体" w:hAnsi="宋体" w:cs="宋体"/>
          <w:b/>
          <w:bCs/>
          <w:kern w:val="0"/>
          <w:szCs w:val="21"/>
          <w:lang w:bidi="ar"/>
        </w:rPr>
        <w:t>所有耐磨靴是双面（正反面）可调换使用。</w:t>
      </w:r>
    </w:p>
    <w:p>
      <w:pPr>
        <w:adjustRightInd w:val="0"/>
        <w:snapToGrid w:val="0"/>
        <w:spacing w:line="360" w:lineRule="auto"/>
        <w:ind w:firstLine="306" w:firstLineChars="146"/>
        <w:rPr>
          <w:b/>
          <w:kern w:val="0"/>
          <w:szCs w:val="21"/>
        </w:rPr>
      </w:pPr>
      <w:r>
        <w:rPr>
          <w:rFonts w:hint="eastAsia" w:ascii="宋体" w:hAnsi="宋体" w:cs="宋体"/>
          <w:kern w:val="0"/>
          <w:szCs w:val="21"/>
          <w:lang w:bidi="ar"/>
        </w:rPr>
        <w:t>投标方应提供质保期内运行所需备品备件和不少于</w:t>
      </w:r>
      <w:r>
        <w:rPr>
          <w:kern w:val="0"/>
          <w:szCs w:val="21"/>
          <w:lang w:bidi="ar"/>
        </w:rPr>
        <w:t>10%</w:t>
      </w:r>
      <w:r>
        <w:rPr>
          <w:rFonts w:hint="eastAsia" w:ascii="宋体" w:hAnsi="宋体" w:cs="宋体"/>
          <w:kern w:val="0"/>
          <w:szCs w:val="21"/>
          <w:lang w:bidi="ar"/>
        </w:rPr>
        <w:t>备用率的耐磨靴（不少于</w:t>
      </w:r>
      <w:r>
        <w:rPr>
          <w:kern w:val="0"/>
          <w:szCs w:val="21"/>
          <w:lang w:bidi="ar"/>
        </w:rPr>
        <w:t>2</w:t>
      </w:r>
      <w:r>
        <w:rPr>
          <w:rFonts w:hint="eastAsia" w:ascii="宋体" w:hAnsi="宋体" w:cs="宋体"/>
          <w:kern w:val="0"/>
          <w:szCs w:val="21"/>
          <w:lang w:bidi="ar"/>
        </w:rPr>
        <w:t>套）和链条、刮板、刮板连接件以及两套刮泥机减速装置等，费用包括在投标报价中。</w:t>
      </w:r>
    </w:p>
    <w:p>
      <w:pPr>
        <w:adjustRightInd w:val="0"/>
        <w:snapToGrid w:val="0"/>
        <w:spacing w:line="360" w:lineRule="auto"/>
        <w:ind w:firstLine="470" w:firstLineChars="224"/>
        <w:rPr>
          <w:kern w:val="0"/>
          <w:szCs w:val="21"/>
        </w:rPr>
      </w:pPr>
      <w:r>
        <w:rPr>
          <w:rFonts w:hint="eastAsia" w:ascii="宋体" w:hAnsi="宋体" w:cs="宋体"/>
          <w:kern w:val="0"/>
          <w:szCs w:val="21"/>
          <w:lang w:bidi="ar"/>
        </w:rPr>
        <w:t>（</w:t>
      </w:r>
      <w:r>
        <w:rPr>
          <w:kern w:val="0"/>
          <w:szCs w:val="21"/>
          <w:lang w:bidi="ar"/>
        </w:rPr>
        <w:t>7</w:t>
      </w:r>
      <w:r>
        <w:rPr>
          <w:rFonts w:hint="eastAsia" w:ascii="宋体" w:hAnsi="宋体" w:cs="宋体"/>
          <w:kern w:val="0"/>
          <w:szCs w:val="21"/>
          <w:lang w:bidi="ar"/>
        </w:rPr>
        <w:t>）牵引链驱动轴系</w:t>
      </w:r>
    </w:p>
    <w:p>
      <w:pPr>
        <w:adjustRightInd w:val="0"/>
        <w:snapToGrid w:val="0"/>
        <w:spacing w:line="360" w:lineRule="auto"/>
        <w:ind w:firstLine="422" w:firstLineChars="200"/>
        <w:rPr>
          <w:kern w:val="0"/>
          <w:szCs w:val="21"/>
        </w:rPr>
      </w:pPr>
      <w:r>
        <w:rPr>
          <w:rFonts w:hint="eastAsia" w:ascii="宋体" w:hAnsi="宋体" w:cs="宋体"/>
          <w:b/>
          <w:kern w:val="0"/>
          <w:szCs w:val="21"/>
          <w:lang w:bidi="ar"/>
        </w:rPr>
        <w:t>牵引链驱动轴系采用</w:t>
      </w:r>
      <w:r>
        <w:rPr>
          <w:b/>
          <w:kern w:val="0"/>
          <w:szCs w:val="21"/>
          <w:lang w:bidi="ar"/>
        </w:rPr>
        <w:t>304</w:t>
      </w:r>
      <w:r>
        <w:rPr>
          <w:rFonts w:hint="eastAsia" w:ascii="宋体" w:hAnsi="宋体" w:cs="宋体"/>
          <w:b/>
          <w:kern w:val="0"/>
          <w:szCs w:val="21"/>
          <w:lang w:bidi="ar"/>
        </w:rPr>
        <w:t>不锈钢材料或高强度耐腐蚀工程材料制造，应具有足够的抗弯、抗扭强度，二侧牵引链应保持同步移动。</w:t>
      </w:r>
    </w:p>
    <w:p>
      <w:pPr>
        <w:adjustRightInd w:val="0"/>
        <w:snapToGrid w:val="0"/>
        <w:spacing w:line="360" w:lineRule="auto"/>
        <w:ind w:firstLine="422" w:firstLineChars="200"/>
        <w:rPr>
          <w:kern w:val="0"/>
          <w:szCs w:val="21"/>
        </w:rPr>
      </w:pPr>
      <w:r>
        <w:rPr>
          <w:rFonts w:hint="eastAsia" w:ascii="宋体" w:hAnsi="宋体" w:cs="宋体"/>
          <w:b/>
          <w:kern w:val="0"/>
          <w:szCs w:val="21"/>
          <w:lang w:bidi="ar"/>
        </w:rPr>
        <w:t>牵引链轮采用链齿形或销齿形，由聚亚安酯或铸造尼龙</w:t>
      </w:r>
      <w:r>
        <w:rPr>
          <w:b/>
          <w:kern w:val="0"/>
          <w:szCs w:val="21"/>
          <w:lang w:bidi="ar"/>
        </w:rPr>
        <w:t>6</w:t>
      </w:r>
      <w:r>
        <w:rPr>
          <w:rFonts w:hint="eastAsia" w:ascii="宋体" w:hAnsi="宋体" w:cs="宋体"/>
          <w:b/>
          <w:kern w:val="0"/>
          <w:szCs w:val="21"/>
          <w:lang w:bidi="ar"/>
        </w:rPr>
        <w:t>或不锈钢</w:t>
      </w:r>
      <w:r>
        <w:rPr>
          <w:b/>
          <w:kern w:val="0"/>
          <w:szCs w:val="21"/>
          <w:lang w:bidi="ar"/>
        </w:rPr>
        <w:t>304</w:t>
      </w:r>
      <w:r>
        <w:rPr>
          <w:rFonts w:hint="eastAsia" w:ascii="宋体" w:hAnsi="宋体" w:cs="宋体"/>
          <w:b/>
          <w:kern w:val="0"/>
          <w:szCs w:val="21"/>
          <w:lang w:bidi="ar"/>
        </w:rPr>
        <w:t>制造，扣链齿轮在</w:t>
      </w:r>
      <w:r>
        <w:rPr>
          <w:b/>
          <w:kern w:val="0"/>
          <w:szCs w:val="21"/>
          <w:lang w:bidi="ar"/>
        </w:rPr>
        <w:t>24</w:t>
      </w:r>
      <w:r>
        <w:rPr>
          <w:rFonts w:hint="eastAsia" w:ascii="宋体" w:hAnsi="宋体" w:cs="宋体"/>
          <w:b/>
          <w:kern w:val="0"/>
          <w:szCs w:val="21"/>
          <w:lang w:bidi="ar"/>
        </w:rPr>
        <w:t>小时浸渍水，水温</w:t>
      </w:r>
      <w:r>
        <w:rPr>
          <w:b/>
          <w:kern w:val="0"/>
          <w:szCs w:val="21"/>
          <w:lang w:bidi="ar"/>
        </w:rPr>
        <w:t>23℃</w:t>
      </w:r>
      <w:r>
        <w:rPr>
          <w:rFonts w:hint="eastAsia" w:ascii="宋体" w:hAnsi="宋体" w:cs="宋体"/>
          <w:b/>
          <w:kern w:val="0"/>
          <w:szCs w:val="21"/>
          <w:lang w:bidi="ar"/>
        </w:rPr>
        <w:t>的状态下水吸收率按</w:t>
      </w:r>
      <w:r>
        <w:rPr>
          <w:b/>
          <w:kern w:val="0"/>
          <w:szCs w:val="21"/>
          <w:lang w:bidi="ar"/>
        </w:rPr>
        <w:t>ASTMD</w:t>
      </w:r>
      <w:r>
        <w:rPr>
          <w:rFonts w:hint="eastAsia" w:ascii="宋体" w:hAnsi="宋体" w:cs="宋体"/>
          <w:b/>
          <w:kern w:val="0"/>
          <w:szCs w:val="21"/>
          <w:lang w:bidi="ar"/>
        </w:rPr>
        <w:t>－</w:t>
      </w:r>
      <w:r>
        <w:rPr>
          <w:b/>
          <w:kern w:val="0"/>
          <w:szCs w:val="21"/>
          <w:lang w:bidi="ar"/>
        </w:rPr>
        <w:t>570</w:t>
      </w:r>
      <w:r>
        <w:rPr>
          <w:rFonts w:hint="eastAsia" w:ascii="宋体" w:hAnsi="宋体" w:cs="宋体"/>
          <w:b/>
          <w:kern w:val="0"/>
          <w:szCs w:val="21"/>
          <w:lang w:bidi="ar"/>
        </w:rPr>
        <w:t>标准不超过</w:t>
      </w:r>
      <w:r>
        <w:rPr>
          <w:b/>
          <w:kern w:val="0"/>
          <w:szCs w:val="21"/>
          <w:lang w:bidi="ar"/>
        </w:rPr>
        <w:t>1.3%</w:t>
      </w:r>
      <w:r>
        <w:rPr>
          <w:rFonts w:hint="eastAsia" w:ascii="宋体" w:hAnsi="宋体" w:cs="宋体"/>
          <w:b/>
          <w:kern w:val="0"/>
          <w:szCs w:val="21"/>
          <w:lang w:bidi="ar"/>
        </w:rPr>
        <w:t>。应具有足够的抗弯强度，洛氏硬度不低于</w:t>
      </w:r>
      <w:r>
        <w:rPr>
          <w:b/>
          <w:kern w:val="0"/>
          <w:szCs w:val="21"/>
          <w:lang w:bidi="ar"/>
        </w:rPr>
        <w:t>R115</w:t>
      </w:r>
      <w:r>
        <w:rPr>
          <w:rFonts w:hint="eastAsia" w:ascii="宋体" w:hAnsi="宋体" w:cs="宋体"/>
          <w:b/>
          <w:kern w:val="0"/>
          <w:szCs w:val="21"/>
          <w:lang w:bidi="ar"/>
        </w:rPr>
        <w:t>。</w:t>
      </w:r>
    </w:p>
    <w:p>
      <w:pPr>
        <w:adjustRightInd w:val="0"/>
        <w:snapToGrid w:val="0"/>
        <w:spacing w:line="360" w:lineRule="auto"/>
        <w:ind w:firstLine="470" w:firstLineChars="224"/>
        <w:rPr>
          <w:kern w:val="0"/>
          <w:szCs w:val="21"/>
        </w:rPr>
      </w:pPr>
      <w:r>
        <w:rPr>
          <w:rFonts w:hint="eastAsia" w:ascii="宋体" w:hAnsi="宋体" w:cs="宋体"/>
          <w:kern w:val="0"/>
          <w:szCs w:val="21"/>
          <w:lang w:bidi="ar"/>
        </w:rPr>
        <w:t>（</w:t>
      </w:r>
      <w:r>
        <w:rPr>
          <w:kern w:val="0"/>
          <w:szCs w:val="21"/>
          <w:lang w:bidi="ar"/>
        </w:rPr>
        <w:t>8</w:t>
      </w:r>
      <w:r>
        <w:rPr>
          <w:rFonts w:hint="eastAsia" w:ascii="宋体" w:hAnsi="宋体" w:cs="宋体"/>
          <w:kern w:val="0"/>
          <w:szCs w:val="21"/>
          <w:lang w:bidi="ar"/>
        </w:rPr>
        <w:t>）牵引链的从动轮轴系</w:t>
      </w:r>
    </w:p>
    <w:p>
      <w:pPr>
        <w:adjustRightInd w:val="0"/>
        <w:snapToGrid w:val="0"/>
        <w:spacing w:line="360" w:lineRule="auto"/>
        <w:ind w:firstLine="525" w:firstLineChars="250"/>
        <w:rPr>
          <w:kern w:val="0"/>
          <w:szCs w:val="21"/>
        </w:rPr>
      </w:pPr>
      <w:r>
        <w:rPr>
          <w:rFonts w:hint="eastAsia" w:ascii="宋体" w:hAnsi="宋体" w:cs="宋体"/>
          <w:kern w:val="0"/>
          <w:szCs w:val="21"/>
          <w:lang w:bidi="ar"/>
        </w:rPr>
        <w:t>从动轴（含尾轮轴）宜采用悬臂式支承结构。从动轴（含尾轮轴）应具有足够的抗拉、抗弯、抗扭强度。</w:t>
      </w:r>
    </w:p>
    <w:p>
      <w:pPr>
        <w:adjustRightInd w:val="0"/>
        <w:snapToGrid w:val="0"/>
        <w:spacing w:line="360" w:lineRule="auto"/>
        <w:ind w:firstLine="525" w:firstLineChars="250"/>
        <w:rPr>
          <w:kern w:val="0"/>
          <w:szCs w:val="21"/>
        </w:rPr>
      </w:pPr>
      <w:r>
        <w:rPr>
          <w:rFonts w:hint="eastAsia" w:ascii="宋体" w:hAnsi="宋体" w:cs="宋体"/>
          <w:kern w:val="0"/>
          <w:szCs w:val="21"/>
          <w:lang w:bidi="ar"/>
        </w:rPr>
        <w:t>从动轴（含尾轮轴）应采用铸造尼龙</w:t>
      </w:r>
      <w:r>
        <w:rPr>
          <w:kern w:val="0"/>
          <w:szCs w:val="21"/>
          <w:lang w:bidi="ar"/>
        </w:rPr>
        <w:t>6</w:t>
      </w:r>
      <w:r>
        <w:rPr>
          <w:rFonts w:hint="eastAsia" w:ascii="宋体" w:hAnsi="宋体" w:cs="宋体"/>
          <w:kern w:val="0"/>
          <w:szCs w:val="21"/>
          <w:lang w:bidi="ar"/>
        </w:rPr>
        <w:t>或</w:t>
      </w:r>
      <w:r>
        <w:rPr>
          <w:kern w:val="0"/>
          <w:szCs w:val="21"/>
          <w:lang w:bidi="ar"/>
        </w:rPr>
        <w:t>304</w:t>
      </w:r>
      <w:r>
        <w:rPr>
          <w:rFonts w:hint="eastAsia" w:ascii="宋体" w:hAnsi="宋体" w:cs="宋体"/>
          <w:kern w:val="0"/>
          <w:szCs w:val="21"/>
          <w:lang w:bidi="ar"/>
        </w:rPr>
        <w:t>不锈钢材料制造。洛式硬度不低于</w:t>
      </w:r>
      <w:r>
        <w:rPr>
          <w:kern w:val="0"/>
          <w:szCs w:val="21"/>
          <w:lang w:bidi="ar"/>
        </w:rPr>
        <w:t>R115</w:t>
      </w:r>
      <w:r>
        <w:rPr>
          <w:rFonts w:hint="eastAsia" w:ascii="宋体" w:hAnsi="宋体" w:cs="宋体"/>
          <w:kern w:val="0"/>
          <w:szCs w:val="21"/>
          <w:lang w:bidi="ar"/>
        </w:rPr>
        <w:t>。</w:t>
      </w:r>
    </w:p>
    <w:p>
      <w:pPr>
        <w:adjustRightInd w:val="0"/>
        <w:snapToGrid w:val="0"/>
        <w:spacing w:line="360" w:lineRule="auto"/>
        <w:ind w:firstLine="470" w:firstLineChars="224"/>
        <w:rPr>
          <w:kern w:val="0"/>
          <w:szCs w:val="21"/>
        </w:rPr>
      </w:pPr>
      <w:r>
        <w:rPr>
          <w:rFonts w:hint="eastAsia" w:ascii="宋体" w:hAnsi="宋体" w:cs="宋体"/>
          <w:kern w:val="0"/>
          <w:szCs w:val="21"/>
          <w:lang w:bidi="ar"/>
        </w:rPr>
        <w:t>（</w:t>
      </w:r>
      <w:r>
        <w:rPr>
          <w:kern w:val="0"/>
          <w:szCs w:val="21"/>
          <w:lang w:bidi="ar"/>
        </w:rPr>
        <w:t>9</w:t>
      </w:r>
      <w:r>
        <w:rPr>
          <w:rFonts w:hint="eastAsia" w:ascii="宋体" w:hAnsi="宋体" w:cs="宋体"/>
          <w:kern w:val="0"/>
          <w:szCs w:val="21"/>
          <w:lang w:bidi="ar"/>
        </w:rPr>
        <w:t>）轴承</w:t>
      </w:r>
    </w:p>
    <w:p>
      <w:pPr>
        <w:adjustRightInd w:val="0"/>
        <w:snapToGrid w:val="0"/>
        <w:spacing w:line="360" w:lineRule="auto"/>
        <w:ind w:firstLine="472" w:firstLineChars="225"/>
        <w:rPr>
          <w:kern w:val="0"/>
          <w:szCs w:val="21"/>
        </w:rPr>
      </w:pPr>
      <w:r>
        <w:rPr>
          <w:rFonts w:hint="eastAsia" w:ascii="宋体" w:hAnsi="宋体" w:cs="宋体"/>
          <w:kern w:val="0"/>
          <w:szCs w:val="21"/>
          <w:lang w:bidi="ar"/>
        </w:rPr>
        <w:t>水下轴承应为可更换的整体式自润滑轴承形式，轴衬应承载力强，耐磨性好，采用聚亚安酯或聚乙烯制造或更好的材料制造，采用自动对齐形式，轴承的安装应方便对齐。</w:t>
      </w:r>
    </w:p>
    <w:p>
      <w:pPr>
        <w:adjustRightInd w:val="0"/>
        <w:snapToGrid w:val="0"/>
        <w:spacing w:line="360" w:lineRule="auto"/>
        <w:ind w:firstLine="470" w:firstLineChars="224"/>
        <w:rPr>
          <w:kern w:val="0"/>
          <w:szCs w:val="21"/>
        </w:rPr>
      </w:pPr>
      <w:r>
        <w:rPr>
          <w:rFonts w:hint="eastAsia" w:ascii="宋体" w:hAnsi="宋体" w:cs="宋体"/>
          <w:kern w:val="0"/>
          <w:szCs w:val="21"/>
          <w:lang w:bidi="ar"/>
        </w:rPr>
        <w:t>（</w:t>
      </w:r>
      <w:r>
        <w:rPr>
          <w:kern w:val="0"/>
          <w:szCs w:val="21"/>
          <w:lang w:bidi="ar"/>
        </w:rPr>
        <w:t>10</w:t>
      </w:r>
      <w:r>
        <w:rPr>
          <w:rFonts w:hint="eastAsia" w:ascii="宋体" w:hAnsi="宋体" w:cs="宋体"/>
          <w:kern w:val="0"/>
          <w:szCs w:val="21"/>
          <w:lang w:bidi="ar"/>
        </w:rPr>
        <w:t>）回程轨道及支撑架</w:t>
      </w:r>
    </w:p>
    <w:p>
      <w:pPr>
        <w:pStyle w:val="27"/>
        <w:widowControl w:val="0"/>
        <w:adjustRightInd w:val="0"/>
        <w:snapToGrid w:val="0"/>
        <w:spacing w:before="0" w:beforeAutospacing="0" w:after="0" w:afterAutospacing="0" w:line="360" w:lineRule="auto"/>
        <w:ind w:firstLine="422" w:firstLineChars="200"/>
        <w:jc w:val="both"/>
        <w:rPr>
          <w:rFonts w:ascii="Times New Roman" w:hAnsi="Times New Roman"/>
          <w:sz w:val="21"/>
          <w:szCs w:val="21"/>
        </w:rPr>
      </w:pPr>
      <w:r>
        <w:rPr>
          <w:rFonts w:hint="eastAsia" w:cs="宋体"/>
          <w:b/>
          <w:sz w:val="21"/>
          <w:szCs w:val="21"/>
          <w:lang w:bidi="ar"/>
        </w:rPr>
        <w:t>回程导轨采用承载力强、耐磨性好的增强聚乙烯（</w:t>
      </w:r>
      <w:r>
        <w:rPr>
          <w:rFonts w:ascii="Times New Roman" w:hAnsi="Times New Roman"/>
          <w:b/>
          <w:sz w:val="21"/>
          <w:szCs w:val="21"/>
          <w:lang w:bidi="ar"/>
        </w:rPr>
        <w:t>UHMW</w:t>
      </w:r>
      <w:r>
        <w:rPr>
          <w:rFonts w:hint="eastAsia" w:cs="宋体"/>
          <w:b/>
          <w:sz w:val="21"/>
          <w:szCs w:val="21"/>
          <w:lang w:bidi="ar"/>
        </w:rPr>
        <w:t>－</w:t>
      </w:r>
      <w:r>
        <w:rPr>
          <w:rFonts w:ascii="Times New Roman" w:hAnsi="Times New Roman"/>
          <w:b/>
          <w:sz w:val="21"/>
          <w:szCs w:val="21"/>
          <w:lang w:bidi="ar"/>
        </w:rPr>
        <w:t>PE</w:t>
      </w:r>
      <w:r>
        <w:rPr>
          <w:rFonts w:hint="eastAsia" w:cs="宋体"/>
          <w:b/>
          <w:sz w:val="21"/>
          <w:szCs w:val="21"/>
          <w:lang w:bidi="ar"/>
        </w:rPr>
        <w:t>）或不锈钢（不低于</w:t>
      </w:r>
      <w:r>
        <w:rPr>
          <w:rFonts w:ascii="Times New Roman" w:hAnsi="Times New Roman"/>
          <w:b/>
          <w:sz w:val="21"/>
          <w:szCs w:val="21"/>
          <w:lang w:bidi="ar"/>
        </w:rPr>
        <w:t>304</w:t>
      </w:r>
      <w:r>
        <w:rPr>
          <w:rFonts w:hint="eastAsia" w:cs="宋体"/>
          <w:b/>
          <w:sz w:val="21"/>
          <w:szCs w:val="21"/>
          <w:lang w:bidi="ar"/>
        </w:rPr>
        <w:t>）或玻璃纤维增强塑料制造，通过不锈钢</w:t>
      </w:r>
      <w:r>
        <w:rPr>
          <w:rFonts w:ascii="Times New Roman" w:hAnsi="Times New Roman"/>
          <w:b/>
          <w:sz w:val="21"/>
          <w:szCs w:val="21"/>
          <w:lang w:bidi="ar"/>
        </w:rPr>
        <w:t>316</w:t>
      </w:r>
      <w:r>
        <w:rPr>
          <w:rFonts w:hint="eastAsia" w:cs="宋体"/>
          <w:b/>
          <w:sz w:val="21"/>
          <w:szCs w:val="21"/>
          <w:lang w:bidi="ar"/>
        </w:rPr>
        <w:t>螺栓与支撑架连接固定。</w:t>
      </w:r>
    </w:p>
    <w:p>
      <w:pPr>
        <w:pStyle w:val="27"/>
        <w:widowControl w:val="0"/>
        <w:adjustRightInd w:val="0"/>
        <w:snapToGrid w:val="0"/>
        <w:spacing w:before="0" w:beforeAutospacing="0" w:after="0" w:afterAutospacing="0" w:line="360" w:lineRule="auto"/>
        <w:ind w:firstLine="420" w:firstLineChars="200"/>
        <w:jc w:val="both"/>
        <w:rPr>
          <w:rFonts w:ascii="Times New Roman" w:hAnsi="Times New Roman"/>
          <w:sz w:val="21"/>
          <w:szCs w:val="21"/>
        </w:rPr>
      </w:pPr>
      <w:r>
        <w:rPr>
          <w:rFonts w:hint="eastAsia" w:cs="宋体"/>
          <w:sz w:val="21"/>
          <w:szCs w:val="21"/>
          <w:lang w:bidi="ar"/>
        </w:rPr>
        <w:t>支撑架应坚实、稳固，并具有足够的承载能力，支承间距应不大于</w:t>
      </w:r>
      <w:r>
        <w:rPr>
          <w:rFonts w:ascii="Times New Roman" w:hAnsi="Times New Roman"/>
          <w:sz w:val="21"/>
          <w:szCs w:val="21"/>
          <w:lang w:bidi="ar"/>
        </w:rPr>
        <w:t>3m</w:t>
      </w:r>
      <w:r>
        <w:rPr>
          <w:rFonts w:hint="eastAsia" w:cs="宋体"/>
          <w:sz w:val="21"/>
          <w:szCs w:val="21"/>
          <w:lang w:bidi="ar"/>
        </w:rPr>
        <w:t>，支承架采用工程塑料或不锈钢</w:t>
      </w:r>
      <w:r>
        <w:rPr>
          <w:rFonts w:ascii="Times New Roman" w:hAnsi="Times New Roman"/>
          <w:sz w:val="21"/>
          <w:szCs w:val="21"/>
          <w:lang w:bidi="ar"/>
        </w:rPr>
        <w:t>304</w:t>
      </w:r>
      <w:r>
        <w:rPr>
          <w:rFonts w:hint="eastAsia" w:cs="宋体"/>
          <w:sz w:val="21"/>
          <w:szCs w:val="21"/>
          <w:lang w:bidi="ar"/>
        </w:rPr>
        <w:t>材料制造，与池壁采用</w:t>
      </w:r>
      <w:r>
        <w:rPr>
          <w:rFonts w:ascii="Times New Roman" w:hAnsi="Times New Roman"/>
          <w:sz w:val="21"/>
          <w:szCs w:val="21"/>
          <w:lang w:bidi="ar"/>
        </w:rPr>
        <w:t>316</w:t>
      </w:r>
      <w:r>
        <w:rPr>
          <w:rFonts w:hint="eastAsia" w:cs="宋体"/>
          <w:sz w:val="21"/>
          <w:szCs w:val="21"/>
          <w:lang w:bidi="ar"/>
        </w:rPr>
        <w:t>不锈钢化学螺栓固定。</w:t>
      </w:r>
    </w:p>
    <w:p>
      <w:pPr>
        <w:adjustRightInd w:val="0"/>
        <w:snapToGrid w:val="0"/>
        <w:spacing w:line="360" w:lineRule="auto"/>
        <w:ind w:firstLine="470" w:firstLineChars="224"/>
        <w:rPr>
          <w:kern w:val="0"/>
          <w:szCs w:val="21"/>
        </w:rPr>
      </w:pPr>
      <w:r>
        <w:rPr>
          <w:rFonts w:hint="eastAsia" w:ascii="宋体" w:hAnsi="宋体" w:cs="宋体"/>
          <w:kern w:val="0"/>
          <w:szCs w:val="21"/>
          <w:lang w:bidi="ar"/>
        </w:rPr>
        <w:t>（</w:t>
      </w:r>
      <w:r>
        <w:rPr>
          <w:kern w:val="0"/>
          <w:szCs w:val="21"/>
          <w:lang w:bidi="ar"/>
        </w:rPr>
        <w:t>11</w:t>
      </w:r>
      <w:r>
        <w:rPr>
          <w:rFonts w:hint="eastAsia" w:ascii="宋体" w:hAnsi="宋体" w:cs="宋体"/>
          <w:kern w:val="0"/>
          <w:szCs w:val="21"/>
          <w:lang w:bidi="ar"/>
        </w:rPr>
        <w:t>）导轨</w:t>
      </w:r>
    </w:p>
    <w:p>
      <w:pPr>
        <w:adjustRightInd w:val="0"/>
        <w:snapToGrid w:val="0"/>
        <w:spacing w:line="360" w:lineRule="auto"/>
        <w:ind w:firstLine="422" w:firstLineChars="200"/>
        <w:rPr>
          <w:b/>
          <w:kern w:val="0"/>
          <w:szCs w:val="21"/>
        </w:rPr>
      </w:pPr>
      <w:r>
        <w:rPr>
          <w:rFonts w:hint="eastAsia" w:ascii="宋体" w:hAnsi="宋体" w:cs="宋体"/>
          <w:b/>
          <w:kern w:val="0"/>
          <w:szCs w:val="21"/>
          <w:lang w:bidi="ar"/>
        </w:rPr>
        <w:t>导轨应由承载力强、耐磨性好的增强聚乙烯（</w:t>
      </w:r>
      <w:r>
        <w:rPr>
          <w:b/>
          <w:kern w:val="0"/>
          <w:szCs w:val="21"/>
          <w:lang w:bidi="ar"/>
        </w:rPr>
        <w:t>UHMW-PE</w:t>
      </w:r>
      <w:r>
        <w:rPr>
          <w:rFonts w:hint="eastAsia" w:ascii="宋体" w:hAnsi="宋体" w:cs="宋体"/>
          <w:b/>
          <w:kern w:val="0"/>
          <w:szCs w:val="21"/>
          <w:lang w:bidi="ar"/>
        </w:rPr>
        <w:t>）或玻璃纤维增强塑料或</w:t>
      </w:r>
      <w:r>
        <w:rPr>
          <w:b/>
          <w:kern w:val="0"/>
          <w:szCs w:val="21"/>
          <w:lang w:bidi="ar"/>
        </w:rPr>
        <w:t>304</w:t>
      </w:r>
      <w:r>
        <w:rPr>
          <w:rFonts w:hint="eastAsia" w:ascii="宋体" w:hAnsi="宋体" w:cs="宋体"/>
          <w:b/>
          <w:kern w:val="0"/>
          <w:szCs w:val="21"/>
          <w:lang w:bidi="ar"/>
        </w:rPr>
        <w:t>不锈钢材料制造。池底导轨采用</w:t>
      </w:r>
      <w:r>
        <w:rPr>
          <w:b/>
          <w:kern w:val="0"/>
          <w:szCs w:val="21"/>
          <w:lang w:bidi="ar"/>
        </w:rPr>
        <w:t>316</w:t>
      </w:r>
      <w:r>
        <w:rPr>
          <w:rFonts w:hint="eastAsia" w:ascii="宋体" w:hAnsi="宋体" w:cs="宋体"/>
          <w:b/>
          <w:kern w:val="0"/>
          <w:szCs w:val="21"/>
          <w:lang w:bidi="ar"/>
        </w:rPr>
        <w:t>不锈钢螺栓固定在池底上。</w:t>
      </w:r>
    </w:p>
    <w:p>
      <w:pPr>
        <w:adjustRightInd w:val="0"/>
        <w:snapToGrid w:val="0"/>
        <w:spacing w:line="360" w:lineRule="auto"/>
        <w:ind w:firstLine="422" w:firstLineChars="200"/>
        <w:rPr>
          <w:b/>
          <w:kern w:val="0"/>
          <w:szCs w:val="21"/>
        </w:rPr>
      </w:pPr>
      <w:r>
        <w:rPr>
          <w:rFonts w:hint="eastAsia" w:ascii="宋体" w:hAnsi="宋体" w:cs="宋体"/>
          <w:b/>
          <w:kern w:val="0"/>
          <w:szCs w:val="21"/>
          <w:lang w:bidi="ar"/>
        </w:rPr>
        <w:t>（</w:t>
      </w:r>
      <w:r>
        <w:rPr>
          <w:b/>
          <w:kern w:val="0"/>
          <w:szCs w:val="21"/>
          <w:lang w:bidi="ar"/>
        </w:rPr>
        <w:t>12</w:t>
      </w:r>
      <w:r>
        <w:rPr>
          <w:rFonts w:hint="eastAsia" w:ascii="宋体" w:hAnsi="宋体" w:cs="宋体"/>
          <w:b/>
          <w:kern w:val="0"/>
          <w:szCs w:val="21"/>
          <w:lang w:bidi="ar"/>
        </w:rPr>
        <w:t>） 刮板安全运行监测器</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每套链式刮泥系统应配备有同步检测刮板安全运行的装置，由同步感应机构和传动机构组成，用于监测刮板是否保持平行的移动状态、以及链条的运行状态。当监测到刮板出现倾斜或链条断裂时，系统将报警和停机，对刮板倾斜量的报警值可以设定和调整。同时该同步检测器的感应机构应整体固定在可灵活上提、下放的提升机架上，人站在池面可轻松将同步感应机构提起来，更换完毕，可直接将提升机架放下去，具备无需特制的检修机架、无需下池子维修，操作方便、安全可靠等要求。</w:t>
      </w:r>
    </w:p>
    <w:p>
      <w:pPr>
        <w:adjustRightInd w:val="0"/>
        <w:snapToGrid w:val="0"/>
        <w:spacing w:line="360" w:lineRule="auto"/>
        <w:ind w:firstLine="422" w:firstLineChars="200"/>
        <w:rPr>
          <w:b/>
          <w:kern w:val="0"/>
          <w:szCs w:val="21"/>
        </w:rPr>
      </w:pPr>
      <w:r>
        <w:rPr>
          <w:rFonts w:hint="eastAsia" w:ascii="宋体" w:hAnsi="宋体" w:cs="宋体"/>
          <w:b/>
          <w:kern w:val="0"/>
          <w:szCs w:val="21"/>
          <w:lang w:bidi="ar"/>
        </w:rPr>
        <w:t>（</w:t>
      </w:r>
      <w:r>
        <w:rPr>
          <w:b/>
          <w:kern w:val="0"/>
          <w:szCs w:val="21"/>
          <w:lang w:bidi="ar"/>
        </w:rPr>
        <w:t>13</w:t>
      </w:r>
      <w:r>
        <w:rPr>
          <w:rFonts w:hint="eastAsia" w:ascii="宋体" w:hAnsi="宋体" w:cs="宋体"/>
          <w:b/>
          <w:kern w:val="0"/>
          <w:szCs w:val="21"/>
          <w:lang w:bidi="ar"/>
        </w:rPr>
        <w:t>）牵引链松紧调节装置</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每套链式刮泥系统应配备一套牵引链智能松紧调节装置，用于智能调节非金属牵引链的松紧程度，补偿链条长度因负载、温差等因素而产生的各种弹性变形和永久变形，调节方式简便灵活且无需放空池水，调节量可精确控制。投标人松紧装置应采用智能调偏，实时监测运行阻力，当链条出现松弛时，能自动分析计算出调节方案，再发送信号给智能调节装置，智能调节装置将根据调节方案自动调节，使设备持续保持适当的预紧力，在无人值守状态下也能做到及时张紧、及时纠偏，降低对维护人员的专业要求，确保设备长期稳定运行。</w:t>
      </w:r>
    </w:p>
    <w:p>
      <w:pPr>
        <w:adjustRightInd w:val="0"/>
        <w:snapToGrid w:val="0"/>
        <w:spacing w:line="360" w:lineRule="auto"/>
        <w:ind w:firstLine="472" w:firstLineChars="224"/>
        <w:rPr>
          <w:b/>
          <w:bCs/>
          <w:kern w:val="0"/>
          <w:szCs w:val="21"/>
        </w:rPr>
      </w:pPr>
      <w:r>
        <w:rPr>
          <w:rFonts w:hint="eastAsia" w:ascii="宋体" w:hAnsi="宋体" w:cs="宋体"/>
          <w:b/>
          <w:bCs/>
          <w:kern w:val="0"/>
          <w:szCs w:val="21"/>
          <w:lang w:bidi="ar"/>
        </w:rPr>
        <w:t>（</w:t>
      </w:r>
      <w:r>
        <w:rPr>
          <w:b/>
          <w:bCs/>
          <w:kern w:val="0"/>
          <w:szCs w:val="21"/>
          <w:lang w:bidi="ar"/>
        </w:rPr>
        <w:t>14</w:t>
      </w:r>
      <w:r>
        <w:rPr>
          <w:rFonts w:hint="eastAsia" w:ascii="宋体" w:hAnsi="宋体" w:cs="宋体"/>
          <w:b/>
          <w:bCs/>
          <w:kern w:val="0"/>
          <w:szCs w:val="21"/>
          <w:lang w:bidi="ar"/>
        </w:rPr>
        <w:t>）</w:t>
      </w:r>
      <w:r>
        <w:rPr>
          <w:b/>
          <w:bCs/>
          <w:kern w:val="0"/>
          <w:szCs w:val="21"/>
          <w:lang w:bidi="ar"/>
        </w:rPr>
        <w:t xml:space="preserve"> </w:t>
      </w:r>
      <w:r>
        <w:rPr>
          <w:rFonts w:hint="eastAsia" w:ascii="宋体" w:hAnsi="宋体" w:cs="宋体"/>
          <w:b/>
          <w:bCs/>
          <w:kern w:val="0"/>
          <w:szCs w:val="21"/>
          <w:lang w:bidi="ar"/>
        </w:rPr>
        <w:t>保护罩</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驱动装置及驱动链条、链轮就位于操作平台上的部分应采用可拆卸的</w:t>
      </w:r>
      <w:r>
        <w:rPr>
          <w:kern w:val="0"/>
          <w:szCs w:val="21"/>
          <w:lang w:bidi="ar"/>
        </w:rPr>
        <w:t>304</w:t>
      </w:r>
      <w:r>
        <w:rPr>
          <w:rFonts w:hint="eastAsia" w:ascii="宋体" w:hAnsi="宋体" w:cs="宋体"/>
          <w:kern w:val="0"/>
          <w:szCs w:val="21"/>
          <w:lang w:bidi="ar"/>
        </w:rPr>
        <w:t>不锈钢金属保护罩。</w:t>
      </w:r>
    </w:p>
    <w:p>
      <w:pPr>
        <w:adjustRightInd w:val="0"/>
        <w:snapToGrid w:val="0"/>
        <w:spacing w:line="360" w:lineRule="auto"/>
        <w:ind w:firstLine="472" w:firstLineChars="224"/>
        <w:rPr>
          <w:b/>
          <w:bCs/>
          <w:szCs w:val="21"/>
        </w:rPr>
      </w:pPr>
      <w:r>
        <w:rPr>
          <w:rFonts w:hint="eastAsia" w:ascii="宋体" w:hAnsi="宋体" w:cs="宋体"/>
          <w:b/>
          <w:bCs/>
          <w:kern w:val="0"/>
          <w:szCs w:val="21"/>
          <w:lang w:bidi="ar"/>
        </w:rPr>
        <w:t>（</w:t>
      </w:r>
      <w:r>
        <w:rPr>
          <w:b/>
          <w:bCs/>
          <w:kern w:val="0"/>
          <w:szCs w:val="21"/>
          <w:lang w:bidi="ar"/>
        </w:rPr>
        <w:t>15</w:t>
      </w:r>
      <w:r>
        <w:rPr>
          <w:rFonts w:hint="eastAsia" w:ascii="宋体" w:hAnsi="宋体" w:cs="宋体"/>
          <w:b/>
          <w:bCs/>
          <w:kern w:val="0"/>
          <w:szCs w:val="21"/>
          <w:lang w:bidi="ar"/>
        </w:rPr>
        <w:t>）</w:t>
      </w:r>
      <w:r>
        <w:rPr>
          <w:b/>
          <w:bCs/>
          <w:kern w:val="0"/>
          <w:szCs w:val="21"/>
          <w:lang w:bidi="ar"/>
        </w:rPr>
        <w:t xml:space="preserve"> </w:t>
      </w:r>
      <w:r>
        <w:rPr>
          <w:rFonts w:hint="eastAsia" w:ascii="宋体" w:hAnsi="宋体" w:cs="宋体"/>
          <w:b/>
          <w:bCs/>
          <w:kern w:val="0"/>
          <w:szCs w:val="21"/>
          <w:lang w:bidi="ar"/>
        </w:rPr>
        <w:t>主要零部件</w:t>
      </w:r>
    </w:p>
    <w:tbl>
      <w:tblPr>
        <w:tblStyle w:val="29"/>
        <w:tblW w:w="485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2067"/>
        <w:gridCol w:w="6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驱动链</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非金属工程塑料或</w:t>
            </w:r>
            <w:r>
              <w:rPr>
                <w:kern w:val="0"/>
                <w:szCs w:val="21"/>
                <w:lang w:bidi="ar"/>
              </w:rPr>
              <w:t>304</w:t>
            </w:r>
            <w:r>
              <w:rPr>
                <w:rFonts w:hint="eastAsia" w:ascii="宋体" w:hAnsi="宋体" w:cs="宋体"/>
                <w:kern w:val="0"/>
                <w:szCs w:val="21"/>
                <w:lang w:bidi="ar"/>
              </w:rPr>
              <w:t>不锈钢以上材质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刮泥板牵引链条</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热塑性聚酯或热塑性乙缩醛树脂或玻璃纤维长丝缠绕浇铸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刮泥板</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加强型玻璃钢或更好材料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耐磨靴</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铸造尼龙</w:t>
            </w:r>
            <w:r>
              <w:rPr>
                <w:kern w:val="0"/>
                <w:szCs w:val="21"/>
                <w:lang w:bidi="ar"/>
              </w:rPr>
              <w:t>6</w:t>
            </w:r>
            <w:r>
              <w:rPr>
                <w:rFonts w:hint="eastAsia" w:ascii="宋体" w:hAnsi="宋体" w:cs="宋体"/>
                <w:kern w:val="0"/>
                <w:szCs w:val="21"/>
                <w:lang w:bidi="ar"/>
              </w:rPr>
              <w:t>或尼龙</w:t>
            </w:r>
            <w:r>
              <w:rPr>
                <w:kern w:val="0"/>
                <w:szCs w:val="21"/>
                <w:lang w:bidi="ar"/>
              </w:rPr>
              <w:t>6/6</w:t>
            </w:r>
            <w:r>
              <w:rPr>
                <w:rFonts w:hint="eastAsia" w:ascii="宋体" w:hAnsi="宋体" w:cs="宋体"/>
                <w:kern w:val="0"/>
                <w:szCs w:val="21"/>
                <w:lang w:bidi="ar"/>
              </w:rPr>
              <w:t>或增强聚乙烯</w:t>
            </w:r>
            <w:r>
              <w:rPr>
                <w:kern w:val="0"/>
                <w:szCs w:val="21"/>
                <w:lang w:bidi="ar"/>
              </w:rPr>
              <w:t>(UHMW-PE)</w:t>
            </w:r>
            <w:r>
              <w:rPr>
                <w:rFonts w:hint="eastAsia" w:ascii="宋体" w:hAnsi="宋体" w:cs="宋体"/>
                <w:kern w:val="0"/>
                <w:szCs w:val="21"/>
                <w:lang w:bidi="ar"/>
              </w:rPr>
              <w:t>或更好材料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牵引链驱动轴系</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kern w:val="0"/>
                <w:szCs w:val="21"/>
                <w:lang w:bidi="ar"/>
              </w:rPr>
              <w:t>304</w:t>
            </w:r>
            <w:r>
              <w:rPr>
                <w:rFonts w:hint="eastAsia" w:ascii="宋体" w:hAnsi="宋体" w:cs="宋体"/>
                <w:kern w:val="0"/>
                <w:szCs w:val="21"/>
                <w:lang w:bidi="ar"/>
              </w:rPr>
              <w:t>不锈钢材料或高强度耐腐蚀工程材料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牵引链轮</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铸造尼龙</w:t>
            </w:r>
            <w:r>
              <w:rPr>
                <w:kern w:val="0"/>
                <w:szCs w:val="21"/>
                <w:lang w:bidi="ar"/>
              </w:rPr>
              <w:t>6</w:t>
            </w:r>
            <w:r>
              <w:rPr>
                <w:rFonts w:hint="eastAsia" w:ascii="宋体" w:hAnsi="宋体" w:cs="宋体"/>
                <w:kern w:val="0"/>
                <w:szCs w:val="21"/>
                <w:lang w:bidi="ar"/>
              </w:rPr>
              <w:t>或聚亚安酯或</w:t>
            </w:r>
            <w:r>
              <w:rPr>
                <w:kern w:val="0"/>
                <w:szCs w:val="21"/>
                <w:lang w:bidi="ar"/>
              </w:rPr>
              <w:t>304</w:t>
            </w:r>
            <w:r>
              <w:rPr>
                <w:rFonts w:hint="eastAsia" w:ascii="宋体" w:hAnsi="宋体" w:cs="宋体"/>
                <w:kern w:val="0"/>
                <w:szCs w:val="21"/>
                <w:lang w:bidi="ar"/>
              </w:rPr>
              <w:t>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牵引链从动轴</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铸造尼龙</w:t>
            </w:r>
            <w:r>
              <w:rPr>
                <w:kern w:val="0"/>
                <w:szCs w:val="21"/>
                <w:lang w:bidi="ar"/>
              </w:rPr>
              <w:t>6</w:t>
            </w:r>
            <w:r>
              <w:rPr>
                <w:rFonts w:hint="eastAsia" w:ascii="宋体" w:hAnsi="宋体" w:cs="宋体"/>
                <w:kern w:val="0"/>
                <w:szCs w:val="21"/>
                <w:lang w:bidi="ar"/>
              </w:rPr>
              <w:t>或</w:t>
            </w:r>
            <w:r>
              <w:rPr>
                <w:kern w:val="0"/>
                <w:szCs w:val="21"/>
                <w:lang w:bidi="ar"/>
              </w:rPr>
              <w:t>304</w:t>
            </w:r>
            <w:r>
              <w:rPr>
                <w:rFonts w:hint="eastAsia" w:ascii="宋体" w:hAnsi="宋体" w:cs="宋体"/>
                <w:kern w:val="0"/>
                <w:szCs w:val="21"/>
                <w:lang w:bidi="ar"/>
              </w:rPr>
              <w:t>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导轨</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玻璃纤维增强塑料或增强聚乙烯</w:t>
            </w:r>
            <w:r>
              <w:rPr>
                <w:kern w:val="0"/>
                <w:szCs w:val="21"/>
                <w:lang w:bidi="ar"/>
              </w:rPr>
              <w:t>(UHMW-PE)</w:t>
            </w:r>
            <w:r>
              <w:rPr>
                <w:rFonts w:hint="eastAsia" w:ascii="宋体" w:hAnsi="宋体" w:cs="宋体"/>
                <w:kern w:val="0"/>
                <w:szCs w:val="21"/>
                <w:lang w:bidi="ar"/>
              </w:rPr>
              <w:t>或</w:t>
            </w:r>
            <w:r>
              <w:rPr>
                <w:kern w:val="0"/>
                <w:szCs w:val="21"/>
                <w:lang w:bidi="ar"/>
              </w:rPr>
              <w:t>304</w:t>
            </w:r>
            <w:r>
              <w:rPr>
                <w:rFonts w:hint="eastAsia" w:ascii="宋体" w:hAnsi="宋体" w:cs="宋体"/>
                <w:kern w:val="0"/>
                <w:szCs w:val="21"/>
                <w:lang w:bidi="ar"/>
              </w:rPr>
              <w:t>不锈钢（厚度不小于</w:t>
            </w:r>
            <w:r>
              <w:rPr>
                <w:kern w:val="0"/>
                <w:szCs w:val="21"/>
                <w:lang w:bidi="ar"/>
              </w:rPr>
              <w:t>8mm</w:t>
            </w:r>
            <w:r>
              <w:rPr>
                <w:rFonts w:hint="eastAsia" w:ascii="宋体" w:hAnsi="宋体" w:cs="宋体"/>
                <w:kern w:val="0"/>
                <w:szCs w:val="21"/>
                <w:lang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248"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回程轨道支撑架</w:t>
            </w:r>
          </w:p>
        </w:tc>
        <w:tc>
          <w:tcPr>
            <w:tcW w:w="3751" w:type="pct"/>
            <w:tcBorders>
              <w:top w:val="single" w:color="000000" w:sz="2" w:space="0"/>
              <w:left w:val="single" w:color="000000" w:sz="2" w:space="0"/>
              <w:bottom w:val="single" w:color="000000" w:sz="2" w:space="0"/>
              <w:right w:val="single" w:color="000000" w:sz="2" w:space="0"/>
            </w:tcBorders>
            <w:shd w:val="clear" w:color="auto" w:fill="auto"/>
            <w:vAlign w:val="center"/>
          </w:tcPr>
          <w:p>
            <w:pPr>
              <w:adjustRightInd w:val="0"/>
              <w:snapToGrid w:val="0"/>
              <w:spacing w:line="360" w:lineRule="auto"/>
              <w:rPr>
                <w:kern w:val="0"/>
                <w:szCs w:val="21"/>
              </w:rPr>
            </w:pPr>
            <w:r>
              <w:rPr>
                <w:rFonts w:hint="eastAsia" w:ascii="宋体" w:hAnsi="宋体" w:cs="宋体"/>
                <w:kern w:val="0"/>
                <w:szCs w:val="21"/>
                <w:lang w:bidi="ar"/>
              </w:rPr>
              <w:t>增强聚乙烯（</w:t>
            </w:r>
            <w:r>
              <w:rPr>
                <w:kern w:val="0"/>
                <w:szCs w:val="21"/>
                <w:lang w:bidi="ar"/>
              </w:rPr>
              <w:t>UHMW</w:t>
            </w:r>
            <w:r>
              <w:rPr>
                <w:rFonts w:hint="eastAsia" w:ascii="宋体" w:hAnsi="宋体" w:cs="宋体"/>
                <w:kern w:val="0"/>
                <w:szCs w:val="21"/>
                <w:lang w:bidi="ar"/>
              </w:rPr>
              <w:t>－</w:t>
            </w:r>
            <w:r>
              <w:rPr>
                <w:kern w:val="0"/>
                <w:szCs w:val="21"/>
                <w:lang w:bidi="ar"/>
              </w:rPr>
              <w:t>PE</w:t>
            </w:r>
            <w:r>
              <w:rPr>
                <w:rFonts w:hint="eastAsia" w:ascii="宋体" w:hAnsi="宋体" w:cs="宋体"/>
                <w:kern w:val="0"/>
                <w:szCs w:val="21"/>
                <w:lang w:bidi="ar"/>
              </w:rPr>
              <w:t>）或不锈钢（不低于</w:t>
            </w:r>
            <w:r>
              <w:rPr>
                <w:kern w:val="0"/>
                <w:szCs w:val="21"/>
                <w:lang w:bidi="ar"/>
              </w:rPr>
              <w:t>304</w:t>
            </w:r>
            <w:r>
              <w:rPr>
                <w:rFonts w:hint="eastAsia" w:ascii="宋体" w:hAnsi="宋体" w:cs="宋体"/>
                <w:kern w:val="0"/>
                <w:szCs w:val="21"/>
                <w:lang w:bidi="ar"/>
              </w:rPr>
              <w:t>）或玻璃纤维增强塑料</w:t>
            </w:r>
          </w:p>
        </w:tc>
      </w:tr>
    </w:tbl>
    <w:p>
      <w:pPr>
        <w:snapToGrid w:val="0"/>
        <w:spacing w:line="360" w:lineRule="auto"/>
        <w:ind w:firstLine="422" w:firstLineChars="200"/>
        <w:rPr>
          <w:szCs w:val="21"/>
        </w:rPr>
      </w:pPr>
      <w:r>
        <w:rPr>
          <w:rFonts w:hint="eastAsia" w:ascii="宋体" w:hAnsi="宋体" w:cs="宋体"/>
          <w:b/>
          <w:szCs w:val="21"/>
          <w:lang w:bidi="ar"/>
        </w:rPr>
        <w:t>注明：如本用户需求书其他章节描述的设备主要零部件材质</w:t>
      </w:r>
      <w:r>
        <w:rPr>
          <w:b/>
          <w:szCs w:val="21"/>
          <w:lang w:bidi="ar"/>
        </w:rPr>
        <w:t>“</w:t>
      </w:r>
      <w:r>
        <w:rPr>
          <w:rFonts w:hint="eastAsia" w:ascii="宋体" w:hAnsi="宋体" w:cs="宋体"/>
          <w:b/>
          <w:szCs w:val="21"/>
          <w:lang w:bidi="ar"/>
        </w:rPr>
        <w:t>主要零部件材质</w:t>
      </w:r>
      <w:r>
        <w:rPr>
          <w:b/>
          <w:szCs w:val="21"/>
          <w:lang w:bidi="ar"/>
        </w:rPr>
        <w:t>”</w:t>
      </w:r>
      <w:r>
        <w:rPr>
          <w:rFonts w:hint="eastAsia" w:ascii="宋体" w:hAnsi="宋体" w:cs="宋体"/>
          <w:b/>
          <w:szCs w:val="21"/>
          <w:lang w:bidi="ar"/>
        </w:rPr>
        <w:t>章节描述相冲突，则以此</w:t>
      </w:r>
      <w:r>
        <w:rPr>
          <w:b/>
          <w:szCs w:val="21"/>
          <w:lang w:bidi="ar"/>
        </w:rPr>
        <w:t>“</w:t>
      </w:r>
      <w:r>
        <w:rPr>
          <w:rFonts w:hint="eastAsia" w:ascii="宋体" w:hAnsi="宋体" w:cs="宋体"/>
          <w:b/>
          <w:szCs w:val="21"/>
          <w:lang w:bidi="ar"/>
        </w:rPr>
        <w:t>主要零部件材质</w:t>
      </w:r>
      <w:r>
        <w:rPr>
          <w:b/>
          <w:szCs w:val="21"/>
          <w:lang w:bidi="ar"/>
        </w:rPr>
        <w:t>”</w:t>
      </w:r>
      <w:r>
        <w:rPr>
          <w:rFonts w:hint="eastAsia" w:ascii="宋体" w:hAnsi="宋体" w:cs="宋体"/>
          <w:b/>
          <w:szCs w:val="21"/>
          <w:lang w:bidi="ar"/>
        </w:rPr>
        <w:t>章节描述为准。</w:t>
      </w:r>
    </w:p>
    <w:p>
      <w:pPr>
        <w:pStyle w:val="6"/>
        <w:widowControl/>
        <w:numPr>
          <w:ilvl w:val="3"/>
          <w:numId w:val="4"/>
        </w:numPr>
        <w:spacing w:before="156"/>
        <w:rPr>
          <w:rFonts w:ascii="Arial" w:hAnsi="Arial" w:cs="Arial"/>
          <w:szCs w:val="21"/>
        </w:rPr>
      </w:pPr>
      <w:r>
        <w:rPr>
          <w:rFonts w:hint="eastAsia" w:ascii="宋体" w:hAnsi="宋体"/>
          <w:szCs w:val="21"/>
        </w:rPr>
        <w:t>配套系统及设备的性能和结构要求</w:t>
      </w:r>
    </w:p>
    <w:p>
      <w:pPr>
        <w:adjustRightInd w:val="0"/>
        <w:snapToGrid w:val="0"/>
        <w:spacing w:line="360" w:lineRule="auto"/>
        <w:ind w:firstLine="422" w:firstLineChars="200"/>
        <w:rPr>
          <w:b/>
          <w:bCs/>
          <w:kern w:val="0"/>
          <w:szCs w:val="21"/>
        </w:rPr>
      </w:pPr>
      <w:r>
        <w:rPr>
          <w:rFonts w:hint="eastAsia" w:ascii="宋体" w:hAnsi="宋体" w:cs="宋体"/>
          <w:b/>
          <w:bCs/>
          <w:kern w:val="0"/>
          <w:szCs w:val="21"/>
          <w:lang w:bidi="ar"/>
        </w:rPr>
        <w:t>（</w:t>
      </w:r>
      <w:r>
        <w:rPr>
          <w:b/>
          <w:bCs/>
          <w:kern w:val="0"/>
          <w:szCs w:val="21"/>
          <w:lang w:bidi="ar"/>
        </w:rPr>
        <w:t>1</w:t>
      </w:r>
      <w:r>
        <w:rPr>
          <w:rFonts w:hint="eastAsia" w:ascii="宋体" w:hAnsi="宋体" w:cs="宋体"/>
          <w:b/>
          <w:bCs/>
          <w:kern w:val="0"/>
          <w:szCs w:val="21"/>
          <w:lang w:bidi="ar"/>
        </w:rPr>
        <w:t>）配水系统</w:t>
      </w:r>
    </w:p>
    <w:p>
      <w:pPr>
        <w:adjustRightInd w:val="0"/>
        <w:snapToGrid w:val="0"/>
        <w:spacing w:line="360" w:lineRule="auto"/>
        <w:ind w:firstLine="420" w:firstLineChars="200"/>
        <w:rPr>
          <w:kern w:val="0"/>
          <w:szCs w:val="21"/>
        </w:rPr>
      </w:pPr>
      <w:r>
        <w:rPr>
          <w:kern w:val="0"/>
          <w:szCs w:val="21"/>
          <w:lang w:bidi="ar"/>
        </w:rPr>
        <w:t>1</w:t>
      </w:r>
      <w:r>
        <w:rPr>
          <w:rFonts w:hint="eastAsia" w:ascii="宋体" w:hAnsi="宋体" w:cs="宋体"/>
          <w:kern w:val="0"/>
          <w:szCs w:val="21"/>
          <w:lang w:bidi="ar"/>
        </w:rPr>
        <w:t>）配水系统包括进水渠配水孔管、配水折流挡板和挡水裙板。其总体要求如下：</w:t>
      </w:r>
    </w:p>
    <w:p>
      <w:pPr>
        <w:adjustRightInd w:val="0"/>
        <w:snapToGrid w:val="0"/>
        <w:spacing w:line="360" w:lineRule="auto"/>
        <w:ind w:firstLine="420" w:firstLineChars="200"/>
        <w:rPr>
          <w:kern w:val="0"/>
          <w:szCs w:val="21"/>
        </w:rPr>
      </w:pPr>
      <w:r>
        <w:rPr>
          <w:rFonts w:hint="eastAsia" w:ascii="宋体" w:hAnsi="宋体" w:cs="宋体"/>
          <w:kern w:val="0"/>
          <w:szCs w:val="21"/>
          <w:lang w:bidi="ar"/>
        </w:rPr>
        <w:t>周边进水槽的配水孔管应由投标人依其系统要求提供，周边配水系统设计应保证二沉池的水力平衡。</w:t>
      </w:r>
    </w:p>
    <w:p>
      <w:pPr>
        <w:adjustRightInd w:val="0"/>
        <w:snapToGrid w:val="0"/>
        <w:spacing w:line="360" w:lineRule="auto"/>
        <w:ind w:firstLine="420" w:firstLineChars="200"/>
        <w:rPr>
          <w:kern w:val="0"/>
          <w:szCs w:val="21"/>
        </w:rPr>
      </w:pPr>
      <w:r>
        <w:rPr>
          <w:rFonts w:hint="eastAsia" w:ascii="宋体" w:hAnsi="宋体" w:cs="宋体"/>
          <w:kern w:val="0"/>
          <w:szCs w:val="21"/>
          <w:lang w:bidi="ar"/>
        </w:rPr>
        <w:t>进水槽必须保证周边均匀地布水，设计的水槽的断面应保证使水流在布水槽中以等速流动，防止固形物在槽内沉积。</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配水孔管孔口大小，间距应合理，应能保证水流沿整个池周提供均衡配水的流量。</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水流以低速均匀流入池子，然后向外扩散，并以平缓的环流返回到周边出水槽。承包人应保证进水的流速不会造成任何的短流和涡动。使悬浮固体均匀降落。</w:t>
      </w:r>
    </w:p>
    <w:p>
      <w:pPr>
        <w:adjustRightInd w:val="0"/>
        <w:snapToGrid w:val="0"/>
        <w:spacing w:line="360" w:lineRule="auto"/>
        <w:ind w:firstLine="420" w:firstLineChars="200"/>
        <w:rPr>
          <w:kern w:val="0"/>
          <w:szCs w:val="21"/>
        </w:rPr>
      </w:pPr>
      <w:r>
        <w:rPr>
          <w:kern w:val="0"/>
          <w:szCs w:val="21"/>
          <w:lang w:bidi="ar"/>
        </w:rPr>
        <w:t>2</w:t>
      </w:r>
      <w:r>
        <w:rPr>
          <w:rFonts w:hint="eastAsia" w:ascii="宋体" w:hAnsi="宋体" w:cs="宋体"/>
          <w:kern w:val="0"/>
          <w:szCs w:val="21"/>
          <w:lang w:bidi="ar"/>
        </w:rPr>
        <w:t>）配水孔管</w:t>
      </w:r>
    </w:p>
    <w:p>
      <w:pPr>
        <w:adjustRightInd w:val="0"/>
        <w:snapToGrid w:val="0"/>
        <w:spacing w:line="360" w:lineRule="auto"/>
        <w:ind w:firstLine="420" w:firstLineChars="200"/>
        <w:rPr>
          <w:kern w:val="0"/>
          <w:szCs w:val="21"/>
        </w:rPr>
      </w:pPr>
      <w:r>
        <w:rPr>
          <w:rFonts w:hint="eastAsia" w:ascii="宋体" w:hAnsi="宋体" w:cs="宋体"/>
          <w:kern w:val="0"/>
          <w:szCs w:val="21"/>
          <w:lang w:bidi="ar"/>
        </w:rPr>
        <w:t>为保证水流从进水渠向二沉池内均匀配水，配水孔管的间距和管径沿进水渠应是变化的，投标人需根据上表所列的水力条件和各自设备情况确定配水孔管的数量、间距和管径。</w:t>
      </w:r>
      <w:r>
        <w:rPr>
          <w:rFonts w:hint="eastAsia" w:ascii="宋体" w:hAnsi="宋体" w:cs="宋体"/>
          <w:b/>
          <w:bCs/>
          <w:kern w:val="0"/>
          <w:szCs w:val="21"/>
          <w:lang w:bidi="ar"/>
        </w:rPr>
        <w:t>配水孔管采用</w:t>
      </w:r>
      <w:r>
        <w:rPr>
          <w:b/>
          <w:bCs/>
          <w:kern w:val="0"/>
          <w:szCs w:val="21"/>
          <w:lang w:bidi="ar"/>
        </w:rPr>
        <w:t>304</w:t>
      </w:r>
      <w:r>
        <w:rPr>
          <w:rFonts w:hint="eastAsia" w:ascii="宋体" w:hAnsi="宋体" w:cs="宋体"/>
          <w:b/>
          <w:bCs/>
          <w:kern w:val="0"/>
          <w:szCs w:val="21"/>
          <w:lang w:bidi="ar"/>
        </w:rPr>
        <w:t>不锈钢材料，厚度不小于</w:t>
      </w:r>
      <w:r>
        <w:rPr>
          <w:b/>
          <w:bCs/>
          <w:kern w:val="0"/>
          <w:szCs w:val="21"/>
          <w:lang w:bidi="ar"/>
        </w:rPr>
        <w:t>4mm</w:t>
      </w:r>
      <w:r>
        <w:rPr>
          <w:rFonts w:hint="eastAsia" w:ascii="宋体" w:hAnsi="宋体" w:cs="宋体"/>
          <w:b/>
          <w:bCs/>
          <w:kern w:val="0"/>
          <w:szCs w:val="21"/>
          <w:lang w:bidi="ar"/>
        </w:rPr>
        <w:t>。</w:t>
      </w:r>
    </w:p>
    <w:p>
      <w:pPr>
        <w:adjustRightInd w:val="0"/>
        <w:snapToGrid w:val="0"/>
        <w:spacing w:line="360" w:lineRule="auto"/>
        <w:ind w:firstLine="420" w:firstLineChars="200"/>
        <w:rPr>
          <w:kern w:val="0"/>
          <w:szCs w:val="21"/>
        </w:rPr>
      </w:pPr>
      <w:r>
        <w:rPr>
          <w:kern w:val="0"/>
          <w:szCs w:val="21"/>
          <w:lang w:bidi="ar"/>
        </w:rPr>
        <w:t>3</w:t>
      </w:r>
      <w:r>
        <w:rPr>
          <w:rFonts w:hint="eastAsia" w:ascii="宋体" w:hAnsi="宋体" w:cs="宋体"/>
          <w:kern w:val="0"/>
          <w:szCs w:val="21"/>
          <w:lang w:bidi="ar"/>
        </w:rPr>
        <w:t>）配水折流挡板</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采用</w:t>
      </w:r>
      <w:r>
        <w:rPr>
          <w:kern w:val="0"/>
          <w:szCs w:val="21"/>
          <w:lang w:bidi="ar"/>
        </w:rPr>
        <w:t>304</w:t>
      </w:r>
      <w:r>
        <w:rPr>
          <w:rFonts w:hint="eastAsia" w:ascii="宋体" w:hAnsi="宋体" w:cs="宋体"/>
          <w:kern w:val="0"/>
          <w:szCs w:val="21"/>
          <w:lang w:bidi="ar"/>
        </w:rPr>
        <w:t>不锈钢材料，板材厚度不小于</w:t>
      </w:r>
      <w:r>
        <w:rPr>
          <w:kern w:val="0"/>
          <w:szCs w:val="21"/>
          <w:lang w:bidi="ar"/>
        </w:rPr>
        <w:t>4mm</w:t>
      </w:r>
      <w:r>
        <w:rPr>
          <w:rFonts w:hint="eastAsia" w:ascii="宋体" w:hAnsi="宋体" w:cs="宋体"/>
          <w:kern w:val="0"/>
          <w:szCs w:val="21"/>
          <w:lang w:bidi="ar"/>
        </w:rPr>
        <w:t>，数量与配水孔管相同，安装在配水孔管下方，用于减小水流的入流速度。由投标商确定反射挡板的平面尺寸和安装位置。</w:t>
      </w:r>
    </w:p>
    <w:p>
      <w:pPr>
        <w:adjustRightInd w:val="0"/>
        <w:snapToGrid w:val="0"/>
        <w:spacing w:line="360" w:lineRule="auto"/>
        <w:ind w:firstLine="420" w:firstLineChars="200"/>
        <w:rPr>
          <w:kern w:val="0"/>
          <w:szCs w:val="21"/>
        </w:rPr>
      </w:pPr>
      <w:r>
        <w:rPr>
          <w:kern w:val="0"/>
          <w:szCs w:val="21"/>
          <w:lang w:bidi="ar"/>
        </w:rPr>
        <w:t>4</w:t>
      </w:r>
      <w:r>
        <w:rPr>
          <w:rFonts w:hint="eastAsia" w:ascii="宋体" w:hAnsi="宋体" w:cs="宋体"/>
          <w:kern w:val="0"/>
          <w:szCs w:val="21"/>
          <w:lang w:bidi="ar"/>
        </w:rPr>
        <w:t>）挡水裙板</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采用</w:t>
      </w:r>
      <w:r>
        <w:rPr>
          <w:kern w:val="0"/>
          <w:szCs w:val="21"/>
          <w:lang w:bidi="ar"/>
        </w:rPr>
        <w:t>304</w:t>
      </w:r>
      <w:r>
        <w:rPr>
          <w:rFonts w:hint="eastAsia" w:ascii="宋体" w:hAnsi="宋体" w:cs="宋体"/>
          <w:kern w:val="0"/>
          <w:szCs w:val="21"/>
          <w:lang w:bidi="ar"/>
        </w:rPr>
        <w:t>不锈钢材料，板材厚度不小于</w:t>
      </w:r>
      <w:r>
        <w:rPr>
          <w:kern w:val="0"/>
          <w:szCs w:val="21"/>
          <w:lang w:bidi="ar"/>
        </w:rPr>
        <w:t>4mm</w:t>
      </w:r>
      <w:r>
        <w:rPr>
          <w:rFonts w:hint="eastAsia" w:ascii="宋体" w:hAnsi="宋体" w:cs="宋体"/>
          <w:kern w:val="0"/>
          <w:szCs w:val="21"/>
          <w:lang w:bidi="ar"/>
        </w:rPr>
        <w:t>。安装于进水渠</w:t>
      </w:r>
      <w:r>
        <w:rPr>
          <w:kern w:val="0"/>
          <w:szCs w:val="21"/>
          <w:lang w:bidi="ar"/>
        </w:rPr>
        <w:t>/</w:t>
      </w:r>
      <w:r>
        <w:rPr>
          <w:rFonts w:hint="eastAsia" w:ascii="宋体" w:hAnsi="宋体" w:cs="宋体"/>
          <w:kern w:val="0"/>
          <w:szCs w:val="21"/>
          <w:lang w:bidi="ar"/>
        </w:rPr>
        <w:t>排水渠下方，用于将水流导入二沉池下部，防止短路。由投标商确定挡水裙板的平面尺寸和安装位置。</w:t>
      </w:r>
    </w:p>
    <w:p>
      <w:pPr>
        <w:adjustRightInd w:val="0"/>
        <w:snapToGrid w:val="0"/>
        <w:spacing w:line="360" w:lineRule="auto"/>
        <w:ind w:firstLine="422" w:firstLineChars="200"/>
        <w:rPr>
          <w:b/>
          <w:bCs/>
          <w:kern w:val="0"/>
          <w:szCs w:val="21"/>
        </w:rPr>
      </w:pPr>
      <w:r>
        <w:rPr>
          <w:rFonts w:hint="eastAsia" w:ascii="宋体" w:hAnsi="宋体" w:cs="宋体"/>
          <w:b/>
          <w:bCs/>
          <w:kern w:val="0"/>
          <w:szCs w:val="21"/>
          <w:lang w:bidi="ar"/>
        </w:rPr>
        <w:t>（</w:t>
      </w:r>
      <w:r>
        <w:rPr>
          <w:b/>
          <w:bCs/>
          <w:kern w:val="0"/>
          <w:szCs w:val="21"/>
          <w:lang w:bidi="ar"/>
        </w:rPr>
        <w:t>2</w:t>
      </w:r>
      <w:r>
        <w:rPr>
          <w:rFonts w:hint="eastAsia" w:ascii="宋体" w:hAnsi="宋体" w:cs="宋体"/>
          <w:b/>
          <w:bCs/>
          <w:kern w:val="0"/>
          <w:szCs w:val="21"/>
          <w:lang w:bidi="ar"/>
        </w:rPr>
        <w:t>）排泥系统</w:t>
      </w:r>
    </w:p>
    <w:p>
      <w:pPr>
        <w:adjustRightInd w:val="0"/>
        <w:snapToGrid w:val="0"/>
        <w:spacing w:line="360" w:lineRule="auto"/>
        <w:ind w:firstLine="420" w:firstLineChars="200"/>
        <w:rPr>
          <w:kern w:val="0"/>
          <w:szCs w:val="21"/>
        </w:rPr>
      </w:pPr>
      <w:r>
        <w:rPr>
          <w:rFonts w:hint="eastAsia" w:ascii="宋体" w:hAnsi="宋体" w:cs="宋体"/>
          <w:kern w:val="0"/>
          <w:szCs w:val="21"/>
          <w:lang w:bidi="ar"/>
        </w:rPr>
        <w:t>包括液压穿孔排泥管、污泥控制阀、排泥管与污泥控制阀之间的连接管。</w:t>
      </w:r>
    </w:p>
    <w:p>
      <w:pPr>
        <w:adjustRightInd w:val="0"/>
        <w:snapToGrid w:val="0"/>
        <w:spacing w:line="360" w:lineRule="auto"/>
        <w:ind w:firstLine="420" w:firstLineChars="200"/>
        <w:rPr>
          <w:kern w:val="0"/>
          <w:szCs w:val="21"/>
        </w:rPr>
      </w:pPr>
      <w:r>
        <w:rPr>
          <w:kern w:val="0"/>
          <w:szCs w:val="21"/>
          <w:lang w:bidi="ar"/>
        </w:rPr>
        <w:t>1</w:t>
      </w:r>
      <w:r>
        <w:rPr>
          <w:rFonts w:hint="eastAsia" w:ascii="宋体" w:hAnsi="宋体" w:cs="宋体"/>
          <w:kern w:val="0"/>
          <w:szCs w:val="21"/>
          <w:lang w:bidi="ar"/>
        </w:rPr>
        <w:t>）液压穿孔排泥管</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数量：排泥管采用</w:t>
      </w:r>
      <w:r>
        <w:rPr>
          <w:kern w:val="0"/>
          <w:szCs w:val="21"/>
          <w:lang w:bidi="ar"/>
        </w:rPr>
        <w:t>304</w:t>
      </w:r>
      <w:r>
        <w:rPr>
          <w:rFonts w:hint="eastAsia" w:ascii="宋体" w:hAnsi="宋体" w:cs="宋体"/>
          <w:kern w:val="0"/>
          <w:szCs w:val="21"/>
          <w:lang w:bidi="ar"/>
        </w:rPr>
        <w:t>不锈钢材质，壁厚不小于</w:t>
      </w:r>
      <w:r>
        <w:rPr>
          <w:kern w:val="0"/>
          <w:szCs w:val="21"/>
          <w:lang w:bidi="ar"/>
        </w:rPr>
        <w:t>6mm</w:t>
      </w:r>
      <w:r>
        <w:rPr>
          <w:rFonts w:hint="eastAsia" w:ascii="宋体" w:hAnsi="宋体" w:cs="宋体"/>
          <w:kern w:val="0"/>
          <w:szCs w:val="21"/>
          <w:lang w:bidi="ar"/>
        </w:rPr>
        <w:t>。排泥管横断面为圆形，排泥管上开有不同尺寸的方孔和圆孔，开孔间距也不同，设备供货商需自行确定排泥管上的孔径和孔间距，并保证将区域内的沉淀污泥有效排到池外，同时可以在池内保持适当高度的污泥层，污泥层厚度不小于</w:t>
      </w:r>
      <w:r>
        <w:rPr>
          <w:kern w:val="0"/>
          <w:szCs w:val="21"/>
          <w:lang w:bidi="ar"/>
        </w:rPr>
        <w:t>600mm</w:t>
      </w:r>
      <w:r>
        <w:rPr>
          <w:rFonts w:hint="eastAsia" w:ascii="宋体" w:hAnsi="宋体" w:cs="宋体"/>
          <w:kern w:val="0"/>
          <w:szCs w:val="21"/>
          <w:lang w:bidi="ar"/>
        </w:rPr>
        <w:t>，不大于</w:t>
      </w:r>
      <w:r>
        <w:rPr>
          <w:kern w:val="0"/>
          <w:szCs w:val="21"/>
          <w:lang w:bidi="ar"/>
        </w:rPr>
        <w:t>1000mm</w:t>
      </w:r>
      <w:r>
        <w:rPr>
          <w:rFonts w:hint="eastAsia" w:ascii="宋体" w:hAnsi="宋体" w:cs="宋体"/>
          <w:kern w:val="0"/>
          <w:szCs w:val="21"/>
          <w:lang w:bidi="ar"/>
        </w:rPr>
        <w:t>。</w:t>
      </w:r>
    </w:p>
    <w:p>
      <w:pPr>
        <w:adjustRightInd w:val="0"/>
        <w:snapToGrid w:val="0"/>
        <w:spacing w:line="360" w:lineRule="auto"/>
        <w:ind w:firstLine="420" w:firstLineChars="200"/>
        <w:rPr>
          <w:kern w:val="0"/>
          <w:szCs w:val="21"/>
        </w:rPr>
      </w:pPr>
      <w:r>
        <w:rPr>
          <w:kern w:val="0"/>
          <w:szCs w:val="21"/>
          <w:lang w:bidi="ar"/>
        </w:rPr>
        <w:t>2</w:t>
      </w:r>
      <w:r>
        <w:rPr>
          <w:rFonts w:hint="eastAsia" w:ascii="宋体" w:hAnsi="宋体" w:cs="宋体"/>
          <w:kern w:val="0"/>
          <w:szCs w:val="21"/>
          <w:lang w:bidi="ar"/>
        </w:rPr>
        <w:t>）液压排泥管</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lang w:bidi="ar"/>
        </w:rPr>
        <w:t>污泥控制阀采用旋转或伸缩内外套管来调节流量的形式，外套管采用 S304 不锈钢材料，壁厚不小于 8mm，内管采用 S304 不锈钢材料，通过连接管与池底液压穿孔排泥管相连。污泥控制阀应该可以有效调节排泥量。污泥控制阀与排泥管之间的连接管采用S304不锈钢管，与污泥控制阀采用法兰连接。</w:t>
      </w:r>
    </w:p>
    <w:p>
      <w:pPr>
        <w:adjustRightInd w:val="0"/>
        <w:snapToGrid w:val="0"/>
        <w:spacing w:line="360" w:lineRule="auto"/>
        <w:ind w:firstLine="420" w:firstLineChars="200"/>
        <w:rPr>
          <w:bCs/>
          <w:kern w:val="0"/>
          <w:szCs w:val="21"/>
        </w:rPr>
      </w:pPr>
      <w:r>
        <w:rPr>
          <w:kern w:val="0"/>
          <w:szCs w:val="21"/>
          <w:lang w:bidi="ar"/>
        </w:rPr>
        <w:t>3</w:t>
      </w:r>
      <w:r>
        <w:rPr>
          <w:rFonts w:hint="eastAsia" w:ascii="宋体" w:hAnsi="宋体" w:cs="宋体"/>
          <w:kern w:val="0"/>
          <w:szCs w:val="21"/>
          <w:lang w:bidi="ar"/>
        </w:rPr>
        <w:t>）</w:t>
      </w:r>
      <w:r>
        <w:rPr>
          <w:rFonts w:hint="eastAsia" w:ascii="宋体" w:hAnsi="宋体" w:cs="宋体"/>
          <w:bCs/>
          <w:szCs w:val="21"/>
          <w:lang w:bidi="ar"/>
        </w:rPr>
        <w:t>套筒阀</w:t>
      </w:r>
    </w:p>
    <w:p>
      <w:pPr>
        <w:snapToGrid w:val="0"/>
        <w:spacing w:line="360" w:lineRule="auto"/>
        <w:ind w:firstLine="420" w:firstLineChars="200"/>
        <w:rPr>
          <w:szCs w:val="21"/>
        </w:rPr>
      </w:pPr>
      <w:r>
        <w:rPr>
          <w:rFonts w:hint="eastAsia" w:ascii="宋体" w:hAnsi="宋体" w:cs="宋体"/>
          <w:szCs w:val="21"/>
          <w:lang w:bidi="ar"/>
        </w:rPr>
        <w:t>阀体通径：详见清单及图纸</w:t>
      </w:r>
    </w:p>
    <w:p>
      <w:pPr>
        <w:snapToGrid w:val="0"/>
        <w:spacing w:line="360" w:lineRule="auto"/>
        <w:ind w:firstLine="420" w:firstLineChars="200"/>
        <w:rPr>
          <w:szCs w:val="21"/>
        </w:rPr>
      </w:pPr>
      <w:r>
        <w:rPr>
          <w:rFonts w:hint="eastAsia" w:ascii="宋体" w:hAnsi="宋体" w:cs="宋体"/>
          <w:szCs w:val="21"/>
          <w:lang w:bidi="ar"/>
        </w:rPr>
        <w:t>调节高度：</w:t>
      </w:r>
      <w:r>
        <w:rPr>
          <w:szCs w:val="21"/>
          <w:lang w:bidi="ar"/>
        </w:rPr>
        <w:t>≥1000mm</w:t>
      </w:r>
    </w:p>
    <w:p>
      <w:pPr>
        <w:snapToGrid w:val="0"/>
        <w:spacing w:line="360" w:lineRule="auto"/>
        <w:ind w:firstLine="420" w:firstLineChars="200"/>
        <w:rPr>
          <w:szCs w:val="21"/>
        </w:rPr>
      </w:pPr>
      <w:r>
        <w:rPr>
          <w:rFonts w:hint="eastAsia" w:ascii="宋体" w:hAnsi="宋体" w:cs="宋体"/>
          <w:szCs w:val="21"/>
          <w:lang w:bidi="ar"/>
        </w:rPr>
        <w:t>启闭形式：手动</w:t>
      </w:r>
    </w:p>
    <w:p>
      <w:pPr>
        <w:snapToGrid w:val="0"/>
        <w:spacing w:line="360" w:lineRule="auto"/>
        <w:ind w:firstLine="420" w:firstLineChars="200"/>
        <w:rPr>
          <w:szCs w:val="21"/>
        </w:rPr>
      </w:pPr>
      <w:r>
        <w:rPr>
          <w:rFonts w:hint="eastAsia" w:ascii="宋体" w:hAnsi="宋体" w:cs="宋体"/>
          <w:szCs w:val="21"/>
          <w:lang w:bidi="ar"/>
        </w:rPr>
        <w:t>启闭力：</w:t>
      </w:r>
      <w:r>
        <w:rPr>
          <w:szCs w:val="21"/>
          <w:lang w:bidi="ar"/>
        </w:rPr>
        <w:t>2T</w:t>
      </w:r>
    </w:p>
    <w:p>
      <w:pPr>
        <w:snapToGrid w:val="0"/>
        <w:spacing w:line="360" w:lineRule="auto"/>
        <w:ind w:firstLine="420" w:firstLineChars="200"/>
        <w:rPr>
          <w:szCs w:val="21"/>
        </w:rPr>
      </w:pPr>
      <w:r>
        <w:rPr>
          <w:rFonts w:hint="eastAsia" w:ascii="宋体" w:hAnsi="宋体" w:cs="宋体"/>
          <w:szCs w:val="21"/>
          <w:lang w:bidi="ar"/>
        </w:rPr>
        <w:t>工作制：间歇运转</w:t>
      </w:r>
    </w:p>
    <w:p>
      <w:pPr>
        <w:snapToGrid w:val="0"/>
        <w:spacing w:line="360" w:lineRule="auto"/>
        <w:ind w:firstLine="424" w:firstLineChars="202"/>
        <w:rPr>
          <w:szCs w:val="21"/>
        </w:rPr>
      </w:pPr>
      <w:r>
        <w:rPr>
          <w:szCs w:val="21"/>
          <w:lang w:bidi="ar"/>
        </w:rPr>
        <w:t>a.</w:t>
      </w:r>
      <w:r>
        <w:rPr>
          <w:rFonts w:hint="eastAsia" w:ascii="宋体" w:hAnsi="宋体" w:cs="宋体"/>
          <w:szCs w:val="21"/>
          <w:lang w:bidi="ar"/>
        </w:rPr>
        <w:t>主要技术参数</w:t>
      </w:r>
    </w:p>
    <w:p>
      <w:pPr>
        <w:snapToGrid w:val="0"/>
        <w:spacing w:line="360" w:lineRule="auto"/>
        <w:ind w:firstLine="424" w:firstLineChars="202"/>
        <w:rPr>
          <w:szCs w:val="21"/>
        </w:rPr>
      </w:pPr>
      <w:r>
        <w:rPr>
          <w:rFonts w:hint="eastAsia" w:ascii="宋体" w:hAnsi="宋体" w:cs="宋体"/>
          <w:szCs w:val="21"/>
          <w:lang w:bidi="ar"/>
        </w:rPr>
        <w:t>阀门使用介质为污水、污泥等有弱腐蚀介质。由</w:t>
      </w:r>
      <w:r>
        <w:rPr>
          <w:szCs w:val="21"/>
          <w:lang w:bidi="ar"/>
        </w:rPr>
        <w:t>304</w:t>
      </w:r>
      <w:r>
        <w:rPr>
          <w:rFonts w:hint="eastAsia" w:ascii="宋体" w:hAnsi="宋体" w:cs="宋体"/>
          <w:szCs w:val="21"/>
          <w:lang w:bidi="ar"/>
        </w:rPr>
        <w:t>不锈钢制成，主要由固定筒、活动筒、螺杆、密封装置、启闭机构、支架等组成。</w:t>
      </w:r>
    </w:p>
    <w:p>
      <w:pPr>
        <w:snapToGrid w:val="0"/>
        <w:spacing w:line="360" w:lineRule="auto"/>
        <w:ind w:firstLine="424" w:firstLineChars="202"/>
        <w:rPr>
          <w:szCs w:val="21"/>
        </w:rPr>
      </w:pPr>
      <w:r>
        <w:rPr>
          <w:rFonts w:hint="eastAsia" w:ascii="宋体" w:hAnsi="宋体" w:cs="宋体"/>
          <w:szCs w:val="21"/>
          <w:lang w:bidi="ar"/>
        </w:rPr>
        <w:t>套筒阀与出泥管道采用法兰连接，</w:t>
      </w:r>
      <w:r>
        <w:rPr>
          <w:rFonts w:hint="eastAsia" w:ascii="宋体" w:hAnsi="宋体" w:cs="宋体"/>
          <w:b/>
          <w:szCs w:val="21"/>
          <w:lang w:bidi="ar"/>
        </w:rPr>
        <w:t>投标人应提供用于连接的法兰一对。</w:t>
      </w:r>
    </w:p>
    <w:p>
      <w:pPr>
        <w:snapToGrid w:val="0"/>
        <w:spacing w:line="360" w:lineRule="auto"/>
        <w:ind w:firstLine="424" w:firstLineChars="202"/>
        <w:rPr>
          <w:szCs w:val="21"/>
        </w:rPr>
      </w:pPr>
      <w:r>
        <w:rPr>
          <w:rFonts w:hint="eastAsia" w:ascii="宋体" w:hAnsi="宋体" w:cs="宋体"/>
          <w:szCs w:val="21"/>
          <w:lang w:bidi="ar"/>
        </w:rPr>
        <w:t>调节螺杆应有足够的强度、刚度及稳定性，其直径应不小于</w:t>
      </w:r>
      <w:r>
        <w:rPr>
          <w:szCs w:val="21"/>
          <w:lang w:bidi="ar"/>
        </w:rPr>
        <w:t>30mm</w:t>
      </w:r>
      <w:r>
        <w:rPr>
          <w:rFonts w:hint="eastAsia" w:ascii="宋体" w:hAnsi="宋体" w:cs="宋体"/>
          <w:szCs w:val="21"/>
          <w:lang w:bidi="ar"/>
        </w:rPr>
        <w:t>。</w:t>
      </w:r>
    </w:p>
    <w:p>
      <w:pPr>
        <w:snapToGrid w:val="0"/>
        <w:spacing w:line="360" w:lineRule="auto"/>
        <w:ind w:firstLine="424" w:firstLineChars="202"/>
        <w:rPr>
          <w:szCs w:val="21"/>
        </w:rPr>
      </w:pPr>
      <w:r>
        <w:rPr>
          <w:rFonts w:hint="eastAsia" w:ascii="宋体" w:hAnsi="宋体" w:cs="宋体"/>
          <w:szCs w:val="21"/>
          <w:lang w:bidi="ar"/>
        </w:rPr>
        <w:t>阀筒之间采用橡胶密封，密封应牢固可靠，适于在污泥介质中使用，密封面泄漏量小于</w:t>
      </w:r>
      <w:r>
        <w:rPr>
          <w:szCs w:val="21"/>
          <w:lang w:bidi="ar"/>
        </w:rPr>
        <w:t>1.25 L/(min.m)</w:t>
      </w:r>
      <w:r>
        <w:rPr>
          <w:rFonts w:hint="eastAsia" w:ascii="宋体" w:hAnsi="宋体" w:cs="宋体"/>
          <w:szCs w:val="21"/>
          <w:lang w:bidi="ar"/>
        </w:rPr>
        <w:t>（密封长度）。</w:t>
      </w:r>
    </w:p>
    <w:p>
      <w:pPr>
        <w:snapToGrid w:val="0"/>
        <w:spacing w:line="360" w:lineRule="auto"/>
        <w:ind w:firstLine="424" w:firstLineChars="202"/>
        <w:rPr>
          <w:szCs w:val="21"/>
        </w:rPr>
      </w:pPr>
      <w:r>
        <w:rPr>
          <w:rFonts w:hint="eastAsia" w:ascii="宋体" w:hAnsi="宋体" w:cs="宋体"/>
          <w:szCs w:val="21"/>
          <w:lang w:bidi="ar"/>
        </w:rPr>
        <w:t>套筒阀阀筒壁厚不应小于</w:t>
      </w:r>
      <w:r>
        <w:rPr>
          <w:szCs w:val="21"/>
          <w:lang w:bidi="ar"/>
        </w:rPr>
        <w:t>8mm</w:t>
      </w:r>
      <w:r>
        <w:rPr>
          <w:rFonts w:hint="eastAsia" w:ascii="宋体" w:hAnsi="宋体" w:cs="宋体"/>
          <w:szCs w:val="21"/>
          <w:lang w:bidi="ar"/>
        </w:rPr>
        <w:t>。</w:t>
      </w:r>
    </w:p>
    <w:p>
      <w:pPr>
        <w:snapToGrid w:val="0"/>
        <w:spacing w:line="360" w:lineRule="auto"/>
        <w:ind w:firstLine="420" w:firstLineChars="200"/>
        <w:rPr>
          <w:szCs w:val="21"/>
        </w:rPr>
      </w:pPr>
      <w:r>
        <w:rPr>
          <w:rFonts w:hint="eastAsia" w:ascii="宋体" w:hAnsi="宋体" w:cs="宋体"/>
          <w:szCs w:val="21"/>
          <w:lang w:bidi="ar"/>
        </w:rPr>
        <w:t>启闭螺母内部加工成梯形螺纹，精度等级为</w:t>
      </w:r>
      <w:r>
        <w:rPr>
          <w:szCs w:val="21"/>
          <w:lang w:bidi="ar"/>
        </w:rPr>
        <w:t>7H</w:t>
      </w:r>
      <w:r>
        <w:rPr>
          <w:rFonts w:hint="eastAsia" w:ascii="宋体" w:hAnsi="宋体" w:cs="宋体"/>
          <w:szCs w:val="21"/>
          <w:lang w:bidi="ar"/>
        </w:rPr>
        <w:t>，表面粗糙度小于</w:t>
      </w:r>
      <w:r>
        <w:rPr>
          <w:szCs w:val="21"/>
          <w:lang w:bidi="ar"/>
        </w:rPr>
        <w:t>6.3</w:t>
      </w:r>
      <w:r>
        <w:rPr>
          <w:rFonts w:hint="eastAsia" w:ascii="宋体" w:hAnsi="宋体" w:cs="宋体"/>
          <w:szCs w:val="21"/>
          <w:lang w:bidi="ar"/>
        </w:rPr>
        <w:t>微米，与套筒阀启闭杆组成一对螺旋付。启闭螺母与电动装置输出端采用牙嵌式连接器，牙嵌式连接器的卡爪间留有间隙，使套筒阀开闭时的瞬间产生捶击作用，达到捶击启动的目的，增大套筒阀启闭时的予起力。</w:t>
      </w:r>
    </w:p>
    <w:p>
      <w:pPr>
        <w:snapToGrid w:val="0"/>
        <w:spacing w:line="360" w:lineRule="auto"/>
        <w:ind w:firstLine="420" w:firstLineChars="200"/>
        <w:rPr>
          <w:szCs w:val="21"/>
        </w:rPr>
      </w:pPr>
      <w:r>
        <w:rPr>
          <w:rFonts w:hint="eastAsia" w:ascii="宋体" w:hAnsi="宋体" w:cs="宋体"/>
          <w:szCs w:val="21"/>
          <w:lang w:bidi="ar"/>
        </w:rPr>
        <w:t>支座呈封闭式柱状结构，用以承受启闭套筒阀时的重力或支反力，外型美观。</w:t>
      </w:r>
    </w:p>
    <w:p>
      <w:pPr>
        <w:snapToGrid w:val="0"/>
        <w:spacing w:line="360" w:lineRule="auto"/>
        <w:ind w:firstLine="424" w:firstLineChars="202"/>
        <w:rPr>
          <w:szCs w:val="21"/>
        </w:rPr>
      </w:pPr>
      <w:r>
        <w:rPr>
          <w:rFonts w:hint="eastAsia" w:ascii="宋体" w:hAnsi="宋体" w:cs="宋体"/>
          <w:szCs w:val="21"/>
          <w:lang w:bidi="ar"/>
        </w:rPr>
        <w:t>护罩采用薄壁不锈钢管制成，一端密封，另一端与启闭机联接，可有效保护丝杆上部外露的螺纹免受外力损坏。</w:t>
      </w:r>
    </w:p>
    <w:p>
      <w:pPr>
        <w:snapToGrid w:val="0"/>
        <w:spacing w:line="360" w:lineRule="auto"/>
        <w:ind w:firstLine="424" w:firstLineChars="202"/>
        <w:rPr>
          <w:szCs w:val="21"/>
        </w:rPr>
      </w:pPr>
      <w:r>
        <w:rPr>
          <w:szCs w:val="21"/>
          <w:lang w:bidi="ar"/>
        </w:rPr>
        <w:t>b.</w:t>
      </w:r>
      <w:r>
        <w:rPr>
          <w:rFonts w:hint="eastAsia" w:ascii="宋体" w:hAnsi="宋体" w:cs="宋体"/>
          <w:szCs w:val="21"/>
          <w:lang w:bidi="ar"/>
        </w:rPr>
        <w:t>主要零配件材质</w:t>
      </w:r>
    </w:p>
    <w:p>
      <w:pPr>
        <w:snapToGrid w:val="0"/>
        <w:spacing w:line="360" w:lineRule="auto"/>
        <w:ind w:firstLine="424" w:firstLineChars="202"/>
        <w:rPr>
          <w:szCs w:val="21"/>
        </w:rPr>
      </w:pPr>
      <w:r>
        <w:rPr>
          <w:rFonts w:hint="eastAsia" w:ascii="宋体" w:hAnsi="宋体" w:cs="宋体"/>
          <w:szCs w:val="21"/>
          <w:lang w:bidi="ar"/>
        </w:rPr>
        <w:t>阀筒：</w:t>
      </w:r>
      <w:r>
        <w:rPr>
          <w:szCs w:val="21"/>
          <w:lang w:bidi="ar"/>
        </w:rPr>
        <w:t>304</w:t>
      </w:r>
      <w:r>
        <w:rPr>
          <w:rFonts w:hint="eastAsia" w:ascii="宋体" w:hAnsi="宋体" w:cs="宋体"/>
          <w:szCs w:val="21"/>
          <w:lang w:bidi="ar"/>
        </w:rPr>
        <w:t>不锈钢</w:t>
      </w:r>
    </w:p>
    <w:p>
      <w:pPr>
        <w:snapToGrid w:val="0"/>
        <w:spacing w:line="360" w:lineRule="auto"/>
        <w:ind w:firstLine="424" w:firstLineChars="202"/>
        <w:rPr>
          <w:szCs w:val="21"/>
        </w:rPr>
      </w:pPr>
      <w:r>
        <w:rPr>
          <w:rFonts w:hint="eastAsia" w:ascii="宋体" w:hAnsi="宋体" w:cs="宋体"/>
          <w:szCs w:val="21"/>
          <w:lang w:bidi="ar"/>
        </w:rPr>
        <w:t>螺杆：</w:t>
      </w:r>
      <w:r>
        <w:rPr>
          <w:szCs w:val="21"/>
          <w:lang w:bidi="ar"/>
        </w:rPr>
        <w:t>1Cr13</w:t>
      </w:r>
    </w:p>
    <w:p>
      <w:pPr>
        <w:snapToGrid w:val="0"/>
        <w:spacing w:line="360" w:lineRule="auto"/>
        <w:ind w:firstLine="424" w:firstLineChars="202"/>
        <w:rPr>
          <w:szCs w:val="21"/>
        </w:rPr>
      </w:pPr>
      <w:r>
        <w:rPr>
          <w:rFonts w:hint="eastAsia" w:ascii="宋体" w:hAnsi="宋体" w:cs="宋体"/>
          <w:szCs w:val="21"/>
          <w:lang w:bidi="ar"/>
        </w:rPr>
        <w:t>阀筒支架、连接法兰：</w:t>
      </w:r>
      <w:r>
        <w:rPr>
          <w:szCs w:val="21"/>
          <w:lang w:bidi="ar"/>
        </w:rPr>
        <w:t>304</w:t>
      </w:r>
      <w:r>
        <w:rPr>
          <w:rFonts w:hint="eastAsia" w:ascii="宋体" w:hAnsi="宋体" w:cs="宋体"/>
          <w:szCs w:val="21"/>
          <w:lang w:bidi="ar"/>
        </w:rPr>
        <w:t>不锈钢</w:t>
      </w:r>
    </w:p>
    <w:p>
      <w:pPr>
        <w:snapToGrid w:val="0"/>
        <w:spacing w:line="360" w:lineRule="auto"/>
        <w:ind w:firstLine="424" w:firstLineChars="202"/>
        <w:rPr>
          <w:szCs w:val="21"/>
        </w:rPr>
      </w:pPr>
      <w:r>
        <w:rPr>
          <w:rFonts w:hint="eastAsia" w:ascii="宋体" w:hAnsi="宋体" w:cs="宋体"/>
          <w:szCs w:val="21"/>
          <w:lang w:bidi="ar"/>
        </w:rPr>
        <w:t>丝杆防雨罩：</w:t>
      </w:r>
      <w:r>
        <w:rPr>
          <w:szCs w:val="21"/>
          <w:lang w:bidi="ar"/>
        </w:rPr>
        <w:t>304</w:t>
      </w:r>
      <w:r>
        <w:rPr>
          <w:rFonts w:hint="eastAsia" w:ascii="宋体" w:hAnsi="宋体" w:cs="宋体"/>
          <w:szCs w:val="21"/>
          <w:lang w:bidi="ar"/>
        </w:rPr>
        <w:t>不锈钢</w:t>
      </w:r>
    </w:p>
    <w:p>
      <w:pPr>
        <w:snapToGrid w:val="0"/>
        <w:spacing w:line="360" w:lineRule="auto"/>
        <w:ind w:firstLine="424" w:firstLineChars="202"/>
        <w:rPr>
          <w:szCs w:val="21"/>
        </w:rPr>
      </w:pPr>
      <w:r>
        <w:rPr>
          <w:rFonts w:hint="eastAsia" w:ascii="宋体" w:hAnsi="宋体" w:cs="宋体"/>
          <w:szCs w:val="21"/>
          <w:lang w:bidi="ar"/>
        </w:rPr>
        <w:t>紧固件：</w:t>
      </w:r>
      <w:r>
        <w:rPr>
          <w:szCs w:val="21"/>
          <w:lang w:bidi="ar"/>
        </w:rPr>
        <w:t>304</w:t>
      </w:r>
      <w:r>
        <w:rPr>
          <w:rFonts w:hint="eastAsia" w:ascii="宋体" w:hAnsi="宋体" w:cs="宋体"/>
          <w:szCs w:val="21"/>
          <w:lang w:bidi="ar"/>
        </w:rPr>
        <w:t>不锈钢</w:t>
      </w:r>
    </w:p>
    <w:p>
      <w:pPr>
        <w:snapToGrid w:val="0"/>
        <w:spacing w:line="360" w:lineRule="auto"/>
        <w:ind w:firstLine="424" w:firstLineChars="202"/>
        <w:rPr>
          <w:szCs w:val="21"/>
        </w:rPr>
      </w:pPr>
      <w:r>
        <w:rPr>
          <w:szCs w:val="21"/>
          <w:lang w:bidi="ar"/>
        </w:rPr>
        <w:t>C.</w:t>
      </w:r>
      <w:r>
        <w:rPr>
          <w:rFonts w:hint="eastAsia" w:ascii="宋体" w:hAnsi="宋体" w:cs="宋体"/>
          <w:szCs w:val="21"/>
          <w:lang w:bidi="ar"/>
        </w:rPr>
        <w:t>供货范围</w:t>
      </w:r>
    </w:p>
    <w:p>
      <w:pPr>
        <w:snapToGrid w:val="0"/>
        <w:spacing w:line="360" w:lineRule="auto"/>
        <w:ind w:firstLine="424" w:firstLineChars="202"/>
        <w:rPr>
          <w:szCs w:val="21"/>
        </w:rPr>
      </w:pPr>
      <w:r>
        <w:rPr>
          <w:szCs w:val="21"/>
          <w:lang w:bidi="ar"/>
        </w:rPr>
        <w:t xml:space="preserve">① </w:t>
      </w:r>
      <w:r>
        <w:rPr>
          <w:rFonts w:hint="eastAsia" w:ascii="宋体" w:hAnsi="宋体" w:cs="宋体"/>
          <w:szCs w:val="21"/>
          <w:lang w:bidi="ar"/>
        </w:rPr>
        <w:t>装配完整的套筒阀，包括阀筒、螺杆、橡胶密封、连接法兰及密封件等；</w:t>
      </w:r>
    </w:p>
    <w:p>
      <w:pPr>
        <w:snapToGrid w:val="0"/>
        <w:spacing w:line="360" w:lineRule="auto"/>
        <w:ind w:firstLine="424" w:firstLineChars="202"/>
        <w:rPr>
          <w:szCs w:val="21"/>
        </w:rPr>
      </w:pPr>
      <w:r>
        <w:rPr>
          <w:szCs w:val="21"/>
          <w:lang w:bidi="ar"/>
        </w:rPr>
        <w:t xml:space="preserve">② </w:t>
      </w:r>
      <w:r>
        <w:rPr>
          <w:rFonts w:hint="eastAsia" w:ascii="宋体" w:hAnsi="宋体" w:cs="宋体"/>
          <w:szCs w:val="21"/>
          <w:lang w:bidi="ar"/>
        </w:rPr>
        <w:t>手动启闭机；</w:t>
      </w:r>
    </w:p>
    <w:p>
      <w:pPr>
        <w:snapToGrid w:val="0"/>
        <w:spacing w:line="360" w:lineRule="auto"/>
        <w:ind w:firstLine="424" w:firstLineChars="202"/>
        <w:rPr>
          <w:szCs w:val="21"/>
        </w:rPr>
      </w:pPr>
      <w:r>
        <w:rPr>
          <w:szCs w:val="21"/>
          <w:lang w:bidi="ar"/>
        </w:rPr>
        <w:t xml:space="preserve">③ </w:t>
      </w:r>
      <w:r>
        <w:rPr>
          <w:rFonts w:hint="eastAsia" w:ascii="宋体" w:hAnsi="宋体" w:cs="宋体"/>
          <w:szCs w:val="21"/>
          <w:lang w:bidi="ar"/>
        </w:rPr>
        <w:t>安装所需的连接件、紧固件、螺栓件等；</w:t>
      </w:r>
    </w:p>
    <w:p>
      <w:pPr>
        <w:snapToGrid w:val="0"/>
        <w:spacing w:line="360" w:lineRule="auto"/>
        <w:ind w:firstLine="424" w:firstLineChars="202"/>
        <w:rPr>
          <w:szCs w:val="21"/>
        </w:rPr>
      </w:pPr>
      <w:r>
        <w:rPr>
          <w:szCs w:val="21"/>
          <w:lang w:bidi="ar"/>
        </w:rPr>
        <w:t xml:space="preserve">④ </w:t>
      </w:r>
      <w:r>
        <w:rPr>
          <w:rFonts w:hint="eastAsia" w:ascii="宋体" w:hAnsi="宋体" w:cs="宋体"/>
          <w:szCs w:val="21"/>
          <w:lang w:bidi="ar"/>
        </w:rPr>
        <w:t>技术文件和图纸资料；</w:t>
      </w:r>
    </w:p>
    <w:p>
      <w:pPr>
        <w:snapToGrid w:val="0"/>
        <w:spacing w:line="360" w:lineRule="auto"/>
        <w:ind w:firstLine="424" w:firstLineChars="202"/>
        <w:rPr>
          <w:szCs w:val="21"/>
        </w:rPr>
      </w:pPr>
      <w:r>
        <w:rPr>
          <w:szCs w:val="21"/>
          <w:lang w:bidi="ar"/>
        </w:rPr>
        <w:t xml:space="preserve">⑤ </w:t>
      </w:r>
      <w:r>
        <w:rPr>
          <w:rFonts w:hint="eastAsia" w:ascii="宋体" w:hAnsi="宋体" w:cs="宋体"/>
          <w:szCs w:val="21"/>
          <w:lang w:bidi="ar"/>
        </w:rPr>
        <w:t>备品备件。</w:t>
      </w:r>
    </w:p>
    <w:p>
      <w:pPr>
        <w:adjustRightInd w:val="0"/>
        <w:snapToGrid w:val="0"/>
        <w:spacing w:line="360" w:lineRule="auto"/>
        <w:ind w:firstLine="422" w:firstLineChars="200"/>
        <w:rPr>
          <w:b/>
          <w:bCs/>
          <w:kern w:val="0"/>
          <w:szCs w:val="21"/>
        </w:rPr>
      </w:pPr>
      <w:r>
        <w:rPr>
          <w:rFonts w:hint="eastAsia" w:ascii="宋体" w:hAnsi="宋体" w:cs="宋体"/>
          <w:b/>
          <w:bCs/>
          <w:kern w:val="0"/>
          <w:szCs w:val="21"/>
          <w:lang w:bidi="ar"/>
        </w:rPr>
        <w:t>（</w:t>
      </w:r>
      <w:r>
        <w:rPr>
          <w:b/>
          <w:bCs/>
          <w:kern w:val="0"/>
          <w:szCs w:val="21"/>
          <w:lang w:bidi="ar"/>
        </w:rPr>
        <w:t>3</w:t>
      </w:r>
      <w:r>
        <w:rPr>
          <w:rFonts w:hint="eastAsia" w:ascii="宋体" w:hAnsi="宋体" w:cs="宋体"/>
          <w:b/>
          <w:bCs/>
          <w:kern w:val="0"/>
          <w:szCs w:val="21"/>
          <w:lang w:bidi="ar"/>
        </w:rPr>
        <w:t>）排水渠出水堰板</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采用</w:t>
      </w:r>
      <w:r>
        <w:rPr>
          <w:kern w:val="0"/>
          <w:szCs w:val="21"/>
          <w:lang w:bidi="ar"/>
        </w:rPr>
        <w:t>304</w:t>
      </w:r>
      <w:r>
        <w:rPr>
          <w:rFonts w:hint="eastAsia" w:ascii="宋体" w:hAnsi="宋体" w:cs="宋体"/>
          <w:kern w:val="0"/>
          <w:szCs w:val="21"/>
          <w:lang w:bidi="ar"/>
        </w:rPr>
        <w:t>不锈钢出水堰板，安装在排水渠渠壁上，用于均匀排水，堰板厚度不小于</w:t>
      </w:r>
      <w:r>
        <w:rPr>
          <w:kern w:val="0"/>
          <w:szCs w:val="21"/>
          <w:lang w:bidi="ar"/>
        </w:rPr>
        <w:t>4mm</w:t>
      </w:r>
      <w:r>
        <w:rPr>
          <w:rFonts w:hint="eastAsia" w:ascii="宋体" w:hAnsi="宋体" w:cs="宋体"/>
          <w:kern w:val="0"/>
          <w:szCs w:val="21"/>
          <w:lang w:bidi="ar"/>
        </w:rPr>
        <w:t>，堰板尺寸见设计图。所有基础螺栓与紧固件均采用</w:t>
      </w:r>
      <w:r>
        <w:rPr>
          <w:kern w:val="0"/>
          <w:szCs w:val="21"/>
          <w:lang w:bidi="ar"/>
        </w:rPr>
        <w:t>316</w:t>
      </w:r>
      <w:r>
        <w:rPr>
          <w:rFonts w:hint="eastAsia" w:ascii="宋体" w:hAnsi="宋体" w:cs="宋体"/>
          <w:kern w:val="0"/>
          <w:szCs w:val="21"/>
          <w:lang w:bidi="ar"/>
        </w:rPr>
        <w:t>不锈钢材料。</w:t>
      </w:r>
    </w:p>
    <w:p>
      <w:pPr>
        <w:adjustRightInd w:val="0"/>
        <w:snapToGrid w:val="0"/>
        <w:spacing w:line="360" w:lineRule="auto"/>
        <w:ind w:firstLine="422" w:firstLineChars="200"/>
        <w:rPr>
          <w:b/>
          <w:bCs/>
          <w:kern w:val="0"/>
          <w:szCs w:val="21"/>
        </w:rPr>
      </w:pPr>
      <w:r>
        <w:rPr>
          <w:rFonts w:hint="eastAsia" w:ascii="宋体" w:hAnsi="宋体" w:cs="宋体"/>
          <w:b/>
          <w:bCs/>
          <w:kern w:val="0"/>
          <w:szCs w:val="21"/>
          <w:lang w:bidi="ar"/>
        </w:rPr>
        <w:t>（</w:t>
      </w:r>
      <w:r>
        <w:rPr>
          <w:b/>
          <w:bCs/>
          <w:kern w:val="0"/>
          <w:szCs w:val="21"/>
          <w:lang w:bidi="ar"/>
        </w:rPr>
        <w:t>4</w:t>
      </w:r>
      <w:r>
        <w:rPr>
          <w:rFonts w:hint="eastAsia" w:ascii="宋体" w:hAnsi="宋体" w:cs="宋体"/>
          <w:b/>
          <w:bCs/>
          <w:kern w:val="0"/>
          <w:szCs w:val="21"/>
          <w:lang w:bidi="ar"/>
        </w:rPr>
        <w:t>）浮渣挡板</w:t>
      </w:r>
    </w:p>
    <w:p>
      <w:pPr>
        <w:adjustRightInd w:val="0"/>
        <w:snapToGrid w:val="0"/>
        <w:spacing w:line="360" w:lineRule="auto"/>
        <w:ind w:firstLine="420" w:firstLineChars="200"/>
        <w:rPr>
          <w:kern w:val="0"/>
          <w:szCs w:val="21"/>
        </w:rPr>
      </w:pPr>
      <w:r>
        <w:rPr>
          <w:rFonts w:hint="eastAsia" w:ascii="宋体" w:hAnsi="宋体" w:cs="宋体"/>
          <w:kern w:val="0"/>
          <w:szCs w:val="21"/>
          <w:lang w:bidi="ar"/>
        </w:rPr>
        <w:t>采用</w:t>
      </w:r>
      <w:r>
        <w:rPr>
          <w:kern w:val="0"/>
          <w:szCs w:val="21"/>
          <w:lang w:bidi="ar"/>
        </w:rPr>
        <w:t>304</w:t>
      </w:r>
      <w:r>
        <w:rPr>
          <w:rFonts w:hint="eastAsia" w:ascii="宋体" w:hAnsi="宋体" w:cs="宋体"/>
          <w:kern w:val="0"/>
          <w:szCs w:val="21"/>
          <w:lang w:bidi="ar"/>
        </w:rPr>
        <w:t>不锈钢浮渣挡板，安装在排水渠外，以防止浮渣进水排水渠，挡板的厚度不小于</w:t>
      </w:r>
      <w:r>
        <w:rPr>
          <w:kern w:val="0"/>
          <w:szCs w:val="21"/>
          <w:lang w:bidi="ar"/>
        </w:rPr>
        <w:t>4mm</w:t>
      </w:r>
      <w:r>
        <w:rPr>
          <w:rFonts w:hint="eastAsia" w:ascii="宋体" w:hAnsi="宋体" w:cs="宋体"/>
          <w:kern w:val="0"/>
          <w:szCs w:val="21"/>
          <w:lang w:bidi="ar"/>
        </w:rPr>
        <w:t>。浮渣挡板由支撑架固定在排水渠池壁上，支撑架材质为</w:t>
      </w:r>
      <w:r>
        <w:rPr>
          <w:kern w:val="0"/>
          <w:szCs w:val="21"/>
          <w:lang w:bidi="ar"/>
        </w:rPr>
        <w:t>304</w:t>
      </w:r>
      <w:r>
        <w:rPr>
          <w:rFonts w:hint="eastAsia" w:ascii="宋体" w:hAnsi="宋体" w:cs="宋体"/>
          <w:kern w:val="0"/>
          <w:szCs w:val="21"/>
          <w:lang w:bidi="ar"/>
        </w:rPr>
        <w:t>不锈钢。</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所有基础螺栓与紧固件均采用</w:t>
      </w:r>
      <w:r>
        <w:rPr>
          <w:kern w:val="0"/>
          <w:szCs w:val="21"/>
          <w:lang w:bidi="ar"/>
        </w:rPr>
        <w:t>316</w:t>
      </w:r>
      <w:r>
        <w:rPr>
          <w:rFonts w:hint="eastAsia" w:ascii="宋体" w:hAnsi="宋体" w:cs="宋体"/>
          <w:kern w:val="0"/>
          <w:szCs w:val="21"/>
          <w:lang w:bidi="ar"/>
        </w:rPr>
        <w:t>不锈钢材料。</w:t>
      </w:r>
    </w:p>
    <w:p>
      <w:pPr>
        <w:adjustRightInd w:val="0"/>
        <w:snapToGrid w:val="0"/>
        <w:spacing w:line="360" w:lineRule="auto"/>
        <w:ind w:firstLine="422" w:firstLineChars="200"/>
        <w:rPr>
          <w:b/>
          <w:bCs/>
          <w:kern w:val="0"/>
          <w:szCs w:val="21"/>
        </w:rPr>
      </w:pPr>
      <w:r>
        <w:rPr>
          <w:rFonts w:hint="eastAsia" w:ascii="宋体" w:hAnsi="宋体" w:cs="宋体"/>
          <w:b/>
          <w:bCs/>
          <w:kern w:val="0"/>
          <w:szCs w:val="21"/>
          <w:lang w:bidi="ar"/>
        </w:rPr>
        <w:t>（</w:t>
      </w:r>
      <w:r>
        <w:rPr>
          <w:b/>
          <w:bCs/>
          <w:kern w:val="0"/>
          <w:szCs w:val="21"/>
          <w:lang w:bidi="ar"/>
        </w:rPr>
        <w:t>5</w:t>
      </w:r>
      <w:r>
        <w:rPr>
          <w:rFonts w:hint="eastAsia" w:ascii="宋体" w:hAnsi="宋体" w:cs="宋体"/>
          <w:b/>
          <w:bCs/>
          <w:kern w:val="0"/>
          <w:szCs w:val="21"/>
          <w:lang w:bidi="ar"/>
        </w:rPr>
        <w:t>）手电两用撇渣管</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每格各设一套手电两用旋转撇渣管。撇渣管安装于沉淀池末端，应跨于整个集渣宽度，用于集纳和排出污水中的浮渣。撇渣管的安装位置、安装标高和实际尺寸应符合招标图纸的要求，并由投标人根据进</w:t>
      </w:r>
      <w:r>
        <w:rPr>
          <w:kern w:val="0"/>
          <w:szCs w:val="21"/>
          <w:lang w:bidi="ar"/>
        </w:rPr>
        <w:t>/</w:t>
      </w:r>
      <w:r>
        <w:rPr>
          <w:rFonts w:hint="eastAsia" w:ascii="宋体" w:hAnsi="宋体" w:cs="宋体"/>
          <w:kern w:val="0"/>
          <w:szCs w:val="21"/>
          <w:lang w:bidi="ar"/>
        </w:rPr>
        <w:t>出水渠的水力设计进行调整。</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撇渣管为电动或手动转动操作的开槽圆管，材料采用</w:t>
      </w:r>
      <w:r>
        <w:rPr>
          <w:kern w:val="0"/>
          <w:szCs w:val="21"/>
          <w:lang w:bidi="ar"/>
        </w:rPr>
        <w:t>304</w:t>
      </w:r>
      <w:r>
        <w:rPr>
          <w:rFonts w:hint="eastAsia" w:ascii="宋体" w:hAnsi="宋体" w:cs="宋体"/>
          <w:kern w:val="0"/>
          <w:szCs w:val="21"/>
          <w:lang w:bidi="ar"/>
        </w:rPr>
        <w:t>不锈钢，管径不小于</w:t>
      </w:r>
      <w:r>
        <w:rPr>
          <w:kern w:val="0"/>
          <w:szCs w:val="21"/>
          <w:lang w:bidi="ar"/>
        </w:rPr>
        <w:t>Ф</w:t>
      </w:r>
      <w:r>
        <w:rPr>
          <w:kern w:val="0"/>
          <w:sz w:val="24"/>
          <w:lang w:bidi="ar"/>
        </w:rPr>
        <w:t>300</w:t>
      </w:r>
      <w:r>
        <w:rPr>
          <w:kern w:val="0"/>
          <w:szCs w:val="21"/>
          <w:lang w:bidi="ar"/>
        </w:rPr>
        <w:t>mm</w:t>
      </w:r>
      <w:r>
        <w:rPr>
          <w:rFonts w:hint="eastAsia" w:ascii="宋体" w:hAnsi="宋体" w:cs="宋体"/>
          <w:kern w:val="0"/>
          <w:szCs w:val="21"/>
          <w:lang w:bidi="ar"/>
        </w:rPr>
        <w:t>，管壁厚</w:t>
      </w:r>
      <w:r>
        <w:rPr>
          <w:kern w:val="0"/>
          <w:szCs w:val="21"/>
          <w:lang w:bidi="ar"/>
        </w:rPr>
        <w:t>≥8mm</w:t>
      </w:r>
      <w:r>
        <w:rPr>
          <w:rFonts w:hint="eastAsia" w:ascii="宋体" w:hAnsi="宋体" w:cs="宋体"/>
          <w:kern w:val="0"/>
          <w:szCs w:val="21"/>
          <w:lang w:bidi="ar"/>
        </w:rPr>
        <w:t>，管长应与二沉池相配合，沿管长开设中心角为</w:t>
      </w:r>
      <w:r>
        <w:rPr>
          <w:kern w:val="0"/>
          <w:szCs w:val="21"/>
          <w:lang w:bidi="ar"/>
        </w:rPr>
        <w:t>60°</w:t>
      </w:r>
      <w:r>
        <w:rPr>
          <w:rFonts w:hint="eastAsia" w:ascii="宋体" w:hAnsi="宋体" w:cs="宋体"/>
          <w:kern w:val="0"/>
          <w:szCs w:val="21"/>
          <w:lang w:bidi="ar"/>
        </w:rPr>
        <w:t>的槽，在保证受扭和受压强度下，整个管长可形成</w:t>
      </w:r>
      <w:r>
        <w:rPr>
          <w:kern w:val="0"/>
          <w:szCs w:val="21"/>
          <w:lang w:bidi="ar"/>
        </w:rPr>
        <w:t>7</w:t>
      </w:r>
      <w:r>
        <w:rPr>
          <w:rFonts w:hint="eastAsia" w:ascii="宋体" w:hAnsi="宋体" w:cs="宋体"/>
          <w:kern w:val="0"/>
          <w:szCs w:val="21"/>
          <w:lang w:bidi="ar"/>
        </w:rPr>
        <w:t>～</w:t>
      </w:r>
      <w:r>
        <w:rPr>
          <w:kern w:val="0"/>
          <w:szCs w:val="21"/>
          <w:lang w:bidi="ar"/>
        </w:rPr>
        <w:t>9</w:t>
      </w:r>
      <w:r>
        <w:rPr>
          <w:rFonts w:hint="eastAsia" w:ascii="宋体" w:hAnsi="宋体" w:cs="宋体"/>
          <w:kern w:val="0"/>
          <w:szCs w:val="21"/>
          <w:lang w:bidi="ar"/>
        </w:rPr>
        <w:t>个堰口。</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每套撇渣管应包括两端的滑动轴承式管支承和电动螺旋传动机构及接渣配管。撇渣管应转动灵活，并设有限位挡块，两端的轴承支承应有良好的密封措施。</w:t>
      </w:r>
    </w:p>
    <w:p>
      <w:pPr>
        <w:adjustRightInd w:val="0"/>
        <w:snapToGrid w:val="0"/>
        <w:spacing w:line="360" w:lineRule="auto"/>
        <w:ind w:firstLine="420" w:firstLineChars="200"/>
        <w:rPr>
          <w:kern w:val="0"/>
          <w:szCs w:val="21"/>
        </w:rPr>
      </w:pPr>
      <w:r>
        <w:rPr>
          <w:rFonts w:hint="eastAsia" w:ascii="宋体" w:hAnsi="宋体" w:cs="宋体"/>
          <w:kern w:val="0"/>
          <w:szCs w:val="21"/>
          <w:lang w:bidi="ar"/>
        </w:rPr>
        <w:t>管的挠度不大于</w:t>
      </w:r>
      <w:r>
        <w:rPr>
          <w:kern w:val="0"/>
          <w:szCs w:val="21"/>
          <w:lang w:bidi="ar"/>
        </w:rPr>
        <w:t>1</w:t>
      </w:r>
      <w:r>
        <w:rPr>
          <w:rFonts w:hint="eastAsia" w:ascii="宋体" w:hAnsi="宋体" w:cs="宋体"/>
          <w:kern w:val="0"/>
          <w:szCs w:val="21"/>
          <w:lang w:bidi="ar"/>
        </w:rPr>
        <w:t>／</w:t>
      </w:r>
      <w:r>
        <w:rPr>
          <w:kern w:val="0"/>
          <w:szCs w:val="21"/>
          <w:lang w:bidi="ar"/>
        </w:rPr>
        <w:t>1000</w:t>
      </w:r>
      <w:r>
        <w:rPr>
          <w:rFonts w:hint="eastAsia" w:ascii="宋体" w:hAnsi="宋体" w:cs="宋体"/>
          <w:kern w:val="0"/>
          <w:szCs w:val="21"/>
          <w:lang w:bidi="ar"/>
        </w:rPr>
        <w:t>管二端支承间长度。管支承结构应考虑管的温差伸缩，滑动轴承应有可靠的密封构造，泄漏量为</w:t>
      </w:r>
      <w:r>
        <w:rPr>
          <w:kern w:val="0"/>
          <w:szCs w:val="21"/>
          <w:lang w:bidi="ar"/>
        </w:rPr>
        <w:t>0</w:t>
      </w:r>
      <w:r>
        <w:rPr>
          <w:rFonts w:hint="eastAsia" w:ascii="宋体" w:hAnsi="宋体" w:cs="宋体"/>
          <w:kern w:val="0"/>
          <w:szCs w:val="21"/>
          <w:lang w:bidi="ar"/>
        </w:rPr>
        <w:t>。</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每台撇渣管转动的操作杆应伸出平台并装有手动操作机构，手轮尺寸选择应保证手轮上的总操作力不大于</w:t>
      </w:r>
      <w:r>
        <w:rPr>
          <w:kern w:val="0"/>
          <w:szCs w:val="21"/>
          <w:lang w:bidi="ar"/>
        </w:rPr>
        <w:t>150N</w:t>
      </w:r>
      <w:r>
        <w:rPr>
          <w:rFonts w:hint="eastAsia" w:ascii="宋体" w:hAnsi="宋体" w:cs="宋体"/>
          <w:kern w:val="0"/>
          <w:szCs w:val="21"/>
          <w:lang w:bidi="ar"/>
        </w:rPr>
        <w:t>。操作机构驱动杆金属材质选用不低于</w:t>
      </w:r>
      <w:r>
        <w:rPr>
          <w:kern w:val="0"/>
          <w:szCs w:val="21"/>
          <w:lang w:bidi="ar"/>
        </w:rPr>
        <w:t>420</w:t>
      </w:r>
      <w:r>
        <w:rPr>
          <w:rFonts w:hint="eastAsia" w:ascii="宋体" w:hAnsi="宋体" w:cs="宋体"/>
          <w:kern w:val="0"/>
          <w:szCs w:val="21"/>
          <w:lang w:bidi="ar"/>
        </w:rPr>
        <w:t>不锈钢，其他金属材质均选用不低于</w:t>
      </w:r>
      <w:r>
        <w:rPr>
          <w:kern w:val="0"/>
          <w:szCs w:val="21"/>
          <w:lang w:bidi="ar"/>
        </w:rPr>
        <w:t>304</w:t>
      </w:r>
      <w:r>
        <w:rPr>
          <w:rFonts w:hint="eastAsia" w:ascii="宋体" w:hAnsi="宋体" w:cs="宋体"/>
          <w:kern w:val="0"/>
          <w:szCs w:val="21"/>
          <w:lang w:bidi="ar"/>
        </w:rPr>
        <w:t>不锈钢。</w:t>
      </w:r>
    </w:p>
    <w:p>
      <w:pPr>
        <w:adjustRightInd w:val="0"/>
        <w:snapToGrid w:val="0"/>
        <w:spacing w:line="360" w:lineRule="auto"/>
        <w:ind w:firstLine="420" w:firstLineChars="200"/>
        <w:rPr>
          <w:kern w:val="0"/>
          <w:szCs w:val="21"/>
        </w:rPr>
      </w:pPr>
      <w:r>
        <w:rPr>
          <w:rFonts w:hint="eastAsia" w:ascii="宋体" w:hAnsi="宋体" w:cs="宋体"/>
          <w:kern w:val="0"/>
          <w:szCs w:val="21"/>
          <w:lang w:bidi="ar"/>
        </w:rPr>
        <w:t>撇渣管电动装置采用机电一体化电动执行机构，具有供电、短路保护、过载过转矩保护、缺相保护、自动相位校正、运行及故障指示等功能。电动装置表面需安装的控制元件为：控制选择开关</w:t>
      </w:r>
      <w:r>
        <w:rPr>
          <w:kern w:val="0"/>
          <w:szCs w:val="21"/>
          <w:lang w:bidi="ar"/>
        </w:rPr>
        <w:t>(</w:t>
      </w:r>
      <w:r>
        <w:rPr>
          <w:rFonts w:hint="eastAsia" w:ascii="宋体" w:hAnsi="宋体" w:cs="宋体"/>
          <w:kern w:val="0"/>
          <w:szCs w:val="21"/>
          <w:lang w:bidi="ar"/>
        </w:rPr>
        <w:t>带锁</w:t>
      </w:r>
      <w:r>
        <w:rPr>
          <w:kern w:val="0"/>
          <w:szCs w:val="21"/>
          <w:lang w:bidi="ar"/>
        </w:rPr>
        <w:t>)A-O-H</w:t>
      </w:r>
      <w:r>
        <w:rPr>
          <w:rFonts w:hint="eastAsia" w:ascii="宋体" w:hAnsi="宋体" w:cs="宋体"/>
          <w:kern w:val="0"/>
          <w:szCs w:val="21"/>
          <w:lang w:bidi="ar"/>
        </w:rPr>
        <w:t>一个；开、关按钮两个；全关、全开、故障指示灯三个。</w:t>
      </w:r>
    </w:p>
    <w:p>
      <w:pPr>
        <w:adjustRightInd w:val="0"/>
        <w:snapToGrid w:val="0"/>
        <w:spacing w:line="360" w:lineRule="auto"/>
        <w:ind w:firstLine="420" w:firstLineChars="200"/>
        <w:rPr>
          <w:kern w:val="0"/>
          <w:szCs w:val="21"/>
        </w:rPr>
      </w:pPr>
      <w:r>
        <w:rPr>
          <w:rFonts w:hint="eastAsia" w:ascii="宋体" w:hAnsi="宋体" w:cs="宋体"/>
          <w:kern w:val="0"/>
          <w:szCs w:val="21"/>
          <w:lang w:bidi="ar"/>
        </w:rPr>
        <w:t>电动驱动装置适合电源</w:t>
      </w:r>
      <w:r>
        <w:rPr>
          <w:kern w:val="0"/>
          <w:szCs w:val="21"/>
          <w:lang w:bidi="ar"/>
        </w:rPr>
        <w:t>380V</w:t>
      </w:r>
      <w:r>
        <w:rPr>
          <w:rFonts w:hint="eastAsia" w:ascii="宋体" w:hAnsi="宋体" w:cs="宋体"/>
          <w:kern w:val="0"/>
          <w:szCs w:val="21"/>
          <w:lang w:bidi="ar"/>
        </w:rPr>
        <w:t>，三相，</w:t>
      </w:r>
      <w:r>
        <w:rPr>
          <w:kern w:val="0"/>
          <w:szCs w:val="21"/>
          <w:lang w:bidi="ar"/>
        </w:rPr>
        <w:t>50Hz</w:t>
      </w:r>
      <w:r>
        <w:rPr>
          <w:rFonts w:hint="eastAsia" w:ascii="宋体" w:hAnsi="宋体" w:cs="宋体"/>
          <w:kern w:val="0"/>
          <w:szCs w:val="21"/>
          <w:lang w:bidi="ar"/>
        </w:rPr>
        <w:t>，电机防护等级为</w:t>
      </w:r>
      <w:r>
        <w:rPr>
          <w:kern w:val="0"/>
          <w:szCs w:val="21"/>
          <w:lang w:bidi="ar"/>
        </w:rPr>
        <w:t>IP68</w:t>
      </w:r>
      <w:r>
        <w:rPr>
          <w:rFonts w:hint="eastAsia" w:ascii="宋体" w:hAnsi="宋体" w:cs="宋体"/>
          <w:kern w:val="0"/>
          <w:szCs w:val="21"/>
          <w:lang w:bidi="ar"/>
        </w:rPr>
        <w:t>，配不锈钢户外电机罩。驱动杆采用不锈钢材料制造，电动驱动装置的需配有限位开关。</w:t>
      </w:r>
    </w:p>
    <w:p>
      <w:pPr>
        <w:spacing w:line="360" w:lineRule="auto"/>
        <w:jc w:val="center"/>
        <w:rPr>
          <w:szCs w:val="21"/>
        </w:rPr>
      </w:pPr>
      <w:r>
        <w:rPr>
          <w:rFonts w:hint="eastAsia" w:ascii="宋体" w:hAnsi="宋体" w:cs="宋体"/>
          <w:szCs w:val="21"/>
          <w:lang w:bidi="ar"/>
        </w:rPr>
        <w:t>撇渣管主要材料</w:t>
      </w:r>
    </w:p>
    <w:tbl>
      <w:tblPr>
        <w:tblStyle w:val="29"/>
        <w:tblW w:w="4809"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4036"/>
        <w:gridCol w:w="4160"/>
      </w:tblGrid>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撇渣管</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304</w:t>
            </w:r>
            <w:r>
              <w:rPr>
                <w:rFonts w:hint="eastAsia" w:ascii="宋体" w:hAnsi="宋体" w:cs="宋体"/>
                <w:kern w:val="0"/>
                <w:szCs w:val="21"/>
                <w:lang w:bidi="ar"/>
              </w:rPr>
              <w:t>不锈钢</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止水衬套</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304</w:t>
            </w:r>
            <w:r>
              <w:rPr>
                <w:rFonts w:hint="eastAsia" w:ascii="宋体" w:hAnsi="宋体" w:cs="宋体"/>
                <w:kern w:val="0"/>
                <w:szCs w:val="21"/>
                <w:lang w:bidi="ar"/>
              </w:rPr>
              <w:t>不锈钢</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挡板（如有）</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304</w:t>
            </w:r>
            <w:r>
              <w:rPr>
                <w:rFonts w:hint="eastAsia" w:ascii="宋体" w:hAnsi="宋体" w:cs="宋体"/>
                <w:kern w:val="0"/>
                <w:szCs w:val="21"/>
                <w:lang w:bidi="ar"/>
              </w:rPr>
              <w:t>不锈钢</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轴承支座</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304</w:t>
            </w:r>
            <w:r>
              <w:rPr>
                <w:rFonts w:hint="eastAsia" w:ascii="宋体" w:hAnsi="宋体" w:cs="宋体"/>
                <w:kern w:val="0"/>
                <w:szCs w:val="21"/>
                <w:lang w:bidi="ar"/>
              </w:rPr>
              <w:t>不锈钢</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操作机构驱动杆</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420</w:t>
            </w:r>
            <w:r>
              <w:rPr>
                <w:rFonts w:hint="eastAsia" w:ascii="宋体" w:hAnsi="宋体" w:cs="宋体"/>
                <w:kern w:val="0"/>
                <w:szCs w:val="21"/>
                <w:lang w:bidi="ar"/>
              </w:rPr>
              <w:t>不锈钢</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操作机构支座</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304</w:t>
            </w:r>
            <w:r>
              <w:rPr>
                <w:rFonts w:hint="eastAsia" w:ascii="宋体" w:hAnsi="宋体" w:cs="宋体"/>
                <w:kern w:val="0"/>
                <w:szCs w:val="21"/>
                <w:lang w:bidi="ar"/>
              </w:rPr>
              <w:t>不锈钢</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461" w:type="pct"/>
            <w:tcBorders>
              <w:top w:val="single" w:color="auto" w:sz="4" w:space="0"/>
              <w:left w:val="nil"/>
              <w:bottom w:val="single" w:color="auto" w:sz="4" w:space="0"/>
              <w:right w:val="single" w:color="auto" w:sz="4" w:space="0"/>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紧固件</w:t>
            </w:r>
          </w:p>
        </w:tc>
        <w:tc>
          <w:tcPr>
            <w:tcW w:w="2537" w:type="pct"/>
            <w:tcBorders>
              <w:top w:val="single" w:color="auto" w:sz="4" w:space="0"/>
              <w:left w:val="nil"/>
              <w:bottom w:val="single" w:color="auto" w:sz="4" w:space="0"/>
              <w:right w:val="nil"/>
            </w:tcBorders>
            <w:shd w:val="clear" w:color="auto" w:fill="auto"/>
          </w:tcPr>
          <w:p>
            <w:pPr>
              <w:adjustRightInd w:val="0"/>
              <w:snapToGrid w:val="0"/>
              <w:spacing w:line="360" w:lineRule="auto"/>
              <w:jc w:val="center"/>
              <w:rPr>
                <w:kern w:val="0"/>
                <w:szCs w:val="21"/>
              </w:rPr>
            </w:pPr>
            <w:r>
              <w:rPr>
                <w:rFonts w:hint="eastAsia" w:ascii="宋体" w:hAnsi="宋体" w:cs="宋体"/>
                <w:kern w:val="0"/>
                <w:szCs w:val="21"/>
                <w:lang w:bidi="ar"/>
              </w:rPr>
              <w:t>不低于</w:t>
            </w:r>
            <w:r>
              <w:rPr>
                <w:kern w:val="0"/>
                <w:szCs w:val="21"/>
                <w:lang w:bidi="ar"/>
              </w:rPr>
              <w:t>304</w:t>
            </w:r>
            <w:r>
              <w:rPr>
                <w:rFonts w:hint="eastAsia" w:ascii="宋体" w:hAnsi="宋体" w:cs="宋体"/>
                <w:kern w:val="0"/>
                <w:szCs w:val="21"/>
                <w:lang w:bidi="ar"/>
              </w:rPr>
              <w:t>不锈钢</w:t>
            </w:r>
          </w:p>
        </w:tc>
      </w:tr>
    </w:tbl>
    <w:p>
      <w:pPr>
        <w:pStyle w:val="6"/>
        <w:widowControl/>
        <w:numPr>
          <w:ilvl w:val="3"/>
          <w:numId w:val="4"/>
        </w:numPr>
        <w:spacing w:before="156"/>
        <w:rPr>
          <w:rFonts w:ascii="Arial" w:hAnsi="Arial" w:cs="Arial"/>
          <w:szCs w:val="21"/>
        </w:rPr>
      </w:pPr>
      <w:r>
        <w:rPr>
          <w:rFonts w:hint="eastAsia" w:ascii="宋体" w:hAnsi="宋体"/>
          <w:szCs w:val="21"/>
        </w:rPr>
        <w:t>电气控制系统</w:t>
      </w:r>
    </w:p>
    <w:p>
      <w:pPr>
        <w:snapToGrid w:val="0"/>
        <w:spacing w:line="360" w:lineRule="auto"/>
        <w:ind w:firstLine="420" w:firstLineChars="200"/>
        <w:rPr>
          <w:szCs w:val="21"/>
        </w:rPr>
      </w:pPr>
      <w:r>
        <w:rPr>
          <w:rFonts w:hint="eastAsia" w:ascii="宋体" w:hAnsi="宋体" w:cs="宋体"/>
          <w:szCs w:val="21"/>
          <w:lang w:bidi="ar"/>
        </w:rPr>
        <w:t>刮泥机电气控制系统设计成能现场手动按钮控制和远程</w:t>
      </w:r>
      <w:r>
        <w:rPr>
          <w:szCs w:val="21"/>
          <w:lang w:bidi="ar"/>
        </w:rPr>
        <w:t>PLC</w:t>
      </w:r>
      <w:r>
        <w:rPr>
          <w:rFonts w:hint="eastAsia" w:ascii="宋体" w:hAnsi="宋体" w:cs="宋体"/>
          <w:szCs w:val="21"/>
          <w:lang w:bidi="ar"/>
        </w:rPr>
        <w:t>控制。现场控制箱包括开、停按钮、急停按钮和运行指示灯，具有过载报警、过载停机以及过扭矩保护功能，以上信号须提供无源接点至控制箱端子排，方便自控系统接入。现场手动按钮控制是通过机械按钮及纯电气元器件控制，控制回路不经过</w:t>
      </w:r>
      <w:r>
        <w:rPr>
          <w:szCs w:val="21"/>
          <w:lang w:bidi="ar"/>
        </w:rPr>
        <w:t>PLC</w:t>
      </w:r>
      <w:r>
        <w:rPr>
          <w:rFonts w:hint="eastAsia" w:ascii="宋体" w:hAnsi="宋体" w:cs="宋体"/>
          <w:szCs w:val="21"/>
          <w:lang w:bidi="ar"/>
        </w:rPr>
        <w:t>。现场手动及远程</w:t>
      </w:r>
      <w:r>
        <w:rPr>
          <w:szCs w:val="21"/>
          <w:lang w:bidi="ar"/>
        </w:rPr>
        <w:t>PLC</w:t>
      </w:r>
      <w:r>
        <w:rPr>
          <w:rFonts w:hint="eastAsia" w:ascii="宋体" w:hAnsi="宋体" w:cs="宋体"/>
          <w:szCs w:val="21"/>
          <w:lang w:bidi="ar"/>
        </w:rPr>
        <w:t>控制切换通过柜门上的物理按钮进行转换。</w:t>
      </w:r>
    </w:p>
    <w:p>
      <w:pPr>
        <w:snapToGrid w:val="0"/>
        <w:spacing w:line="360" w:lineRule="auto"/>
        <w:ind w:firstLine="420" w:firstLineChars="200"/>
        <w:rPr>
          <w:szCs w:val="21"/>
        </w:rPr>
      </w:pPr>
      <w:r>
        <w:rPr>
          <w:rFonts w:hint="eastAsia" w:ascii="宋体" w:hAnsi="宋体" w:cs="宋体"/>
          <w:szCs w:val="21"/>
          <w:lang w:bidi="ar"/>
        </w:rPr>
        <w:t>控制箱采用</w:t>
      </w:r>
      <w:r>
        <w:rPr>
          <w:szCs w:val="21"/>
          <w:lang w:bidi="ar"/>
        </w:rPr>
        <w:t>2mm</w:t>
      </w:r>
      <w:r>
        <w:rPr>
          <w:rFonts w:hint="eastAsia" w:ascii="宋体" w:hAnsi="宋体" w:cs="宋体"/>
          <w:szCs w:val="21"/>
          <w:lang w:bidi="ar"/>
        </w:rPr>
        <w:t>厚的</w:t>
      </w:r>
      <w:r>
        <w:rPr>
          <w:szCs w:val="21"/>
          <w:lang w:bidi="ar"/>
        </w:rPr>
        <w:t>304</w:t>
      </w:r>
      <w:r>
        <w:rPr>
          <w:rFonts w:hint="eastAsia" w:ascii="宋体" w:hAnsi="宋体" w:cs="宋体"/>
          <w:szCs w:val="21"/>
          <w:lang w:bidi="ar"/>
        </w:rPr>
        <w:t>不锈钢板制作，表面抛光处理。箱门采用双层结构，其中外层箱门锁的锁芯要具有防水功能，控制按钮布置于内箱门上，防护等级</w:t>
      </w:r>
      <w:r>
        <w:rPr>
          <w:szCs w:val="21"/>
          <w:lang w:bidi="ar"/>
        </w:rPr>
        <w:t>IP65</w:t>
      </w:r>
      <w:r>
        <w:rPr>
          <w:rFonts w:hint="eastAsia" w:ascii="宋体" w:hAnsi="宋体" w:cs="宋体"/>
          <w:szCs w:val="21"/>
          <w:lang w:bidi="ar"/>
        </w:rPr>
        <w:t>。控制箱内应有防凝露的电加热单元和通风散热装置。</w:t>
      </w:r>
    </w:p>
    <w:p>
      <w:pPr>
        <w:snapToGrid w:val="0"/>
        <w:spacing w:line="360" w:lineRule="auto"/>
        <w:ind w:firstLine="420" w:firstLineChars="200"/>
        <w:rPr>
          <w:szCs w:val="21"/>
        </w:rPr>
      </w:pPr>
      <w:r>
        <w:rPr>
          <w:rFonts w:hint="eastAsia" w:ascii="宋体" w:hAnsi="宋体" w:cs="宋体"/>
          <w:szCs w:val="21"/>
          <w:lang w:bidi="ar"/>
        </w:rPr>
        <w:t>控制箱主要电气元器件须为</w:t>
      </w:r>
      <w:r>
        <w:rPr>
          <w:szCs w:val="21"/>
          <w:lang w:bidi="ar"/>
        </w:rPr>
        <w:t>AB</w:t>
      </w:r>
      <w:r>
        <w:rPr>
          <w:rFonts w:hint="eastAsia" w:ascii="宋体" w:hAnsi="宋体" w:cs="宋体"/>
          <w:szCs w:val="21"/>
          <w:lang w:bidi="ar"/>
        </w:rPr>
        <w:t>、</w:t>
      </w:r>
      <w:r>
        <w:rPr>
          <w:szCs w:val="21"/>
          <w:lang w:bidi="ar"/>
        </w:rPr>
        <w:t>ABB</w:t>
      </w:r>
      <w:r>
        <w:rPr>
          <w:rFonts w:hint="eastAsia" w:ascii="宋体" w:hAnsi="宋体" w:cs="宋体"/>
          <w:szCs w:val="21"/>
          <w:lang w:bidi="ar"/>
        </w:rPr>
        <w:t>、西门子、施耐德或同等品牌产品。箱内和面板上的元器件如开关、按钮、指示灯等要有注明用途的标签或标志牌，所有的端子排和接线应标注识别码，端子排要预留</w:t>
      </w:r>
      <w:r>
        <w:rPr>
          <w:szCs w:val="21"/>
          <w:lang w:bidi="ar"/>
        </w:rPr>
        <w:t>20%</w:t>
      </w:r>
      <w:r>
        <w:rPr>
          <w:rFonts w:hint="eastAsia" w:ascii="宋体" w:hAnsi="宋体" w:cs="宋体"/>
          <w:szCs w:val="21"/>
          <w:lang w:bidi="ar"/>
        </w:rPr>
        <w:t>的备用端子。</w:t>
      </w:r>
    </w:p>
    <w:p>
      <w:pPr>
        <w:pStyle w:val="6"/>
        <w:widowControl/>
        <w:numPr>
          <w:ilvl w:val="3"/>
          <w:numId w:val="4"/>
        </w:numPr>
        <w:spacing w:before="156"/>
        <w:rPr>
          <w:rFonts w:ascii="Arial" w:hAnsi="Arial" w:cs="Arial"/>
          <w:szCs w:val="21"/>
        </w:rPr>
      </w:pPr>
      <w:r>
        <w:rPr>
          <w:rFonts w:hint="eastAsia" w:ascii="宋体" w:hAnsi="宋体"/>
          <w:szCs w:val="21"/>
        </w:rPr>
        <w:t>供货范围</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整机供货：包括配水系统（进水渠配水孔管、反射挡板、导水裙板等）、排泥系统（液压穿孔排泥管、污泥控制阀、套筒阀、排泥管等）、出水堰、浮渣挡板及支撑架、电动撇渣管（含电动执行机构、与墙体固定的不锈钢挡板等附件）；</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）安装所需的螺母、紧固件、地脚螺栓及其他附配件，列明详细清单；</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）成套的现场控制箱及安装支架或支柱；</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）设备调试期间齿轮箱的润滑油（</w:t>
      </w:r>
      <w:r>
        <w:rPr>
          <w:rFonts w:hint="eastAsia" w:ascii="宋体" w:hAnsi="宋体" w:cs="宋体"/>
          <w:b/>
          <w:szCs w:val="21"/>
          <w:lang w:bidi="ar"/>
        </w:rPr>
        <w:t>保证设备在联动调试合格后齿轮箱最高油位的润滑油</w:t>
      </w:r>
      <w:r>
        <w:rPr>
          <w:rFonts w:hint="eastAsia" w:ascii="宋体" w:hAnsi="宋体" w:cs="宋体"/>
          <w:szCs w:val="21"/>
          <w:lang w:bidi="ar"/>
        </w:rPr>
        <w:t>）；</w:t>
      </w:r>
    </w:p>
    <w:p>
      <w:pPr>
        <w:snapToGrid w:val="0"/>
        <w:spacing w:line="360" w:lineRule="auto"/>
        <w:ind w:firstLine="420" w:firstLineChars="200"/>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）技术文件、设备、周边进水周边出水沉淀池图纸资料；</w:t>
      </w:r>
    </w:p>
    <w:p>
      <w:pPr>
        <w:autoSpaceDE w:val="0"/>
        <w:autoSpaceDN w:val="0"/>
        <w:adjustRightInd w:val="0"/>
        <w:spacing w:line="360" w:lineRule="auto"/>
        <w:ind w:firstLine="420" w:firstLineChars="200"/>
        <w:jc w:val="left"/>
        <w:rPr>
          <w:szCs w:val="21"/>
        </w:rPr>
      </w:pPr>
      <w:r>
        <w:rPr>
          <w:rFonts w:hint="eastAsia" w:ascii="宋体" w:hAnsi="宋体" w:cs="宋体"/>
          <w:szCs w:val="21"/>
          <w:lang w:bidi="ar"/>
        </w:rPr>
        <w:t>（</w:t>
      </w:r>
      <w:r>
        <w:rPr>
          <w:szCs w:val="21"/>
          <w:lang w:bidi="ar"/>
        </w:rPr>
        <w:t>6</w:t>
      </w:r>
      <w:r>
        <w:rPr>
          <w:rFonts w:hint="eastAsia" w:ascii="宋体" w:hAnsi="宋体" w:cs="宋体"/>
          <w:szCs w:val="21"/>
          <w:lang w:bidi="ar"/>
        </w:rPr>
        <w:t xml:space="preserve">）设备备品备件及专用工具。 </w:t>
      </w:r>
    </w:p>
    <w:p>
      <w:pPr>
        <w:pStyle w:val="4"/>
        <w:widowControl/>
        <w:numPr>
          <w:ilvl w:val="1"/>
          <w:numId w:val="4"/>
        </w:numPr>
        <w:rPr>
          <w:rFonts w:eastAsia="宋体"/>
          <w:szCs w:val="21"/>
        </w:rPr>
      </w:pPr>
      <w:bookmarkStart w:id="838" w:name="_Toc17477"/>
      <w:r>
        <w:rPr>
          <w:rFonts w:hint="eastAsia" w:ascii="宋体" w:hAnsi="宋体" w:eastAsia="宋体" w:cs="宋体"/>
          <w:szCs w:val="21"/>
        </w:rPr>
        <w:t>货物的交付</w:t>
      </w:r>
      <w:bookmarkEnd w:id="838"/>
    </w:p>
    <w:p>
      <w:pPr>
        <w:spacing w:line="360" w:lineRule="auto"/>
        <w:ind w:firstLine="422" w:firstLineChars="200"/>
        <w:rPr>
          <w:szCs w:val="21"/>
        </w:rPr>
      </w:pPr>
      <w:r>
        <w:rPr>
          <w:rFonts w:hint="eastAsia" w:ascii="宋体" w:hAnsi="宋体" w:cs="宋体"/>
          <w:b/>
          <w:bCs/>
          <w:szCs w:val="21"/>
          <w:lang w:bidi="ar"/>
        </w:rPr>
        <w:t>（</w:t>
      </w:r>
      <w:r>
        <w:rPr>
          <w:b/>
          <w:bCs/>
          <w:szCs w:val="21"/>
          <w:lang w:bidi="ar"/>
        </w:rPr>
        <w:t>1</w:t>
      </w:r>
      <w:r>
        <w:rPr>
          <w:rFonts w:hint="eastAsia" w:ascii="宋体" w:hAnsi="宋体" w:cs="宋体"/>
          <w:b/>
          <w:bCs/>
          <w:szCs w:val="21"/>
          <w:lang w:bidi="ar"/>
        </w:rPr>
        <w:t>）中标人应在招标人（或招标人委托的第三方）发出书面供货通知之日起</w:t>
      </w:r>
      <w:r>
        <w:rPr>
          <w:b/>
          <w:bCs/>
          <w:szCs w:val="21"/>
          <w:u w:val="single"/>
          <w:lang w:bidi="ar"/>
        </w:rPr>
        <w:t>75</w:t>
      </w:r>
      <w:r>
        <w:rPr>
          <w:rFonts w:hint="eastAsia" w:ascii="宋体" w:hAnsi="宋体" w:cs="宋体"/>
          <w:b/>
          <w:bCs/>
          <w:szCs w:val="21"/>
          <w:u w:val="single"/>
          <w:lang w:bidi="ar"/>
        </w:rPr>
        <w:t>日</w:t>
      </w:r>
      <w:r>
        <w:rPr>
          <w:rFonts w:hint="eastAsia" w:ascii="宋体" w:hAnsi="宋体" w:cs="宋体"/>
          <w:b/>
          <w:bCs/>
          <w:szCs w:val="21"/>
          <w:lang w:bidi="ar"/>
        </w:rPr>
        <w:t>内将所有货物运至交货地点，并按合同约定完成交接验收合格。中标人在交货前应提前</w:t>
      </w:r>
      <w:r>
        <w:rPr>
          <w:b/>
          <w:bCs/>
          <w:szCs w:val="21"/>
          <w:lang w:bidi="ar"/>
        </w:rPr>
        <w:t>7</w:t>
      </w:r>
      <w:r>
        <w:rPr>
          <w:rFonts w:hint="eastAsia" w:ascii="宋体" w:hAnsi="宋体" w:cs="宋体"/>
          <w:b/>
          <w:bCs/>
          <w:szCs w:val="21"/>
          <w:lang w:bidi="ar"/>
        </w:rPr>
        <w:t>日书面通知招标人，经招标人书面同意后方能送货。如有违反，由此造成的仓储与保管费用以及货物毁损灭失的风险由中标人全部承担</w:t>
      </w:r>
      <w:r>
        <w:rPr>
          <w:rFonts w:hint="eastAsia" w:ascii="宋体" w:hAnsi="宋体" w:cs="宋体"/>
          <w:szCs w:val="21"/>
          <w:lang w:bidi="ar"/>
        </w:rPr>
        <w:t>。</w:t>
      </w:r>
    </w:p>
    <w:p>
      <w:pPr>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中标人应自行将货物运至交货地点交货，由于使用第三方送货服务导致货物未能经过项目业主、招标人、中标人三方共同验收、未送到指定地点仓库的，项目业主或招标人有权拒绝收货。未经招标人同意，中标人或中标人委托的第三方送货服务仅将货物放置在门口</w:t>
      </w:r>
      <w:r>
        <w:rPr>
          <w:szCs w:val="21"/>
          <w:lang w:bidi="ar"/>
        </w:rPr>
        <w:t>/</w:t>
      </w:r>
      <w:r>
        <w:rPr>
          <w:rFonts w:hint="eastAsia" w:ascii="宋体" w:hAnsi="宋体" w:cs="宋体"/>
          <w:szCs w:val="21"/>
          <w:lang w:bidi="ar"/>
        </w:rPr>
        <w:t>门卫室，而没有送货至招标人指定的地点的，视为中标人未履行送货义务，招标人有权拒绝接受货物且项目业主不予支付货款。上述情况下项目业主和招标人不负保管责任，货物未按照招标人要求放置而造成的损毁、灭失风险概由中标人承担。项目业主或招标人根据整体项目进度的情况，有权提出对部分或全部货物提前或延迟交货，但应不迟于交货期限届满前</w:t>
      </w:r>
      <w:r>
        <w:rPr>
          <w:szCs w:val="21"/>
          <w:lang w:bidi="ar"/>
        </w:rPr>
        <w:t>7</w:t>
      </w:r>
      <w:r>
        <w:rPr>
          <w:rFonts w:hint="eastAsia" w:ascii="宋体" w:hAnsi="宋体" w:cs="宋体"/>
          <w:szCs w:val="21"/>
          <w:lang w:bidi="ar"/>
        </w:rPr>
        <w:t>日告知中标人，项目业主和招标人无需另行支付任何费用。</w:t>
      </w:r>
    </w:p>
    <w:p>
      <w:pPr>
        <w:spacing w:line="360" w:lineRule="auto"/>
        <w:ind w:firstLine="420" w:firstLineChars="200"/>
        <w:rPr>
          <w:rFonts w:ascii="宋体" w:hAnsi="宋体"/>
          <w:szCs w:val="21"/>
        </w:rPr>
      </w:pPr>
      <w:r>
        <w:rPr>
          <w:rFonts w:hint="eastAsia" w:ascii="宋体" w:hAnsi="宋体" w:cs="宋体"/>
          <w:szCs w:val="21"/>
          <w:lang w:bidi="ar"/>
        </w:rPr>
        <w:t>（</w:t>
      </w:r>
      <w:r>
        <w:rPr>
          <w:szCs w:val="21"/>
          <w:lang w:bidi="ar"/>
        </w:rPr>
        <w:t>3</w:t>
      </w:r>
      <w:r>
        <w:rPr>
          <w:rFonts w:hint="eastAsia" w:ascii="宋体" w:hAnsi="宋体" w:cs="宋体"/>
          <w:szCs w:val="21"/>
          <w:lang w:bidi="ar"/>
        </w:rPr>
        <w:t>）中标人有义务配合招标人整体项目进度，对整体项目提供协助及配合。</w:t>
      </w:r>
    </w:p>
    <w:p>
      <w:pPr>
        <w:spacing w:line="360" w:lineRule="auto"/>
        <w:ind w:firstLine="422" w:firstLineChars="200"/>
        <w:rPr>
          <w:rFonts w:ascii="宋体" w:hAnsi="宋体"/>
          <w:b/>
          <w:szCs w:val="21"/>
        </w:rPr>
      </w:pPr>
      <w:r>
        <w:rPr>
          <w:rFonts w:hint="eastAsia" w:ascii="宋体" w:hAnsi="宋体" w:cs="宋体"/>
          <w:b/>
          <w:szCs w:val="21"/>
          <w:lang w:bidi="ar"/>
        </w:rPr>
        <w:t>（4）交货地点：东莞市</w:t>
      </w:r>
      <w:r>
        <w:rPr>
          <w:rFonts w:hint="eastAsia" w:ascii="宋体" w:hAnsi="宋体" w:cs="宋体"/>
          <w:b/>
          <w:bCs/>
          <w:szCs w:val="21"/>
          <w:lang w:bidi="ar"/>
        </w:rPr>
        <w:t>沙田福禄沙</w:t>
      </w:r>
      <w:r>
        <w:rPr>
          <w:rFonts w:hint="eastAsia" w:ascii="宋体" w:hAnsi="宋体" w:cs="宋体"/>
          <w:b/>
          <w:szCs w:val="21"/>
          <w:lang w:bidi="ar"/>
        </w:rPr>
        <w:t>污水处理厂二期工程、东莞市</w:t>
      </w:r>
      <w:r>
        <w:rPr>
          <w:rFonts w:hint="eastAsia" w:ascii="宋体" w:hAnsi="宋体" w:cs="宋体"/>
          <w:b/>
          <w:bCs/>
          <w:szCs w:val="21"/>
          <w:lang w:bidi="ar"/>
        </w:rPr>
        <w:t>清溪厦坭</w:t>
      </w:r>
      <w:r>
        <w:rPr>
          <w:rFonts w:hint="eastAsia" w:ascii="宋体" w:hAnsi="宋体" w:cs="宋体"/>
          <w:b/>
          <w:szCs w:val="21"/>
          <w:lang w:bidi="ar"/>
        </w:rPr>
        <w:t>污水处理厂二期工程、东莞市</w:t>
      </w:r>
      <w:r>
        <w:rPr>
          <w:rFonts w:hint="eastAsia" w:ascii="宋体" w:hAnsi="宋体" w:cs="宋体"/>
          <w:b/>
          <w:bCs/>
          <w:szCs w:val="21"/>
          <w:lang w:bidi="ar"/>
        </w:rPr>
        <w:t>黄江梅塘南部</w:t>
      </w:r>
      <w:r>
        <w:rPr>
          <w:rFonts w:hint="eastAsia" w:ascii="宋体" w:hAnsi="宋体" w:cs="宋体"/>
          <w:b/>
          <w:szCs w:val="21"/>
          <w:lang w:bidi="ar"/>
        </w:rPr>
        <w:t>污水处理厂</w:t>
      </w:r>
      <w:r>
        <w:rPr>
          <w:rFonts w:hint="eastAsia" w:ascii="宋体" w:hAnsi="宋体" w:cs="宋体"/>
          <w:b/>
          <w:bCs/>
          <w:szCs w:val="21"/>
          <w:lang w:bidi="ar"/>
        </w:rPr>
        <w:t>一期工程、东莞市凤岗竹塘污水处理厂三</w:t>
      </w:r>
      <w:r>
        <w:rPr>
          <w:rFonts w:hint="eastAsia" w:ascii="宋体" w:hAnsi="宋体" w:cs="宋体"/>
          <w:b/>
          <w:szCs w:val="21"/>
          <w:lang w:bidi="ar"/>
        </w:rPr>
        <w:t>期工程工地现场招标人指定地点。</w:t>
      </w:r>
    </w:p>
    <w:p>
      <w:pPr>
        <w:spacing w:line="360" w:lineRule="auto"/>
        <w:ind w:firstLine="422" w:firstLineChars="200"/>
        <w:rPr>
          <w:rFonts w:ascii="宋体" w:hAnsi="宋体"/>
          <w:szCs w:val="21"/>
        </w:rPr>
      </w:pPr>
      <w:r>
        <w:rPr>
          <w:rFonts w:hint="eastAsia" w:ascii="宋体" w:hAnsi="宋体" w:cs="宋体"/>
          <w:b/>
          <w:szCs w:val="21"/>
          <w:lang w:bidi="ar"/>
        </w:rPr>
        <w:t>（5）</w:t>
      </w:r>
      <w:r>
        <w:rPr>
          <w:rFonts w:hint="eastAsia" w:ascii="宋体" w:hAnsi="宋体" w:cs="宋体"/>
          <w:szCs w:val="21"/>
          <w:lang w:bidi="ar"/>
        </w:rPr>
        <w:t>运输方式： 由中标人自行选择适当的运输方式，并承担相应费用。</w:t>
      </w:r>
    </w:p>
    <w:p>
      <w:pPr>
        <w:spacing w:line="360" w:lineRule="auto"/>
        <w:ind w:firstLine="422" w:firstLineChars="200"/>
        <w:rPr>
          <w:rFonts w:ascii="宋体" w:hAnsi="宋体"/>
          <w:szCs w:val="21"/>
        </w:rPr>
      </w:pPr>
      <w:r>
        <w:rPr>
          <w:rFonts w:hint="eastAsia" w:ascii="宋体" w:hAnsi="宋体" w:cs="宋体"/>
          <w:b/>
          <w:szCs w:val="21"/>
          <w:lang w:bidi="ar"/>
        </w:rPr>
        <w:t>（6）</w:t>
      </w:r>
      <w:r>
        <w:rPr>
          <w:rFonts w:hint="eastAsia" w:ascii="宋体" w:hAnsi="宋体" w:cs="宋体"/>
          <w:szCs w:val="21"/>
          <w:lang w:bidi="ar"/>
        </w:rPr>
        <w:t>在交货地点的卸货责任及费用，由中标人承担。</w:t>
      </w:r>
    </w:p>
    <w:p>
      <w:pPr>
        <w:pStyle w:val="4"/>
        <w:widowControl/>
        <w:numPr>
          <w:ilvl w:val="1"/>
          <w:numId w:val="4"/>
        </w:numPr>
        <w:rPr>
          <w:rFonts w:eastAsia="宋体"/>
          <w:szCs w:val="21"/>
        </w:rPr>
      </w:pPr>
      <w:bookmarkStart w:id="839" w:name="_Toc22956"/>
      <w:r>
        <w:rPr>
          <w:rFonts w:hint="eastAsia" w:ascii="宋体" w:hAnsi="宋体" w:eastAsia="宋体" w:cs="宋体"/>
          <w:szCs w:val="21"/>
        </w:rPr>
        <w:t>施工安全及其他要求</w:t>
      </w:r>
      <w:bookmarkEnd w:id="839"/>
    </w:p>
    <w:p>
      <w:pPr>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）施工设备、工器具：由中标人自行解决。</w:t>
      </w:r>
    </w:p>
    <w:p>
      <w:pPr>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施工中用水用电，项目业主或招标人只负责提供接入点，中标人自行负责电缆线、水管及相关附属件的敷设，同时需做好用水、用电安全防护措施并无条件接受项目业主监督。设备、设施施工的水、电费用由中标人承担。</w:t>
      </w:r>
    </w:p>
    <w:p>
      <w:pPr>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）施工安全：中标人做好施工的安全防护措施，施工过程中出现的安全事故由中标人自行承担。</w:t>
      </w:r>
    </w:p>
    <w:p>
      <w:pPr>
        <w:pStyle w:val="4"/>
        <w:widowControl/>
        <w:numPr>
          <w:ilvl w:val="1"/>
          <w:numId w:val="4"/>
        </w:numPr>
        <w:rPr>
          <w:rFonts w:eastAsia="宋体"/>
          <w:szCs w:val="21"/>
        </w:rPr>
      </w:pPr>
      <w:bookmarkStart w:id="840" w:name="_Toc1603"/>
      <w:r>
        <w:rPr>
          <w:rFonts w:hint="eastAsia" w:ascii="宋体" w:hAnsi="宋体" w:eastAsia="宋体" w:cs="宋体"/>
          <w:szCs w:val="21"/>
        </w:rPr>
        <w:t>安装、调试</w:t>
      </w:r>
      <w:bookmarkEnd w:id="840"/>
    </w:p>
    <w:p>
      <w:pPr>
        <w:spacing w:line="360" w:lineRule="auto"/>
        <w:ind w:firstLine="422" w:firstLineChars="200"/>
        <w:rPr>
          <w:szCs w:val="21"/>
        </w:rPr>
      </w:pPr>
      <w:r>
        <w:rPr>
          <w:rFonts w:hint="eastAsia" w:ascii="宋体" w:hAnsi="宋体" w:cs="宋体"/>
          <w:b/>
          <w:bCs/>
          <w:szCs w:val="21"/>
          <w:lang w:bidi="ar"/>
        </w:rPr>
        <w:t>（</w:t>
      </w:r>
      <w:r>
        <w:rPr>
          <w:b/>
          <w:bCs/>
          <w:szCs w:val="21"/>
          <w:lang w:bidi="ar"/>
        </w:rPr>
        <w:t>1</w:t>
      </w:r>
      <w:r>
        <w:rPr>
          <w:rFonts w:hint="eastAsia" w:ascii="宋体" w:hAnsi="宋体" w:cs="宋体"/>
          <w:b/>
          <w:bCs/>
          <w:szCs w:val="21"/>
          <w:lang w:bidi="ar"/>
        </w:rPr>
        <w:t>）中标人应于交货后派专业技术人员在招标人规定的时间内完成供货，并在交接验收合格后</w:t>
      </w:r>
      <w:r>
        <w:rPr>
          <w:b/>
          <w:bCs/>
          <w:szCs w:val="21"/>
          <w:u w:val="single"/>
          <w:lang w:bidi="ar"/>
        </w:rPr>
        <w:t xml:space="preserve"> 45 </w:t>
      </w:r>
      <w:r>
        <w:rPr>
          <w:rFonts w:hint="eastAsia" w:ascii="宋体" w:hAnsi="宋体" w:cs="宋体"/>
          <w:b/>
          <w:bCs/>
          <w:szCs w:val="21"/>
          <w:u w:val="single"/>
          <w:lang w:bidi="ar"/>
        </w:rPr>
        <w:t>日</w:t>
      </w:r>
      <w:r>
        <w:rPr>
          <w:rFonts w:hint="eastAsia" w:ascii="宋体" w:hAnsi="宋体" w:cs="宋体"/>
          <w:b/>
          <w:bCs/>
          <w:szCs w:val="21"/>
          <w:lang w:bidi="ar"/>
        </w:rPr>
        <w:t>内完成全部设备的安装，且经项目业主和招标人初步验收合格。中标人负责在招标人要求的时间内完成单机试运转、指导及配合联合试运转，以及性能考核的技术指导工作。</w:t>
      </w:r>
    </w:p>
    <w:p>
      <w:pPr>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在货物安装、调试过程中，中标人应遵守项目业主和招标人现场的管理规定，并遵守工程施工、安全生产、消防安全的有关管理规定，采取必要的安全防范措施，消除事故隐患，并随时接受招标人（或招标人委托的第三方）安全检查人员的监督检查。在中标人搬运、安装、调试、验收过程中所产生的安全责任（包括但不限于对协助人员、施工人员、第三方所造成的财物毁损、人员损伤、以及防火、防电、防盗责任等），中标人应承担全部赔偿及相关法律责任，与项目业主和招标人无关；如因此造成项目业主或招标人损失的，中标人应按项目业主或招标人实际损失款项的【</w:t>
      </w:r>
      <w:r>
        <w:rPr>
          <w:szCs w:val="21"/>
          <w:lang w:bidi="ar"/>
        </w:rPr>
        <w:t>2</w:t>
      </w:r>
      <w:r>
        <w:rPr>
          <w:rFonts w:hint="eastAsia" w:ascii="宋体" w:hAnsi="宋体" w:cs="宋体"/>
          <w:szCs w:val="21"/>
          <w:lang w:bidi="ar"/>
        </w:rPr>
        <w:t>】倍标准进行赔偿。</w:t>
      </w:r>
    </w:p>
    <w:p>
      <w:pPr>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中标人负责安装、调试，并及时解决安装、调试、试运行中出现的由中标人供货设备导致的问题，相关问题的解决时长以不影响工期为原则，否则将视为中标人逾期交货，且招标人有权追究中标人逾期交货的责任，即每逾期一日，中标人应按合同总价（含税）的</w:t>
      </w:r>
      <w:r>
        <w:rPr>
          <w:szCs w:val="21"/>
          <w:lang w:bidi="ar"/>
        </w:rPr>
        <w:t>5‰</w:t>
      </w:r>
      <w:r>
        <w:rPr>
          <w:rFonts w:hint="eastAsia" w:ascii="宋体" w:hAnsi="宋体" w:cs="宋体"/>
          <w:szCs w:val="21"/>
          <w:lang w:bidi="ar"/>
        </w:rPr>
        <w:t>向招标人支付违约金。中标人逾期超过</w:t>
      </w:r>
      <w:r>
        <w:rPr>
          <w:szCs w:val="21"/>
          <w:lang w:bidi="ar"/>
        </w:rPr>
        <w:t>30</w:t>
      </w:r>
      <w:r>
        <w:rPr>
          <w:rFonts w:hint="eastAsia" w:ascii="宋体" w:hAnsi="宋体" w:cs="宋体"/>
          <w:szCs w:val="21"/>
          <w:lang w:bidi="ar"/>
        </w:rPr>
        <w:t>日的，招标人可单方解除本合同，无论招标人是否解除本合同，中标人除支付前述逾期违约金外，还应按合同总价（含税）的</w:t>
      </w:r>
      <w:r>
        <w:rPr>
          <w:szCs w:val="21"/>
          <w:lang w:bidi="ar"/>
        </w:rPr>
        <w:t>5%</w:t>
      </w:r>
      <w:r>
        <w:rPr>
          <w:rFonts w:hint="eastAsia" w:ascii="宋体" w:hAnsi="宋体" w:cs="宋体"/>
          <w:szCs w:val="21"/>
          <w:lang w:bidi="ar"/>
        </w:rPr>
        <w:t>向招标人支付违约金。该部分金额不足以弥补项目业主和招标人损失的，招标人有权另行追偿。</w:t>
      </w:r>
    </w:p>
    <w:p>
      <w:pPr>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中标人现场施工需服从、配合施工总承包单位（由项目业主或招标人另行委托）的安全文明施工管理，并与施工总承包单位签订安全生产协议。由于中标人原因造成施工总承包单位或其他第三方参建单位人员伤亡、财物损失或者被监督部门行政处罚，中标人须承担相应赔偿责任。</w:t>
      </w:r>
    </w:p>
    <w:p>
      <w:pPr>
        <w:spacing w:line="360" w:lineRule="auto"/>
        <w:ind w:firstLine="420" w:firstLineChars="200"/>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）中标人应严格按照国家有关安全文明施工的标准与规范制定安全文明施工操作规程，配备必要的安全生产和劳动保护设施，加强对施工作业人员的施工安全教育培训，对他们的安全负责。</w:t>
      </w:r>
    </w:p>
    <w:p>
      <w:pPr>
        <w:spacing w:line="360" w:lineRule="auto"/>
        <w:ind w:firstLine="420" w:firstLineChars="200"/>
        <w:rPr>
          <w:szCs w:val="21"/>
        </w:rPr>
      </w:pPr>
      <w:r>
        <w:rPr>
          <w:rFonts w:hint="eastAsia" w:ascii="宋体" w:hAnsi="宋体" w:cs="宋体"/>
          <w:szCs w:val="21"/>
          <w:lang w:bidi="ar"/>
        </w:rPr>
        <w:t>（</w:t>
      </w:r>
      <w:r>
        <w:rPr>
          <w:szCs w:val="21"/>
          <w:lang w:bidi="ar"/>
        </w:rPr>
        <w:t>6</w:t>
      </w:r>
      <w:r>
        <w:rPr>
          <w:rFonts w:hint="eastAsia" w:ascii="宋体" w:hAnsi="宋体" w:cs="宋体"/>
          <w:szCs w:val="21"/>
          <w:lang w:bidi="ar"/>
        </w:rPr>
        <w:t>）中标人应对合同工程的安全文明施工负责，采取有效的安全措施消除安全事故隐患，并接受和配合依法实施的监督检查。</w:t>
      </w:r>
    </w:p>
    <w:p>
      <w:pPr>
        <w:spacing w:line="360" w:lineRule="auto"/>
        <w:ind w:firstLine="420" w:firstLineChars="200"/>
        <w:rPr>
          <w:szCs w:val="21"/>
        </w:rPr>
      </w:pPr>
      <w:r>
        <w:rPr>
          <w:rFonts w:hint="eastAsia" w:ascii="宋体" w:hAnsi="宋体" w:cs="宋体"/>
          <w:szCs w:val="21"/>
          <w:lang w:bidi="ar"/>
        </w:rPr>
        <w:t>（</w:t>
      </w:r>
      <w:r>
        <w:rPr>
          <w:szCs w:val="21"/>
          <w:lang w:bidi="ar"/>
        </w:rPr>
        <w:t>7</w:t>
      </w:r>
      <w:r>
        <w:rPr>
          <w:rFonts w:hint="eastAsia" w:ascii="宋体" w:hAnsi="宋体" w:cs="宋体"/>
          <w:szCs w:val="21"/>
          <w:lang w:bidi="ar"/>
        </w:rPr>
        <w:t>）中标人应遵守国家有关环境保护、卫生监督的法律法规，采取有效措施，保证施工场地达到环境保护、卫生部门的管理要求，为现场自有人员（含委派人员）提供并维护干净卫生的生活设施，保持施工场地的清洁整齐。</w:t>
      </w:r>
    </w:p>
    <w:p>
      <w:pPr>
        <w:spacing w:line="360" w:lineRule="auto"/>
        <w:ind w:firstLine="420" w:firstLineChars="200"/>
        <w:rPr>
          <w:szCs w:val="21"/>
        </w:rPr>
      </w:pPr>
      <w:r>
        <w:rPr>
          <w:rFonts w:hint="eastAsia" w:ascii="宋体" w:hAnsi="宋体" w:cs="宋体"/>
          <w:szCs w:val="21"/>
          <w:lang w:bidi="ar"/>
        </w:rPr>
        <w:t>（</w:t>
      </w:r>
      <w:r>
        <w:rPr>
          <w:szCs w:val="21"/>
          <w:lang w:bidi="ar"/>
        </w:rPr>
        <w:t>8</w:t>
      </w:r>
      <w:r>
        <w:rPr>
          <w:rFonts w:hint="eastAsia" w:ascii="宋体" w:hAnsi="宋体" w:cs="宋体"/>
          <w:szCs w:val="21"/>
          <w:lang w:bidi="ar"/>
        </w:rPr>
        <w:t>）为保证合同设备的性能、满足招标文件要求功能且长期、稳定、正常运行要求所需要的，除施工图纸设计的预留洞口、预埋件、回填外，需要另行发生的开（补）洞口、增加预埋件、填缝、回填材料、水管、电路接驳、安全装置等，均由中标人自行负责，其费用包括在投标价中。</w:t>
      </w:r>
    </w:p>
    <w:p>
      <w:pPr>
        <w:pStyle w:val="4"/>
        <w:widowControl/>
        <w:numPr>
          <w:ilvl w:val="1"/>
          <w:numId w:val="4"/>
        </w:numPr>
        <w:rPr>
          <w:rFonts w:eastAsia="宋体"/>
          <w:szCs w:val="21"/>
        </w:rPr>
      </w:pPr>
      <w:bookmarkStart w:id="841" w:name="_Toc17803"/>
      <w:r>
        <w:rPr>
          <w:rFonts w:hint="eastAsia" w:ascii="宋体" w:hAnsi="宋体" w:eastAsia="宋体" w:cs="宋体"/>
          <w:szCs w:val="21"/>
        </w:rPr>
        <w:t>验收要求</w:t>
      </w:r>
      <w:bookmarkEnd w:id="841"/>
    </w:p>
    <w:p>
      <w:pPr>
        <w:spacing w:line="360" w:lineRule="auto"/>
        <w:ind w:firstLine="424" w:firstLineChars="202"/>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）验收分为货到交货地点的交接验收，货物完成安装、单机试运转的初步验收，和联合试运转的最终验收，并符合《城镇污水处理厂工程质量验收规范》（</w:t>
      </w:r>
      <w:r>
        <w:rPr>
          <w:szCs w:val="21"/>
          <w:lang w:bidi="ar"/>
        </w:rPr>
        <w:t>GB50334-2017</w:t>
      </w:r>
      <w:r>
        <w:rPr>
          <w:rFonts w:hint="eastAsia" w:ascii="宋体" w:hAnsi="宋体" w:cs="宋体"/>
          <w:szCs w:val="21"/>
          <w:lang w:bidi="ar"/>
        </w:rPr>
        <w:t>）、《城乡排水工程项目规范》（</w:t>
      </w:r>
      <w:r>
        <w:rPr>
          <w:szCs w:val="21"/>
          <w:lang w:bidi="ar"/>
        </w:rPr>
        <w:t>GB55027-2022</w:t>
      </w:r>
      <w:r>
        <w:rPr>
          <w:rFonts w:hint="eastAsia" w:ascii="宋体" w:hAnsi="宋体" w:cs="宋体"/>
          <w:szCs w:val="21"/>
          <w:lang w:bidi="ar"/>
        </w:rPr>
        <w:t>）等</w:t>
      </w:r>
      <w:r>
        <w:rPr>
          <w:rFonts w:hint="eastAsia"/>
        </w:rPr>
        <w:t>规范</w:t>
      </w:r>
      <w:r>
        <w:rPr>
          <w:rFonts w:hint="eastAsia" w:ascii="宋体" w:hAnsi="宋体" w:cs="宋体"/>
          <w:szCs w:val="21"/>
          <w:lang w:bidi="ar"/>
        </w:rPr>
        <w:t>的规定。</w:t>
      </w:r>
    </w:p>
    <w:p>
      <w:pPr>
        <w:spacing w:line="360" w:lineRule="auto"/>
        <w:ind w:firstLine="424" w:firstLineChars="202"/>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）交接验收：</w:t>
      </w:r>
    </w:p>
    <w:p>
      <w:pPr>
        <w:spacing w:line="360" w:lineRule="auto"/>
        <w:ind w:firstLine="424" w:firstLineChars="202"/>
        <w:rPr>
          <w:szCs w:val="21"/>
        </w:rPr>
      </w:pPr>
      <w:r>
        <w:rPr>
          <w:szCs w:val="21"/>
          <w:lang w:bidi="ar"/>
        </w:rPr>
        <w:t>1</w:t>
      </w:r>
      <w:r>
        <w:rPr>
          <w:rFonts w:hint="eastAsia" w:ascii="宋体" w:hAnsi="宋体" w:cs="宋体"/>
          <w:szCs w:val="21"/>
          <w:lang w:bidi="ar"/>
        </w:rPr>
        <w:t xml:space="preserve">）货物运抵交货地点现场后 </w:t>
      </w:r>
      <w:r>
        <w:rPr>
          <w:szCs w:val="21"/>
          <w:lang w:bidi="ar"/>
        </w:rPr>
        <w:t xml:space="preserve">7 </w:t>
      </w:r>
      <w:r>
        <w:rPr>
          <w:rFonts w:hint="eastAsia" w:ascii="宋体" w:hAnsi="宋体" w:cs="宋体"/>
          <w:szCs w:val="21"/>
          <w:lang w:bidi="ar"/>
        </w:rPr>
        <w:t>日内，项目业主（或项目业主委托的第三方）、招标人（或招标人委托的第三方）、中标人代表共同开箱验货。招标人按照本合同及招标文件、投标文件、制造图纸、国家相关法律法规以及规范的要求等相关的规定，对货物的品种、品牌、产地、型号规格、数量、外观质量、资料等进行清点和检查，并根据清点和检查情况作详细的记录。</w:t>
      </w:r>
    </w:p>
    <w:p>
      <w:pPr>
        <w:spacing w:line="360" w:lineRule="auto"/>
        <w:ind w:firstLine="424" w:firstLineChars="202"/>
        <w:rPr>
          <w:szCs w:val="21"/>
        </w:rPr>
      </w:pPr>
      <w:r>
        <w:rPr>
          <w:szCs w:val="21"/>
          <w:lang w:bidi="ar"/>
        </w:rPr>
        <w:t>2</w:t>
      </w:r>
      <w:r>
        <w:rPr>
          <w:rFonts w:hint="eastAsia" w:ascii="宋体" w:hAnsi="宋体" w:cs="宋体"/>
          <w:szCs w:val="21"/>
          <w:lang w:bidi="ar"/>
        </w:rPr>
        <w:t>）若中标人所提供的设备或部件为国外制造，除提供技术资料外，还应提供原产地证书、报关资料及检验检疫证明、完税证明。</w:t>
      </w:r>
    </w:p>
    <w:p>
      <w:pPr>
        <w:spacing w:line="360" w:lineRule="auto"/>
        <w:ind w:firstLine="424" w:firstLineChars="202"/>
        <w:rPr>
          <w:szCs w:val="21"/>
        </w:rPr>
      </w:pPr>
      <w:r>
        <w:rPr>
          <w:szCs w:val="21"/>
          <w:lang w:bidi="ar"/>
        </w:rPr>
        <w:t>3</w:t>
      </w:r>
      <w:r>
        <w:rPr>
          <w:rFonts w:hint="eastAsia" w:ascii="宋体" w:hAnsi="宋体" w:cs="宋体"/>
          <w:szCs w:val="21"/>
          <w:lang w:bidi="ar"/>
        </w:rPr>
        <w:t>）如发现货物的品种、品牌、产地、型号规格、数量、外观质量、资料与合同约定或招标文件规定不符，或货物短缺、质次、损坏等问题，招标人应作详细纪录，项目业主或招标人有权拒绝收货，如项目业主和招标人同意收货的，中标人在招标人规定的时间内立即、无条件进行调换或补齐。由此产生的制造、修理和运费及保险费均应由中标人负担，与项目业主和招标人无关。以上调换、更换、补齐货物的时间包含在本合同约定的交货时间内。</w:t>
      </w:r>
    </w:p>
    <w:p>
      <w:pPr>
        <w:spacing w:line="360" w:lineRule="auto"/>
        <w:ind w:firstLine="424" w:firstLineChars="202"/>
        <w:rPr>
          <w:szCs w:val="21"/>
        </w:rPr>
      </w:pPr>
      <w:r>
        <w:rPr>
          <w:szCs w:val="21"/>
          <w:lang w:bidi="ar"/>
        </w:rPr>
        <w:t>4</w:t>
      </w:r>
      <w:r>
        <w:rPr>
          <w:rFonts w:hint="eastAsia" w:ascii="宋体" w:hAnsi="宋体" w:cs="宋体"/>
          <w:szCs w:val="21"/>
          <w:lang w:bidi="ar"/>
        </w:rPr>
        <w:t>）由于非项目业主或招标人原因而引起的设备或部件的修理或更换的时间，如不影响工程建设进度，则不视为逾期交货，否则将视为中标人逾期交货，且招标人有权追究中标人逾期交货的责任，即每逾期一日，中标人应按合同总价（含税）的</w:t>
      </w:r>
      <w:r>
        <w:rPr>
          <w:szCs w:val="21"/>
          <w:lang w:bidi="ar"/>
        </w:rPr>
        <w:t>5‰</w:t>
      </w:r>
      <w:r>
        <w:rPr>
          <w:rFonts w:hint="eastAsia" w:ascii="宋体" w:hAnsi="宋体" w:cs="宋体"/>
          <w:szCs w:val="21"/>
          <w:lang w:bidi="ar"/>
        </w:rPr>
        <w:t>向招标人支付违约金。中标人逾期超过</w:t>
      </w:r>
      <w:r>
        <w:rPr>
          <w:szCs w:val="21"/>
          <w:lang w:bidi="ar"/>
        </w:rPr>
        <w:t>30</w:t>
      </w:r>
      <w:r>
        <w:rPr>
          <w:rFonts w:hint="eastAsia" w:ascii="宋体" w:hAnsi="宋体" w:cs="宋体"/>
          <w:szCs w:val="21"/>
          <w:lang w:bidi="ar"/>
        </w:rPr>
        <w:t>日的，招标人可单方解除本合同，无论招标人是否解除本合同，中标人除支付前述逾期违约金外，还应按合同总价（含税）的</w:t>
      </w:r>
      <w:r>
        <w:rPr>
          <w:szCs w:val="21"/>
          <w:lang w:bidi="ar"/>
        </w:rPr>
        <w:t>5%</w:t>
      </w:r>
      <w:r>
        <w:rPr>
          <w:rFonts w:hint="eastAsia" w:ascii="宋体" w:hAnsi="宋体" w:cs="宋体"/>
          <w:szCs w:val="21"/>
          <w:lang w:bidi="ar"/>
        </w:rPr>
        <w:t>向招标人支付赔偿金。该部分金额不足以弥补项目业主和招标人损失的，招标人还有权另行追偿。</w:t>
      </w:r>
    </w:p>
    <w:p>
      <w:pPr>
        <w:spacing w:line="360" w:lineRule="auto"/>
        <w:ind w:firstLine="424" w:firstLineChars="202"/>
        <w:rPr>
          <w:szCs w:val="21"/>
        </w:rPr>
      </w:pPr>
      <w:r>
        <w:rPr>
          <w:szCs w:val="21"/>
          <w:lang w:bidi="ar"/>
        </w:rPr>
        <w:t>5</w:t>
      </w:r>
      <w:r>
        <w:rPr>
          <w:rFonts w:hint="eastAsia" w:ascii="宋体" w:hAnsi="宋体" w:cs="宋体"/>
          <w:szCs w:val="21"/>
          <w:lang w:bidi="ar"/>
        </w:rPr>
        <w:t>）交接验收合格后，招标人出具相关签收手续。</w:t>
      </w:r>
    </w:p>
    <w:p>
      <w:pPr>
        <w:spacing w:line="360" w:lineRule="auto"/>
        <w:ind w:firstLine="424" w:firstLineChars="202"/>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）初步验收：</w:t>
      </w:r>
    </w:p>
    <w:p>
      <w:pPr>
        <w:spacing w:line="360" w:lineRule="auto"/>
        <w:ind w:firstLine="424" w:firstLineChars="202"/>
        <w:rPr>
          <w:szCs w:val="21"/>
        </w:rPr>
      </w:pPr>
      <w:r>
        <w:rPr>
          <w:szCs w:val="21"/>
          <w:lang w:bidi="ar"/>
        </w:rPr>
        <w:t>1</w:t>
      </w:r>
      <w:r>
        <w:rPr>
          <w:rFonts w:hint="eastAsia" w:ascii="宋体" w:hAnsi="宋体" w:cs="宋体"/>
          <w:szCs w:val="21"/>
          <w:lang w:bidi="ar"/>
        </w:rPr>
        <w:t>）合同下货物在完成安装、单机试运转、性能测试合格后，项目业主（或项目业主委托的第三方）、招标人（或招标人委托的第三方）、中标人一起对设备的完整性，安装与设计图纸符合性和合理性、单机试运转的测试结果进行初步检验。</w:t>
      </w:r>
    </w:p>
    <w:p>
      <w:pPr>
        <w:spacing w:line="360" w:lineRule="auto"/>
        <w:ind w:firstLine="424" w:firstLineChars="202"/>
        <w:rPr>
          <w:szCs w:val="21"/>
        </w:rPr>
      </w:pPr>
      <w:r>
        <w:rPr>
          <w:szCs w:val="21"/>
          <w:lang w:bidi="ar"/>
        </w:rPr>
        <w:t>2</w:t>
      </w:r>
      <w:r>
        <w:rPr>
          <w:rFonts w:hint="eastAsia" w:ascii="宋体" w:hAnsi="宋体" w:cs="宋体"/>
          <w:szCs w:val="21"/>
          <w:lang w:bidi="ar"/>
        </w:rPr>
        <w:t xml:space="preserve">）中标人在货物安装、单机试运转过程中，应做好详细的检验、测试记录和试验结果，检验结果应符合本合同及招标文件、投标文件、制造图纸、国家相关法律法规以及规范的规定标准。（当多个标准不一致时，以最高标准作为验收标准）。 </w:t>
      </w:r>
    </w:p>
    <w:p>
      <w:pPr>
        <w:spacing w:line="360" w:lineRule="auto"/>
        <w:ind w:firstLine="424" w:firstLineChars="202"/>
        <w:rPr>
          <w:szCs w:val="21"/>
        </w:rPr>
      </w:pPr>
      <w:r>
        <w:rPr>
          <w:szCs w:val="21"/>
          <w:lang w:bidi="ar"/>
        </w:rPr>
        <w:t>3</w:t>
      </w:r>
      <w:r>
        <w:rPr>
          <w:rFonts w:hint="eastAsia" w:ascii="宋体" w:hAnsi="宋体" w:cs="宋体"/>
          <w:szCs w:val="21"/>
          <w:lang w:bidi="ar"/>
        </w:rPr>
        <w:t>）达到验收标准，项目业主、招标人、中标人三方及相关单位共同签署初步验收记录。中标人同时提供单机试运转报告、测试报告等资料。</w:t>
      </w:r>
      <w:r>
        <w:rPr>
          <w:szCs w:val="21"/>
          <w:lang w:bidi="ar"/>
        </w:rPr>
        <w:t xml:space="preserve"> </w:t>
      </w:r>
    </w:p>
    <w:p>
      <w:pPr>
        <w:spacing w:line="360" w:lineRule="auto"/>
        <w:ind w:firstLine="424" w:firstLineChars="202"/>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）最终验收：</w:t>
      </w:r>
    </w:p>
    <w:p>
      <w:pPr>
        <w:spacing w:line="360" w:lineRule="auto"/>
        <w:ind w:firstLine="424" w:firstLineChars="202"/>
        <w:rPr>
          <w:szCs w:val="21"/>
        </w:rPr>
      </w:pPr>
      <w:r>
        <w:rPr>
          <w:szCs w:val="21"/>
          <w:lang w:bidi="ar"/>
        </w:rPr>
        <w:t>1</w:t>
      </w:r>
      <w:r>
        <w:rPr>
          <w:rFonts w:hint="eastAsia" w:ascii="宋体" w:hAnsi="宋体" w:cs="宋体"/>
          <w:szCs w:val="21"/>
          <w:lang w:bidi="ar"/>
        </w:rPr>
        <w:t>）当污水处理厂的土建及配套工程、全部工艺设备等完成安装，具备通水条件后，进行联合试运转。联合试运转验收以全厂连续</w:t>
      </w:r>
      <w:r>
        <w:rPr>
          <w:szCs w:val="21"/>
          <w:lang w:bidi="ar"/>
        </w:rPr>
        <w:t>48</w:t>
      </w:r>
      <w:r>
        <w:rPr>
          <w:rFonts w:hint="eastAsia" w:ascii="宋体" w:hAnsi="宋体" w:cs="宋体"/>
          <w:szCs w:val="21"/>
          <w:lang w:bidi="ar"/>
        </w:rPr>
        <w:t>小时出水水质</w:t>
      </w:r>
      <w:r>
        <w:rPr>
          <w:szCs w:val="21"/>
          <w:lang w:bidi="ar"/>
        </w:rPr>
        <w:t>100%</w:t>
      </w:r>
      <w:r>
        <w:rPr>
          <w:rFonts w:hint="eastAsia" w:ascii="宋体" w:hAnsi="宋体" w:cs="宋体"/>
          <w:szCs w:val="21"/>
          <w:lang w:bidi="ar"/>
        </w:rPr>
        <w:t>达到国家有关出水水质标准为合格标准。</w:t>
      </w:r>
    </w:p>
    <w:p>
      <w:pPr>
        <w:spacing w:line="360" w:lineRule="auto"/>
        <w:ind w:firstLine="424" w:firstLineChars="202"/>
        <w:rPr>
          <w:szCs w:val="21"/>
        </w:rPr>
      </w:pPr>
      <w:r>
        <w:rPr>
          <w:szCs w:val="21"/>
          <w:lang w:bidi="ar"/>
        </w:rPr>
        <w:t>2</w:t>
      </w:r>
      <w:r>
        <w:rPr>
          <w:rFonts w:hint="eastAsia" w:ascii="宋体" w:hAnsi="宋体" w:cs="宋体"/>
          <w:szCs w:val="21"/>
          <w:lang w:bidi="ar"/>
        </w:rPr>
        <w:t>）货物按上述程序验收合格的，中标人移交完所有资料文档后，招标人向中标人出具书面的验收合格报告。</w:t>
      </w:r>
    </w:p>
    <w:p>
      <w:pPr>
        <w:spacing w:line="360" w:lineRule="auto"/>
        <w:ind w:firstLine="424" w:firstLineChars="202"/>
        <w:rPr>
          <w:szCs w:val="21"/>
        </w:rPr>
      </w:pPr>
      <w:r>
        <w:rPr>
          <w:szCs w:val="21"/>
          <w:lang w:bidi="ar"/>
        </w:rPr>
        <w:t>3</w:t>
      </w:r>
      <w:r>
        <w:rPr>
          <w:rFonts w:hint="eastAsia" w:ascii="宋体" w:hAnsi="宋体" w:cs="宋体"/>
          <w:szCs w:val="21"/>
          <w:lang w:bidi="ar"/>
        </w:rPr>
        <w:t>）当中标人取得招标人出具的联合试运转书面验收合格报告，或因非中标人原因导致本合同项下货物不能进行最终验收的，自合同下全部货物初步验收合格满</w:t>
      </w:r>
      <w:r>
        <w:rPr>
          <w:szCs w:val="21"/>
          <w:lang w:bidi="ar"/>
        </w:rPr>
        <w:t>9</w:t>
      </w:r>
      <w:r>
        <w:rPr>
          <w:rFonts w:hint="eastAsia" w:ascii="宋体" w:hAnsi="宋体" w:cs="宋体"/>
          <w:szCs w:val="21"/>
          <w:lang w:bidi="ar"/>
        </w:rPr>
        <w:t>个月后（以先到期为准）视为最终验收合格。</w:t>
      </w:r>
    </w:p>
    <w:p>
      <w:pPr>
        <w:spacing w:line="360" w:lineRule="auto"/>
        <w:ind w:firstLine="424" w:firstLineChars="202"/>
        <w:rPr>
          <w:szCs w:val="21"/>
        </w:rPr>
      </w:pPr>
      <w:r>
        <w:rPr>
          <w:szCs w:val="21"/>
          <w:lang w:bidi="ar"/>
        </w:rPr>
        <w:t>4</w:t>
      </w:r>
      <w:r>
        <w:rPr>
          <w:rFonts w:hint="eastAsia" w:ascii="宋体" w:hAnsi="宋体" w:cs="宋体"/>
          <w:szCs w:val="21"/>
          <w:lang w:bidi="ar"/>
        </w:rPr>
        <w:t>）项目业主和招标人在进行任何一次验收时发现货物不符合相关要求的，可拒绝收货或要求中标人承担免费更换或退货责任，中标人应将该等产品在</w:t>
      </w:r>
      <w:r>
        <w:rPr>
          <w:szCs w:val="21"/>
          <w:lang w:bidi="ar"/>
        </w:rPr>
        <w:t>3</w:t>
      </w:r>
      <w:r>
        <w:rPr>
          <w:rFonts w:hint="eastAsia" w:ascii="宋体" w:hAnsi="宋体" w:cs="宋体"/>
          <w:szCs w:val="21"/>
          <w:lang w:bidi="ar"/>
        </w:rPr>
        <w:t>日内自行拆除及运回，项目业主和招标人不承担因验收造成的产品损耗且不对产品承担保管责任，因此产生的一切费用及风险由中标人承担。</w:t>
      </w:r>
    </w:p>
    <w:p>
      <w:pPr>
        <w:spacing w:line="360" w:lineRule="auto"/>
        <w:ind w:firstLine="424" w:firstLineChars="202"/>
        <w:rPr>
          <w:szCs w:val="21"/>
        </w:rPr>
      </w:pPr>
      <w:r>
        <w:rPr>
          <w:szCs w:val="21"/>
          <w:lang w:bidi="ar"/>
        </w:rPr>
        <w:t>5</w:t>
      </w:r>
      <w:r>
        <w:rPr>
          <w:rFonts w:hint="eastAsia" w:ascii="宋体" w:hAnsi="宋体" w:cs="宋体"/>
          <w:szCs w:val="21"/>
          <w:lang w:bidi="ar"/>
        </w:rPr>
        <w:t>）项目业主和招标人根据本条规定对货物所做出的验收，仅作为起算付款及质保期之用，不视为双方对于货物质量的最终认可，中标人仍应在质保期内对产品质量承担保证责任。</w:t>
      </w:r>
    </w:p>
    <w:p>
      <w:pPr>
        <w:spacing w:line="360" w:lineRule="auto"/>
        <w:ind w:firstLine="424" w:firstLineChars="202"/>
        <w:rPr>
          <w:szCs w:val="21"/>
        </w:rPr>
      </w:pPr>
      <w:r>
        <w:rPr>
          <w:szCs w:val="21"/>
          <w:lang w:bidi="ar"/>
        </w:rPr>
        <w:t>6</w:t>
      </w:r>
      <w:r>
        <w:rPr>
          <w:rFonts w:hint="eastAsia" w:ascii="宋体" w:hAnsi="宋体" w:cs="宋体"/>
          <w:szCs w:val="21"/>
          <w:lang w:bidi="ar"/>
        </w:rPr>
        <w:t>）货物在最终验收合格前，其损耗、毁损、灭失等风险及责任由中标人承担，如因发生前述情形，导致中标人所供应的货物不能通过项目业主和招标人验收的，中标人应按项目业主和招标人要求予以免费更换或退货。</w:t>
      </w:r>
    </w:p>
    <w:p>
      <w:pPr>
        <w:spacing w:line="360" w:lineRule="auto"/>
        <w:ind w:firstLine="424" w:firstLineChars="202"/>
        <w:rPr>
          <w:szCs w:val="21"/>
        </w:rPr>
      </w:pPr>
      <w:r>
        <w:rPr>
          <w:szCs w:val="21"/>
          <w:lang w:bidi="ar"/>
        </w:rPr>
        <w:t>7</w:t>
      </w:r>
      <w:r>
        <w:rPr>
          <w:rFonts w:hint="eastAsia" w:ascii="宋体" w:hAnsi="宋体" w:cs="宋体"/>
          <w:szCs w:val="21"/>
          <w:lang w:bidi="ar"/>
        </w:rPr>
        <w:t>）验收过程中，如对检验记录不能取得一致意见时，可委托工程所在地具有资质的权威的第三方检验机构联合进行检验。检验结果具有约束力，检验费用由责任方负担。</w:t>
      </w:r>
    </w:p>
    <w:p>
      <w:pPr>
        <w:pStyle w:val="4"/>
        <w:widowControl/>
        <w:numPr>
          <w:ilvl w:val="1"/>
          <w:numId w:val="4"/>
        </w:numPr>
        <w:rPr>
          <w:rFonts w:eastAsia="宋体"/>
          <w:szCs w:val="21"/>
        </w:rPr>
      </w:pPr>
      <w:bookmarkStart w:id="842" w:name="_Toc22080"/>
      <w:r>
        <w:rPr>
          <w:rFonts w:hint="eastAsia" w:ascii="宋体" w:hAnsi="宋体" w:eastAsia="宋体" w:cs="宋体"/>
          <w:szCs w:val="21"/>
        </w:rPr>
        <w:t>质保及售后要求</w:t>
      </w:r>
      <w:bookmarkEnd w:id="842"/>
    </w:p>
    <w:p>
      <w:pPr>
        <w:spacing w:line="360" w:lineRule="auto"/>
        <w:ind w:firstLine="424" w:firstLineChars="202"/>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中标人应以书面形式提供货物原厂家的质量保障承诺，该等承诺不应低于本合同约定的标准。当由制造商直接负责售后服务时，不免除中标人对货物的质量及售后服务责任，中标人与制造商就货物质量及售后服务向项目业主和招标人承担连带责任。</w:t>
      </w:r>
      <w:r>
        <w:rPr>
          <w:szCs w:val="21"/>
          <w:lang w:bidi="ar"/>
        </w:rPr>
        <w:t xml:space="preserve"> </w:t>
      </w:r>
    </w:p>
    <w:p>
      <w:pPr>
        <w:spacing w:line="360" w:lineRule="auto"/>
        <w:ind w:firstLine="426" w:firstLineChars="202"/>
        <w:rPr>
          <w:b/>
          <w:bCs/>
          <w:szCs w:val="21"/>
        </w:rPr>
      </w:pPr>
      <w:r>
        <w:rPr>
          <w:rFonts w:hint="eastAsia" w:ascii="宋体" w:hAnsi="宋体" w:cs="宋体"/>
          <w:b/>
          <w:bCs/>
          <w:szCs w:val="21"/>
          <w:lang w:bidi="ar"/>
        </w:rPr>
        <w:t>（</w:t>
      </w:r>
      <w:r>
        <w:rPr>
          <w:b/>
          <w:bCs/>
          <w:szCs w:val="21"/>
          <w:lang w:bidi="ar"/>
        </w:rPr>
        <w:t>2</w:t>
      </w:r>
      <w:r>
        <w:rPr>
          <w:rFonts w:hint="eastAsia" w:ascii="宋体" w:hAnsi="宋体" w:cs="宋体"/>
          <w:b/>
          <w:bCs/>
          <w:szCs w:val="21"/>
          <w:lang w:bidi="ar"/>
        </w:rPr>
        <w:t>）本合同项下货物的质保期为至少</w:t>
      </w:r>
      <w:r>
        <w:rPr>
          <w:b/>
          <w:bCs/>
          <w:szCs w:val="21"/>
          <w:lang w:bidi="ar"/>
        </w:rPr>
        <w:t>24</w:t>
      </w:r>
      <w:r>
        <w:rPr>
          <w:rFonts w:hint="eastAsia" w:ascii="宋体" w:hAnsi="宋体" w:cs="宋体"/>
          <w:b/>
          <w:bCs/>
          <w:szCs w:val="21"/>
          <w:lang w:bidi="ar"/>
        </w:rPr>
        <w:t>个月，质保期自</w:t>
      </w:r>
      <w:r>
        <w:rPr>
          <w:rFonts w:hint="eastAsia" w:ascii="宋体" w:hAnsi="宋体" w:cs="宋体"/>
          <w:b/>
          <w:szCs w:val="21"/>
          <w:lang w:bidi="ar"/>
        </w:rPr>
        <w:t>单个项目所有设备</w:t>
      </w:r>
      <w:r>
        <w:rPr>
          <w:rFonts w:hint="eastAsia" w:ascii="宋体" w:hAnsi="宋体" w:cs="宋体"/>
          <w:b/>
          <w:bCs/>
          <w:szCs w:val="21"/>
          <w:lang w:bidi="ar"/>
        </w:rPr>
        <w:t>全部货物最终验收合格之日起计算（以设备整体验收报告日期为准）。质保期内，中标人对所投设备供货、安装质量进行免费保修，免费保修包括但不限于由中标人承担完成质保期的工作而产生的运费、购置费、测试费、人工费等各项费用。</w:t>
      </w:r>
    </w:p>
    <w:p>
      <w:pPr>
        <w:spacing w:line="360" w:lineRule="auto"/>
        <w:ind w:firstLine="424" w:firstLineChars="202"/>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质保期内中标人应提供免费上门维修、保养及其他售后服务，对设备出现的不符合合同要求的或有瑕疵之处提供免费维修或更换配件服务，经维修、更换配件后的设备质保期从维修或更换并经项目业主和招标人验收合格后重新计算。</w:t>
      </w:r>
    </w:p>
    <w:p>
      <w:pPr>
        <w:spacing w:line="360" w:lineRule="auto"/>
        <w:ind w:firstLine="424" w:firstLineChars="202"/>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）在质保期内中标人应负责设备的保养，并实施每年至少两次（至少半年为一周期）的整体检查，并在每次检查后【</w:t>
      </w:r>
      <w:r>
        <w:rPr>
          <w:szCs w:val="21"/>
          <w:lang w:bidi="ar"/>
        </w:rPr>
        <w:t>15</w:t>
      </w:r>
      <w:r>
        <w:rPr>
          <w:rFonts w:hint="eastAsia" w:ascii="宋体" w:hAnsi="宋体" w:cs="宋体"/>
          <w:szCs w:val="21"/>
          <w:lang w:bidi="ar"/>
        </w:rPr>
        <w:t>】日内向招标人和项目业主提供书面的检查报告。质保期间如在正常操作情况下，任何机件因设计不当、材质缺陷或制造欠佳等因素而发生故障，中标人应在接到报修通知后</w:t>
      </w:r>
      <w:r>
        <w:rPr>
          <w:szCs w:val="21"/>
          <w:lang w:bidi="ar"/>
        </w:rPr>
        <w:t>4</w:t>
      </w:r>
      <w:r>
        <w:rPr>
          <w:rFonts w:hint="eastAsia" w:ascii="宋体" w:hAnsi="宋体" w:cs="宋体"/>
          <w:szCs w:val="21"/>
          <w:lang w:bidi="ar"/>
        </w:rPr>
        <w:t>小时内予以响应，</w:t>
      </w:r>
      <w:r>
        <w:rPr>
          <w:szCs w:val="21"/>
          <w:lang w:bidi="ar"/>
        </w:rPr>
        <w:t>24</w:t>
      </w:r>
      <w:r>
        <w:rPr>
          <w:rFonts w:hint="eastAsia" w:ascii="宋体" w:hAnsi="宋体" w:cs="宋体"/>
          <w:szCs w:val="21"/>
          <w:lang w:bidi="ar"/>
        </w:rPr>
        <w:t>小时内到场修复故障，</w:t>
      </w:r>
      <w:r>
        <w:rPr>
          <w:szCs w:val="21"/>
          <w:lang w:bidi="ar"/>
        </w:rPr>
        <w:t>24</w:t>
      </w:r>
      <w:r>
        <w:rPr>
          <w:rFonts w:hint="eastAsia" w:ascii="宋体" w:hAnsi="宋体" w:cs="宋体"/>
          <w:szCs w:val="21"/>
          <w:lang w:bidi="ar"/>
        </w:rPr>
        <w:t>小时内不能维修的，应提供替代设备供项目业主临时使用。如中标人未在规定的期限内修复，招标人有权采取必要措施如另行委托第三方对设备进行维护，由此产生的风险和费用由中标人承担，且项目业主有权从质保金中直接予以扣除或招标人有权从质量保函中提取质保金予以支付维护、修复等费用，质保金不足以支付的，不足部分由中标人承担，如造成其他损失的，中标人还应承担赔偿责任。</w:t>
      </w:r>
    </w:p>
    <w:p>
      <w:pPr>
        <w:spacing w:line="360" w:lineRule="auto"/>
        <w:ind w:firstLine="424" w:firstLineChars="202"/>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在质保期内，项目业主和招标人有权拒绝使用带有缺陷的或与合同要求不符的设备或零件，这些设备或零件由中标人负责免费修好或更换，项目业主和招标人不负担所增加费用。项目业主或招标人如发现产品的质量、规格、性能、数量等与本招标文件规定不符，或发现产品无论由于任何原因存在隐藏缺陷、瑕疵、工艺问题或使用不良的材料的，或产品出现质量问题的，中标人应根据项目业主和招标人指示承担免费更换或退货责任。</w:t>
      </w:r>
    </w:p>
    <w:p>
      <w:pPr>
        <w:spacing w:line="360" w:lineRule="auto"/>
        <w:ind w:firstLine="424" w:firstLineChars="202"/>
        <w:rPr>
          <w:szCs w:val="21"/>
        </w:rPr>
      </w:pPr>
      <w:r>
        <w:rPr>
          <w:rFonts w:hint="eastAsia" w:ascii="宋体" w:hAnsi="宋体" w:cs="宋体"/>
          <w:szCs w:val="21"/>
          <w:lang w:bidi="ar"/>
        </w:rPr>
        <w:t>（</w:t>
      </w:r>
      <w:r>
        <w:rPr>
          <w:szCs w:val="21"/>
          <w:lang w:bidi="ar"/>
        </w:rPr>
        <w:t>6</w:t>
      </w:r>
      <w:r>
        <w:rPr>
          <w:rFonts w:hint="eastAsia" w:ascii="宋体" w:hAnsi="宋体" w:cs="宋体"/>
          <w:szCs w:val="21"/>
          <w:lang w:bidi="ar"/>
        </w:rPr>
        <w:t>）在质保期内，如设备出现故障（</w:t>
      </w:r>
      <w:r>
        <w:rPr>
          <w:szCs w:val="21"/>
          <w:lang w:bidi="ar"/>
        </w:rPr>
        <w:t>7</w:t>
      </w:r>
      <w:r>
        <w:rPr>
          <w:rFonts w:hint="eastAsia" w:ascii="宋体" w:hAnsi="宋体" w:cs="宋体"/>
          <w:szCs w:val="21"/>
          <w:lang w:bidi="ar"/>
        </w:rPr>
        <w:t>日内）无法修复，或一个故障累计出现超过两次（含两次），或货物累计经三次维修后仍无法正常运行的，中标人应无条件根据项目业主和招标人要求承担免费更换或退货责任，由此产生的费用由中标人承担，包括但不限于运输费用、搬运费用、采购费用等全部费用。</w:t>
      </w:r>
    </w:p>
    <w:p>
      <w:pPr>
        <w:spacing w:line="360" w:lineRule="auto"/>
        <w:ind w:firstLine="424" w:firstLineChars="202"/>
        <w:rPr>
          <w:szCs w:val="21"/>
        </w:rPr>
      </w:pPr>
      <w:r>
        <w:rPr>
          <w:rFonts w:hint="eastAsia" w:ascii="宋体" w:hAnsi="宋体" w:cs="宋体"/>
          <w:szCs w:val="21"/>
          <w:lang w:bidi="ar"/>
        </w:rPr>
        <w:t>（</w:t>
      </w:r>
      <w:r>
        <w:rPr>
          <w:szCs w:val="21"/>
          <w:lang w:bidi="ar"/>
        </w:rPr>
        <w:t>7</w:t>
      </w:r>
      <w:r>
        <w:rPr>
          <w:rFonts w:hint="eastAsia" w:ascii="宋体" w:hAnsi="宋体" w:cs="宋体"/>
          <w:szCs w:val="21"/>
          <w:lang w:bidi="ar"/>
        </w:rPr>
        <w:t>）质保期内全部服务费（含更换零部件，达到招标文件及合同约定条件的更换货物或退货）和维修费用及中标人技术服务人员的一切费用由中标人全部自理，项目业主和招标人保留索赔在质保期内设备缺陷导致的损失的权利。质保期满后的维修，中标人同意只收取合理的零件成本费用。</w:t>
      </w:r>
    </w:p>
    <w:p>
      <w:pPr>
        <w:spacing w:line="360" w:lineRule="auto"/>
        <w:ind w:firstLine="424" w:firstLineChars="202"/>
        <w:rPr>
          <w:szCs w:val="21"/>
        </w:rPr>
      </w:pPr>
      <w:r>
        <w:rPr>
          <w:rFonts w:hint="eastAsia" w:ascii="宋体" w:hAnsi="宋体" w:cs="宋体"/>
          <w:szCs w:val="21"/>
          <w:lang w:bidi="ar"/>
        </w:rPr>
        <w:t>（</w:t>
      </w:r>
      <w:r>
        <w:rPr>
          <w:szCs w:val="21"/>
          <w:lang w:bidi="ar"/>
        </w:rPr>
        <w:t>8</w:t>
      </w:r>
      <w:r>
        <w:rPr>
          <w:rFonts w:hint="eastAsia" w:ascii="宋体" w:hAnsi="宋体" w:cs="宋体"/>
          <w:szCs w:val="21"/>
          <w:lang w:bidi="ar"/>
        </w:rPr>
        <w:t>）中标人应建立质量跟踪档案，对项目业主和招标人进行每月一次的定期回访（电话或现场），以保证货物的正常运行。</w:t>
      </w:r>
    </w:p>
    <w:p>
      <w:pPr>
        <w:spacing w:line="360" w:lineRule="auto"/>
        <w:ind w:firstLine="424" w:firstLineChars="202"/>
        <w:rPr>
          <w:szCs w:val="21"/>
        </w:rPr>
      </w:pPr>
      <w:r>
        <w:rPr>
          <w:rFonts w:hint="eastAsia" w:ascii="宋体" w:hAnsi="宋体" w:cs="宋体"/>
          <w:szCs w:val="21"/>
          <w:lang w:bidi="ar"/>
        </w:rPr>
        <w:t>（</w:t>
      </w:r>
      <w:r>
        <w:rPr>
          <w:szCs w:val="21"/>
          <w:lang w:bidi="ar"/>
        </w:rPr>
        <w:t>9</w:t>
      </w:r>
      <w:r>
        <w:rPr>
          <w:rFonts w:hint="eastAsia" w:ascii="宋体" w:hAnsi="宋体" w:cs="宋体"/>
          <w:szCs w:val="21"/>
          <w:lang w:bidi="ar"/>
        </w:rPr>
        <w:t>）中标人未按上述要求提供售后服务的，项目业主或招标人有权要求其他第三方提供相关服务，因此产生的费用（包括但不限于合同所约定的总价款、项目业主或招标人为维护自身权益所支付的律师费、诉讼费、鉴定费、差旅费等）全部由中标人承担。</w:t>
      </w:r>
    </w:p>
    <w:p>
      <w:pPr>
        <w:spacing w:line="360" w:lineRule="auto"/>
        <w:ind w:firstLine="424" w:firstLineChars="202"/>
        <w:rPr>
          <w:szCs w:val="21"/>
        </w:rPr>
      </w:pPr>
      <w:r>
        <w:rPr>
          <w:rFonts w:hint="eastAsia" w:ascii="宋体" w:hAnsi="宋体" w:cs="宋体"/>
          <w:szCs w:val="21"/>
          <w:lang w:bidi="ar"/>
        </w:rPr>
        <w:t>（</w:t>
      </w:r>
      <w:r>
        <w:rPr>
          <w:szCs w:val="21"/>
          <w:lang w:bidi="ar"/>
        </w:rPr>
        <w:t>10</w:t>
      </w:r>
      <w:r>
        <w:rPr>
          <w:rFonts w:hint="eastAsia" w:ascii="宋体" w:hAnsi="宋体" w:cs="宋体"/>
          <w:szCs w:val="21"/>
          <w:lang w:bidi="ar"/>
        </w:rPr>
        <w:t>）中标人需提供</w:t>
      </w:r>
      <w:r>
        <w:rPr>
          <w:szCs w:val="21"/>
          <w:lang w:bidi="ar"/>
        </w:rPr>
        <w:t>“</w:t>
      </w:r>
      <w:r>
        <w:rPr>
          <w:rFonts w:hint="eastAsia" w:ascii="宋体" w:hAnsi="宋体" w:cs="宋体"/>
          <w:szCs w:val="21"/>
          <w:lang w:bidi="ar"/>
        </w:rPr>
        <w:t>设备故障率控制方式</w:t>
      </w:r>
      <w:r>
        <w:rPr>
          <w:szCs w:val="21"/>
          <w:lang w:bidi="ar"/>
        </w:rPr>
        <w:t>”</w:t>
      </w:r>
      <w:r>
        <w:rPr>
          <w:rFonts w:hint="eastAsia" w:ascii="宋体" w:hAnsi="宋体" w:cs="宋体"/>
          <w:szCs w:val="21"/>
          <w:lang w:bidi="ar"/>
        </w:rPr>
        <w:t>的运维说明书，指导项目业主对设备的运维管理，尽可能减少设备的故障率。</w:t>
      </w:r>
    </w:p>
    <w:p>
      <w:pPr>
        <w:pStyle w:val="4"/>
        <w:widowControl/>
        <w:numPr>
          <w:ilvl w:val="1"/>
          <w:numId w:val="4"/>
        </w:numPr>
        <w:rPr>
          <w:rFonts w:eastAsia="宋体"/>
          <w:szCs w:val="21"/>
        </w:rPr>
      </w:pPr>
      <w:bookmarkStart w:id="843" w:name="_Toc8041"/>
      <w:r>
        <w:rPr>
          <w:rFonts w:hint="eastAsia" w:ascii="宋体" w:hAnsi="宋体" w:eastAsia="宋体" w:cs="宋体"/>
          <w:szCs w:val="21"/>
        </w:rPr>
        <w:t>价款要求</w:t>
      </w:r>
      <w:bookmarkEnd w:id="843"/>
    </w:p>
    <w:p>
      <w:pPr>
        <w:spacing w:line="360" w:lineRule="auto"/>
        <w:ind w:firstLine="420" w:firstLineChars="200"/>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）本项目的报价为包干价（不含税价），未经项目业主书面确认，中标人无权另行收取其它任何费用。</w:t>
      </w:r>
    </w:p>
    <w:p>
      <w:pPr>
        <w:spacing w:line="360" w:lineRule="auto"/>
        <w:ind w:firstLine="420" w:firstLineChars="200"/>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）中标人已根据本合同相关约定向招标人提供了履约担保，且本合同已生效方可办理相关付款手续；</w:t>
      </w:r>
    </w:p>
    <w:p>
      <w:pPr>
        <w:spacing w:line="360" w:lineRule="auto"/>
        <w:ind w:firstLine="420" w:firstLineChars="200"/>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）如需支付预付款，中标人向招标人提供等额预付款银行保函，中标人提交请款资料经招标人确认无误后十五个工作日内，项目业主向中标人支付本合同价的</w:t>
      </w:r>
      <w:r>
        <w:rPr>
          <w:szCs w:val="21"/>
          <w:lang w:bidi="ar"/>
        </w:rPr>
        <w:t>30%</w:t>
      </w:r>
      <w:r>
        <w:rPr>
          <w:rFonts w:hint="eastAsia" w:ascii="宋体" w:hAnsi="宋体" w:cs="宋体"/>
          <w:szCs w:val="21"/>
          <w:lang w:bidi="ar"/>
        </w:rPr>
        <w:t>及对应税额作为预付款；如果提交的是国内非东莞市的银行支行及以上的银行机构出具的预付款银行保函，要附上当地公证机构的公证书；如果提交是国外银行出具的预付款银行保函，则要同时提供中国银行东莞市分行的相关证明；</w:t>
      </w:r>
    </w:p>
    <w:p>
      <w:pPr>
        <w:spacing w:line="360" w:lineRule="auto"/>
        <w:ind w:firstLine="420" w:firstLineChars="200"/>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）本合同单个项目全部货物到达现场并交接验收合格，中标人分别向单个项目提交的请款资料经招标人确认无误后十五个工作日内，</w:t>
      </w:r>
      <w:r>
        <w:rPr>
          <w:rFonts w:hint="eastAsia"/>
        </w:rPr>
        <w:t>项目业主</w:t>
      </w:r>
      <w:r>
        <w:t>向</w:t>
      </w:r>
      <w:r>
        <w:rPr>
          <w:rFonts w:hint="eastAsia"/>
        </w:rPr>
        <w:t>中标人</w:t>
      </w:r>
      <w:r>
        <w:rPr>
          <w:rFonts w:hint="eastAsia" w:ascii="宋体" w:hAnsi="宋体" w:cs="宋体"/>
          <w:szCs w:val="21"/>
          <w:lang w:bidi="ar"/>
        </w:rPr>
        <w:t>支付至单个项目合同价的</w:t>
      </w:r>
      <w:r>
        <w:rPr>
          <w:szCs w:val="21"/>
          <w:lang w:bidi="ar"/>
        </w:rPr>
        <w:t>70%</w:t>
      </w:r>
      <w:r>
        <w:rPr>
          <w:rFonts w:hint="eastAsia" w:ascii="宋体" w:hAnsi="宋体" w:cs="宋体"/>
          <w:szCs w:val="21"/>
          <w:lang w:bidi="ar"/>
        </w:rPr>
        <w:t>及对应税额</w:t>
      </w:r>
      <w:r>
        <w:rPr>
          <w:szCs w:val="21"/>
          <w:lang w:bidi="ar"/>
        </w:rPr>
        <w:t>(</w:t>
      </w:r>
      <w:r>
        <w:rPr>
          <w:rFonts w:hint="eastAsia" w:ascii="宋体" w:hAnsi="宋体" w:cs="宋体"/>
          <w:szCs w:val="21"/>
          <w:lang w:bidi="ar"/>
        </w:rPr>
        <w:t>包含已支付的预付款</w:t>
      </w:r>
      <w:r>
        <w:rPr>
          <w:szCs w:val="21"/>
          <w:lang w:bidi="ar"/>
        </w:rPr>
        <w:t>)</w:t>
      </w:r>
      <w:r>
        <w:rPr>
          <w:rFonts w:hint="eastAsia" w:ascii="宋体" w:hAnsi="宋体" w:cs="宋体"/>
          <w:szCs w:val="21"/>
          <w:lang w:bidi="ar"/>
        </w:rPr>
        <w:t>；</w:t>
      </w:r>
    </w:p>
    <w:p>
      <w:pPr>
        <w:spacing w:line="360" w:lineRule="auto"/>
        <w:ind w:firstLine="420" w:firstLineChars="200"/>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）剩余货款，</w:t>
      </w:r>
      <w:r>
        <w:rPr>
          <w:rFonts w:hint="eastAsia"/>
          <w:szCs w:val="21"/>
        </w:rPr>
        <w:t>项目业主</w:t>
      </w:r>
      <w:r>
        <w:rPr>
          <w:rFonts w:hint="eastAsia" w:ascii="宋体" w:hAnsi="宋体" w:cs="宋体"/>
          <w:szCs w:val="21"/>
          <w:lang w:bidi="ar"/>
        </w:rPr>
        <w:t>以下列方式</w:t>
      </w:r>
      <w:r>
        <w:rPr>
          <w:rFonts w:hint="eastAsia" w:ascii="宋体" w:hAnsi="宋体" w:cs="宋体"/>
          <w:szCs w:val="21"/>
          <w:u w:val="single"/>
          <w:lang w:bidi="ar"/>
        </w:rPr>
        <w:t xml:space="preserve">    </w:t>
      </w:r>
      <w:r>
        <w:rPr>
          <w:rFonts w:hint="eastAsia" w:ascii="宋体" w:hAnsi="宋体" w:cs="宋体"/>
          <w:szCs w:val="21"/>
          <w:lang w:bidi="ar"/>
        </w:rPr>
        <w:t>向中标人支付：</w:t>
      </w:r>
    </w:p>
    <w:p>
      <w:pPr>
        <w:spacing w:line="360" w:lineRule="auto"/>
        <w:ind w:firstLine="420" w:firstLineChars="200"/>
        <w:rPr>
          <w:szCs w:val="21"/>
        </w:rPr>
      </w:pPr>
      <w:r>
        <w:rPr>
          <w:rFonts w:hint="eastAsia" w:ascii="宋体" w:hAnsi="宋体" w:cs="宋体"/>
          <w:szCs w:val="21"/>
          <w:lang w:bidi="ar"/>
        </w:rPr>
        <w:t>方式一：单个项目货物最终验收合格后，中标人按合同要求提交符合现行工程验收规范的竣工资料及按招标人要求的结算资料清单要求提交结算资料，在项目结算完成后，提交单个项目的请款资料经招标人确认无误后十五个工作日内，</w:t>
      </w:r>
      <w:r>
        <w:rPr>
          <w:rFonts w:hint="eastAsia"/>
        </w:rPr>
        <w:t>项目业主</w:t>
      </w:r>
      <w:r>
        <w:t>向</w:t>
      </w:r>
      <w:r>
        <w:rPr>
          <w:rFonts w:hint="eastAsia"/>
        </w:rPr>
        <w:t>中标人</w:t>
      </w:r>
      <w:r>
        <w:rPr>
          <w:rFonts w:hint="eastAsia" w:ascii="宋体" w:hAnsi="宋体" w:cs="宋体"/>
          <w:szCs w:val="21"/>
          <w:lang w:bidi="ar"/>
        </w:rPr>
        <w:t>支付至单个项目合同结算价（含税）的</w:t>
      </w:r>
      <w:r>
        <w:rPr>
          <w:szCs w:val="21"/>
          <w:lang w:bidi="ar"/>
        </w:rPr>
        <w:t>97%</w:t>
      </w:r>
      <w:r>
        <w:rPr>
          <w:rFonts w:hint="eastAsia" w:ascii="宋体" w:hAnsi="宋体" w:cs="宋体"/>
          <w:szCs w:val="21"/>
          <w:lang w:bidi="ar"/>
        </w:rPr>
        <w:t>；剩余单个项目合同结算价（含税）的</w:t>
      </w:r>
      <w:r>
        <w:rPr>
          <w:szCs w:val="21"/>
          <w:lang w:bidi="ar"/>
        </w:rPr>
        <w:t>3%</w:t>
      </w:r>
      <w:r>
        <w:rPr>
          <w:rFonts w:hint="eastAsia" w:ascii="宋体" w:hAnsi="宋体" w:cs="宋体"/>
          <w:szCs w:val="21"/>
          <w:lang w:bidi="ar"/>
        </w:rPr>
        <w:t>在质保期届满后根据中标人提供货物质量情况及中标人履行质保期义务的情况，由招标人、中标人双方进行结算，且在中标人提交请款资料经招标人确认无误后十五个工作日内，</w:t>
      </w:r>
      <w:r>
        <w:rPr>
          <w:rFonts w:hint="eastAsia"/>
          <w:szCs w:val="21"/>
        </w:rPr>
        <w:t>项目业主</w:t>
      </w:r>
      <w:r>
        <w:rPr>
          <w:rFonts w:hint="eastAsia" w:ascii="宋体" w:hAnsi="宋体" w:cs="宋体"/>
          <w:szCs w:val="21"/>
          <w:lang w:bidi="ar"/>
        </w:rPr>
        <w:t>向中标人支付剩余货款。</w:t>
      </w:r>
    </w:p>
    <w:p>
      <w:pPr>
        <w:spacing w:line="360" w:lineRule="auto"/>
        <w:ind w:firstLine="420" w:firstLineChars="200"/>
        <w:rPr>
          <w:szCs w:val="21"/>
        </w:rPr>
      </w:pPr>
      <w:r>
        <w:rPr>
          <w:rFonts w:hint="eastAsia" w:ascii="宋体" w:hAnsi="宋体" w:cs="宋体"/>
          <w:szCs w:val="21"/>
          <w:lang w:bidi="ar"/>
        </w:rPr>
        <w:t>方式二：单个项目货物最终验收合格，中标人按合同要求提交符合现行工程验收规范的竣工资料及按招标人要求的结算资料清单要求提交结算资料，在项目结算完成后，提交单个项目的请款资料和招标人认可接收的银行出具的质量保函（保函金额为单个项目合同结算价（含税）的</w:t>
      </w:r>
      <w:r>
        <w:rPr>
          <w:szCs w:val="21"/>
          <w:lang w:bidi="ar"/>
        </w:rPr>
        <w:t>3%</w:t>
      </w:r>
      <w:r>
        <w:rPr>
          <w:rFonts w:hint="eastAsia" w:ascii="宋体" w:hAnsi="宋体" w:cs="宋体"/>
          <w:szCs w:val="21"/>
          <w:lang w:bidi="ar"/>
        </w:rPr>
        <w:t>，保函有效期自全部货物最终验收合格之日起至少</w:t>
      </w:r>
      <w:r>
        <w:rPr>
          <w:szCs w:val="21"/>
          <w:lang w:bidi="ar"/>
        </w:rPr>
        <w:t>24</w:t>
      </w:r>
      <w:r>
        <w:rPr>
          <w:rFonts w:hint="eastAsia" w:ascii="宋体" w:hAnsi="宋体" w:cs="宋体"/>
          <w:szCs w:val="21"/>
          <w:lang w:bidi="ar"/>
        </w:rPr>
        <w:t>个月）</w:t>
      </w:r>
      <w:r>
        <w:rPr>
          <w:rFonts w:hint="eastAsia" w:ascii="宋体" w:hAnsi="宋体"/>
          <w:szCs w:val="21"/>
        </w:rPr>
        <w:t>（注：保函有效期与中标人承诺的质保期时间保持一致），</w:t>
      </w:r>
      <w:r>
        <w:rPr>
          <w:rFonts w:hint="eastAsia" w:ascii="宋体" w:hAnsi="宋体" w:cs="宋体"/>
          <w:szCs w:val="21"/>
          <w:lang w:bidi="ar"/>
        </w:rPr>
        <w:t>并经招标人确认无误后十五个工作日内，</w:t>
      </w:r>
      <w:r>
        <w:rPr>
          <w:rFonts w:hint="eastAsia"/>
          <w:szCs w:val="21"/>
        </w:rPr>
        <w:t>项目业主</w:t>
      </w:r>
      <w:r>
        <w:rPr>
          <w:rFonts w:hint="eastAsia" w:ascii="宋体" w:hAnsi="宋体" w:cs="宋体"/>
          <w:szCs w:val="21"/>
          <w:lang w:bidi="ar"/>
        </w:rPr>
        <w:t>向中标人支付剩余货款。如果中标人提交国内非东莞市银行支行及以上银行机构出具的质量保函，需附上当地公证机构的公证书。（</w:t>
      </w:r>
      <w:r>
        <w:rPr>
          <w:szCs w:val="21"/>
          <w:lang w:bidi="ar"/>
        </w:rPr>
        <w:t>6</w:t>
      </w:r>
      <w:r>
        <w:rPr>
          <w:rFonts w:hint="eastAsia" w:ascii="宋体" w:hAnsi="宋体" w:cs="宋体"/>
          <w:szCs w:val="21"/>
          <w:lang w:bidi="ar"/>
        </w:rPr>
        <w:t>）中标人收取每笔款项前，在提交请款资料的同时一并提供发票抬头为项目业主的等额合法有效的增值税专用发票；请款资料及发票的金额应当由招标人、中标人双方确认，若因招标人未确认请款金额而中标人自行开具请款资料及发票的，中标人应按照招标人要求重新开具，由此导致的中标人迟延提供发票或提供的发票不合格的责任由中标人自行承担，项目业主的付款时间可相应顺延，且不视为违约。因支付产生的相关银行手续费用，根据有关银行规定执行，如不能明确的，由项目业主、中标人双方各承担</w:t>
      </w:r>
      <w:r>
        <w:rPr>
          <w:szCs w:val="21"/>
          <w:lang w:bidi="ar"/>
        </w:rPr>
        <w:t>50%</w:t>
      </w:r>
      <w:r>
        <w:rPr>
          <w:rFonts w:hint="eastAsia" w:ascii="宋体" w:hAnsi="宋体" w:cs="宋体"/>
          <w:szCs w:val="21"/>
          <w:lang w:bidi="ar"/>
        </w:rPr>
        <w:t>。由于中标人提供的发票不符合税法规定，给项目业主造成的损失由中标人承担赔偿责任。</w:t>
      </w:r>
    </w:p>
    <w:p>
      <w:pPr>
        <w:spacing w:line="360" w:lineRule="auto"/>
        <w:ind w:firstLine="420" w:firstLineChars="200"/>
        <w:rPr>
          <w:szCs w:val="21"/>
        </w:rPr>
      </w:pPr>
      <w:r>
        <w:rPr>
          <w:rFonts w:hint="eastAsia" w:ascii="宋体" w:hAnsi="宋体" w:cs="宋体"/>
          <w:szCs w:val="21"/>
          <w:lang w:bidi="ar"/>
        </w:rPr>
        <w:t>（</w:t>
      </w:r>
      <w:r>
        <w:rPr>
          <w:szCs w:val="21"/>
          <w:lang w:bidi="ar"/>
        </w:rPr>
        <w:t>7</w:t>
      </w:r>
      <w:r>
        <w:rPr>
          <w:rFonts w:hint="eastAsia" w:ascii="宋体" w:hAnsi="宋体" w:cs="宋体"/>
          <w:szCs w:val="21"/>
          <w:lang w:bidi="ar"/>
        </w:rPr>
        <w:t>）合同在履约过程中，中标人根据本合同约定需向招标人支付违约金、赔偿金、其他应付费用等款项的，招标人有权要求中标人向招标人支付完前述款项后，项目业主才根据本合同向中标人支付合同价和税额，由此造成逾期付款的，项目业主、招标人不构成违约；或者，招标人有权从履约担保中扣除前述款项，且中标人必须按照扣除前述款项前的合同价（销售额）开具增值税专用发票，保证增值税税额符合法律规定。</w:t>
      </w:r>
    </w:p>
    <w:p>
      <w:pPr>
        <w:spacing w:line="360" w:lineRule="auto"/>
        <w:ind w:firstLine="422" w:firstLineChars="200"/>
      </w:pPr>
      <w:r>
        <w:rPr>
          <w:rFonts w:hint="eastAsia" w:ascii="宋体" w:hAnsi="宋体" w:cs="宋体"/>
          <w:b/>
          <w:bCs/>
          <w:szCs w:val="21"/>
          <w:lang w:bidi="ar"/>
        </w:rPr>
        <w:t>（</w:t>
      </w:r>
      <w:r>
        <w:rPr>
          <w:b/>
          <w:bCs/>
          <w:szCs w:val="21"/>
          <w:lang w:bidi="ar"/>
        </w:rPr>
        <w:t>8</w:t>
      </w:r>
      <w:r>
        <w:rPr>
          <w:rFonts w:hint="eastAsia" w:ascii="宋体" w:hAnsi="宋体" w:cs="宋体"/>
          <w:b/>
          <w:bCs/>
          <w:szCs w:val="21"/>
          <w:lang w:bidi="ar"/>
        </w:rPr>
        <w:t>）项目业主每次付款前，需经过招标人委托的第三方造价公司及招标人内部流程审核。中标人确认对项目业主付款前需经过招标人委托的第三方造价公司及招标人内部流程审核已知悉，并保证不因招标人履行前述审核事项而向招标人、项目业主主张任何违约责任。</w:t>
      </w:r>
      <w:r>
        <w:rPr>
          <w:rFonts w:hint="eastAsia"/>
          <w:b/>
          <w:bCs/>
        </w:rPr>
        <w:t>因</w:t>
      </w:r>
      <w:r>
        <w:rPr>
          <w:rFonts w:hint="eastAsia" w:ascii="宋体" w:hAnsi="宋体"/>
          <w:b/>
          <w:bCs/>
          <w:szCs w:val="21"/>
        </w:rPr>
        <w:t>中标人</w:t>
      </w:r>
      <w:r>
        <w:rPr>
          <w:rFonts w:hint="eastAsia"/>
          <w:b/>
          <w:bCs/>
        </w:rPr>
        <w:t>付款申请文件或资料不全、不正确、不及时等引起的付款延误，由</w:t>
      </w:r>
      <w:r>
        <w:rPr>
          <w:rFonts w:hint="eastAsia" w:ascii="宋体" w:hAnsi="宋体"/>
          <w:b/>
          <w:bCs/>
          <w:szCs w:val="21"/>
        </w:rPr>
        <w:t>中标人</w:t>
      </w:r>
      <w:r>
        <w:rPr>
          <w:rFonts w:hint="eastAsia"/>
          <w:b/>
          <w:bCs/>
        </w:rPr>
        <w:t>承担责任，并不得影响任何工程进展及货品质量。</w:t>
      </w:r>
    </w:p>
    <w:p>
      <w:pPr>
        <w:rPr>
          <w:szCs w:val="21"/>
        </w:rPr>
        <w:sectPr>
          <w:pgSz w:w="11906" w:h="16838"/>
          <w:pgMar w:top="1440" w:right="1800" w:bottom="1440" w:left="1800" w:header="851" w:footer="992" w:gutter="0"/>
          <w:cols w:space="425" w:num="1"/>
          <w:titlePg/>
          <w:docGrid w:type="lines" w:linePitch="312" w:charSpace="0"/>
        </w:sectPr>
      </w:pPr>
    </w:p>
    <w:p>
      <w:pPr>
        <w:pStyle w:val="3"/>
        <w:widowControl/>
        <w:numPr>
          <w:ilvl w:val="0"/>
          <w:numId w:val="4"/>
        </w:numPr>
        <w:spacing w:after="156"/>
        <w:rPr>
          <w:rFonts w:eastAsia="宋体"/>
          <w:szCs w:val="21"/>
        </w:rPr>
      </w:pPr>
      <w:bookmarkStart w:id="844" w:name="_Toc23874"/>
      <w:r>
        <w:rPr>
          <w:rFonts w:hint="eastAsia" w:ascii="宋体" w:hAnsi="宋体" w:eastAsia="宋体" w:cs="宋体"/>
          <w:szCs w:val="21"/>
        </w:rPr>
        <w:t>资料要求及招标设计图纸目录</w:t>
      </w:r>
      <w:bookmarkEnd w:id="844"/>
    </w:p>
    <w:p>
      <w:pPr>
        <w:pStyle w:val="4"/>
        <w:widowControl/>
        <w:numPr>
          <w:ilvl w:val="1"/>
          <w:numId w:val="4"/>
        </w:numPr>
        <w:rPr>
          <w:rFonts w:eastAsia="宋体"/>
          <w:szCs w:val="21"/>
        </w:rPr>
      </w:pPr>
      <w:bookmarkStart w:id="845" w:name="_Toc30248"/>
      <w:r>
        <w:rPr>
          <w:rFonts w:hint="eastAsia" w:ascii="宋体" w:hAnsi="宋体" w:eastAsia="宋体" w:cs="宋体"/>
          <w:szCs w:val="21"/>
        </w:rPr>
        <w:t>投标人提交技术资料的总体要求：</w:t>
      </w:r>
      <w:bookmarkEnd w:id="845"/>
    </w:p>
    <w:p>
      <w:pPr>
        <w:pStyle w:val="27"/>
        <w:adjustRightInd w:val="0"/>
        <w:snapToGrid w:val="0"/>
        <w:spacing w:before="0" w:beforeAutospacing="0" w:after="0" w:afterAutospacing="0" w:line="360" w:lineRule="auto"/>
        <w:ind w:firstLine="371" w:firstLineChars="177"/>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1</w:t>
      </w:r>
      <w:r>
        <w:rPr>
          <w:rFonts w:hint="eastAsia" w:cs="宋体"/>
          <w:sz w:val="21"/>
          <w:szCs w:val="21"/>
          <w:lang w:bidi="ar"/>
        </w:rPr>
        <w:t>）投标人提供的所有技术文件及相关书面资料将作为合同的必要组成部分与合同一起生效执行。</w:t>
      </w:r>
    </w:p>
    <w:p>
      <w:pPr>
        <w:pStyle w:val="27"/>
        <w:adjustRightInd w:val="0"/>
        <w:snapToGrid w:val="0"/>
        <w:spacing w:before="0" w:beforeAutospacing="0" w:after="0" w:afterAutospacing="0" w:line="360" w:lineRule="auto"/>
        <w:ind w:firstLine="371" w:firstLineChars="177"/>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2</w:t>
      </w:r>
      <w:r>
        <w:rPr>
          <w:rFonts w:hint="eastAsia" w:cs="宋体"/>
          <w:sz w:val="21"/>
          <w:szCs w:val="21"/>
          <w:lang w:bidi="ar"/>
        </w:rPr>
        <w:t>）投标人提供的技术文件应是完整的、清晰易读的、容易阅读并且无错误。</w:t>
      </w:r>
    </w:p>
    <w:p>
      <w:pPr>
        <w:pStyle w:val="27"/>
        <w:adjustRightInd w:val="0"/>
        <w:snapToGrid w:val="0"/>
        <w:spacing w:before="0" w:beforeAutospacing="0" w:after="0" w:afterAutospacing="0" w:line="360" w:lineRule="auto"/>
        <w:ind w:firstLine="371" w:firstLineChars="177"/>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3</w:t>
      </w:r>
      <w:r>
        <w:rPr>
          <w:rFonts w:hint="eastAsia" w:cs="宋体"/>
          <w:sz w:val="21"/>
          <w:szCs w:val="21"/>
          <w:lang w:bidi="ar"/>
        </w:rPr>
        <w:t>）投标人提交的技术响应文件均用简体中文编写，所有尺寸单位应是国际单位</w:t>
      </w:r>
      <w:r>
        <w:rPr>
          <w:rFonts w:ascii="Times New Roman" w:hAnsi="Times New Roman"/>
          <w:sz w:val="21"/>
          <w:szCs w:val="21"/>
          <w:lang w:bidi="ar"/>
        </w:rPr>
        <w:t>(SI)</w:t>
      </w:r>
      <w:r>
        <w:rPr>
          <w:rFonts w:hint="eastAsia" w:cs="宋体"/>
          <w:sz w:val="21"/>
          <w:szCs w:val="21"/>
          <w:lang w:bidi="ar"/>
        </w:rPr>
        <w:t>制。</w:t>
      </w:r>
    </w:p>
    <w:p>
      <w:pPr>
        <w:pStyle w:val="27"/>
        <w:adjustRightInd w:val="0"/>
        <w:snapToGrid w:val="0"/>
        <w:spacing w:before="0" w:beforeAutospacing="0" w:after="0" w:afterAutospacing="0" w:line="360" w:lineRule="auto"/>
        <w:ind w:firstLine="371" w:firstLineChars="177"/>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4</w:t>
      </w:r>
      <w:r>
        <w:rPr>
          <w:rFonts w:hint="eastAsia" w:cs="宋体"/>
          <w:sz w:val="21"/>
          <w:szCs w:val="21"/>
          <w:lang w:bidi="ar"/>
        </w:rPr>
        <w:t>）进口设备除提交英文技术文件外必须同时提供简体中文对应译本，并以中文译本为准。</w:t>
      </w:r>
    </w:p>
    <w:p>
      <w:pPr>
        <w:pStyle w:val="27"/>
        <w:adjustRightInd w:val="0"/>
        <w:snapToGrid w:val="0"/>
        <w:spacing w:before="0" w:beforeAutospacing="0" w:after="0" w:afterAutospacing="0" w:line="360" w:lineRule="auto"/>
        <w:ind w:firstLine="371" w:firstLineChars="177"/>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5</w:t>
      </w:r>
      <w:r>
        <w:rPr>
          <w:rFonts w:hint="eastAsia" w:cs="宋体"/>
          <w:sz w:val="21"/>
          <w:szCs w:val="21"/>
          <w:lang w:bidi="ar"/>
        </w:rPr>
        <w:t>）图纸和资料的补充</w:t>
      </w:r>
    </w:p>
    <w:p>
      <w:pPr>
        <w:pStyle w:val="27"/>
        <w:adjustRightInd w:val="0"/>
        <w:snapToGrid w:val="0"/>
        <w:spacing w:before="0" w:beforeAutospacing="0" w:after="0" w:afterAutospacing="0" w:line="360" w:lineRule="auto"/>
        <w:ind w:firstLine="371" w:firstLineChars="177"/>
        <w:rPr>
          <w:rFonts w:ascii="Times New Roman" w:hAnsi="Times New Roman"/>
          <w:sz w:val="21"/>
          <w:szCs w:val="21"/>
        </w:rPr>
      </w:pPr>
      <w:r>
        <w:rPr>
          <w:rFonts w:hint="eastAsia" w:cs="宋体"/>
          <w:sz w:val="21"/>
          <w:szCs w:val="21"/>
          <w:lang w:bidi="ar"/>
        </w:rPr>
        <w:t>在出现遗漏或发现错误时，有关设备的补充资料应及时提交招标人和设计人进行补充设计或设计变更。</w:t>
      </w:r>
    </w:p>
    <w:p>
      <w:pPr>
        <w:pStyle w:val="27"/>
        <w:adjustRightInd w:val="0"/>
        <w:snapToGrid w:val="0"/>
        <w:spacing w:before="0" w:beforeAutospacing="0" w:after="0" w:afterAutospacing="0" w:line="360" w:lineRule="auto"/>
        <w:ind w:firstLine="420" w:firstLineChars="200"/>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6</w:t>
      </w:r>
      <w:r>
        <w:rPr>
          <w:rFonts w:hint="eastAsia" w:cs="宋体"/>
          <w:sz w:val="21"/>
          <w:szCs w:val="21"/>
          <w:lang w:bidi="ar"/>
        </w:rPr>
        <w:t>）图纸的修改</w:t>
      </w:r>
    </w:p>
    <w:p>
      <w:pPr>
        <w:pStyle w:val="27"/>
        <w:adjustRightInd w:val="0"/>
        <w:snapToGrid w:val="0"/>
        <w:spacing w:before="0" w:beforeAutospacing="0" w:after="0" w:afterAutospacing="0" w:line="360" w:lineRule="auto"/>
        <w:ind w:firstLine="420" w:firstLineChars="200"/>
        <w:rPr>
          <w:rFonts w:ascii="Times New Roman" w:hAnsi="Times New Roman"/>
          <w:sz w:val="21"/>
          <w:szCs w:val="21"/>
        </w:rPr>
      </w:pPr>
      <w:r>
        <w:rPr>
          <w:rFonts w:hint="eastAsia" w:cs="宋体"/>
          <w:sz w:val="21"/>
          <w:szCs w:val="21"/>
          <w:lang w:bidi="ar"/>
        </w:rPr>
        <w:t>本用户需求书的技术要求对投标人均是严格的规定，投标人应遵守这些规定。但投标人也可根据自己提供更优的设备对设计人的图纸提出必要的改动建议，是否采纳由招标人根据情况和合理性决定。</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7</w:t>
      </w:r>
      <w:r>
        <w:rPr>
          <w:rFonts w:hint="eastAsia" w:ascii="宋体" w:hAnsi="宋体" w:cs="宋体"/>
          <w:szCs w:val="21"/>
          <w:lang w:bidi="ar"/>
        </w:rPr>
        <w:t>）图纸标准</w:t>
      </w:r>
    </w:p>
    <w:p>
      <w:pPr>
        <w:adjustRightInd w:val="0"/>
        <w:snapToGrid w:val="0"/>
        <w:spacing w:line="360" w:lineRule="auto"/>
        <w:ind w:firstLine="371" w:firstLineChars="177"/>
        <w:rPr>
          <w:szCs w:val="21"/>
        </w:rPr>
      </w:pPr>
      <w:r>
        <w:rPr>
          <w:rFonts w:hint="eastAsia" w:ascii="宋体" w:hAnsi="宋体" w:cs="宋体"/>
          <w:szCs w:val="21"/>
          <w:lang w:bidi="ar"/>
        </w:rPr>
        <w:t>所有图纸尺寸应用一种规格的图纸</w:t>
      </w:r>
      <w:r>
        <w:rPr>
          <w:szCs w:val="21"/>
          <w:lang w:bidi="ar"/>
        </w:rPr>
        <w:t>A2</w:t>
      </w:r>
      <w:r>
        <w:rPr>
          <w:rFonts w:hint="eastAsia" w:ascii="宋体" w:hAnsi="宋体" w:cs="宋体"/>
          <w:szCs w:val="21"/>
          <w:lang w:bidi="ar"/>
        </w:rPr>
        <w:t>幅面（投标文件中的图纸采用</w:t>
      </w:r>
      <w:r>
        <w:rPr>
          <w:szCs w:val="21"/>
          <w:lang w:bidi="ar"/>
        </w:rPr>
        <w:t>A3</w:t>
      </w:r>
      <w:r>
        <w:rPr>
          <w:rFonts w:hint="eastAsia" w:ascii="宋体" w:hAnsi="宋体" w:cs="宋体"/>
          <w:szCs w:val="21"/>
          <w:lang w:bidi="ar"/>
        </w:rPr>
        <w:t>幅面，但应折叠成</w:t>
      </w:r>
      <w:r>
        <w:rPr>
          <w:szCs w:val="21"/>
          <w:lang w:bidi="ar"/>
        </w:rPr>
        <w:t>A4</w:t>
      </w:r>
      <w:r>
        <w:rPr>
          <w:rFonts w:hint="eastAsia" w:ascii="宋体" w:hAnsi="宋体" w:cs="宋体"/>
          <w:szCs w:val="21"/>
          <w:lang w:bidi="ar"/>
        </w:rPr>
        <w:t>规格），除非经设计人同意。所有计量采用国际单位制（</w:t>
      </w:r>
      <w:r>
        <w:rPr>
          <w:szCs w:val="21"/>
          <w:lang w:bidi="ar"/>
        </w:rPr>
        <w:t>SI</w:t>
      </w:r>
      <w:r>
        <w:rPr>
          <w:rFonts w:hint="eastAsia" w:ascii="宋体" w:hAnsi="宋体" w:cs="宋体"/>
          <w:szCs w:val="21"/>
          <w:lang w:bidi="ar"/>
        </w:rPr>
        <w:t>制），所有注释，标题和说明应为中文。</w:t>
      </w:r>
    </w:p>
    <w:p>
      <w:pPr>
        <w:adjustRightInd w:val="0"/>
        <w:snapToGrid w:val="0"/>
        <w:spacing w:line="360" w:lineRule="auto"/>
        <w:ind w:firstLine="371" w:firstLineChars="177"/>
        <w:rPr>
          <w:szCs w:val="21"/>
        </w:rPr>
      </w:pPr>
      <w:r>
        <w:rPr>
          <w:rFonts w:hint="eastAsia" w:ascii="宋体" w:hAnsi="宋体" w:cs="宋体"/>
          <w:szCs w:val="21"/>
          <w:lang w:bidi="ar"/>
        </w:rPr>
        <w:t>全部图纸必须清晰，完整，并与相应的工程图纸和技术规定的要求相符。</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8</w:t>
      </w:r>
      <w:r>
        <w:rPr>
          <w:rFonts w:hint="eastAsia" w:ascii="宋体" w:hAnsi="宋体" w:cs="宋体"/>
          <w:szCs w:val="21"/>
          <w:lang w:bidi="ar"/>
        </w:rPr>
        <w:t>）全部资料应分类清晰、适当的装订成册，文件夹为硬塑料夹，夹内文件应取放方便。但投标阶段，招标文件对投标文件的编制、装订另有规定的，从其规定。</w:t>
      </w:r>
    </w:p>
    <w:p>
      <w:pPr>
        <w:pStyle w:val="27"/>
        <w:adjustRightInd w:val="0"/>
        <w:snapToGrid w:val="0"/>
        <w:spacing w:before="0" w:beforeAutospacing="0" w:after="0" w:afterAutospacing="0" w:line="360" w:lineRule="auto"/>
        <w:ind w:firstLine="315" w:firstLineChars="150"/>
        <w:rPr>
          <w:rFonts w:ascii="Times New Roman" w:hAnsi="Times New Roman"/>
          <w:sz w:val="21"/>
          <w:szCs w:val="21"/>
        </w:rPr>
      </w:pPr>
      <w:r>
        <w:rPr>
          <w:rFonts w:hint="eastAsia" w:cs="宋体"/>
          <w:sz w:val="21"/>
          <w:szCs w:val="21"/>
          <w:lang w:bidi="ar"/>
        </w:rPr>
        <w:t>（</w:t>
      </w:r>
      <w:r>
        <w:rPr>
          <w:rFonts w:ascii="Times New Roman" w:hAnsi="Times New Roman"/>
          <w:sz w:val="21"/>
          <w:szCs w:val="21"/>
          <w:lang w:bidi="ar"/>
        </w:rPr>
        <w:t>9</w:t>
      </w:r>
      <w:r>
        <w:rPr>
          <w:rFonts w:hint="eastAsia" w:cs="宋体"/>
          <w:sz w:val="21"/>
          <w:szCs w:val="21"/>
          <w:lang w:bidi="ar"/>
        </w:rPr>
        <w:t>）除投标阶段的投标文件外，其他各阶段的资料均需以子项目为单位进行准备、递交。</w:t>
      </w:r>
    </w:p>
    <w:p>
      <w:pPr>
        <w:pStyle w:val="4"/>
        <w:widowControl/>
        <w:numPr>
          <w:ilvl w:val="1"/>
          <w:numId w:val="4"/>
        </w:numPr>
        <w:rPr>
          <w:rFonts w:eastAsia="宋体"/>
          <w:szCs w:val="21"/>
        </w:rPr>
      </w:pPr>
      <w:bookmarkStart w:id="846" w:name="_Toc6354"/>
      <w:r>
        <w:rPr>
          <w:rFonts w:hint="eastAsia" w:ascii="宋体" w:hAnsi="宋体" w:eastAsia="宋体" w:cs="宋体"/>
          <w:szCs w:val="21"/>
        </w:rPr>
        <w:t>各阶段递交技术资料的要求：</w:t>
      </w:r>
      <w:bookmarkEnd w:id="846"/>
    </w:p>
    <w:p>
      <w:pPr>
        <w:pStyle w:val="5"/>
        <w:widowControl/>
        <w:numPr>
          <w:ilvl w:val="2"/>
          <w:numId w:val="4"/>
        </w:numPr>
        <w:spacing w:before="156"/>
        <w:rPr>
          <w:szCs w:val="21"/>
        </w:rPr>
      </w:pPr>
      <w:bookmarkStart w:id="847" w:name="_Toc31408"/>
      <w:r>
        <w:rPr>
          <w:rFonts w:hint="eastAsia" w:ascii="宋体" w:hAnsi="宋体" w:cs="宋体"/>
          <w:szCs w:val="21"/>
        </w:rPr>
        <w:t>投标阶段</w:t>
      </w:r>
      <w:bookmarkEnd w:id="847"/>
    </w:p>
    <w:p>
      <w:pPr>
        <w:adjustRightInd w:val="0"/>
        <w:snapToGrid w:val="0"/>
        <w:spacing w:line="360" w:lineRule="auto"/>
        <w:ind w:firstLine="371" w:firstLineChars="177"/>
        <w:rPr>
          <w:szCs w:val="21"/>
        </w:rPr>
      </w:pPr>
      <w:r>
        <w:rPr>
          <w:rFonts w:hint="eastAsia" w:ascii="宋体" w:hAnsi="宋体" w:cs="宋体"/>
          <w:szCs w:val="21"/>
          <w:lang w:bidi="ar"/>
        </w:rPr>
        <w:t>投标人按照本用户需求第三节</w:t>
      </w:r>
      <w:r>
        <w:rPr>
          <w:szCs w:val="21"/>
          <w:lang w:bidi="ar"/>
        </w:rPr>
        <w:t>“</w:t>
      </w:r>
      <w:r>
        <w:rPr>
          <w:rFonts w:hint="eastAsia" w:ascii="宋体" w:hAnsi="宋体" w:cs="宋体"/>
          <w:szCs w:val="21"/>
          <w:lang w:bidi="ar"/>
        </w:rPr>
        <w:t>详细技术要求</w:t>
      </w:r>
      <w:r>
        <w:rPr>
          <w:szCs w:val="21"/>
          <w:lang w:bidi="ar"/>
        </w:rPr>
        <w:t>”</w:t>
      </w:r>
      <w:r>
        <w:rPr>
          <w:rFonts w:hint="eastAsia" w:ascii="宋体" w:hAnsi="宋体" w:cs="宋体"/>
          <w:szCs w:val="21"/>
          <w:lang w:bidi="ar"/>
        </w:rPr>
        <w:t>的规定，以及招标文件对投标文件编制的要求递交尽可能详细的技术资料（含电子文件），内容包括但不限于：</w:t>
      </w:r>
    </w:p>
    <w:p>
      <w:pPr>
        <w:numPr>
          <w:ilvl w:val="0"/>
          <w:numId w:val="9"/>
        </w:numPr>
        <w:snapToGrid w:val="0"/>
        <w:spacing w:line="360" w:lineRule="auto"/>
        <w:ind w:firstLine="315" w:firstLineChars="150"/>
        <w:rPr>
          <w:szCs w:val="21"/>
        </w:rPr>
      </w:pPr>
      <w:r>
        <w:rPr>
          <w:rFonts w:hint="eastAsia" w:ascii="宋体" w:hAnsi="宋体" w:cs="宋体"/>
          <w:szCs w:val="21"/>
          <w:lang w:bidi="ar"/>
        </w:rPr>
        <w:t>投标人在投标文件中必须提供供货设备的设备说明书、必要的设备图纸等技术资料。这些资料应能表述设备的关键参数和性能（包括设备部件的材质、质量标准、设备产地、制造商），例如（包括但不限于此）：</w:t>
      </w:r>
    </w:p>
    <w:p>
      <w:pPr>
        <w:snapToGrid w:val="0"/>
        <w:spacing w:line="360" w:lineRule="auto"/>
        <w:ind w:firstLine="315" w:firstLineChars="150"/>
        <w:rPr>
          <w:szCs w:val="21"/>
        </w:rPr>
      </w:pPr>
      <w:r>
        <w:rPr>
          <w:rFonts w:hint="eastAsia" w:ascii="宋体" w:hAnsi="宋体" w:cs="宋体"/>
          <w:szCs w:val="21"/>
          <w:lang w:bidi="ar"/>
        </w:rPr>
        <w:t>机械类：性能曲线、效率曲线、性能参数、结构图、主要部件材质表、电气自控配套图纸等及说明（包括电机功率、轴功率等）。</w:t>
      </w:r>
    </w:p>
    <w:p>
      <w:pPr>
        <w:snapToGrid w:val="0"/>
        <w:spacing w:line="360" w:lineRule="auto"/>
        <w:ind w:firstLine="315" w:firstLineChars="150"/>
        <w:rPr>
          <w:szCs w:val="21"/>
        </w:rPr>
      </w:pPr>
      <w:r>
        <w:rPr>
          <w:rFonts w:hint="eastAsia" w:ascii="宋体" w:hAnsi="宋体" w:cs="宋体"/>
          <w:szCs w:val="21"/>
          <w:lang w:bidi="ar"/>
        </w:rPr>
        <w:t>电机类：主要性能参数、电机接线及结构简图等。</w:t>
      </w:r>
    </w:p>
    <w:p>
      <w:pPr>
        <w:snapToGrid w:val="0"/>
        <w:spacing w:line="360" w:lineRule="auto"/>
        <w:ind w:firstLine="315" w:firstLineChars="150"/>
        <w:rPr>
          <w:szCs w:val="21"/>
        </w:rPr>
      </w:pPr>
      <w:r>
        <w:rPr>
          <w:rFonts w:hint="eastAsia" w:ascii="宋体" w:hAnsi="宋体" w:cs="宋体"/>
          <w:szCs w:val="21"/>
          <w:lang w:bidi="ar"/>
        </w:rPr>
        <w:t>电气控制类：主要性能参数、平均无故障时间，系统图、硬件构成图、软件功能说明、原理图、电气设备图纸等。</w:t>
      </w:r>
    </w:p>
    <w:p>
      <w:pPr>
        <w:adjustRightInd w:val="0"/>
        <w:snapToGrid w:val="0"/>
        <w:spacing w:line="360" w:lineRule="auto"/>
        <w:ind w:firstLine="371" w:firstLineChars="177"/>
        <w:rPr>
          <w:szCs w:val="21"/>
        </w:rPr>
      </w:pPr>
      <w:r>
        <w:rPr>
          <w:rFonts w:hint="eastAsia" w:ascii="宋体" w:hAnsi="宋体" w:cs="宋体"/>
          <w:szCs w:val="21"/>
          <w:lang w:bidi="ar"/>
        </w:rPr>
        <w:t>上述文件必须包括电子文档备份，投标人投标时按投标文件组成的要求提供电子文件外，中标后还须将上述文件电子文档（和设计阶段的资料一起）分别提供给项目业主、招标人和设计人（中标后提交的电子文档以</w:t>
      </w:r>
      <w:r>
        <w:rPr>
          <w:szCs w:val="21"/>
          <w:lang w:bidi="ar"/>
        </w:rPr>
        <w:t>U</w:t>
      </w:r>
      <w:r>
        <w:rPr>
          <w:rFonts w:hint="eastAsia" w:ascii="宋体" w:hAnsi="宋体" w:cs="宋体"/>
          <w:szCs w:val="21"/>
          <w:lang w:bidi="ar"/>
        </w:rPr>
        <w:t>盘作为存储介质交付）。</w:t>
      </w:r>
    </w:p>
    <w:p>
      <w:pPr>
        <w:pStyle w:val="5"/>
        <w:widowControl/>
        <w:numPr>
          <w:ilvl w:val="2"/>
          <w:numId w:val="4"/>
        </w:numPr>
        <w:spacing w:before="156"/>
        <w:rPr>
          <w:szCs w:val="21"/>
        </w:rPr>
      </w:pPr>
      <w:bookmarkStart w:id="848" w:name="_Toc433"/>
      <w:r>
        <w:rPr>
          <w:rFonts w:hint="eastAsia" w:ascii="宋体" w:hAnsi="宋体" w:cs="宋体"/>
          <w:szCs w:val="21"/>
        </w:rPr>
        <w:t>设计阶段</w:t>
      </w:r>
      <w:bookmarkEnd w:id="848"/>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）中标人应在收到中标通知后</w:t>
      </w:r>
      <w:r>
        <w:rPr>
          <w:szCs w:val="21"/>
          <w:lang w:bidi="ar"/>
        </w:rPr>
        <w:t>5</w:t>
      </w:r>
      <w:r>
        <w:rPr>
          <w:rFonts w:hint="eastAsia" w:ascii="宋体" w:hAnsi="宋体" w:cs="宋体"/>
          <w:szCs w:val="21"/>
          <w:lang w:bidi="ar"/>
        </w:rPr>
        <w:t>个工作日内向项目业主、招标人及设计人提供</w:t>
      </w:r>
      <w:r>
        <w:rPr>
          <w:szCs w:val="21"/>
          <w:lang w:bidi="ar"/>
        </w:rPr>
        <w:t>3</w:t>
      </w:r>
      <w:r>
        <w:rPr>
          <w:rFonts w:hint="eastAsia" w:ascii="宋体" w:hAnsi="宋体" w:cs="宋体"/>
          <w:szCs w:val="21"/>
          <w:lang w:bidi="ar"/>
        </w:rPr>
        <w:t>份完整的所有供货设备的必要技术资料（含纸质和电子文件），以便设计人进行详细施工图设计。中标人必须保证技术资料符合工程安装需求。如因中标人提供的技术资料错误导致设备无法安装的，由此造成的一切损失由中标人承担。此部分图纸应为一切与土建有关的预埋件、孔洞、沟槽、基础及设备平面布置及负载详细图纸。（电子文档以</w:t>
      </w:r>
      <w:r>
        <w:rPr>
          <w:szCs w:val="21"/>
          <w:lang w:bidi="ar"/>
        </w:rPr>
        <w:t>U</w:t>
      </w:r>
      <w:r>
        <w:rPr>
          <w:rFonts w:hint="eastAsia" w:ascii="宋体" w:hAnsi="宋体" w:cs="宋体"/>
          <w:szCs w:val="21"/>
          <w:lang w:bidi="ar"/>
        </w:rPr>
        <w:t>盘作为存储介质交付）。</w:t>
      </w:r>
    </w:p>
    <w:p>
      <w:pPr>
        <w:adjustRightInd w:val="0"/>
        <w:snapToGrid w:val="0"/>
        <w:spacing w:line="360" w:lineRule="auto"/>
        <w:ind w:firstLine="371" w:firstLineChars="177"/>
        <w:rPr>
          <w:szCs w:val="21"/>
        </w:rPr>
      </w:pPr>
      <w:r>
        <w:rPr>
          <w:rFonts w:hint="eastAsia" w:ascii="宋体" w:hAnsi="宋体" w:cs="宋体"/>
          <w:szCs w:val="21"/>
          <w:lang w:bidi="ar"/>
        </w:rPr>
        <w:t>如果中标人不能一次按时提供全部资料，在征得项目业主、招标人、设计人书面同意后可以在两周内提交全部资料。</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）设计资料</w:t>
      </w:r>
    </w:p>
    <w:p>
      <w:pPr>
        <w:adjustRightInd w:val="0"/>
        <w:snapToGrid w:val="0"/>
        <w:spacing w:line="360" w:lineRule="auto"/>
        <w:ind w:firstLine="371" w:firstLineChars="177"/>
        <w:rPr>
          <w:szCs w:val="21"/>
        </w:rPr>
      </w:pPr>
      <w:r>
        <w:rPr>
          <w:rFonts w:hint="eastAsia" w:ascii="宋体" w:hAnsi="宋体" w:cs="宋体"/>
          <w:szCs w:val="21"/>
          <w:lang w:bidi="ar"/>
        </w:rPr>
        <w:t>中标人应负责提供与供货设备相关的及供货界线内的所有必要资料，以便设计人完成详细设计。包括（但不限于此）：</w:t>
      </w:r>
    </w:p>
    <w:p>
      <w:pPr>
        <w:numPr>
          <w:ilvl w:val="0"/>
          <w:numId w:val="10"/>
        </w:numPr>
        <w:adjustRightInd w:val="0"/>
        <w:snapToGrid w:val="0"/>
        <w:spacing w:line="360" w:lineRule="auto"/>
        <w:ind w:firstLine="371" w:firstLineChars="177"/>
        <w:rPr>
          <w:szCs w:val="21"/>
        </w:rPr>
      </w:pPr>
      <w:r>
        <w:rPr>
          <w:rFonts w:hint="eastAsia" w:ascii="宋体" w:hAnsi="宋体" w:cs="宋体"/>
          <w:szCs w:val="21"/>
          <w:lang w:bidi="ar"/>
        </w:rPr>
        <w:t>中标人供货范围内的设备图纸及设备说明书。</w:t>
      </w:r>
    </w:p>
    <w:p>
      <w:pPr>
        <w:spacing w:line="360" w:lineRule="auto"/>
        <w:ind w:firstLine="420" w:firstLineChars="200"/>
        <w:rPr>
          <w:szCs w:val="21"/>
        </w:rPr>
      </w:pPr>
      <w:r>
        <w:rPr>
          <w:rFonts w:hint="eastAsia" w:ascii="宋体" w:hAnsi="宋体" w:cs="宋体"/>
          <w:szCs w:val="21"/>
          <w:lang w:bidi="ar"/>
        </w:rPr>
        <w:t>每台电动机的电量参数，包括：额定功率、额定电压、额定电流、直接启动电流、自然功率因数、电动机效率。水泵和风机还应提交最大轴功率。</w:t>
      </w:r>
    </w:p>
    <w:p>
      <w:pPr>
        <w:spacing w:line="360" w:lineRule="auto"/>
        <w:ind w:firstLine="420" w:firstLineChars="200"/>
        <w:rPr>
          <w:szCs w:val="21"/>
        </w:rPr>
      </w:pPr>
      <w:r>
        <w:rPr>
          <w:rFonts w:hint="eastAsia" w:ascii="宋体" w:hAnsi="宋体" w:cs="宋体"/>
          <w:szCs w:val="21"/>
          <w:lang w:bidi="ar"/>
        </w:rPr>
        <w:t>配套变频器装置的机械设备应提交变频器</w:t>
      </w:r>
      <w:r>
        <w:rPr>
          <w:szCs w:val="21"/>
          <w:lang w:bidi="ar"/>
        </w:rPr>
        <w:t>13</w:t>
      </w:r>
      <w:r>
        <w:rPr>
          <w:rFonts w:hint="eastAsia" w:ascii="宋体" w:hAnsi="宋体" w:cs="宋体"/>
          <w:szCs w:val="21"/>
          <w:lang w:bidi="ar"/>
        </w:rPr>
        <w:t>次及以下的谐波电流值。</w:t>
      </w:r>
    </w:p>
    <w:p>
      <w:pPr>
        <w:spacing w:line="360" w:lineRule="auto"/>
        <w:ind w:firstLine="420" w:firstLineChars="200"/>
        <w:rPr>
          <w:szCs w:val="21"/>
        </w:rPr>
      </w:pPr>
      <w:r>
        <w:rPr>
          <w:rFonts w:hint="eastAsia" w:ascii="宋体" w:hAnsi="宋体" w:cs="宋体"/>
          <w:szCs w:val="21"/>
          <w:lang w:bidi="ar"/>
        </w:rPr>
        <w:t>电控柜（箱）的外形尺寸、安装方式。</w:t>
      </w:r>
    </w:p>
    <w:p>
      <w:pPr>
        <w:spacing w:line="360" w:lineRule="auto"/>
        <w:ind w:firstLine="420" w:firstLineChars="200"/>
        <w:rPr>
          <w:szCs w:val="21"/>
        </w:rPr>
      </w:pPr>
      <w:r>
        <w:rPr>
          <w:rFonts w:hint="eastAsia" w:ascii="宋体" w:hAnsi="宋体" w:cs="宋体"/>
          <w:szCs w:val="21"/>
          <w:lang w:bidi="ar"/>
        </w:rPr>
        <w:t>电控柜（箱）的控制原理图、端子图。</w:t>
      </w:r>
    </w:p>
    <w:p>
      <w:pPr>
        <w:spacing w:line="360" w:lineRule="auto"/>
        <w:ind w:firstLine="420" w:firstLineChars="200"/>
        <w:rPr>
          <w:szCs w:val="21"/>
        </w:rPr>
      </w:pPr>
      <w:r>
        <w:rPr>
          <w:rFonts w:hint="eastAsia" w:ascii="宋体" w:hAnsi="宋体" w:cs="宋体"/>
          <w:szCs w:val="21"/>
          <w:lang w:bidi="ar"/>
        </w:rPr>
        <w:t>配套电缆的型号、规格、长度。</w:t>
      </w:r>
    </w:p>
    <w:p>
      <w:pPr>
        <w:adjustRightInd w:val="0"/>
        <w:snapToGrid w:val="0"/>
        <w:spacing w:line="360" w:lineRule="auto"/>
        <w:ind w:firstLine="371" w:firstLineChars="177"/>
        <w:rPr>
          <w:szCs w:val="21"/>
        </w:rPr>
      </w:pPr>
      <w:r>
        <w:rPr>
          <w:szCs w:val="21"/>
          <w:lang w:bidi="ar"/>
        </w:rPr>
        <w:t>B</w:t>
      </w:r>
      <w:r>
        <w:rPr>
          <w:rFonts w:hint="eastAsia" w:ascii="宋体" w:hAnsi="宋体" w:cs="宋体"/>
          <w:szCs w:val="21"/>
          <w:lang w:bidi="ar"/>
        </w:rPr>
        <w:t>、在设备安装时对土建构筑物的专门要求及图纸。包括基础、承载力、设备重量、材料种类和加工等。</w:t>
      </w:r>
    </w:p>
    <w:p>
      <w:pPr>
        <w:adjustRightInd w:val="0"/>
        <w:snapToGrid w:val="0"/>
        <w:spacing w:line="360" w:lineRule="auto"/>
        <w:ind w:firstLine="371" w:firstLineChars="177"/>
        <w:rPr>
          <w:szCs w:val="21"/>
        </w:rPr>
      </w:pPr>
      <w:r>
        <w:rPr>
          <w:szCs w:val="21"/>
          <w:lang w:bidi="ar"/>
        </w:rPr>
        <w:t>C</w:t>
      </w:r>
      <w:r>
        <w:rPr>
          <w:rFonts w:hint="eastAsia" w:ascii="宋体" w:hAnsi="宋体" w:cs="宋体"/>
          <w:szCs w:val="21"/>
          <w:lang w:bidi="ar"/>
        </w:rPr>
        <w:t>、交货界区内详细的设备的工作图及安装图。</w:t>
      </w:r>
    </w:p>
    <w:p>
      <w:pPr>
        <w:adjustRightInd w:val="0"/>
        <w:snapToGrid w:val="0"/>
        <w:spacing w:line="360" w:lineRule="auto"/>
        <w:ind w:firstLine="371" w:firstLineChars="177"/>
        <w:rPr>
          <w:szCs w:val="21"/>
        </w:rPr>
      </w:pPr>
      <w:r>
        <w:rPr>
          <w:szCs w:val="21"/>
          <w:lang w:bidi="ar"/>
        </w:rPr>
        <w:t>D</w:t>
      </w:r>
      <w:r>
        <w:rPr>
          <w:rFonts w:hint="eastAsia" w:ascii="宋体" w:hAnsi="宋体" w:cs="宋体"/>
          <w:szCs w:val="21"/>
          <w:lang w:bidi="ar"/>
        </w:rPr>
        <w:t>、第三节详细技术要求中所要求提供的技术资料。</w:t>
      </w:r>
    </w:p>
    <w:p>
      <w:pPr>
        <w:adjustRightInd w:val="0"/>
        <w:snapToGrid w:val="0"/>
        <w:spacing w:line="360" w:lineRule="auto"/>
        <w:ind w:firstLine="371" w:firstLineChars="177"/>
        <w:rPr>
          <w:szCs w:val="21"/>
        </w:rPr>
      </w:pPr>
      <w:r>
        <w:rPr>
          <w:szCs w:val="21"/>
          <w:lang w:bidi="ar"/>
        </w:rPr>
        <w:t>E</w:t>
      </w:r>
      <w:r>
        <w:rPr>
          <w:rFonts w:hint="eastAsia" w:ascii="宋体" w:hAnsi="宋体" w:cs="宋体"/>
          <w:szCs w:val="21"/>
          <w:lang w:bidi="ar"/>
        </w:rPr>
        <w:t>、交货界区内用电设备清单，指明穿过交货界区的电缆连接件和电缆一览表、端子图。</w:t>
      </w:r>
    </w:p>
    <w:p>
      <w:pPr>
        <w:adjustRightInd w:val="0"/>
        <w:snapToGrid w:val="0"/>
        <w:spacing w:line="360" w:lineRule="auto"/>
        <w:ind w:firstLine="371" w:firstLineChars="177"/>
        <w:rPr>
          <w:szCs w:val="21"/>
        </w:rPr>
      </w:pPr>
      <w:r>
        <w:rPr>
          <w:szCs w:val="21"/>
          <w:lang w:bidi="ar"/>
        </w:rPr>
        <w:t>F</w:t>
      </w:r>
      <w:r>
        <w:rPr>
          <w:rFonts w:hint="eastAsia" w:ascii="宋体" w:hAnsi="宋体" w:cs="宋体"/>
          <w:szCs w:val="21"/>
          <w:lang w:bidi="ar"/>
        </w:rPr>
        <w:t>、交货界区内控制系统软件和电缆表、端子图。</w:t>
      </w:r>
    </w:p>
    <w:p>
      <w:pPr>
        <w:adjustRightInd w:val="0"/>
        <w:snapToGrid w:val="0"/>
        <w:spacing w:line="360" w:lineRule="auto"/>
        <w:ind w:firstLine="371" w:firstLineChars="177"/>
        <w:rPr>
          <w:szCs w:val="21"/>
        </w:rPr>
      </w:pPr>
      <w:r>
        <w:rPr>
          <w:szCs w:val="21"/>
          <w:lang w:bidi="ar"/>
        </w:rPr>
        <w:t>G</w:t>
      </w:r>
      <w:r>
        <w:rPr>
          <w:rFonts w:hint="eastAsia" w:ascii="宋体" w:hAnsi="宋体" w:cs="宋体"/>
          <w:szCs w:val="21"/>
          <w:lang w:bidi="ar"/>
        </w:rPr>
        <w:t>、机械设备配套电气设备及控制箱（柜）图纸，包括</w:t>
      </w:r>
    </w:p>
    <w:p>
      <w:pPr>
        <w:adjustRightInd w:val="0"/>
        <w:snapToGrid w:val="0"/>
        <w:spacing w:line="360" w:lineRule="auto"/>
        <w:ind w:firstLine="371" w:firstLineChars="177"/>
        <w:rPr>
          <w:szCs w:val="21"/>
        </w:rPr>
      </w:pPr>
      <w:r>
        <w:rPr>
          <w:rFonts w:hint="eastAsia" w:ascii="宋体" w:hAnsi="宋体" w:cs="宋体"/>
          <w:szCs w:val="21"/>
          <w:lang w:bidi="ar"/>
        </w:rPr>
        <w:t>接线图</w:t>
      </w:r>
      <w:r>
        <w:rPr>
          <w:szCs w:val="21"/>
          <w:lang w:bidi="ar"/>
        </w:rPr>
        <w:t>—</w:t>
      </w:r>
      <w:r>
        <w:rPr>
          <w:rFonts w:hint="eastAsia" w:ascii="宋体" w:hAnsi="宋体" w:cs="宋体"/>
          <w:szCs w:val="21"/>
          <w:lang w:bidi="ar"/>
        </w:rPr>
        <w:t>现场电气控制箱的单线图，控制柜的功能单元和有关的控制，保护及仪表设备的控制原理图，电缆及内部接线。</w:t>
      </w:r>
    </w:p>
    <w:p>
      <w:pPr>
        <w:adjustRightInd w:val="0"/>
        <w:snapToGrid w:val="0"/>
        <w:spacing w:line="360" w:lineRule="auto"/>
        <w:ind w:firstLine="371" w:firstLineChars="177"/>
        <w:rPr>
          <w:szCs w:val="21"/>
        </w:rPr>
      </w:pPr>
      <w:r>
        <w:rPr>
          <w:rFonts w:hint="eastAsia" w:ascii="宋体" w:hAnsi="宋体" w:cs="宋体"/>
          <w:szCs w:val="21"/>
          <w:lang w:bidi="ar"/>
        </w:rPr>
        <w:t>位置图</w:t>
      </w:r>
      <w:r>
        <w:rPr>
          <w:szCs w:val="21"/>
          <w:lang w:bidi="ar"/>
        </w:rPr>
        <w:t>—</w:t>
      </w:r>
      <w:r>
        <w:rPr>
          <w:rFonts w:hint="eastAsia" w:ascii="宋体" w:hAnsi="宋体" w:cs="宋体"/>
          <w:szCs w:val="21"/>
          <w:lang w:bidi="ar"/>
        </w:rPr>
        <w:t>电缆通道，电缆走向、设备通道，常规及周期性维修间隙的要求，按照</w:t>
      </w:r>
      <w:r>
        <w:rPr>
          <w:szCs w:val="21"/>
          <w:lang w:bidi="ar"/>
        </w:rPr>
        <w:t>IEC133</w:t>
      </w:r>
      <w:r>
        <w:rPr>
          <w:rFonts w:hint="eastAsia" w:ascii="宋体" w:hAnsi="宋体" w:cs="宋体"/>
          <w:szCs w:val="21"/>
          <w:lang w:bidi="ar"/>
        </w:rPr>
        <w:t>提供布置图。</w:t>
      </w:r>
    </w:p>
    <w:p>
      <w:pPr>
        <w:adjustRightInd w:val="0"/>
        <w:snapToGrid w:val="0"/>
        <w:spacing w:line="360" w:lineRule="auto"/>
        <w:ind w:firstLine="371" w:firstLineChars="177"/>
        <w:rPr>
          <w:szCs w:val="21"/>
        </w:rPr>
      </w:pPr>
      <w:r>
        <w:rPr>
          <w:rFonts w:hint="eastAsia" w:ascii="宋体" w:hAnsi="宋体" w:cs="宋体"/>
          <w:szCs w:val="21"/>
          <w:lang w:bidi="ar"/>
        </w:rPr>
        <w:t>电缆清单</w:t>
      </w:r>
      <w:r>
        <w:rPr>
          <w:szCs w:val="21"/>
          <w:lang w:bidi="ar"/>
        </w:rPr>
        <w:t>—</w:t>
      </w:r>
      <w:r>
        <w:rPr>
          <w:rFonts w:hint="eastAsia" w:ascii="宋体" w:hAnsi="宋体" w:cs="宋体"/>
          <w:szCs w:val="21"/>
          <w:lang w:bidi="ar"/>
        </w:rPr>
        <w:t>须标明电缆名称、芯数、截面、载流量、功能、起终点及工程量。</w:t>
      </w:r>
    </w:p>
    <w:p>
      <w:pPr>
        <w:adjustRightInd w:val="0"/>
        <w:snapToGrid w:val="0"/>
        <w:spacing w:line="360" w:lineRule="auto"/>
        <w:ind w:firstLine="371" w:firstLineChars="177"/>
        <w:rPr>
          <w:szCs w:val="21"/>
        </w:rPr>
      </w:pPr>
      <w:r>
        <w:rPr>
          <w:rFonts w:hint="eastAsia" w:ascii="宋体" w:hAnsi="宋体" w:cs="宋体"/>
          <w:szCs w:val="21"/>
          <w:lang w:bidi="ar"/>
        </w:rPr>
        <w:t>总布置图</w:t>
      </w:r>
      <w:r>
        <w:rPr>
          <w:szCs w:val="21"/>
          <w:lang w:bidi="ar"/>
        </w:rPr>
        <w:t>—</w:t>
      </w:r>
      <w:r>
        <w:rPr>
          <w:rFonts w:hint="eastAsia" w:ascii="宋体" w:hAnsi="宋体" w:cs="宋体"/>
          <w:szCs w:val="21"/>
          <w:lang w:bidi="ar"/>
        </w:rPr>
        <w:t>设备的总体布置图，详图和一览表等。</w:t>
      </w:r>
    </w:p>
    <w:p>
      <w:pPr>
        <w:adjustRightInd w:val="0"/>
        <w:snapToGrid w:val="0"/>
        <w:spacing w:line="360" w:lineRule="auto"/>
        <w:ind w:firstLine="371" w:firstLineChars="177"/>
        <w:rPr>
          <w:szCs w:val="21"/>
        </w:rPr>
      </w:pPr>
      <w:r>
        <w:rPr>
          <w:rFonts w:hint="eastAsia" w:ascii="宋体" w:hAnsi="宋体" w:cs="宋体"/>
          <w:szCs w:val="21"/>
          <w:lang w:bidi="ar"/>
        </w:rPr>
        <w:t>端子图</w:t>
      </w:r>
      <w:r>
        <w:rPr>
          <w:szCs w:val="21"/>
          <w:lang w:bidi="ar"/>
        </w:rPr>
        <w:t>—</w:t>
      </w:r>
      <w:r>
        <w:rPr>
          <w:rFonts w:hint="eastAsia" w:ascii="宋体" w:hAnsi="宋体" w:cs="宋体"/>
          <w:szCs w:val="21"/>
          <w:lang w:bidi="ar"/>
        </w:rPr>
        <w:t>动力连接和控制，保护及测量的单独端子排要分开，每只端子两端均应编号，电缆及端子表或端子图需表明功能和电缆芯数。与其他承包商所供设备之间的连接外接端子应单列。</w:t>
      </w:r>
    </w:p>
    <w:p>
      <w:pPr>
        <w:pStyle w:val="5"/>
        <w:widowControl/>
        <w:numPr>
          <w:ilvl w:val="2"/>
          <w:numId w:val="4"/>
        </w:numPr>
        <w:spacing w:before="156"/>
        <w:rPr>
          <w:szCs w:val="21"/>
        </w:rPr>
      </w:pPr>
      <w:bookmarkStart w:id="849" w:name="_Toc2131"/>
      <w:r>
        <w:rPr>
          <w:rFonts w:hint="eastAsia" w:ascii="宋体" w:hAnsi="宋体" w:cs="宋体"/>
          <w:szCs w:val="21"/>
        </w:rPr>
        <w:t>交货阶段</w:t>
      </w:r>
      <w:bookmarkEnd w:id="849"/>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1</w:t>
      </w:r>
      <w:r>
        <w:rPr>
          <w:rFonts w:hint="eastAsia" w:ascii="宋体" w:hAnsi="宋体" w:cs="宋体"/>
          <w:szCs w:val="21"/>
          <w:lang w:bidi="ar"/>
        </w:rPr>
        <w:t>）设备安装运行维护手册</w:t>
      </w:r>
    </w:p>
    <w:p>
      <w:pPr>
        <w:adjustRightInd w:val="0"/>
        <w:snapToGrid w:val="0"/>
        <w:spacing w:line="360" w:lineRule="auto"/>
        <w:ind w:firstLine="371" w:firstLineChars="177"/>
        <w:rPr>
          <w:szCs w:val="21"/>
        </w:rPr>
      </w:pPr>
      <w:r>
        <w:rPr>
          <w:rFonts w:hint="eastAsia" w:ascii="宋体" w:hAnsi="宋体" w:cs="宋体"/>
          <w:szCs w:val="21"/>
          <w:lang w:bidi="ar"/>
        </w:rPr>
        <w:t>中标人在设备交货的同时应提供全套由制造厂签字的技术文件及所有设备的安装操作、维修手册。这些设备包括工艺设备、电器设备、中心控制及其它控制装置等全部供货设备。</w:t>
      </w:r>
    </w:p>
    <w:p>
      <w:pPr>
        <w:adjustRightInd w:val="0"/>
        <w:snapToGrid w:val="0"/>
        <w:spacing w:line="360" w:lineRule="auto"/>
        <w:ind w:firstLine="371" w:firstLineChars="177"/>
        <w:rPr>
          <w:szCs w:val="21"/>
        </w:rPr>
      </w:pPr>
      <w:r>
        <w:rPr>
          <w:rFonts w:hint="eastAsia" w:ascii="宋体" w:hAnsi="宋体" w:cs="宋体"/>
          <w:szCs w:val="21"/>
          <w:lang w:bidi="ar"/>
        </w:rPr>
        <w:t>所有设备必须提供满足现场装配的设备装配图。</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2</w:t>
      </w:r>
      <w:r>
        <w:rPr>
          <w:rFonts w:hint="eastAsia" w:ascii="宋体" w:hAnsi="宋体" w:cs="宋体"/>
          <w:szCs w:val="21"/>
          <w:lang w:bidi="ar"/>
        </w:rPr>
        <w:t>）安装调试资料</w:t>
      </w:r>
    </w:p>
    <w:p>
      <w:pPr>
        <w:adjustRightInd w:val="0"/>
        <w:snapToGrid w:val="0"/>
        <w:spacing w:line="360" w:lineRule="auto"/>
        <w:ind w:firstLine="371" w:firstLineChars="177"/>
        <w:rPr>
          <w:szCs w:val="21"/>
        </w:rPr>
      </w:pPr>
      <w:r>
        <w:rPr>
          <w:szCs w:val="21"/>
          <w:lang w:bidi="ar"/>
        </w:rPr>
        <w:t>A</w:t>
      </w:r>
      <w:r>
        <w:rPr>
          <w:rFonts w:hint="eastAsia" w:ascii="宋体" w:hAnsi="宋体" w:cs="宋体"/>
          <w:szCs w:val="21"/>
          <w:lang w:bidi="ar"/>
        </w:rPr>
        <w:t>、调试大纲，应包括但不限于以下内容：调试阶段详细的进度计划；调试阶段划分，阶段目标、程序、测试方法；调试班子的人员、设备、仪器的配备；对调试中可能出现的故障的预防及排除措施；安全措施。</w:t>
      </w:r>
    </w:p>
    <w:p>
      <w:pPr>
        <w:adjustRightInd w:val="0"/>
        <w:snapToGrid w:val="0"/>
        <w:spacing w:line="360" w:lineRule="auto"/>
        <w:ind w:firstLine="371" w:firstLineChars="177"/>
        <w:rPr>
          <w:szCs w:val="21"/>
        </w:rPr>
      </w:pPr>
      <w:r>
        <w:rPr>
          <w:szCs w:val="21"/>
          <w:lang w:bidi="ar"/>
        </w:rPr>
        <w:t>B</w:t>
      </w:r>
      <w:r>
        <w:rPr>
          <w:rFonts w:hint="eastAsia" w:ascii="宋体" w:hAnsi="宋体" w:cs="宋体"/>
          <w:szCs w:val="21"/>
          <w:lang w:bidi="ar"/>
        </w:rPr>
        <w:t>、单机无负荷试车质量评定表。</w:t>
      </w:r>
    </w:p>
    <w:p>
      <w:pPr>
        <w:adjustRightInd w:val="0"/>
        <w:snapToGrid w:val="0"/>
        <w:spacing w:line="360" w:lineRule="auto"/>
        <w:ind w:firstLine="371" w:firstLineChars="177"/>
        <w:rPr>
          <w:szCs w:val="21"/>
        </w:rPr>
      </w:pPr>
      <w:r>
        <w:rPr>
          <w:szCs w:val="21"/>
          <w:lang w:bidi="ar"/>
        </w:rPr>
        <w:t>C</w:t>
      </w:r>
      <w:r>
        <w:rPr>
          <w:rFonts w:hint="eastAsia" w:ascii="宋体" w:hAnsi="宋体" w:cs="宋体"/>
          <w:szCs w:val="21"/>
          <w:lang w:bidi="ar"/>
        </w:rPr>
        <w:t>、单机带负荷试车质量评定表。</w:t>
      </w:r>
    </w:p>
    <w:p>
      <w:pPr>
        <w:adjustRightInd w:val="0"/>
        <w:snapToGrid w:val="0"/>
        <w:spacing w:line="360" w:lineRule="auto"/>
        <w:ind w:firstLine="371" w:firstLineChars="177"/>
        <w:rPr>
          <w:szCs w:val="21"/>
        </w:rPr>
      </w:pPr>
      <w:r>
        <w:rPr>
          <w:szCs w:val="21"/>
          <w:lang w:bidi="ar"/>
        </w:rPr>
        <w:t>D</w:t>
      </w:r>
      <w:r>
        <w:rPr>
          <w:rFonts w:hint="eastAsia" w:ascii="宋体" w:hAnsi="宋体" w:cs="宋体"/>
          <w:szCs w:val="21"/>
          <w:lang w:bidi="ar"/>
        </w:rPr>
        <w:t>、无负荷联动试车评定表。</w:t>
      </w:r>
    </w:p>
    <w:p>
      <w:pPr>
        <w:adjustRightInd w:val="0"/>
        <w:snapToGrid w:val="0"/>
        <w:spacing w:line="360" w:lineRule="auto"/>
        <w:ind w:firstLine="371" w:firstLineChars="177"/>
        <w:rPr>
          <w:szCs w:val="21"/>
        </w:rPr>
      </w:pPr>
      <w:r>
        <w:rPr>
          <w:szCs w:val="21"/>
          <w:lang w:bidi="ar"/>
        </w:rPr>
        <w:t>E</w:t>
      </w:r>
      <w:r>
        <w:rPr>
          <w:rFonts w:hint="eastAsia" w:ascii="宋体" w:hAnsi="宋体" w:cs="宋体"/>
          <w:szCs w:val="21"/>
          <w:lang w:bidi="ar"/>
        </w:rPr>
        <w:t>、联合试运转评定表。</w:t>
      </w:r>
    </w:p>
    <w:p>
      <w:pPr>
        <w:adjustRightInd w:val="0"/>
        <w:snapToGrid w:val="0"/>
        <w:spacing w:line="360" w:lineRule="auto"/>
        <w:ind w:firstLine="371" w:firstLineChars="177"/>
        <w:rPr>
          <w:szCs w:val="21"/>
        </w:rPr>
      </w:pPr>
      <w:r>
        <w:rPr>
          <w:szCs w:val="21"/>
          <w:lang w:bidi="ar"/>
        </w:rPr>
        <w:t>F</w:t>
      </w:r>
      <w:r>
        <w:rPr>
          <w:rFonts w:hint="eastAsia" w:ascii="宋体" w:hAnsi="宋体" w:cs="宋体"/>
          <w:szCs w:val="21"/>
          <w:lang w:bidi="ar"/>
        </w:rPr>
        <w:t>、质量和安全事故处理报告。（有则提供）</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3</w:t>
      </w:r>
      <w:r>
        <w:rPr>
          <w:rFonts w:hint="eastAsia" w:ascii="宋体" w:hAnsi="宋体" w:cs="宋体"/>
          <w:szCs w:val="21"/>
          <w:lang w:bidi="ar"/>
        </w:rPr>
        <w:t>）运行保养维修手册内容要求</w:t>
      </w:r>
    </w:p>
    <w:p>
      <w:pPr>
        <w:adjustRightInd w:val="0"/>
        <w:snapToGrid w:val="0"/>
        <w:spacing w:line="360" w:lineRule="auto"/>
        <w:ind w:firstLine="371" w:firstLineChars="177"/>
        <w:rPr>
          <w:szCs w:val="21"/>
        </w:rPr>
      </w:pPr>
      <w:r>
        <w:rPr>
          <w:szCs w:val="21"/>
          <w:lang w:bidi="ar"/>
        </w:rPr>
        <w:t>A.</w:t>
      </w:r>
      <w:r>
        <w:rPr>
          <w:rFonts w:hint="eastAsia" w:ascii="宋体" w:hAnsi="宋体" w:cs="宋体"/>
          <w:szCs w:val="21"/>
          <w:lang w:bidi="ar"/>
        </w:rPr>
        <w:t>运行手册</w:t>
      </w:r>
    </w:p>
    <w:p>
      <w:pPr>
        <w:adjustRightInd w:val="0"/>
        <w:snapToGrid w:val="0"/>
        <w:spacing w:line="360" w:lineRule="auto"/>
        <w:ind w:firstLine="371" w:firstLineChars="177"/>
        <w:rPr>
          <w:szCs w:val="21"/>
        </w:rPr>
      </w:pPr>
      <w:r>
        <w:rPr>
          <w:rFonts w:hint="eastAsia" w:ascii="宋体" w:hAnsi="宋体" w:cs="宋体"/>
          <w:szCs w:val="21"/>
          <w:lang w:bidi="ar"/>
        </w:rPr>
        <w:t>污水处理厂操作管理人员所用的运行手册，应当包括下列各项内容，但不限于这些内容：操作步骤；在运行中应采取的安全操作须知；基本保养常识；可能引起事故的原因及解除方法；其它要求。</w:t>
      </w:r>
    </w:p>
    <w:p>
      <w:pPr>
        <w:adjustRightInd w:val="0"/>
        <w:snapToGrid w:val="0"/>
        <w:spacing w:line="360" w:lineRule="auto"/>
        <w:ind w:firstLine="371" w:firstLineChars="177"/>
        <w:rPr>
          <w:szCs w:val="21"/>
        </w:rPr>
      </w:pPr>
      <w:r>
        <w:rPr>
          <w:szCs w:val="21"/>
          <w:lang w:bidi="ar"/>
        </w:rPr>
        <w:t>B.</w:t>
      </w:r>
      <w:r>
        <w:rPr>
          <w:rFonts w:hint="eastAsia" w:ascii="宋体" w:hAnsi="宋体" w:cs="宋体"/>
          <w:szCs w:val="21"/>
          <w:lang w:bidi="ar"/>
        </w:rPr>
        <w:t>保养手册</w:t>
      </w:r>
    </w:p>
    <w:p>
      <w:pPr>
        <w:adjustRightInd w:val="0"/>
        <w:snapToGrid w:val="0"/>
        <w:spacing w:line="360" w:lineRule="auto"/>
        <w:ind w:firstLine="371" w:firstLineChars="177"/>
        <w:rPr>
          <w:szCs w:val="21"/>
        </w:rPr>
      </w:pPr>
      <w:r>
        <w:rPr>
          <w:szCs w:val="21"/>
          <w:lang w:bidi="ar"/>
        </w:rPr>
        <w:t>①</w:t>
      </w:r>
      <w:r>
        <w:rPr>
          <w:rFonts w:hint="eastAsia"/>
          <w:szCs w:val="21"/>
          <w:lang w:bidi="ar"/>
        </w:rPr>
        <w:t xml:space="preserve"> </w:t>
      </w:r>
      <w:r>
        <w:rPr>
          <w:rFonts w:hint="eastAsia" w:ascii="宋体" w:hAnsi="宋体" w:cs="宋体"/>
          <w:szCs w:val="21"/>
          <w:lang w:bidi="ar"/>
        </w:rPr>
        <w:t>日常维修、试验和更换部件的手续、步骤和时间。</w:t>
      </w:r>
    </w:p>
    <w:p>
      <w:pPr>
        <w:adjustRightInd w:val="0"/>
        <w:snapToGrid w:val="0"/>
        <w:spacing w:line="360" w:lineRule="auto"/>
        <w:ind w:firstLine="371" w:firstLineChars="177"/>
        <w:rPr>
          <w:szCs w:val="21"/>
        </w:rPr>
      </w:pPr>
      <w:r>
        <w:rPr>
          <w:szCs w:val="21"/>
          <w:lang w:bidi="ar"/>
        </w:rPr>
        <w:t>②</w:t>
      </w:r>
      <w:r>
        <w:rPr>
          <w:rFonts w:hint="eastAsia"/>
          <w:szCs w:val="21"/>
          <w:lang w:bidi="ar"/>
        </w:rPr>
        <w:t xml:space="preserve"> </w:t>
      </w:r>
      <w:r>
        <w:rPr>
          <w:rFonts w:hint="eastAsia" w:ascii="宋体" w:hAnsi="宋体" w:cs="宋体"/>
          <w:szCs w:val="21"/>
          <w:lang w:bidi="ar"/>
        </w:rPr>
        <w:t>图示容易出事故地方，并提出补救措施，以便操作人员可以迅速寻找出事故的原因和消灭这些误动作和误接合。</w:t>
      </w:r>
    </w:p>
    <w:p>
      <w:pPr>
        <w:adjustRightInd w:val="0"/>
        <w:snapToGrid w:val="0"/>
        <w:spacing w:line="360" w:lineRule="auto"/>
        <w:ind w:firstLine="371" w:firstLineChars="177"/>
        <w:rPr>
          <w:szCs w:val="21"/>
        </w:rPr>
      </w:pPr>
      <w:r>
        <w:rPr>
          <w:szCs w:val="21"/>
          <w:lang w:bidi="ar"/>
        </w:rPr>
        <w:t xml:space="preserve">③ </w:t>
      </w:r>
      <w:r>
        <w:rPr>
          <w:rFonts w:hint="eastAsia" w:ascii="宋体" w:hAnsi="宋体" w:cs="宋体"/>
          <w:szCs w:val="21"/>
          <w:lang w:bidi="ar"/>
        </w:rPr>
        <w:t>一张完整的，可采用的润滑剂表和单个设备的润滑图表。</w:t>
      </w:r>
    </w:p>
    <w:p>
      <w:pPr>
        <w:adjustRightInd w:val="0"/>
        <w:snapToGrid w:val="0"/>
        <w:spacing w:line="360" w:lineRule="auto"/>
        <w:ind w:firstLine="371" w:firstLineChars="177"/>
        <w:rPr>
          <w:szCs w:val="21"/>
        </w:rPr>
      </w:pPr>
      <w:r>
        <w:rPr>
          <w:szCs w:val="21"/>
          <w:lang w:bidi="ar"/>
        </w:rPr>
        <w:t xml:space="preserve">④ </w:t>
      </w:r>
      <w:r>
        <w:rPr>
          <w:rFonts w:hint="eastAsia" w:ascii="宋体" w:hAnsi="宋体" w:cs="宋体"/>
          <w:szCs w:val="21"/>
          <w:lang w:bidi="ar"/>
        </w:rPr>
        <w:t>一份备品备件清单，它应包括电气和机械设备上应该有的全部备品备件，并说明订货方法方面的参考资料和备件名称。</w:t>
      </w:r>
    </w:p>
    <w:p>
      <w:pPr>
        <w:adjustRightInd w:val="0"/>
        <w:snapToGrid w:val="0"/>
        <w:spacing w:line="360" w:lineRule="auto"/>
        <w:ind w:firstLine="371" w:firstLineChars="177"/>
        <w:rPr>
          <w:szCs w:val="21"/>
        </w:rPr>
      </w:pPr>
      <w:r>
        <w:rPr>
          <w:szCs w:val="21"/>
          <w:lang w:bidi="ar"/>
        </w:rPr>
        <w:t xml:space="preserve">⑤ </w:t>
      </w:r>
      <w:r>
        <w:rPr>
          <w:rFonts w:hint="eastAsia" w:ascii="宋体" w:hAnsi="宋体" w:cs="宋体"/>
          <w:szCs w:val="21"/>
          <w:lang w:bidi="ar"/>
        </w:rPr>
        <w:t>提供一份完整的制造商和供货商的名称表，它应包括有地址、电话号码、传真号码、邮政编码以及在中国的代理商。</w:t>
      </w:r>
    </w:p>
    <w:p>
      <w:pPr>
        <w:adjustRightInd w:val="0"/>
        <w:snapToGrid w:val="0"/>
        <w:spacing w:line="360" w:lineRule="auto"/>
        <w:ind w:firstLine="371" w:firstLineChars="177"/>
        <w:rPr>
          <w:szCs w:val="21"/>
        </w:rPr>
      </w:pPr>
      <w:r>
        <w:rPr>
          <w:szCs w:val="21"/>
          <w:lang w:bidi="ar"/>
        </w:rPr>
        <w:t xml:space="preserve">⑥ </w:t>
      </w:r>
      <w:r>
        <w:rPr>
          <w:rFonts w:hint="eastAsia" w:ascii="宋体" w:hAnsi="宋体" w:cs="宋体"/>
          <w:szCs w:val="21"/>
          <w:lang w:bidi="ar"/>
        </w:rPr>
        <w:t>提供一份完整的制造商提供的设备操作维修的指导事项表，按制造商名字序列排列，并用设备件号、型号、图号和文字相配</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4</w:t>
      </w:r>
      <w:r>
        <w:rPr>
          <w:rFonts w:hint="eastAsia" w:ascii="宋体" w:hAnsi="宋体" w:cs="宋体"/>
          <w:szCs w:val="21"/>
          <w:lang w:bidi="ar"/>
        </w:rPr>
        <w:t>）完整的装箱单、产品合格证、质保保证书、维修手册及服务卡。</w:t>
      </w:r>
    </w:p>
    <w:p>
      <w:pPr>
        <w:adjustRightInd w:val="0"/>
        <w:snapToGrid w:val="0"/>
        <w:spacing w:line="360" w:lineRule="auto"/>
        <w:ind w:firstLine="371" w:firstLineChars="177"/>
        <w:rPr>
          <w:szCs w:val="21"/>
        </w:rPr>
      </w:pPr>
      <w:r>
        <w:rPr>
          <w:rFonts w:hint="eastAsia" w:ascii="宋体" w:hAnsi="宋体" w:cs="宋体"/>
          <w:szCs w:val="21"/>
          <w:lang w:bidi="ar"/>
        </w:rPr>
        <w:t>（</w:t>
      </w:r>
      <w:r>
        <w:rPr>
          <w:szCs w:val="21"/>
          <w:lang w:bidi="ar"/>
        </w:rPr>
        <w:t>5</w:t>
      </w:r>
      <w:r>
        <w:rPr>
          <w:rFonts w:hint="eastAsia" w:ascii="宋体" w:hAnsi="宋体" w:cs="宋体"/>
          <w:szCs w:val="21"/>
          <w:lang w:bidi="ar"/>
        </w:rPr>
        <w:t>）中标人应提供设备性能、测试性能、测试报告和其它重要资料。</w:t>
      </w:r>
    </w:p>
    <w:p>
      <w:pPr>
        <w:pStyle w:val="5"/>
        <w:widowControl/>
        <w:numPr>
          <w:ilvl w:val="2"/>
          <w:numId w:val="4"/>
        </w:numPr>
        <w:spacing w:before="156"/>
        <w:rPr>
          <w:szCs w:val="21"/>
        </w:rPr>
      </w:pPr>
      <w:bookmarkStart w:id="850" w:name="_Toc12591"/>
      <w:r>
        <w:rPr>
          <w:rFonts w:hint="eastAsia" w:ascii="宋体" w:hAnsi="宋体" w:cs="宋体"/>
          <w:szCs w:val="21"/>
        </w:rPr>
        <w:t>验收阶段</w:t>
      </w:r>
      <w:bookmarkEnd w:id="850"/>
    </w:p>
    <w:p>
      <w:pPr>
        <w:adjustRightInd w:val="0"/>
        <w:snapToGrid w:val="0"/>
        <w:spacing w:line="360" w:lineRule="auto"/>
        <w:ind w:firstLine="420" w:firstLineChars="200"/>
        <w:rPr>
          <w:szCs w:val="21"/>
        </w:rPr>
      </w:pPr>
      <w:r>
        <w:rPr>
          <w:rFonts w:hint="eastAsia" w:ascii="宋体" w:hAnsi="宋体" w:cs="宋体"/>
          <w:szCs w:val="21"/>
          <w:lang w:bidi="ar"/>
        </w:rPr>
        <w:t>中标人在完成联合试运转验收合格后</w:t>
      </w:r>
      <w:r>
        <w:rPr>
          <w:szCs w:val="21"/>
          <w:lang w:bidi="ar"/>
        </w:rPr>
        <w:t>1</w:t>
      </w:r>
      <w:r>
        <w:rPr>
          <w:rFonts w:hint="eastAsia" w:ascii="宋体" w:hAnsi="宋体" w:cs="宋体"/>
          <w:szCs w:val="21"/>
          <w:lang w:bidi="ar"/>
        </w:rPr>
        <w:t>个月内，向项目业主、招标人（或监理单位）分别移交四套符合现行工程验收规范的竣工资料和一套电子档扫描件（以光盘或</w:t>
      </w:r>
      <w:r>
        <w:rPr>
          <w:szCs w:val="21"/>
          <w:lang w:bidi="ar"/>
        </w:rPr>
        <w:t>U</w:t>
      </w:r>
      <w:r>
        <w:rPr>
          <w:rFonts w:hint="eastAsia" w:ascii="宋体" w:hAnsi="宋体" w:cs="宋体"/>
          <w:szCs w:val="21"/>
          <w:lang w:bidi="ar"/>
        </w:rPr>
        <w:t xml:space="preserve">盘作为存储介质交付）。 </w:t>
      </w:r>
    </w:p>
    <w:p>
      <w:pPr>
        <w:pStyle w:val="5"/>
        <w:widowControl/>
        <w:numPr>
          <w:ilvl w:val="2"/>
          <w:numId w:val="4"/>
        </w:numPr>
        <w:spacing w:before="156"/>
        <w:rPr>
          <w:szCs w:val="21"/>
        </w:rPr>
      </w:pPr>
      <w:bookmarkStart w:id="851" w:name="_Toc5780"/>
      <w:r>
        <w:rPr>
          <w:szCs w:val="21"/>
        </w:rPr>
        <w:t>BIM</w:t>
      </w:r>
      <w:r>
        <w:rPr>
          <w:rFonts w:hint="eastAsia" w:ascii="宋体" w:hAnsi="宋体" w:cs="宋体"/>
          <w:szCs w:val="21"/>
        </w:rPr>
        <w:t>模型及技术服务要求</w:t>
      </w:r>
      <w:bookmarkEnd w:id="851"/>
    </w:p>
    <w:p>
      <w:pPr>
        <w:spacing w:line="360" w:lineRule="auto"/>
        <w:ind w:firstLine="420" w:firstLineChars="200"/>
        <w:jc w:val="left"/>
        <w:rPr>
          <w:szCs w:val="21"/>
        </w:rPr>
      </w:pPr>
      <w:r>
        <w:rPr>
          <w:rFonts w:hint="eastAsia" w:ascii="宋体" w:hAnsi="宋体" w:cs="宋体"/>
          <w:szCs w:val="21"/>
          <w:lang w:bidi="ar"/>
        </w:rPr>
        <w:t>中标人应在收到中标通知后</w:t>
      </w:r>
      <w:r>
        <w:rPr>
          <w:szCs w:val="21"/>
          <w:lang w:bidi="ar"/>
        </w:rPr>
        <w:t>5</w:t>
      </w:r>
      <w:r>
        <w:rPr>
          <w:rFonts w:hint="eastAsia" w:ascii="宋体" w:hAnsi="宋体" w:cs="宋体"/>
          <w:szCs w:val="21"/>
          <w:lang w:bidi="ar"/>
        </w:rPr>
        <w:t>个工作日内提供本项目完整的、并且可按照设备现场实际安装部件为独立拆分单元的</w:t>
      </w:r>
      <w:r>
        <w:rPr>
          <w:szCs w:val="21"/>
          <w:lang w:bidi="ar"/>
        </w:rPr>
        <w:t>BIM</w:t>
      </w:r>
      <w:r>
        <w:rPr>
          <w:rFonts w:hint="eastAsia" w:ascii="宋体" w:hAnsi="宋体" w:cs="宋体"/>
          <w:szCs w:val="21"/>
          <w:lang w:bidi="ar"/>
        </w:rPr>
        <w:t>模型（采用于</w:t>
      </w:r>
      <w:r>
        <w:rPr>
          <w:szCs w:val="21"/>
          <w:lang w:bidi="ar"/>
        </w:rPr>
        <w:t>AUTODESK</w:t>
      </w:r>
      <w:r>
        <w:rPr>
          <w:rFonts w:hint="eastAsia" w:ascii="宋体" w:hAnsi="宋体" w:cs="宋体"/>
          <w:szCs w:val="21"/>
          <w:lang w:bidi="ar"/>
        </w:rPr>
        <w:t>公司</w:t>
      </w:r>
      <w:r>
        <w:rPr>
          <w:szCs w:val="21"/>
          <w:lang w:bidi="ar"/>
        </w:rPr>
        <w:t>REVIT 2016</w:t>
      </w:r>
      <w:r>
        <w:rPr>
          <w:rFonts w:hint="eastAsia" w:ascii="宋体" w:hAnsi="宋体" w:cs="宋体"/>
          <w:szCs w:val="21"/>
          <w:lang w:bidi="ar"/>
        </w:rPr>
        <w:t>及以上版本平台建模），包括但不限于设备、工艺管道、阀门、管配件及相关的设备平台。提供的</w:t>
      </w:r>
      <w:r>
        <w:rPr>
          <w:szCs w:val="21"/>
          <w:lang w:bidi="ar"/>
        </w:rPr>
        <w:t>BIM</w:t>
      </w:r>
      <w:r>
        <w:rPr>
          <w:rFonts w:hint="eastAsia" w:ascii="宋体" w:hAnsi="宋体" w:cs="宋体"/>
          <w:szCs w:val="21"/>
          <w:lang w:bidi="ar"/>
        </w:rPr>
        <w:t>模型的每个可拆分单元均应采用基于</w:t>
      </w:r>
      <w:r>
        <w:rPr>
          <w:szCs w:val="21"/>
          <w:lang w:bidi="ar"/>
        </w:rPr>
        <w:t>Autodesk 2016</w:t>
      </w:r>
      <w:r>
        <w:rPr>
          <w:rFonts w:hint="eastAsia" w:ascii="宋体" w:hAnsi="宋体" w:cs="宋体"/>
          <w:szCs w:val="21"/>
          <w:lang w:bidi="ar"/>
        </w:rPr>
        <w:t>及以上版本的</w:t>
      </w:r>
      <w:r>
        <w:rPr>
          <w:szCs w:val="21"/>
          <w:lang w:bidi="ar"/>
        </w:rPr>
        <w:t>Revit</w:t>
      </w:r>
      <w:r>
        <w:rPr>
          <w:rFonts w:hint="eastAsia" w:ascii="宋体" w:hAnsi="宋体" w:cs="宋体"/>
          <w:szCs w:val="21"/>
          <w:lang w:bidi="ar"/>
        </w:rPr>
        <w:t>软件建立的族文件，文件格式为</w:t>
      </w:r>
      <w:r>
        <w:rPr>
          <w:szCs w:val="21"/>
          <w:lang w:bidi="ar"/>
        </w:rPr>
        <w:t>rfa</w:t>
      </w:r>
      <w:r>
        <w:rPr>
          <w:rFonts w:hint="eastAsia" w:ascii="宋体" w:hAnsi="宋体" w:cs="宋体"/>
          <w:szCs w:val="21"/>
          <w:lang w:bidi="ar"/>
        </w:rPr>
        <w:t>。提供的设备</w:t>
      </w:r>
      <w:r>
        <w:rPr>
          <w:szCs w:val="21"/>
          <w:lang w:bidi="ar"/>
        </w:rPr>
        <w:t>BIM</w:t>
      </w:r>
      <w:r>
        <w:rPr>
          <w:rFonts w:hint="eastAsia" w:ascii="宋体" w:hAnsi="宋体" w:cs="宋体"/>
          <w:szCs w:val="21"/>
          <w:lang w:bidi="ar"/>
        </w:rPr>
        <w:t>模型，应具有精确数量、尺寸、形状、位置及方位的具体系统或组件构成，模型构件可以包含附加的非几何信息，应包含所有专业的尺寸、大小、设备型号以及所在对应图纸编号，包含产品厂家、合同单价、安装时间、维修周期、使用说明、寿命、注意事项等。提供的管道系统</w:t>
      </w:r>
      <w:r>
        <w:rPr>
          <w:szCs w:val="21"/>
          <w:lang w:bidi="ar"/>
        </w:rPr>
        <w:t>BIM</w:t>
      </w:r>
      <w:r>
        <w:rPr>
          <w:rFonts w:hint="eastAsia" w:ascii="宋体" w:hAnsi="宋体" w:cs="宋体"/>
          <w:szCs w:val="21"/>
          <w:lang w:bidi="ar"/>
        </w:rPr>
        <w:t>模型，应符合工程实际情况，并提供所有项目中使用的管配件、阀门等的模型及管道与阀门标准。</w:t>
      </w:r>
    </w:p>
    <w:p>
      <w:pPr>
        <w:spacing w:line="360" w:lineRule="auto"/>
        <w:ind w:firstLine="420" w:firstLineChars="200"/>
        <w:jc w:val="left"/>
        <w:rPr>
          <w:szCs w:val="21"/>
        </w:rPr>
      </w:pPr>
      <w:r>
        <w:rPr>
          <w:rFonts w:hint="eastAsia" w:ascii="宋体" w:hAnsi="宋体" w:cs="宋体"/>
          <w:szCs w:val="21"/>
          <w:lang w:bidi="ar"/>
        </w:rPr>
        <w:t>中标人在项目实施过程中应按照现场实际安装情况调整提供的</w:t>
      </w:r>
      <w:r>
        <w:rPr>
          <w:szCs w:val="21"/>
          <w:lang w:bidi="ar"/>
        </w:rPr>
        <w:t>BIM</w:t>
      </w:r>
      <w:r>
        <w:rPr>
          <w:rFonts w:hint="eastAsia" w:ascii="宋体" w:hAnsi="宋体" w:cs="宋体"/>
          <w:szCs w:val="21"/>
          <w:lang w:bidi="ar"/>
        </w:rPr>
        <w:t>模型，确保模型和建成后的工程一致。提供的设备</w:t>
      </w:r>
      <w:r>
        <w:rPr>
          <w:szCs w:val="21"/>
          <w:lang w:bidi="ar"/>
        </w:rPr>
        <w:t>BIM</w:t>
      </w:r>
      <w:r>
        <w:rPr>
          <w:rFonts w:hint="eastAsia" w:ascii="宋体" w:hAnsi="宋体" w:cs="宋体"/>
          <w:szCs w:val="21"/>
          <w:lang w:bidi="ar"/>
        </w:rPr>
        <w:t>模型几何表达精度要求按照产品的实际尺寸建模或采用高精度扫描模型。</w:t>
      </w:r>
    </w:p>
    <w:p>
      <w:pPr>
        <w:spacing w:line="360" w:lineRule="auto"/>
        <w:ind w:firstLine="420" w:firstLineChars="200"/>
        <w:jc w:val="left"/>
        <w:rPr>
          <w:szCs w:val="21"/>
        </w:rPr>
      </w:pPr>
      <w:r>
        <w:rPr>
          <w:rFonts w:hint="eastAsia" w:ascii="宋体" w:hAnsi="宋体" w:cs="宋体"/>
          <w:szCs w:val="21"/>
          <w:lang w:bidi="ar"/>
        </w:rPr>
        <w:t>中标人应在提交设计导图或概念设计的二维图纸的同时提供</w:t>
      </w:r>
      <w:r>
        <w:rPr>
          <w:szCs w:val="21"/>
          <w:lang w:bidi="ar"/>
        </w:rPr>
        <w:t>BIM</w:t>
      </w:r>
      <w:r>
        <w:rPr>
          <w:rFonts w:hint="eastAsia" w:ascii="宋体" w:hAnsi="宋体" w:cs="宋体"/>
          <w:szCs w:val="21"/>
          <w:lang w:bidi="ar"/>
        </w:rPr>
        <w:t>模型，命名标准按照</w:t>
      </w:r>
      <w:r>
        <w:rPr>
          <w:szCs w:val="21"/>
          <w:lang w:bidi="ar"/>
        </w:rPr>
        <w:t>“</w:t>
      </w:r>
      <w:r>
        <w:rPr>
          <w:rFonts w:hint="eastAsia" w:ascii="宋体" w:hAnsi="宋体" w:cs="宋体"/>
          <w:szCs w:val="21"/>
          <w:lang w:bidi="ar"/>
        </w:rPr>
        <w:t>项目编号</w:t>
      </w:r>
      <w:r>
        <w:rPr>
          <w:szCs w:val="21"/>
          <w:lang w:bidi="ar"/>
        </w:rPr>
        <w:t>-</w:t>
      </w:r>
      <w:r>
        <w:rPr>
          <w:rFonts w:hint="eastAsia" w:ascii="宋体" w:hAnsi="宋体" w:cs="宋体"/>
          <w:szCs w:val="21"/>
          <w:lang w:bidi="ar"/>
        </w:rPr>
        <w:t>项目名称</w:t>
      </w:r>
      <w:r>
        <w:rPr>
          <w:szCs w:val="21"/>
          <w:lang w:bidi="ar"/>
        </w:rPr>
        <w:t>-</w:t>
      </w:r>
      <w:r>
        <w:rPr>
          <w:rFonts w:hint="eastAsia" w:ascii="宋体" w:hAnsi="宋体" w:cs="宋体"/>
          <w:szCs w:val="21"/>
          <w:lang w:bidi="ar"/>
        </w:rPr>
        <w:t>总图</w:t>
      </w:r>
      <w:r>
        <w:rPr>
          <w:szCs w:val="21"/>
          <w:lang w:bidi="ar"/>
        </w:rPr>
        <w:t>/</w:t>
      </w:r>
      <w:r>
        <w:rPr>
          <w:rFonts w:hint="eastAsia" w:ascii="宋体" w:hAnsi="宋体" w:cs="宋体"/>
          <w:szCs w:val="21"/>
          <w:lang w:bidi="ar"/>
        </w:rPr>
        <w:t>处理单元</w:t>
      </w:r>
      <w:r>
        <w:rPr>
          <w:szCs w:val="21"/>
          <w:lang w:bidi="ar"/>
        </w:rPr>
        <w:t>-</w:t>
      </w:r>
      <w:r>
        <w:rPr>
          <w:rFonts w:hint="eastAsia" w:ascii="宋体" w:hAnsi="宋体" w:cs="宋体"/>
          <w:szCs w:val="21"/>
          <w:lang w:bidi="ar"/>
        </w:rPr>
        <w:t>实施阶段代号</w:t>
      </w:r>
      <w:r>
        <w:rPr>
          <w:szCs w:val="21"/>
          <w:lang w:bidi="ar"/>
        </w:rPr>
        <w:t>-</w:t>
      </w:r>
      <w:r>
        <w:rPr>
          <w:rFonts w:hint="eastAsia" w:ascii="宋体" w:hAnsi="宋体" w:cs="宋体"/>
          <w:szCs w:val="21"/>
          <w:lang w:bidi="ar"/>
        </w:rPr>
        <w:t>专业</w:t>
      </w:r>
      <w:r>
        <w:rPr>
          <w:szCs w:val="21"/>
          <w:lang w:bidi="ar"/>
        </w:rPr>
        <w:t>-</w:t>
      </w:r>
      <w:r>
        <w:rPr>
          <w:rFonts w:hint="eastAsia" w:ascii="宋体" w:hAnsi="宋体" w:cs="宋体"/>
          <w:szCs w:val="21"/>
          <w:lang w:bidi="ar"/>
        </w:rPr>
        <w:t>日期</w:t>
      </w:r>
      <w:r>
        <w:rPr>
          <w:szCs w:val="21"/>
          <w:lang w:bidi="ar"/>
        </w:rPr>
        <w:t>.</w:t>
      </w:r>
      <w:r>
        <w:rPr>
          <w:rFonts w:hint="eastAsia" w:ascii="宋体" w:hAnsi="宋体" w:cs="宋体"/>
          <w:szCs w:val="21"/>
          <w:lang w:bidi="ar"/>
        </w:rPr>
        <w:t>后缀</w:t>
      </w:r>
      <w:r>
        <w:rPr>
          <w:szCs w:val="21"/>
          <w:lang w:bidi="ar"/>
        </w:rPr>
        <w:t>”</w:t>
      </w:r>
      <w:r>
        <w:rPr>
          <w:rFonts w:hint="eastAsia" w:ascii="宋体" w:hAnsi="宋体" w:cs="宋体"/>
          <w:szCs w:val="21"/>
          <w:lang w:bidi="ar"/>
        </w:rPr>
        <w:t>，最终设备布置将采用</w:t>
      </w:r>
      <w:r>
        <w:rPr>
          <w:szCs w:val="21"/>
          <w:lang w:bidi="ar"/>
        </w:rPr>
        <w:t>BIM</w:t>
      </w:r>
      <w:r>
        <w:rPr>
          <w:rFonts w:hint="eastAsia" w:ascii="宋体" w:hAnsi="宋体" w:cs="宋体"/>
          <w:szCs w:val="21"/>
          <w:lang w:bidi="ar"/>
        </w:rPr>
        <w:t>模型会审检查。</w:t>
      </w:r>
    </w:p>
    <w:p>
      <w:pPr>
        <w:pStyle w:val="4"/>
        <w:widowControl/>
        <w:numPr>
          <w:ilvl w:val="1"/>
          <w:numId w:val="4"/>
        </w:numPr>
        <w:rPr>
          <w:rFonts w:eastAsia="宋体"/>
          <w:szCs w:val="21"/>
        </w:rPr>
      </w:pPr>
      <w:bookmarkStart w:id="852" w:name="_Toc30406"/>
      <w:r>
        <w:rPr>
          <w:rFonts w:hint="eastAsia" w:ascii="宋体" w:hAnsi="宋体" w:eastAsia="宋体" w:cs="宋体"/>
          <w:szCs w:val="21"/>
        </w:rPr>
        <w:t>招标设计图纸目录</w:t>
      </w:r>
      <w:bookmarkEnd w:id="852"/>
    </w:p>
    <w:tbl>
      <w:tblPr>
        <w:tblStyle w:val="2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517"/>
        <w:gridCol w:w="1310"/>
        <w:gridCol w:w="766"/>
        <w:gridCol w:w="195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ascii="宋体" w:hAnsi="宋体" w:cs="宋体"/>
                <w:szCs w:val="21"/>
                <w:lang w:bidi="ar"/>
              </w:rPr>
              <w:t>序号</w:t>
            </w:r>
          </w:p>
        </w:tc>
        <w:tc>
          <w:tcPr>
            <w:tcW w:w="251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szCs w:val="21"/>
              </w:rPr>
            </w:pPr>
            <w:r>
              <w:rPr>
                <w:rFonts w:hint="eastAsia" w:ascii="宋体" w:hAnsi="宋体" w:cs="宋体"/>
                <w:szCs w:val="21"/>
                <w:lang w:bidi="ar"/>
              </w:rPr>
              <w:t>图纸名称</w:t>
            </w:r>
          </w:p>
        </w:tc>
        <w:tc>
          <w:tcPr>
            <w:tcW w:w="131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szCs w:val="21"/>
              </w:rPr>
            </w:pPr>
            <w:r>
              <w:rPr>
                <w:rFonts w:hint="eastAsia" w:ascii="宋体" w:hAnsi="宋体" w:cs="宋体"/>
                <w:szCs w:val="21"/>
                <w:lang w:bidi="ar"/>
              </w:rPr>
              <w:t>数量（套）</w:t>
            </w:r>
          </w:p>
        </w:tc>
        <w:tc>
          <w:tcPr>
            <w:tcW w:w="7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szCs w:val="21"/>
              </w:rPr>
            </w:pPr>
            <w:r>
              <w:rPr>
                <w:rFonts w:hint="eastAsia" w:ascii="宋体" w:hAnsi="宋体" w:cs="宋体"/>
                <w:szCs w:val="21"/>
                <w:lang w:bidi="ar"/>
              </w:rPr>
              <w:t>版本</w:t>
            </w:r>
          </w:p>
        </w:tc>
        <w:tc>
          <w:tcPr>
            <w:tcW w:w="195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szCs w:val="21"/>
              </w:rPr>
            </w:pPr>
            <w:r>
              <w:rPr>
                <w:rFonts w:hint="eastAsia" w:ascii="宋体" w:hAnsi="宋体" w:cs="宋体"/>
                <w:szCs w:val="21"/>
                <w:lang w:bidi="ar"/>
              </w:rPr>
              <w:t>出图日期</w:t>
            </w:r>
          </w:p>
        </w:tc>
        <w:tc>
          <w:tcPr>
            <w:tcW w:w="111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szCs w:val="21"/>
              </w:rPr>
            </w:pPr>
            <w:r>
              <w:rPr>
                <w:rFonts w:hint="eastAsia" w:ascii="宋体" w:hAnsi="宋体" w:cs="宋体"/>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3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
                <w:szCs w:val="21"/>
              </w:rPr>
            </w:pPr>
            <w:r>
              <w:rPr>
                <w:rFonts w:hint="eastAsia" w:ascii="宋体" w:hAnsi="宋体" w:cs="宋体"/>
                <w:b/>
                <w:szCs w:val="21"/>
                <w:lang w:bidi="ar"/>
              </w:rPr>
              <w:t>一、东莞市沙田福禄污水处理厂二期工程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工艺（排水）专业施工图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2</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结构专业施工图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3</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暖通专业施工图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4</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电气专业施工图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5</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自控仪表专业施工图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6</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建筑专业施工图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lang w:bidi="ar"/>
              </w:rPr>
            </w:pPr>
            <w:r>
              <w:rPr>
                <w:rFonts w:hint="eastAsia"/>
                <w:szCs w:val="21"/>
              </w:rPr>
              <w:t>7</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lang w:bidi="ar"/>
              </w:rPr>
            </w:pPr>
            <w:r>
              <w:rPr>
                <w:rFonts w:hint="eastAsia"/>
                <w:kern w:val="0"/>
                <w:szCs w:val="21"/>
                <w:lang w:bidi="ar"/>
              </w:rPr>
              <w:t>景观专业施工图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lang w:bidi="ar"/>
              </w:rPr>
            </w:pPr>
            <w:r>
              <w:rPr>
                <w:rFonts w:hint="eastAsia"/>
                <w:szCs w:val="21"/>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lang w:bidi="ar"/>
              </w:rPr>
            </w:pPr>
            <w:r>
              <w:rPr>
                <w:sz w:val="22"/>
                <w:szCs w:val="22"/>
                <w:lang w:bidi="ar"/>
              </w:rPr>
              <w:t>2022.02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
                <w:szCs w:val="21"/>
              </w:rPr>
            </w:pPr>
            <w:r>
              <w:rPr>
                <w:rFonts w:hint="eastAsia" w:ascii="宋体" w:hAnsi="宋体" w:cs="宋体"/>
                <w:b/>
                <w:szCs w:val="21"/>
                <w:lang w:bidi="ar"/>
              </w:rPr>
              <w:t>二、东莞市清溪厦坭污水处理厂二期工程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lang w:bidi="ar"/>
              </w:rPr>
              <w:t>8</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工艺（排水）专业施工图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rPr>
              <w:t>9</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结构专业施工图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lang w:bidi="ar"/>
              </w:rPr>
              <w:t>10</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暖通专业施工图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1</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电气专业施工图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2</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自控仪表专业施工图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3</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Cs w:val="21"/>
              </w:rPr>
            </w:pPr>
            <w:r>
              <w:rPr>
                <w:rFonts w:hint="eastAsia" w:ascii="宋体" w:hAnsi="宋体" w:cs="宋体"/>
                <w:kern w:val="0"/>
                <w:szCs w:val="21"/>
                <w:lang w:bidi="ar"/>
              </w:rPr>
              <w:t>建筑专业施工图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lang w:bidi="ar"/>
              </w:rPr>
            </w:pPr>
            <w:r>
              <w:rPr>
                <w:szCs w:val="21"/>
                <w:lang w:bidi="ar"/>
              </w:rPr>
              <w:t>1</w:t>
            </w:r>
            <w:r>
              <w:rPr>
                <w:rFonts w:hint="eastAsia"/>
                <w:szCs w:val="21"/>
                <w:lang w:bidi="ar"/>
              </w:rPr>
              <w:t>4</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lang w:bidi="ar"/>
              </w:rPr>
            </w:pPr>
            <w:r>
              <w:rPr>
                <w:rFonts w:hint="eastAsia"/>
                <w:kern w:val="0"/>
                <w:szCs w:val="21"/>
                <w:lang w:bidi="ar"/>
              </w:rPr>
              <w:t>景观专业施工图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lang w:bidi="ar"/>
              </w:rPr>
            </w:pPr>
            <w:r>
              <w:rPr>
                <w:rFonts w:hint="eastAsia"/>
                <w:szCs w:val="21"/>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lang w:bidi="ar"/>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3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Cs w:val="21"/>
              </w:rPr>
            </w:pPr>
            <w:r>
              <w:rPr>
                <w:rFonts w:hint="eastAsia" w:ascii="宋体" w:hAnsi="宋体" w:cs="宋体"/>
                <w:b/>
                <w:szCs w:val="21"/>
                <w:lang w:bidi="ar"/>
              </w:rPr>
              <w:t>三、东莞市黄江梅塘南部污水处理厂一期工程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5</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工艺（排水）专业施工图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6</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结构专业施工图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7</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建筑专业施工图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8</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电气专业施工图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1</w:t>
            </w:r>
            <w:r>
              <w:rPr>
                <w:rFonts w:hint="eastAsia"/>
                <w:szCs w:val="21"/>
                <w:lang w:bidi="ar"/>
              </w:rPr>
              <w:t>9</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自控仪表专业施工图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rPr>
              <w:t>20</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暖通专业施工图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lang w:bidi="ar"/>
              </w:rPr>
            </w:pPr>
            <w:r>
              <w:rPr>
                <w:rFonts w:hint="eastAsia"/>
                <w:szCs w:val="21"/>
              </w:rPr>
              <w:t>21</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lang w:bidi="ar"/>
              </w:rPr>
            </w:pPr>
            <w:r>
              <w:rPr>
                <w:rFonts w:hint="eastAsia"/>
                <w:kern w:val="0"/>
                <w:szCs w:val="21"/>
                <w:lang w:bidi="ar"/>
              </w:rPr>
              <w:t>景观</w:t>
            </w:r>
            <w:r>
              <w:rPr>
                <w:kern w:val="0"/>
                <w:szCs w:val="21"/>
                <w:lang w:bidi="ar"/>
              </w:rPr>
              <w:t>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lang w:bidi="ar"/>
              </w:rPr>
            </w:pPr>
            <w:r>
              <w:rPr>
                <w:rFonts w:hint="eastAsia"/>
                <w:szCs w:val="21"/>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lang w:bidi="ar"/>
              </w:rPr>
            </w:pPr>
            <w:r>
              <w:rPr>
                <w:sz w:val="22"/>
                <w:szCs w:val="22"/>
                <w:lang w:bidi="ar"/>
              </w:rPr>
              <w:t>2022.10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3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Cs w:val="21"/>
              </w:rPr>
            </w:pPr>
            <w:r>
              <w:rPr>
                <w:rFonts w:hint="eastAsia" w:ascii="宋体" w:hAnsi="宋体" w:cs="宋体"/>
                <w:b/>
                <w:szCs w:val="21"/>
                <w:lang w:bidi="ar"/>
              </w:rPr>
              <w:t>四、东莞市凤岗竹塘污水处理厂三期工程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lang w:bidi="ar"/>
              </w:rPr>
              <w:t>22</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工艺（排水）专业施工图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2023.03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lang w:bidi="ar"/>
              </w:rPr>
              <w:t>23</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建筑专业施工图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2023.03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lang w:bidi="ar"/>
              </w:rPr>
              <w:t>24</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结构专业施工图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2023.03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rFonts w:hint="eastAsia"/>
                <w:szCs w:val="21"/>
                <w:lang w:bidi="ar"/>
              </w:rPr>
              <w:t>25</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电气专业施工图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2023.03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2</w:t>
            </w:r>
            <w:r>
              <w:rPr>
                <w:rFonts w:hint="eastAsia"/>
                <w:szCs w:val="21"/>
                <w:lang w:bidi="ar"/>
              </w:rPr>
              <w:t>6</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自控仪表专业施工图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2023.03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r>
              <w:rPr>
                <w:szCs w:val="21"/>
                <w:lang w:bidi="ar"/>
              </w:rPr>
              <w:t>2</w:t>
            </w:r>
            <w:r>
              <w:rPr>
                <w:rFonts w:hint="eastAsia"/>
                <w:szCs w:val="21"/>
                <w:lang w:bidi="ar"/>
              </w:rPr>
              <w:t>7</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Cs w:val="21"/>
              </w:rPr>
            </w:pPr>
            <w:r>
              <w:rPr>
                <w:rFonts w:hint="eastAsia" w:ascii="宋体" w:hAnsi="宋体" w:cs="宋体"/>
                <w:kern w:val="0"/>
                <w:szCs w:val="21"/>
                <w:lang w:bidi="ar"/>
              </w:rPr>
              <w:t>暖通专业施工图</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rFonts w:hint="eastAsia"/>
                <w:sz w:val="22"/>
                <w:szCs w:val="22"/>
                <w:lang w:bidi="ar"/>
              </w:rPr>
              <w:t>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lang w:bidi="ar"/>
              </w:rPr>
              <w:t>2023.03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Cs w:val="21"/>
              </w:rPr>
            </w:pPr>
          </w:p>
        </w:tc>
      </w:tr>
    </w:tbl>
    <w:p>
      <w:pPr>
        <w:adjustRightInd w:val="0"/>
        <w:snapToGrid w:val="0"/>
        <w:spacing w:line="360" w:lineRule="auto"/>
        <w:rPr>
          <w:szCs w:val="21"/>
        </w:rPr>
      </w:pPr>
    </w:p>
    <w:p>
      <w:pPr>
        <w:adjustRightInd w:val="0"/>
        <w:snapToGrid w:val="0"/>
        <w:spacing w:line="360" w:lineRule="auto"/>
        <w:ind w:firstLine="420" w:firstLineChars="200"/>
        <w:rPr>
          <w:szCs w:val="21"/>
        </w:rPr>
      </w:pPr>
    </w:p>
    <w:bookmarkEnd w:id="0"/>
    <w:bookmarkEnd w:id="1"/>
    <w:bookmarkEnd w:id="710"/>
    <w:bookmarkEnd w:id="711"/>
    <w:bookmarkEnd w:id="712"/>
    <w:bookmarkEnd w:id="713"/>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sectPr>
          <w:footerReference r:id="rId6" w:type="default"/>
          <w:pgSz w:w="11906" w:h="16838"/>
          <w:pgMar w:top="1440" w:right="1800" w:bottom="1440" w:left="1800" w:header="851" w:footer="992" w:gutter="0"/>
          <w:cols w:space="425" w:num="1"/>
          <w:docGrid w:type="lines" w:linePitch="312" w:charSpace="0"/>
        </w:sectPr>
      </w:pPr>
    </w:p>
    <w:p>
      <w:pPr>
        <w:pStyle w:val="3"/>
        <w:keepNext w:val="0"/>
        <w:keepLines w:val="0"/>
        <w:spacing w:before="156" w:beforeLines="50" w:after="156" w:afterLines="50"/>
        <w:jc w:val="center"/>
        <w:rPr>
          <w:rFonts w:ascii="宋体" w:hAnsi="宋体" w:eastAsia="宋体"/>
          <w:sz w:val="44"/>
        </w:rPr>
      </w:pPr>
      <w:bookmarkStart w:id="853" w:name="_Toc10173"/>
      <w:bookmarkStart w:id="854" w:name="_Toc132814833"/>
      <w:bookmarkStart w:id="855" w:name="_Toc22877"/>
      <w:bookmarkStart w:id="856" w:name="_Toc16395"/>
      <w:bookmarkStart w:id="857" w:name="_Toc32011"/>
      <w:bookmarkStart w:id="858" w:name="_Toc25867"/>
      <w:r>
        <w:rPr>
          <w:rFonts w:ascii="宋体" w:hAnsi="宋体" w:eastAsia="宋体"/>
          <w:sz w:val="44"/>
        </w:rPr>
        <w:t>第三章 投标文件格式</w:t>
      </w:r>
      <w:bookmarkEnd w:id="853"/>
      <w:bookmarkEnd w:id="854"/>
      <w:bookmarkEnd w:id="855"/>
      <w:bookmarkEnd w:id="856"/>
      <w:bookmarkEnd w:id="857"/>
      <w:bookmarkEnd w:id="858"/>
    </w:p>
    <w:p>
      <w:pPr>
        <w:spacing w:line="360" w:lineRule="auto"/>
        <w:rPr>
          <w:rFonts w:ascii="宋体" w:hAnsi="宋体"/>
        </w:rPr>
      </w:pPr>
    </w:p>
    <w:p>
      <w:pPr>
        <w:spacing w:line="360" w:lineRule="auto"/>
        <w:rPr>
          <w:rFonts w:ascii="宋体" w:hAnsi="宋体"/>
        </w:rPr>
      </w:pPr>
    </w:p>
    <w:p>
      <w:pPr>
        <w:pStyle w:val="4"/>
        <w:spacing w:before="312" w:beforeLines="100" w:after="0" w:line="360" w:lineRule="auto"/>
        <w:ind w:left="420"/>
        <w:jc w:val="center"/>
        <w:rPr>
          <w:rFonts w:ascii="宋体" w:hAnsi="宋体" w:eastAsia="宋体"/>
          <w:b w:val="0"/>
          <w:bCs w:val="0"/>
          <w:sz w:val="30"/>
          <w:szCs w:val="28"/>
        </w:rPr>
      </w:pPr>
      <w:bookmarkStart w:id="859" w:name="_Toc138844824"/>
      <w:bookmarkStart w:id="860" w:name="_Toc30455"/>
      <w:bookmarkStart w:id="861" w:name="_Toc132814834"/>
      <w:bookmarkStart w:id="862" w:name="_Toc32393"/>
      <w:bookmarkStart w:id="863" w:name="_Toc28631"/>
      <w:bookmarkStart w:id="864" w:name="_Toc5150"/>
      <w:bookmarkStart w:id="865" w:name="_Toc22561"/>
      <w:r>
        <w:rPr>
          <w:rFonts w:ascii="宋体" w:hAnsi="宋体" w:eastAsia="宋体"/>
          <w:b w:val="0"/>
          <w:bCs w:val="0"/>
          <w:sz w:val="30"/>
          <w:szCs w:val="28"/>
        </w:rPr>
        <w:t>一、商务标格式</w:t>
      </w:r>
      <w:bookmarkEnd w:id="859"/>
      <w:bookmarkEnd w:id="860"/>
      <w:bookmarkEnd w:id="861"/>
      <w:bookmarkEnd w:id="862"/>
      <w:bookmarkEnd w:id="863"/>
      <w:bookmarkEnd w:id="864"/>
      <w:bookmarkEnd w:id="865"/>
    </w:p>
    <w:p>
      <w:pPr>
        <w:spacing w:line="360" w:lineRule="auto"/>
        <w:rPr>
          <w:rFonts w:ascii="宋体" w:hAnsi="宋体"/>
        </w:rPr>
      </w:pPr>
    </w:p>
    <w:p>
      <w:pPr>
        <w:pStyle w:val="67"/>
        <w:spacing w:line="360" w:lineRule="auto"/>
        <w:rPr>
          <w:rFonts w:hAnsi="宋体"/>
          <w:szCs w:val="24"/>
        </w:rPr>
      </w:pPr>
    </w:p>
    <w:p>
      <w:pPr>
        <w:spacing w:line="360" w:lineRule="auto"/>
        <w:jc w:val="center"/>
        <w:rPr>
          <w:rFonts w:ascii="宋体" w:hAnsi="宋体"/>
        </w:rPr>
      </w:pPr>
    </w:p>
    <w:p>
      <w:pPr>
        <w:pStyle w:val="12"/>
        <w:spacing w:line="360" w:lineRule="auto"/>
        <w:ind w:firstLine="0" w:firstLineChars="0"/>
        <w:rPr>
          <w:rFonts w:ascii="宋体" w:hAnsi="宋体"/>
        </w:rPr>
      </w:pPr>
      <w:r>
        <w:rPr>
          <w:rFonts w:ascii="宋体" w:hAnsi="宋体"/>
        </w:rPr>
        <w:br w:type="page"/>
      </w:r>
    </w:p>
    <w:p>
      <w:pPr>
        <w:pStyle w:val="12"/>
        <w:spacing w:line="360" w:lineRule="auto"/>
        <w:ind w:firstLine="0" w:firstLineChars="0"/>
        <w:rPr>
          <w:rFonts w:ascii="宋体" w:hAnsi="宋体"/>
        </w:rPr>
      </w:pPr>
    </w:p>
    <w:p>
      <w:pPr>
        <w:pStyle w:val="12"/>
        <w:spacing w:line="360" w:lineRule="auto"/>
        <w:ind w:firstLine="0" w:firstLineChars="0"/>
        <w:jc w:val="center"/>
        <w:rPr>
          <w:rFonts w:ascii="宋体" w:hAnsi="宋体"/>
          <w:sz w:val="84"/>
        </w:rPr>
      </w:pPr>
      <w:r>
        <w:rPr>
          <w:rFonts w:ascii="宋体" w:hAnsi="宋体"/>
          <w:sz w:val="84"/>
        </w:rPr>
        <w:t>投 标 文 件</w:t>
      </w:r>
    </w:p>
    <w:p>
      <w:pPr>
        <w:pStyle w:val="12"/>
        <w:spacing w:line="360" w:lineRule="auto"/>
        <w:ind w:firstLine="0" w:firstLineChars="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r>
        <w:rPr>
          <w:rFonts w:hint="eastAsia" w:ascii="宋体" w:hAnsi="宋体"/>
          <w:sz w:val="30"/>
          <w:u w:val="single"/>
        </w:rPr>
        <w:t xml:space="preserve">    </w:t>
      </w:r>
    </w:p>
    <w:p>
      <w:pPr>
        <w:pStyle w:val="12"/>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r>
        <w:rPr>
          <w:rFonts w:hint="eastAsia" w:ascii="宋体" w:hAnsi="宋体"/>
          <w:sz w:val="30"/>
          <w:u w:val="single"/>
        </w:rPr>
        <w:t xml:space="preserve">    </w:t>
      </w:r>
    </w:p>
    <w:p>
      <w:pPr>
        <w:pStyle w:val="12"/>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hint="eastAsia" w:ascii="宋体" w:hAnsi="宋体"/>
          <w:sz w:val="30"/>
          <w:u w:val="single"/>
        </w:rPr>
        <w:t xml:space="preserve">     </w:t>
      </w:r>
      <w:r>
        <w:rPr>
          <w:rFonts w:ascii="宋体" w:hAnsi="宋体"/>
          <w:sz w:val="30"/>
          <w:u w:val="single"/>
        </w:rPr>
        <w:t xml:space="preserve">  </w:t>
      </w:r>
    </w:p>
    <w:p>
      <w:pPr>
        <w:pStyle w:val="12"/>
        <w:spacing w:line="360" w:lineRule="auto"/>
        <w:ind w:firstLine="1908" w:firstLineChars="636"/>
        <w:rPr>
          <w:rFonts w:ascii="宋体" w:hAnsi="宋体"/>
          <w:sz w:val="30"/>
        </w:rPr>
      </w:pPr>
      <w:r>
        <w:rPr>
          <w:rFonts w:ascii="宋体" w:hAnsi="宋体"/>
          <w:sz w:val="30"/>
        </w:rPr>
        <w:t>招标人：</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pPr>
        <w:pStyle w:val="12"/>
        <w:spacing w:line="360" w:lineRule="auto"/>
        <w:ind w:firstLine="1908" w:firstLineChars="636"/>
        <w:rPr>
          <w:rFonts w:ascii="宋体" w:hAnsi="宋体"/>
          <w:sz w:val="30"/>
          <w:u w:val="single"/>
        </w:rPr>
      </w:pPr>
      <w:r>
        <w:rPr>
          <w:rFonts w:ascii="宋体" w:hAnsi="宋体"/>
          <w:sz w:val="30"/>
        </w:rPr>
        <w:t>投标人：</w:t>
      </w:r>
      <w:r>
        <w:rPr>
          <w:rFonts w:hint="eastAsia" w:ascii="宋体" w:hAnsi="宋体"/>
          <w:sz w:val="30"/>
          <w:u w:val="single"/>
        </w:rPr>
        <w:t xml:space="preserve"> </w:t>
      </w:r>
      <w:r>
        <w:rPr>
          <w:rFonts w:ascii="宋体" w:hAnsi="宋体"/>
          <w:sz w:val="30"/>
          <w:u w:val="single"/>
        </w:rPr>
        <w:t xml:space="preserve">  </w:t>
      </w:r>
      <w:r>
        <w:rPr>
          <w:rFonts w:hint="eastAsia" w:hAnsi="宋体"/>
          <w:sz w:val="30"/>
          <w:u w:val="single"/>
        </w:rPr>
        <w:t xml:space="preserve">（企业数字证书电子签名） </w:t>
      </w:r>
    </w:p>
    <w:p>
      <w:pPr>
        <w:pStyle w:val="12"/>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12"/>
        <w:spacing w:line="360" w:lineRule="auto"/>
        <w:ind w:left="400"/>
        <w:rPr>
          <w:rFonts w:ascii="宋体" w:hAnsi="宋体"/>
        </w:rPr>
      </w:pPr>
    </w:p>
    <w:p>
      <w:pPr>
        <w:pStyle w:val="5"/>
        <w:spacing w:before="156" w:beforeLines="50" w:after="156" w:afterLines="50"/>
        <w:jc w:val="center"/>
        <w:rPr>
          <w:rFonts w:ascii="宋体" w:hAnsi="宋体"/>
          <w:sz w:val="24"/>
          <w:szCs w:val="24"/>
        </w:rPr>
      </w:pPr>
      <w:bookmarkStart w:id="866" w:name="_Toc1195"/>
      <w:bookmarkStart w:id="867" w:name="_Toc20875"/>
      <w:bookmarkStart w:id="868" w:name="_Toc5452"/>
      <w:bookmarkStart w:id="869" w:name="_Toc132814835"/>
      <w:bookmarkStart w:id="870" w:name="_Toc6942"/>
      <w:bookmarkStart w:id="871" w:name="_Toc277928785"/>
      <w:bookmarkStart w:id="872" w:name="_Toc31175"/>
      <w:r>
        <w:rPr>
          <w:rFonts w:ascii="宋体" w:hAnsi="宋体"/>
          <w:sz w:val="24"/>
          <w:szCs w:val="24"/>
        </w:rPr>
        <w:t>目 录</w:t>
      </w:r>
      <w:bookmarkEnd w:id="866"/>
      <w:bookmarkEnd w:id="867"/>
      <w:bookmarkEnd w:id="868"/>
      <w:bookmarkEnd w:id="869"/>
      <w:bookmarkEnd w:id="870"/>
      <w:bookmarkEnd w:id="871"/>
      <w:bookmarkEnd w:id="872"/>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ascii="宋体" w:hAnsi="宋体"/>
          <w:szCs w:val="21"/>
        </w:rPr>
        <w:t>投标函</w:t>
      </w:r>
      <w:r>
        <w:rPr>
          <w:rFonts w:hint="eastAsia" w:ascii="宋体" w:hAnsi="宋体"/>
          <w:szCs w:val="21"/>
        </w:rPr>
        <w:t>、</w:t>
      </w:r>
      <w:r>
        <w:rPr>
          <w:rFonts w:hint="eastAsia" w:ascii="宋体" w:hAnsi="宋体" w:cs="宋体"/>
          <w:bCs/>
          <w:szCs w:val="21"/>
          <w:lang w:val="zh-CN"/>
        </w:rPr>
        <w:t>供货及/或提供服务过程承诺函</w:t>
      </w:r>
      <w:r>
        <w:rPr>
          <w:rFonts w:ascii="宋体" w:hAnsi="宋体"/>
          <w:szCs w:val="21"/>
        </w:rPr>
        <w:t>；</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ascii="宋体" w:hAnsi="宋体"/>
          <w:szCs w:val="21"/>
        </w:rPr>
        <w:t>分项报价表；</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东莞市沙田福禄沙污水处理厂二期工程刮泥机成套系统设备采购</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东莞市清溪厦坭污水处理厂二期工程刮泥机成套系统设备</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东莞市黄江梅塘南部污水处理厂一期工程刮泥机成套系统设备</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szCs w:val="21"/>
        </w:rPr>
        <w:t>东莞市凤岗竹塘污水处理厂三期工程刮泥机成套系统设备</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rPr>
        <w:t>法定代表人身份证明书（须附法定代表人身份证</w:t>
      </w:r>
      <w:r>
        <w:rPr>
          <w:rFonts w:hint="eastAsia" w:ascii="宋体" w:hAnsi="宋体"/>
          <w:szCs w:val="21"/>
        </w:rPr>
        <w:t>原件扫描</w:t>
      </w:r>
      <w:r>
        <w:rPr>
          <w:rFonts w:hint="eastAsia"/>
        </w:rPr>
        <w:t>件）</w:t>
      </w:r>
      <w:r>
        <w:rPr>
          <w:rFonts w:hint="eastAsia" w:ascii="宋体" w:hAnsi="宋体"/>
          <w:szCs w:val="21"/>
          <w:lang w:val="zh-CN"/>
        </w:rPr>
        <w:t>；</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 xml:space="preserve">法定代表人授权书 </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投标人资格证明文件</w:t>
      </w:r>
    </w:p>
    <w:p>
      <w:pPr>
        <w:pStyle w:val="65"/>
        <w:tabs>
          <w:tab w:val="left" w:pos="210"/>
        </w:tabs>
        <w:spacing w:line="440" w:lineRule="exact"/>
        <w:ind w:left="216" w:leftChars="103" w:firstLine="201" w:firstLineChars="96"/>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pPr>
        <w:pStyle w:val="65"/>
        <w:tabs>
          <w:tab w:val="left" w:pos="210"/>
        </w:tabs>
        <w:spacing w:line="440" w:lineRule="exact"/>
        <w:ind w:left="216" w:leftChars="103" w:firstLine="201" w:firstLineChars="96"/>
        <w:rPr>
          <w:color w:val="auto"/>
        </w:rPr>
      </w:pPr>
      <w:r>
        <w:rPr>
          <w:rFonts w:hint="eastAsia"/>
          <w:color w:val="auto"/>
        </w:rPr>
        <w:t>（2）成套设备制造商资格声明；</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投标人基本情况、简介；</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投标人财务状况；</w:t>
      </w:r>
    </w:p>
    <w:p>
      <w:pPr>
        <w:numPr>
          <w:ilvl w:val="4"/>
          <w:numId w:val="1"/>
        </w:numPr>
        <w:tabs>
          <w:tab w:val="left" w:pos="210"/>
          <w:tab w:val="clear" w:pos="1495"/>
        </w:tabs>
        <w:spacing w:line="440" w:lineRule="exact"/>
        <w:ind w:left="216" w:leftChars="103" w:firstLine="201" w:firstLineChars="96"/>
        <w:rPr>
          <w:rFonts w:ascii="宋体" w:hAnsi="宋体" w:cs="宋体"/>
          <w:szCs w:val="21"/>
        </w:rPr>
      </w:pPr>
      <w:r>
        <w:rPr>
          <w:rFonts w:hint="eastAsia" w:ascii="宋体" w:hAnsi="宋体"/>
        </w:rPr>
        <w:t>合同条款响应程度（即合同条款偏离表）；</w:t>
      </w:r>
    </w:p>
    <w:p>
      <w:pPr>
        <w:numPr>
          <w:ilvl w:val="4"/>
          <w:numId w:val="1"/>
        </w:numPr>
        <w:tabs>
          <w:tab w:val="left" w:pos="210"/>
          <w:tab w:val="clear" w:pos="1495"/>
        </w:tabs>
        <w:spacing w:line="440" w:lineRule="exact"/>
        <w:ind w:left="216" w:leftChars="103" w:firstLine="201" w:firstLineChars="96"/>
        <w:rPr>
          <w:rFonts w:ascii="宋体" w:hAnsi="宋体" w:cs="宋体"/>
          <w:szCs w:val="21"/>
        </w:rPr>
      </w:pPr>
      <w:r>
        <w:rPr>
          <w:rFonts w:hint="eastAsia" w:ascii="宋体" w:hAnsi="宋体" w:cs="宋体"/>
          <w:szCs w:val="21"/>
        </w:rPr>
        <w:t>资格业绩表（并按第三章投标文件格式要求附相关证明材料）；</w:t>
      </w:r>
    </w:p>
    <w:p>
      <w:pPr>
        <w:numPr>
          <w:ilvl w:val="4"/>
          <w:numId w:val="1"/>
        </w:numPr>
        <w:tabs>
          <w:tab w:val="left" w:pos="210"/>
          <w:tab w:val="clear" w:pos="1495"/>
        </w:tabs>
        <w:spacing w:line="440" w:lineRule="exact"/>
        <w:ind w:left="216" w:leftChars="103" w:firstLine="201" w:firstLineChars="96"/>
        <w:rPr>
          <w:rFonts w:ascii="宋体" w:hAnsi="宋体"/>
          <w:sz w:val="24"/>
        </w:rPr>
      </w:pPr>
      <w:r>
        <w:rPr>
          <w:rFonts w:ascii="宋体" w:hAnsi="宋体" w:cs="宋体"/>
          <w:szCs w:val="21"/>
        </w:rPr>
        <w:t>2018</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日至今投标品牌的刮泥机系统成套设备在国内完成的供货业绩表（并按第三章投标文件格式要求附相关证明材料）；</w:t>
      </w:r>
    </w:p>
    <w:p>
      <w:pPr>
        <w:numPr>
          <w:ilvl w:val="4"/>
          <w:numId w:val="1"/>
        </w:numPr>
        <w:tabs>
          <w:tab w:val="left" w:pos="210"/>
          <w:tab w:val="clear" w:pos="1495"/>
        </w:tabs>
        <w:spacing w:line="440" w:lineRule="exact"/>
        <w:ind w:left="216" w:leftChars="103" w:firstLine="201" w:firstLineChars="96"/>
        <w:rPr>
          <w:rFonts w:ascii="宋体" w:hAnsi="宋体"/>
          <w:sz w:val="24"/>
        </w:rPr>
      </w:pPr>
      <w:r>
        <w:rPr>
          <w:rFonts w:hint="eastAsia" w:ascii="宋体" w:hAnsi="宋体"/>
          <w:szCs w:val="21"/>
        </w:rPr>
        <w:t>反映投标人信誉和能力的其他资料（不做强制性提交要求）。</w:t>
      </w:r>
    </w:p>
    <w:p/>
    <w:p>
      <w:pPr>
        <w:pStyle w:val="5"/>
        <w:pageBreakBefore/>
        <w:spacing w:before="156" w:beforeLines="50" w:after="156" w:afterLines="50"/>
        <w:jc w:val="center"/>
        <w:rPr>
          <w:rFonts w:ascii="宋体" w:hAnsi="宋体"/>
          <w:sz w:val="24"/>
          <w:szCs w:val="24"/>
        </w:rPr>
      </w:pPr>
      <w:bookmarkStart w:id="873" w:name="_Toc4367"/>
      <w:bookmarkStart w:id="874" w:name="_Toc121"/>
      <w:bookmarkStart w:id="875" w:name="_Toc277928787"/>
      <w:bookmarkStart w:id="876" w:name="_Toc27361"/>
      <w:bookmarkStart w:id="877" w:name="_Toc27190"/>
      <w:bookmarkStart w:id="878" w:name="_Toc132814836"/>
      <w:bookmarkStart w:id="879" w:name="_Toc17186"/>
      <w:r>
        <w:rPr>
          <w:rFonts w:ascii="宋体" w:hAnsi="宋体"/>
          <w:sz w:val="24"/>
          <w:szCs w:val="24"/>
        </w:rPr>
        <w:t>1</w:t>
      </w:r>
      <w:r>
        <w:rPr>
          <w:rFonts w:hint="eastAsia" w:ascii="宋体" w:hAnsi="宋体"/>
          <w:sz w:val="24"/>
          <w:szCs w:val="24"/>
        </w:rPr>
        <w:t>-1</w:t>
      </w:r>
      <w:r>
        <w:rPr>
          <w:rFonts w:ascii="宋体" w:hAnsi="宋体"/>
          <w:sz w:val="24"/>
          <w:szCs w:val="24"/>
        </w:rPr>
        <w:t>、投 标 函</w:t>
      </w:r>
      <w:bookmarkEnd w:id="873"/>
      <w:bookmarkEnd w:id="874"/>
      <w:bookmarkEnd w:id="875"/>
      <w:bookmarkEnd w:id="876"/>
      <w:bookmarkEnd w:id="877"/>
      <w:bookmarkEnd w:id="878"/>
      <w:bookmarkEnd w:id="879"/>
    </w:p>
    <w:p>
      <w:pPr>
        <w:snapToGrid w:val="0"/>
        <w:spacing w:line="380" w:lineRule="exact"/>
        <w:rPr>
          <w:rFonts w:ascii="宋体" w:hAnsi="宋体"/>
          <w:spacing w:val="10"/>
          <w:szCs w:val="21"/>
          <w:u w:val="single"/>
        </w:rPr>
      </w:pPr>
      <w:r>
        <w:rPr>
          <w:rFonts w:hint="eastAsia" w:ascii="宋体" w:hAnsi="宋体"/>
          <w:szCs w:val="21"/>
        </w:rPr>
        <w:t>致：</w:t>
      </w:r>
      <w:r>
        <w:rPr>
          <w:rFonts w:ascii="宋体" w:hAnsi="宋体"/>
          <w:szCs w:val="21"/>
          <w:u w:val="single"/>
        </w:rPr>
        <w:t>东莞市石鼓污水处理有限公司</w:t>
      </w:r>
      <w:r>
        <w:rPr>
          <w:rFonts w:hint="eastAsia" w:ascii="宋体" w:hAnsi="宋体"/>
          <w:szCs w:val="21"/>
          <w:u w:val="single"/>
        </w:rPr>
        <w:t>、东莞市水务集团建设管理有限公司</w:t>
      </w:r>
    </w:p>
    <w:p>
      <w:pPr>
        <w:snapToGrid w:val="0"/>
        <w:spacing w:line="380" w:lineRule="exact"/>
        <w:ind w:firstLine="420" w:firstLineChars="200"/>
        <w:rPr>
          <w:rFonts w:ascii="宋体" w:hAnsi="宋体"/>
          <w:szCs w:val="21"/>
          <w:u w:val="single"/>
        </w:rPr>
      </w:pPr>
      <w:r>
        <w:rPr>
          <w:rFonts w:hint="eastAsia" w:ascii="宋体" w:hAnsi="宋体"/>
          <w:szCs w:val="21"/>
        </w:rPr>
        <w:t>1、根据你方招标工程项目招标编号为</w:t>
      </w:r>
      <w:r>
        <w:rPr>
          <w:rFonts w:hint="eastAsia" w:ascii="宋体" w:hAnsi="宋体"/>
          <w:szCs w:val="21"/>
          <w:u w:val="single"/>
        </w:rPr>
        <w:t xml:space="preserve">  {招标编号}  </w:t>
      </w:r>
      <w:r>
        <w:rPr>
          <w:rFonts w:hint="eastAsia" w:ascii="宋体" w:hAnsi="宋体"/>
          <w:szCs w:val="21"/>
        </w:rPr>
        <w:t>的</w:t>
      </w:r>
      <w:r>
        <w:rPr>
          <w:rFonts w:hint="eastAsia" w:ascii="宋体" w:hAnsi="宋体"/>
          <w:szCs w:val="21"/>
          <w:u w:val="single"/>
        </w:rPr>
        <w:t xml:space="preserve"> {招标项目名称} </w:t>
      </w:r>
      <w:r>
        <w:rPr>
          <w:rFonts w:hint="eastAsia" w:ascii="宋体" w:hAnsi="宋体"/>
          <w:kern w:val="3"/>
          <w:szCs w:val="21"/>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szCs w:val="21"/>
          <w:u w:val="single"/>
        </w:rPr>
        <w:t>报价信封中的投标值作为本项目</w:t>
      </w:r>
      <w:r>
        <w:rPr>
          <w:rFonts w:hint="eastAsia" w:ascii="宋体" w:hAnsi="宋体"/>
          <w:szCs w:val="21"/>
        </w:rPr>
        <w:t>投标总报价并按上述资料、我方的投标文件承诺、合同条款及补充通知的条件要求承包上述项目。</w:t>
      </w:r>
    </w:p>
    <w:p>
      <w:pPr>
        <w:snapToGrid w:val="0"/>
        <w:spacing w:line="380" w:lineRule="exact"/>
        <w:ind w:firstLine="420" w:firstLineChars="200"/>
        <w:rPr>
          <w:rFonts w:ascii="宋体" w:hAnsi="宋体"/>
          <w:szCs w:val="21"/>
        </w:rPr>
      </w:pPr>
      <w:r>
        <w:rPr>
          <w:rFonts w:hint="eastAsia" w:ascii="宋体" w:hAnsi="宋体"/>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80" w:lineRule="exact"/>
        <w:ind w:firstLine="420" w:firstLineChars="200"/>
        <w:rPr>
          <w:rFonts w:ascii="宋体" w:hAnsi="宋体"/>
          <w:szCs w:val="21"/>
        </w:rPr>
      </w:pPr>
      <w:r>
        <w:rPr>
          <w:rFonts w:hint="eastAsia" w:ascii="宋体" w:hAnsi="宋体"/>
          <w:szCs w:val="21"/>
        </w:rPr>
        <w:t>3、一旦我方中标，我方保证按合同规定的时间内向项目业主或招标人提交所有的货物及相关服务至项目范围内所有内容最终验收合格之日止，并按合同约定履行售后服务。</w:t>
      </w:r>
    </w:p>
    <w:p>
      <w:pPr>
        <w:snapToGrid w:val="0"/>
        <w:spacing w:line="380" w:lineRule="exact"/>
        <w:ind w:firstLine="420" w:firstLineChars="200"/>
        <w:rPr>
          <w:rFonts w:ascii="宋体" w:hAnsi="宋体"/>
          <w:szCs w:val="21"/>
        </w:rPr>
      </w:pPr>
      <w:r>
        <w:rPr>
          <w:rFonts w:hint="eastAsia" w:ascii="宋体" w:hAnsi="宋体"/>
          <w:szCs w:val="21"/>
        </w:rPr>
        <w:t>4、我方已按照招标文件的规定提交金额为人民币</w:t>
      </w:r>
      <w:r>
        <w:rPr>
          <w:rFonts w:hint="eastAsia" w:ascii="宋体" w:hAnsi="宋体"/>
          <w:szCs w:val="21"/>
          <w:u w:val="single"/>
        </w:rPr>
        <w:t xml:space="preserve">       </w:t>
      </w:r>
      <w:r>
        <w:rPr>
          <w:rFonts w:hint="eastAsia" w:ascii="宋体" w:hAnsi="宋体"/>
          <w:szCs w:val="21"/>
        </w:rPr>
        <w:t>元的投标保证金。如果我们在本投标文件</w:t>
      </w:r>
      <w:r>
        <w:rPr>
          <w:rFonts w:hint="eastAsia" w:ascii="宋体" w:hAnsi="宋体"/>
          <w:spacing w:val="6"/>
          <w:szCs w:val="21"/>
        </w:rPr>
        <w:t>有效期内撤销投标文件；或我方投标文件存在弄虚作假；或拒绝接受依据投标人须知的规定对投标文件中细微偏差进行澄清和补正；</w:t>
      </w:r>
      <w:r>
        <w:rPr>
          <w:rFonts w:hint="eastAsia" w:ascii="宋体" w:hAnsi="宋体"/>
          <w:szCs w:val="21"/>
        </w:rPr>
        <w:t>或在接到中标通知书后的30天内未能或拒绝签订合同；或未能提交履约担保，你方有权没收投标保证金，另选中标单位。</w:t>
      </w:r>
    </w:p>
    <w:p>
      <w:pPr>
        <w:snapToGrid w:val="0"/>
        <w:spacing w:line="380" w:lineRule="exact"/>
        <w:ind w:firstLine="420" w:firstLineChars="200"/>
        <w:rPr>
          <w:rFonts w:ascii="宋体" w:hAnsi="宋体"/>
          <w:spacing w:val="6"/>
          <w:szCs w:val="21"/>
        </w:rPr>
      </w:pPr>
      <w:r>
        <w:rPr>
          <w:rFonts w:hint="eastAsia" w:ascii="宋体" w:hAnsi="宋体"/>
          <w:szCs w:val="21"/>
        </w:rPr>
        <w:t>5、我方承诺在投标文件中所提交的所有资料均真实有效，若有虚假，我方愿意接受按弄虚作假骗取中标的有关规定进行处理，并承担相应的法律责任。</w:t>
      </w:r>
    </w:p>
    <w:p>
      <w:pPr>
        <w:snapToGrid w:val="0"/>
        <w:spacing w:line="380" w:lineRule="exact"/>
        <w:ind w:firstLine="420" w:firstLineChars="200"/>
        <w:rPr>
          <w:rFonts w:ascii="宋体" w:hAnsi="宋体"/>
          <w:szCs w:val="21"/>
        </w:rPr>
      </w:pPr>
      <w:r>
        <w:rPr>
          <w:rFonts w:hint="eastAsia" w:ascii="宋体" w:hAnsi="宋体"/>
          <w:szCs w:val="21"/>
        </w:rPr>
        <w:t>6、若因自身原因在规定的时间内未能进行资料的补充或未按时履行招标文件约定的义务，愿意接受按自动弃标处理，并承担相应的法律责任。</w:t>
      </w:r>
    </w:p>
    <w:p>
      <w:pPr>
        <w:snapToGrid w:val="0"/>
        <w:spacing w:line="380" w:lineRule="exact"/>
        <w:ind w:firstLine="422" w:firstLineChars="200"/>
        <w:rPr>
          <w:rFonts w:ascii="宋体" w:hAnsi="宋体"/>
          <w:szCs w:val="21"/>
        </w:rPr>
      </w:pPr>
      <w:r>
        <w:rPr>
          <w:rFonts w:hint="eastAsia" w:ascii="宋体" w:hAnsi="宋体"/>
          <w:b/>
          <w:bCs/>
          <w:szCs w:val="21"/>
        </w:rPr>
        <w:t>7</w:t>
      </w:r>
      <w:r>
        <w:rPr>
          <w:rFonts w:hint="eastAsia" w:ascii="宋体" w:hAnsi="宋体"/>
          <w:szCs w:val="21"/>
        </w:rPr>
        <w:t>、本投标文件的有效期自递交投标文件截止日后</w:t>
      </w:r>
      <w:r>
        <w:rPr>
          <w:rFonts w:ascii="宋体" w:hAnsi="宋体"/>
          <w:szCs w:val="21"/>
        </w:rPr>
        <w:t>90</w:t>
      </w:r>
      <w:r>
        <w:rPr>
          <w:rFonts w:hint="eastAsia" w:ascii="宋体" w:hAnsi="宋体"/>
          <w:szCs w:val="21"/>
        </w:rPr>
        <w:t>日内有效，如中标，有效期将延至合同终止日为止。</w:t>
      </w:r>
    </w:p>
    <w:p>
      <w:pPr>
        <w:snapToGrid w:val="0"/>
        <w:spacing w:line="380" w:lineRule="exact"/>
        <w:ind w:firstLine="420" w:firstLineChars="200"/>
        <w:rPr>
          <w:rFonts w:ascii="宋体" w:hAnsi="宋体"/>
          <w:kern w:val="3"/>
        </w:rPr>
      </w:pPr>
      <w:r>
        <w:rPr>
          <w:rFonts w:hint="eastAsia" w:ascii="宋体" w:hAnsi="宋体"/>
          <w:szCs w:val="21"/>
        </w:rPr>
        <w:t>8、我方承诺本公司满足招标文件的各项要求，不存在招标文件投标须知第4</w:t>
      </w:r>
      <w:r>
        <w:rPr>
          <w:rFonts w:ascii="宋体" w:hAnsi="宋体"/>
          <w:szCs w:val="21"/>
        </w:rPr>
        <w:t>.5</w:t>
      </w:r>
      <w:r>
        <w:rPr>
          <w:rFonts w:hint="eastAsia" w:ascii="宋体" w:hAnsi="宋体"/>
          <w:szCs w:val="21"/>
        </w:rPr>
        <w:t>款规定的情形</w:t>
      </w:r>
      <w:r>
        <w:rPr>
          <w:rFonts w:ascii="宋体" w:hAnsi="宋体"/>
          <w:kern w:val="3"/>
        </w:rPr>
        <w:t>。</w:t>
      </w:r>
    </w:p>
    <w:p>
      <w:pPr>
        <w:snapToGrid w:val="0"/>
        <w:spacing w:line="380" w:lineRule="exact"/>
        <w:ind w:firstLine="420" w:firstLineChars="200"/>
        <w:rPr>
          <w:rFonts w:ascii="宋体" w:hAnsi="宋体"/>
          <w:kern w:val="3"/>
        </w:rPr>
      </w:pPr>
      <w:r>
        <w:rPr>
          <w:rFonts w:hint="eastAsia" w:ascii="宋体" w:hAnsi="宋体"/>
          <w:szCs w:val="21"/>
        </w:rPr>
        <w:t>9、除非另外达成协议并生效，你方的中标通知书和本招标文件及本投标文件将成为约束三方的合同文件的组成部分</w:t>
      </w:r>
      <w:r>
        <w:rPr>
          <w:rFonts w:ascii="宋体" w:hAnsi="宋体"/>
          <w:kern w:val="3"/>
        </w:rPr>
        <w:t>。</w:t>
      </w:r>
    </w:p>
    <w:p>
      <w:pPr>
        <w:snapToGrid w:val="0"/>
        <w:spacing w:line="380" w:lineRule="exact"/>
        <w:ind w:left="945" w:leftChars="200" w:hanging="525" w:hangingChars="250"/>
        <w:rPr>
          <w:rFonts w:ascii="宋体" w:hAnsi="宋体"/>
          <w:kern w:val="3"/>
          <w:u w:val="single"/>
        </w:rPr>
      </w:pPr>
      <w:r>
        <w:rPr>
          <w:rFonts w:hint="eastAsia" w:ascii="宋体" w:hAnsi="宋体"/>
          <w:kern w:val="3"/>
        </w:rPr>
        <w:t>联系人：</w:t>
      </w:r>
      <w:r>
        <w:rPr>
          <w:rFonts w:hint="eastAsia" w:ascii="宋体" w:hAnsi="宋体"/>
          <w:kern w:val="3"/>
          <w:u w:val="single"/>
        </w:rPr>
        <w:t xml:space="preserve">             </w:t>
      </w:r>
      <w:r>
        <w:rPr>
          <w:rFonts w:hint="eastAsia" w:ascii="宋体" w:hAnsi="宋体"/>
          <w:kern w:val="3"/>
        </w:rPr>
        <w:t xml:space="preserve">   联系电话：</w:t>
      </w:r>
      <w:r>
        <w:rPr>
          <w:rFonts w:hint="eastAsia" w:ascii="宋体" w:hAnsi="宋体"/>
          <w:kern w:val="3"/>
          <w:u w:val="single"/>
        </w:rPr>
        <w:t xml:space="preserve">                 </w:t>
      </w:r>
    </w:p>
    <w:p>
      <w:pPr>
        <w:snapToGrid w:val="0"/>
        <w:spacing w:line="380" w:lineRule="exact"/>
        <w:ind w:left="945" w:leftChars="200" w:hanging="525" w:hangingChars="250"/>
        <w:rPr>
          <w:rFonts w:ascii="宋体" w:hAnsi="宋体"/>
          <w:kern w:val="3"/>
        </w:rPr>
      </w:pPr>
      <w:r>
        <w:rPr>
          <w:rFonts w:hint="eastAsia" w:ascii="宋体" w:hAnsi="宋体"/>
          <w:kern w:val="3"/>
        </w:rPr>
        <w:t>传真：</w:t>
      </w:r>
      <w:r>
        <w:rPr>
          <w:rFonts w:hint="eastAsia" w:ascii="宋体" w:hAnsi="宋体"/>
          <w:kern w:val="3"/>
          <w:u w:val="single"/>
        </w:rPr>
        <w:t xml:space="preserve">               </w:t>
      </w:r>
      <w:r>
        <w:rPr>
          <w:rFonts w:hint="eastAsia" w:ascii="宋体" w:hAnsi="宋体"/>
          <w:kern w:val="3"/>
        </w:rPr>
        <w:t xml:space="preserve">   电子邮箱：</w:t>
      </w:r>
      <w:r>
        <w:rPr>
          <w:rFonts w:hint="eastAsia" w:ascii="宋体" w:hAnsi="宋体"/>
          <w:kern w:val="3"/>
          <w:u w:val="single"/>
        </w:rPr>
        <w:t xml:space="preserve">               </w:t>
      </w:r>
      <w:r>
        <w:rPr>
          <w:rFonts w:hint="eastAsia" w:ascii="宋体" w:hAnsi="宋体"/>
          <w:kern w:val="3"/>
        </w:rPr>
        <w:t xml:space="preserve"> </w:t>
      </w:r>
    </w:p>
    <w:p>
      <w:pPr>
        <w:snapToGrid w:val="0"/>
        <w:spacing w:line="380" w:lineRule="exact"/>
        <w:ind w:firstLine="420" w:firstLineChars="200"/>
        <w:rPr>
          <w:rFonts w:ascii="宋体" w:hAnsi="宋体"/>
          <w:kern w:val="3"/>
          <w:u w:val="single"/>
        </w:rPr>
      </w:pPr>
      <w:r>
        <w:rPr>
          <w:rFonts w:ascii="宋体" w:hAnsi="宋体"/>
          <w:kern w:val="3"/>
        </w:rPr>
        <w:t>投标人地址：</w:t>
      </w:r>
      <w:r>
        <w:rPr>
          <w:rFonts w:ascii="宋体" w:hAnsi="宋体"/>
          <w:kern w:val="3"/>
          <w:u w:val="single"/>
        </w:rPr>
        <w:t xml:space="preserve">                               </w:t>
      </w:r>
      <w:r>
        <w:rPr>
          <w:rFonts w:hint="eastAsia" w:ascii="宋体" w:hAnsi="宋体"/>
          <w:kern w:val="3"/>
          <w:u w:val="single"/>
        </w:rPr>
        <w:t xml:space="preserve">        </w:t>
      </w:r>
    </w:p>
    <w:p>
      <w:pPr>
        <w:snapToGrid w:val="0"/>
        <w:spacing w:line="380" w:lineRule="exact"/>
        <w:ind w:firstLine="3826" w:firstLineChars="1822"/>
        <w:rPr>
          <w:rFonts w:ascii="宋体" w:hAnsi="宋体"/>
          <w:kern w:val="3"/>
          <w:u w:val="single"/>
        </w:rPr>
      </w:pPr>
      <w:bookmarkStart w:id="880" w:name="_Hlk89531048"/>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80" w:lineRule="exact"/>
        <w:ind w:firstLine="3826" w:firstLineChars="1822"/>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880"/>
    <w:p>
      <w:pPr>
        <w:snapToGrid w:val="0"/>
        <w:spacing w:line="380" w:lineRule="exact"/>
        <w:ind w:firstLine="3826" w:firstLineChars="1822"/>
        <w:rPr>
          <w:rFonts w:ascii="宋体" w:hAnsi="宋体"/>
          <w:kern w:val="3"/>
          <w:u w:val="single"/>
        </w:rPr>
      </w:pPr>
      <w:r>
        <w:rPr>
          <w:rFonts w:ascii="宋体" w:hAnsi="宋体"/>
          <w:kern w:val="3"/>
        </w:rPr>
        <w:t>日    期：</w:t>
      </w:r>
      <w:r>
        <w:rPr>
          <w:rFonts w:ascii="宋体" w:hAnsi="宋体"/>
          <w:kern w:val="3"/>
          <w:u w:val="single"/>
        </w:rPr>
        <w:t xml:space="preserve">                                 </w:t>
      </w:r>
    </w:p>
    <w:p>
      <w:pPr>
        <w:snapToGrid w:val="0"/>
        <w:spacing w:line="380" w:lineRule="exact"/>
        <w:rPr>
          <w:rFonts w:ascii="宋体" w:hAnsi="宋体"/>
          <w:b/>
          <w:kern w:val="3"/>
        </w:rPr>
      </w:pPr>
      <w:bookmarkStart w:id="881" w:name="_Hlk89531060"/>
      <w:r>
        <w:rPr>
          <w:rFonts w:hint="eastAsia" w:hAnsi="宋体" w:cs="宋体"/>
          <w:szCs w:val="21"/>
        </w:rPr>
        <w:t>说明</w:t>
      </w:r>
      <w:r>
        <w:rPr>
          <w:rFonts w:hAnsi="宋体" w:cs="宋体"/>
          <w:szCs w:val="21"/>
        </w:rPr>
        <w:t>：</w:t>
      </w:r>
      <w:r>
        <w:rPr>
          <w:rFonts w:hint="eastAsia" w:ascii="宋体" w:hAnsi="宋体" w:cs="宋体"/>
          <w:szCs w:val="21"/>
        </w:rPr>
        <w:t>由投标人使用投标人的</w:t>
      </w:r>
      <w:r>
        <w:rPr>
          <w:rFonts w:hint="eastAsia" w:hAnsi="宋体" w:cs="宋体"/>
          <w:szCs w:val="21"/>
        </w:rPr>
        <w:t>企业数字证书</w:t>
      </w:r>
      <w:r>
        <w:rPr>
          <w:rFonts w:hint="eastAsia" w:ascii="宋体" w:hAnsi="宋体" w:cs="宋体"/>
          <w:szCs w:val="21"/>
        </w:rPr>
        <w:t>，法定代表人数字证书电子签名。</w:t>
      </w:r>
    </w:p>
    <w:bookmarkEnd w:id="881"/>
    <w:p>
      <w:pPr>
        <w:pageBreakBefore/>
        <w:tabs>
          <w:tab w:val="left" w:pos="567"/>
        </w:tabs>
        <w:spacing w:line="420" w:lineRule="exact"/>
        <w:jc w:val="center"/>
        <w:outlineLvl w:val="2"/>
        <w:rPr>
          <w:rFonts w:ascii="宋体" w:hAnsi="宋体" w:cs="宋体"/>
          <w:b/>
          <w:sz w:val="24"/>
          <w:lang w:val="zh-CN"/>
        </w:rPr>
      </w:pPr>
      <w:bookmarkStart w:id="882" w:name="_Toc74040457"/>
      <w:bookmarkStart w:id="883" w:name="_Toc10495"/>
      <w:bookmarkStart w:id="884" w:name="_Toc6244"/>
      <w:bookmarkStart w:id="885" w:name="_Toc74039673"/>
      <w:bookmarkStart w:id="886" w:name="_Toc132814837"/>
      <w:bookmarkStart w:id="887" w:name="_Toc74039843"/>
      <w:bookmarkStart w:id="888" w:name="_Toc74040602"/>
      <w:bookmarkStart w:id="889" w:name="_Toc74039435"/>
      <w:bookmarkStart w:id="890" w:name="_Toc74039195"/>
      <w:bookmarkStart w:id="891" w:name="_Toc22521"/>
      <w:bookmarkStart w:id="892" w:name="_Toc74040068"/>
      <w:bookmarkStart w:id="893" w:name="_Toc26817"/>
      <w:bookmarkStart w:id="894" w:name="_Toc8168"/>
      <w:r>
        <w:rPr>
          <w:rFonts w:hint="eastAsia" w:ascii="宋体" w:hAnsi="宋体" w:cs="宋体"/>
          <w:b/>
          <w:sz w:val="24"/>
        </w:rPr>
        <w:t>1-2、</w:t>
      </w:r>
      <w:r>
        <w:rPr>
          <w:rFonts w:hint="eastAsia" w:ascii="宋体" w:hAnsi="宋体" w:cs="宋体"/>
          <w:b/>
          <w:sz w:val="24"/>
          <w:lang w:val="zh-CN"/>
        </w:rPr>
        <w:t>供货及/或提供服务过程承诺函</w:t>
      </w:r>
      <w:bookmarkEnd w:id="882"/>
      <w:bookmarkEnd w:id="883"/>
      <w:bookmarkEnd w:id="884"/>
      <w:bookmarkEnd w:id="885"/>
      <w:bookmarkEnd w:id="886"/>
      <w:bookmarkEnd w:id="887"/>
      <w:bookmarkEnd w:id="888"/>
      <w:bookmarkEnd w:id="889"/>
      <w:bookmarkEnd w:id="890"/>
      <w:bookmarkEnd w:id="891"/>
      <w:bookmarkEnd w:id="892"/>
      <w:bookmarkEnd w:id="893"/>
      <w:bookmarkEnd w:id="894"/>
    </w:p>
    <w:p>
      <w:pPr>
        <w:spacing w:line="420" w:lineRule="exact"/>
        <w:rPr>
          <w:rFonts w:hAnsi="宋体" w:cs="宋体"/>
          <w:szCs w:val="21"/>
        </w:rPr>
      </w:pPr>
      <w:r>
        <w:rPr>
          <w:rFonts w:hint="eastAsia" w:hAnsi="宋体" w:cs="宋体"/>
          <w:szCs w:val="21"/>
        </w:rPr>
        <w:t>致：</w:t>
      </w:r>
      <w:r>
        <w:rPr>
          <w:rFonts w:ascii="宋体" w:hAnsi="宋体"/>
          <w:szCs w:val="21"/>
          <w:u w:val="single"/>
        </w:rPr>
        <w:t>东莞市石鼓污水处理有限公司</w:t>
      </w:r>
      <w:r>
        <w:rPr>
          <w:rFonts w:hint="eastAsia" w:ascii="宋体" w:hAnsi="宋体"/>
          <w:szCs w:val="21"/>
          <w:u w:val="single"/>
        </w:rPr>
        <w:t>、东莞市水务集团建设管理有限公司</w:t>
      </w:r>
    </w:p>
    <w:p>
      <w:pPr>
        <w:spacing w:line="420" w:lineRule="exact"/>
        <w:ind w:firstLine="420"/>
        <w:rPr>
          <w:rFonts w:hAnsi="宋体" w:cs="宋体"/>
          <w:szCs w:val="21"/>
        </w:rPr>
      </w:pPr>
      <w:r>
        <w:rPr>
          <w:rFonts w:hint="eastAsia" w:hAnsi="宋体" w:cs="宋体"/>
          <w:szCs w:val="21"/>
        </w:rPr>
        <w:t>我方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rPr>
        <w:t>（投标人名称）为招标人公开招标的</w:t>
      </w:r>
      <w:r>
        <w:rPr>
          <w:rFonts w:hint="eastAsia" w:hAnsi="宋体" w:cs="宋体"/>
          <w:szCs w:val="21"/>
          <w:u w:val="single"/>
        </w:rPr>
        <w:t xml:space="preserve">  </w:t>
      </w:r>
      <w:r>
        <w:rPr>
          <w:rFonts w:hint="eastAsia" w:ascii="宋体" w:hAnsi="宋体"/>
          <w:szCs w:val="21"/>
          <w:u w:val="single"/>
        </w:rPr>
        <w:t>东莞市沙田福禄沙污水处理厂二期工程等四项工程刮泥机成套系统设备采购</w:t>
      </w:r>
      <w:r>
        <w:rPr>
          <w:rFonts w:hint="eastAsia" w:hAnsi="宋体" w:cs="宋体"/>
          <w:szCs w:val="21"/>
          <w:u w:val="single"/>
        </w:rPr>
        <w:t xml:space="preserve">  </w:t>
      </w:r>
      <w:r>
        <w:rPr>
          <w:rFonts w:hint="eastAsia" w:hAnsi="宋体" w:cs="宋体"/>
          <w:szCs w:val="21"/>
        </w:rPr>
        <w:t>项目(招标编号：</w:t>
      </w:r>
      <w:r>
        <w:rPr>
          <w:rFonts w:hint="eastAsia" w:hAnsi="宋体" w:cs="宋体"/>
          <w:szCs w:val="21"/>
          <w:u w:val="single"/>
        </w:rPr>
        <w:t xml:space="preserve">            </w:t>
      </w:r>
      <w:r>
        <w:rPr>
          <w:rFonts w:hint="eastAsia" w:hAnsi="宋体" w:cs="宋体"/>
          <w:szCs w:val="21"/>
        </w:rPr>
        <w:t>)的投标单位，为确保供货及/或提供服务过程中的人身、财产安全，我方承诺，如我方获得中标资格，将严格按照下列要求开展工作。</w:t>
      </w:r>
    </w:p>
    <w:p>
      <w:pPr>
        <w:spacing w:line="420" w:lineRule="exact"/>
        <w:ind w:firstLine="420"/>
        <w:rPr>
          <w:rFonts w:hAnsi="宋体" w:cs="宋体"/>
          <w:szCs w:val="21"/>
        </w:rPr>
      </w:pPr>
      <w:r>
        <w:rPr>
          <w:rFonts w:hint="eastAsia" w:hAnsi="宋体" w:cs="宋体"/>
          <w:szCs w:val="21"/>
        </w:rPr>
        <w:t>1、我方承诺将严格遵守国家、地方政府有关安全生产及劳动保护的法律法规、标准、规定，贯彻执行</w:t>
      </w:r>
      <w:r>
        <w:rPr>
          <w:rFonts w:hint="eastAsia"/>
          <w:szCs w:val="21"/>
        </w:rPr>
        <w:t>项目业主或</w:t>
      </w:r>
      <w:r>
        <w:rPr>
          <w:rFonts w:hint="eastAsia" w:hAnsi="宋体" w:cs="宋体"/>
          <w:szCs w:val="21"/>
        </w:rPr>
        <w:t>招标人的各项安全管理规章制度。</w:t>
      </w:r>
    </w:p>
    <w:p>
      <w:pPr>
        <w:spacing w:line="420" w:lineRule="exact"/>
        <w:ind w:firstLine="420"/>
        <w:rPr>
          <w:rFonts w:hAnsi="宋体" w:cs="宋体"/>
          <w:szCs w:val="21"/>
        </w:rPr>
      </w:pPr>
      <w:r>
        <w:rPr>
          <w:rFonts w:hint="eastAsia" w:hAnsi="宋体" w:cs="宋体"/>
          <w:szCs w:val="21"/>
        </w:rPr>
        <w:t>2、我方承诺将依法参加工伤保险，为安排至招标人从事本项目的工作人员缴纳保险费，并为从事危险作业的人员办理意外伤害保险。</w:t>
      </w:r>
    </w:p>
    <w:p>
      <w:pPr>
        <w:spacing w:line="420" w:lineRule="exact"/>
        <w:ind w:firstLine="420"/>
        <w:rPr>
          <w:rFonts w:hAnsi="宋体" w:cs="宋体"/>
          <w:szCs w:val="21"/>
        </w:rPr>
      </w:pPr>
      <w:r>
        <w:rPr>
          <w:rFonts w:hint="eastAsia" w:hAnsi="宋体" w:cs="宋体"/>
          <w:szCs w:val="21"/>
        </w:rPr>
        <w:t>3、我方承诺服从</w:t>
      </w:r>
      <w:r>
        <w:rPr>
          <w:rFonts w:hint="eastAsia"/>
          <w:szCs w:val="21"/>
        </w:rPr>
        <w:t>项目业主或</w:t>
      </w:r>
      <w:r>
        <w:rPr>
          <w:rFonts w:hint="eastAsia" w:hAnsi="宋体" w:cs="宋体"/>
          <w:szCs w:val="21"/>
        </w:rPr>
        <w:t>招标人的安全管理，保证作业区域的现场文明安全管理达标，现场临时用电、机器设备、安全防护齐全、完好，并接受和配合</w:t>
      </w:r>
      <w:r>
        <w:rPr>
          <w:rFonts w:hint="eastAsia"/>
          <w:szCs w:val="21"/>
        </w:rPr>
        <w:t>项目业主或</w:t>
      </w:r>
      <w:r>
        <w:rPr>
          <w:rFonts w:hint="eastAsia" w:hAnsi="宋体" w:cs="宋体"/>
          <w:szCs w:val="21"/>
        </w:rPr>
        <w:t>招标人的安全监督检查，我方提供到</w:t>
      </w:r>
      <w:r>
        <w:rPr>
          <w:rFonts w:hint="eastAsia"/>
          <w:szCs w:val="21"/>
        </w:rPr>
        <w:t>项目业主或</w:t>
      </w:r>
      <w:r>
        <w:rPr>
          <w:rFonts w:hint="eastAsia" w:hAnsi="宋体" w:cs="宋体"/>
          <w:szCs w:val="21"/>
        </w:rPr>
        <w:t>招标人现场作业的所有安全装置、防护设施必须依据经</w:t>
      </w:r>
      <w:r>
        <w:rPr>
          <w:rFonts w:hint="eastAsia"/>
          <w:szCs w:val="21"/>
        </w:rPr>
        <w:t>项目业主或</w:t>
      </w:r>
      <w:r>
        <w:rPr>
          <w:rFonts w:hint="eastAsia" w:hAnsi="宋体" w:cs="宋体"/>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int="eastAsia" w:hAnsi="宋体" w:cs="宋体"/>
          <w:szCs w:val="21"/>
        </w:rPr>
        <w:t>招标人确认后方可使用。</w:t>
      </w:r>
    </w:p>
    <w:p>
      <w:pPr>
        <w:spacing w:line="420" w:lineRule="exact"/>
        <w:ind w:firstLine="420"/>
        <w:rPr>
          <w:rFonts w:hAnsi="宋体" w:cs="宋体"/>
          <w:szCs w:val="21"/>
        </w:rPr>
      </w:pPr>
      <w:r>
        <w:rPr>
          <w:rFonts w:hint="eastAsia" w:hAnsi="宋体" w:cs="宋体"/>
          <w:szCs w:val="21"/>
        </w:rPr>
        <w:t>4、我方承诺携带进场的机器设备、机具必须是合格产品，并对携带进场的机器设备、机具安全负责管理、维护及检查，对</w:t>
      </w:r>
      <w:r>
        <w:rPr>
          <w:rFonts w:hint="eastAsia"/>
          <w:szCs w:val="21"/>
        </w:rPr>
        <w:t>项目业主或</w:t>
      </w:r>
      <w:r>
        <w:rPr>
          <w:rFonts w:hint="eastAsia" w:hAnsi="宋体" w:cs="宋体"/>
          <w:szCs w:val="21"/>
        </w:rPr>
        <w:t>招标人和自查发现的安全隐患落实整改措施。如我方使用不合格机器设备、机具造成事故的，由我方自行承担责任。</w:t>
      </w:r>
    </w:p>
    <w:p>
      <w:pPr>
        <w:spacing w:line="420" w:lineRule="exact"/>
        <w:ind w:firstLine="420"/>
        <w:rPr>
          <w:rFonts w:hAnsi="宋体" w:cs="宋体"/>
          <w:szCs w:val="21"/>
        </w:rPr>
      </w:pPr>
      <w:r>
        <w:rPr>
          <w:rFonts w:hint="eastAsia" w:hAnsi="宋体" w:cs="宋体"/>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int="eastAsia" w:hAnsi="宋体" w:cs="宋体"/>
          <w:szCs w:val="21"/>
        </w:rPr>
        <w:t>招标人所属设备、电器、管线及其他设施等，承诺事先征得</w:t>
      </w:r>
      <w:r>
        <w:rPr>
          <w:rFonts w:hint="eastAsia"/>
          <w:szCs w:val="21"/>
        </w:rPr>
        <w:t>项目业主或</w:t>
      </w:r>
      <w:r>
        <w:rPr>
          <w:rFonts w:hint="eastAsia" w:hAnsi="宋体" w:cs="宋体"/>
          <w:szCs w:val="21"/>
        </w:rPr>
        <w:t>招标人代表的同意，并采取安全防护措施。</w:t>
      </w:r>
    </w:p>
    <w:p>
      <w:pPr>
        <w:spacing w:line="420" w:lineRule="exact"/>
        <w:ind w:firstLine="420"/>
        <w:rPr>
          <w:rFonts w:hAnsi="宋体" w:cs="宋体"/>
          <w:szCs w:val="21"/>
        </w:rPr>
      </w:pPr>
      <w:r>
        <w:rPr>
          <w:rFonts w:hint="eastAsia" w:hAnsi="宋体" w:cs="宋体"/>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int="eastAsia" w:hAnsi="宋体" w:cs="宋体"/>
          <w:szCs w:val="21"/>
        </w:rPr>
        <w:t>招标人场所遵守</w:t>
      </w:r>
      <w:r>
        <w:rPr>
          <w:rFonts w:hint="eastAsia"/>
          <w:szCs w:val="21"/>
        </w:rPr>
        <w:t>项目业主或</w:t>
      </w:r>
      <w:r>
        <w:rPr>
          <w:rFonts w:hint="eastAsia" w:hAnsi="宋体" w:cs="宋体"/>
          <w:szCs w:val="21"/>
        </w:rPr>
        <w:t>招标人的一切规章制度和安全条例，服从</w:t>
      </w:r>
      <w:r>
        <w:rPr>
          <w:rFonts w:hint="eastAsia"/>
          <w:szCs w:val="21"/>
        </w:rPr>
        <w:t>项目业主或</w:t>
      </w:r>
      <w:r>
        <w:rPr>
          <w:rFonts w:hint="eastAsia" w:hAnsi="宋体" w:cs="宋体"/>
          <w:szCs w:val="21"/>
        </w:rPr>
        <w:t>招标人的监督。我方在提供服务过程中，如因违反</w:t>
      </w:r>
      <w:r>
        <w:rPr>
          <w:rFonts w:hint="eastAsia"/>
          <w:szCs w:val="21"/>
        </w:rPr>
        <w:t>项目业主或</w:t>
      </w:r>
      <w:r>
        <w:rPr>
          <w:rFonts w:hint="eastAsia" w:hAnsi="宋体" w:cs="宋体"/>
          <w:szCs w:val="21"/>
        </w:rPr>
        <w:t>招标人相关规章制度、安全条例，或因不服从</w:t>
      </w:r>
      <w:r>
        <w:rPr>
          <w:rFonts w:hint="eastAsia"/>
          <w:szCs w:val="21"/>
        </w:rPr>
        <w:t>项目业主或</w:t>
      </w:r>
      <w:r>
        <w:rPr>
          <w:rFonts w:hint="eastAsia" w:hAnsi="宋体" w:cs="宋体"/>
          <w:szCs w:val="21"/>
        </w:rPr>
        <w:t>招标人监督而发生安全事故的，其结果与责任均由我方负责，</w:t>
      </w:r>
      <w:r>
        <w:rPr>
          <w:rFonts w:hint="eastAsia"/>
          <w:szCs w:val="21"/>
        </w:rPr>
        <w:t>项目业主或</w:t>
      </w:r>
      <w:r>
        <w:rPr>
          <w:rFonts w:hint="eastAsia" w:hAnsi="宋体" w:cs="宋体"/>
          <w:szCs w:val="21"/>
        </w:rPr>
        <w:t>招标人无须承担任何结果与责任。</w:t>
      </w:r>
    </w:p>
    <w:p>
      <w:pPr>
        <w:spacing w:line="420" w:lineRule="exact"/>
        <w:ind w:firstLine="420"/>
        <w:rPr>
          <w:rFonts w:hAnsi="宋体" w:cs="宋体"/>
          <w:szCs w:val="21"/>
        </w:rPr>
      </w:pPr>
      <w:r>
        <w:rPr>
          <w:rFonts w:hint="eastAsia" w:hAnsi="宋体" w:cs="宋体"/>
          <w:szCs w:val="21"/>
        </w:rPr>
        <w:t>7、我方承诺协助和指导</w:t>
      </w:r>
      <w:r>
        <w:rPr>
          <w:rFonts w:hint="eastAsia"/>
          <w:szCs w:val="21"/>
        </w:rPr>
        <w:t>项目业主或</w:t>
      </w:r>
      <w:r>
        <w:rPr>
          <w:rFonts w:hint="eastAsia" w:hAnsi="宋体" w:cs="宋体"/>
          <w:szCs w:val="21"/>
        </w:rPr>
        <w:t>招标人进行货物的储存，对</w:t>
      </w:r>
      <w:r>
        <w:rPr>
          <w:rFonts w:hint="eastAsia"/>
          <w:szCs w:val="21"/>
        </w:rPr>
        <w:t>项目业主或</w:t>
      </w:r>
      <w:r>
        <w:rPr>
          <w:rFonts w:hint="eastAsia" w:hAnsi="宋体" w:cs="宋体"/>
          <w:szCs w:val="21"/>
        </w:rPr>
        <w:t>招标人的储存方式、方法、储存数量、仓库的安全设施设备、安全生产规章制度等是否符合国家标准或者国家有关规定提出合理的建议，并进行技术指导。</w:t>
      </w:r>
    </w:p>
    <w:p>
      <w:pPr>
        <w:spacing w:line="420" w:lineRule="exact"/>
        <w:ind w:firstLine="420"/>
        <w:rPr>
          <w:rFonts w:hAnsi="宋体" w:cs="宋体"/>
          <w:szCs w:val="21"/>
        </w:rPr>
      </w:pPr>
      <w:r>
        <w:rPr>
          <w:rFonts w:hint="eastAsia" w:hAnsi="宋体" w:cs="宋体"/>
          <w:szCs w:val="21"/>
        </w:rPr>
        <w:t>8、我方车辆在</w:t>
      </w:r>
      <w:r>
        <w:rPr>
          <w:rFonts w:hint="eastAsia"/>
          <w:szCs w:val="21"/>
        </w:rPr>
        <w:t>项目业主或</w:t>
      </w:r>
      <w:r>
        <w:rPr>
          <w:rFonts w:hint="eastAsia" w:hAnsi="宋体" w:cs="宋体"/>
          <w:szCs w:val="21"/>
        </w:rPr>
        <w:t>招标人场所行驶时，将严格遵守厂区道路限行，限速和限重要求，如因我方未遵守前述要求，对厂区/</w:t>
      </w:r>
      <w:r>
        <w:rPr>
          <w:rFonts w:hint="eastAsia"/>
          <w:szCs w:val="21"/>
        </w:rPr>
        <w:t>项目业主（含其人员）、</w:t>
      </w:r>
      <w:r>
        <w:rPr>
          <w:rFonts w:hint="eastAsia" w:hAnsi="宋体" w:cs="宋体"/>
          <w:szCs w:val="21"/>
        </w:rPr>
        <w:t>招标人（含其人员）、我方人员、第三方造成损失的，由我方承担赔偿责任。</w:t>
      </w:r>
    </w:p>
    <w:p>
      <w:pPr>
        <w:spacing w:line="420" w:lineRule="exact"/>
        <w:ind w:firstLine="420"/>
        <w:rPr>
          <w:rFonts w:hAnsi="宋体" w:cs="宋体"/>
          <w:szCs w:val="21"/>
        </w:rPr>
      </w:pPr>
      <w:r>
        <w:rPr>
          <w:rFonts w:hint="eastAsia" w:hAnsi="宋体" w:cs="宋体"/>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420" w:lineRule="exact"/>
        <w:ind w:firstLine="420"/>
        <w:rPr>
          <w:rFonts w:hAnsi="宋体" w:cs="宋体"/>
          <w:szCs w:val="21"/>
        </w:rPr>
      </w:pPr>
      <w:r>
        <w:rPr>
          <w:rFonts w:hint="eastAsia" w:hAnsi="宋体" w:cs="宋体"/>
          <w:szCs w:val="21"/>
        </w:rPr>
        <w:t>10、因我方原因，造成我方损失，由我方自负，给</w:t>
      </w:r>
      <w:r>
        <w:rPr>
          <w:rFonts w:hint="eastAsia"/>
          <w:szCs w:val="21"/>
        </w:rPr>
        <w:t>项目业主或</w:t>
      </w:r>
      <w:r>
        <w:rPr>
          <w:rFonts w:hint="eastAsia" w:hAnsi="宋体" w:cs="宋体"/>
          <w:szCs w:val="21"/>
        </w:rPr>
        <w:t>招标人造成财产损失和人员伤害，我方承担全部责任，并全额赔偿</w:t>
      </w:r>
      <w:r>
        <w:rPr>
          <w:rFonts w:hint="eastAsia"/>
          <w:szCs w:val="21"/>
        </w:rPr>
        <w:t>项目业主或</w:t>
      </w:r>
      <w:r>
        <w:rPr>
          <w:rFonts w:hint="eastAsia" w:hAnsi="宋体" w:cs="宋体"/>
          <w:szCs w:val="21"/>
        </w:rPr>
        <w:t>招标人。</w:t>
      </w:r>
    </w:p>
    <w:p>
      <w:pPr>
        <w:spacing w:line="420" w:lineRule="exact"/>
        <w:ind w:firstLine="420"/>
        <w:rPr>
          <w:rFonts w:hAnsi="宋体" w:cs="宋体"/>
          <w:szCs w:val="21"/>
        </w:rPr>
      </w:pPr>
      <w:r>
        <w:rPr>
          <w:rFonts w:hint="eastAsia" w:hAnsi="宋体" w:cs="宋体"/>
          <w:szCs w:val="21"/>
        </w:rPr>
        <w:t>11、非因</w:t>
      </w:r>
      <w:r>
        <w:rPr>
          <w:rFonts w:hint="eastAsia"/>
          <w:szCs w:val="21"/>
        </w:rPr>
        <w:t>项目业主或</w:t>
      </w:r>
      <w:r>
        <w:rPr>
          <w:rFonts w:hint="eastAsia" w:hAnsi="宋体" w:cs="宋体"/>
          <w:szCs w:val="21"/>
        </w:rPr>
        <w:t>招标人原因，造成我方损失的，</w:t>
      </w:r>
      <w:r>
        <w:rPr>
          <w:rFonts w:hint="eastAsia"/>
          <w:szCs w:val="21"/>
        </w:rPr>
        <w:t>项目业主或</w:t>
      </w:r>
      <w:r>
        <w:rPr>
          <w:rFonts w:hint="eastAsia" w:hAnsi="宋体" w:cs="宋体"/>
          <w:szCs w:val="21"/>
        </w:rPr>
        <w:t>招标人无需承担任何责任，由我方自行承担全部责任。</w:t>
      </w:r>
    </w:p>
    <w:p>
      <w:pPr>
        <w:spacing w:line="420" w:lineRule="exact"/>
        <w:ind w:firstLine="420"/>
        <w:rPr>
          <w:rFonts w:hAnsi="宋体" w:cs="宋体"/>
          <w:szCs w:val="21"/>
        </w:rPr>
      </w:pPr>
      <w:r>
        <w:rPr>
          <w:rFonts w:hint="eastAsia" w:hAnsi="宋体" w:cs="宋体"/>
          <w:szCs w:val="21"/>
        </w:rPr>
        <w:t>12、我方承诺严格遵守法律法规以及</w:t>
      </w:r>
      <w:r>
        <w:rPr>
          <w:rFonts w:hint="eastAsia"/>
          <w:szCs w:val="21"/>
        </w:rPr>
        <w:t>项目业主或</w:t>
      </w:r>
      <w:r>
        <w:rPr>
          <w:rFonts w:hint="eastAsia" w:hAnsi="宋体" w:cs="宋体"/>
          <w:szCs w:val="21"/>
        </w:rPr>
        <w:t>招标人的安全管理要求，并接受</w:t>
      </w:r>
      <w:r>
        <w:rPr>
          <w:rFonts w:hint="eastAsia"/>
          <w:szCs w:val="21"/>
        </w:rPr>
        <w:t>项目业主或</w:t>
      </w:r>
      <w:r>
        <w:rPr>
          <w:rFonts w:hint="eastAsia" w:hAnsi="宋体" w:cs="宋体"/>
          <w:szCs w:val="21"/>
        </w:rPr>
        <w:t>招标人的安全生产工作协调和监督，积极消除安全隐患。安全管理的基本要求包括但不限于以下条款：</w:t>
      </w:r>
    </w:p>
    <w:p>
      <w:pPr>
        <w:spacing w:line="420" w:lineRule="exact"/>
        <w:ind w:firstLine="420"/>
        <w:rPr>
          <w:rFonts w:hAnsi="宋体" w:cs="宋体"/>
          <w:szCs w:val="21"/>
        </w:rPr>
      </w:pPr>
      <w:r>
        <w:rPr>
          <w:rFonts w:hint="eastAsia" w:hAnsi="宋体" w:cs="宋体"/>
          <w:szCs w:val="21"/>
        </w:rPr>
        <w:t>①禁火区内严禁吸烟、动火。有火灾危险的作业区域，我方承诺配置足够的灭火设施。</w:t>
      </w:r>
    </w:p>
    <w:p>
      <w:pPr>
        <w:spacing w:line="420" w:lineRule="exact"/>
        <w:ind w:firstLine="420"/>
        <w:rPr>
          <w:rFonts w:hAnsi="宋体" w:cs="宋体"/>
          <w:szCs w:val="21"/>
        </w:rPr>
      </w:pPr>
      <w:r>
        <w:rPr>
          <w:rFonts w:hint="eastAsia" w:hAnsi="宋体" w:cs="宋体"/>
          <w:szCs w:val="21"/>
        </w:rPr>
        <w:t>②我方承诺焊接、气割作业时两瓶距离必须达到5M及以上，气瓶距可能产生火花的电器、设备和其它火源的间距必须达到10M及以上。</w:t>
      </w:r>
    </w:p>
    <w:p>
      <w:pPr>
        <w:spacing w:line="420" w:lineRule="exact"/>
        <w:ind w:firstLine="420"/>
        <w:rPr>
          <w:rFonts w:hAnsi="宋体" w:cs="宋体"/>
          <w:szCs w:val="21"/>
        </w:rPr>
      </w:pPr>
      <w:r>
        <w:rPr>
          <w:rFonts w:hint="eastAsia" w:hAnsi="宋体" w:cs="宋体"/>
          <w:szCs w:val="21"/>
        </w:rPr>
        <w:t>③我方承诺不在厂内道路、消防通道内搭建临时建筑或堆放物资。</w:t>
      </w:r>
    </w:p>
    <w:p>
      <w:pPr>
        <w:spacing w:line="420" w:lineRule="exact"/>
        <w:ind w:firstLine="420"/>
        <w:rPr>
          <w:rFonts w:hAnsi="宋体" w:cs="宋体"/>
          <w:szCs w:val="21"/>
        </w:rPr>
      </w:pPr>
      <w:r>
        <w:rPr>
          <w:rFonts w:hint="eastAsia" w:hAnsi="宋体" w:cs="宋体"/>
          <w:szCs w:val="21"/>
        </w:rPr>
        <w:t>④我方承诺电动工具、电焊机等均具有漏电保护器和相应的安全防护装置。</w:t>
      </w:r>
    </w:p>
    <w:p>
      <w:pPr>
        <w:spacing w:line="420" w:lineRule="exact"/>
        <w:ind w:firstLine="420"/>
        <w:rPr>
          <w:rFonts w:hAnsi="宋体" w:cs="宋体"/>
          <w:szCs w:val="21"/>
        </w:rPr>
      </w:pPr>
      <w:r>
        <w:rPr>
          <w:rFonts w:hint="eastAsia" w:hAnsi="宋体" w:cs="宋体"/>
          <w:szCs w:val="21"/>
        </w:rPr>
        <w:t>⑤我方承诺用电设施符合要求，杜绝电线乱接、乱拉，刀闸和开关无盖，在电器设施上堆放物品等行为。</w:t>
      </w:r>
    </w:p>
    <w:p>
      <w:pPr>
        <w:spacing w:line="420" w:lineRule="exact"/>
        <w:ind w:firstLine="420"/>
        <w:rPr>
          <w:rFonts w:hAnsi="宋体" w:cs="宋体"/>
          <w:szCs w:val="21"/>
        </w:rPr>
      </w:pPr>
      <w:r>
        <w:rPr>
          <w:rFonts w:hint="eastAsia" w:hAnsi="宋体" w:cs="宋体"/>
          <w:szCs w:val="21"/>
        </w:rPr>
        <w:t>⑥我方承诺防雷、防静电设施及用电设施有良好接地。</w:t>
      </w:r>
    </w:p>
    <w:p>
      <w:pPr>
        <w:spacing w:line="420" w:lineRule="exact"/>
        <w:ind w:firstLine="420"/>
        <w:rPr>
          <w:rFonts w:hAnsi="宋体" w:cs="宋体"/>
          <w:szCs w:val="21"/>
        </w:rPr>
      </w:pPr>
      <w:r>
        <w:rPr>
          <w:rFonts w:hint="eastAsia" w:hAnsi="宋体" w:cs="宋体"/>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spacing w:line="420" w:lineRule="exact"/>
        <w:ind w:firstLine="420"/>
        <w:rPr>
          <w:rFonts w:hAnsi="宋体" w:cs="宋体"/>
          <w:szCs w:val="21"/>
        </w:rPr>
      </w:pPr>
      <w:r>
        <w:rPr>
          <w:rFonts w:hint="eastAsia" w:hAnsi="宋体" w:cs="宋体"/>
          <w:szCs w:val="21"/>
        </w:rPr>
        <w:t>13、我方承诺接受</w:t>
      </w:r>
      <w:r>
        <w:rPr>
          <w:rFonts w:hint="eastAsia"/>
          <w:szCs w:val="21"/>
        </w:rPr>
        <w:t>项目业主或</w:t>
      </w:r>
      <w:r>
        <w:rPr>
          <w:rFonts w:hint="eastAsia" w:hAnsi="宋体" w:cs="宋体"/>
          <w:szCs w:val="21"/>
        </w:rPr>
        <w:t>招标人的检查与监督，并主动配合，做好安全工作，凡有违反上述条款的即视为我方违约，</w:t>
      </w:r>
      <w:r>
        <w:rPr>
          <w:rFonts w:hint="eastAsia"/>
          <w:szCs w:val="21"/>
        </w:rPr>
        <w:t>项目业主</w:t>
      </w:r>
      <w:r>
        <w:rPr>
          <w:rFonts w:hint="eastAsia" w:hAnsi="宋体" w:cs="宋体"/>
          <w:szCs w:val="21"/>
        </w:rPr>
        <w:t>有权视情况从货物/服务价款中扣除（1000-2000）元/次作为违约金。</w:t>
      </w:r>
    </w:p>
    <w:p>
      <w:pPr>
        <w:spacing w:line="420" w:lineRule="exact"/>
        <w:ind w:firstLine="420"/>
        <w:rPr>
          <w:rFonts w:hAnsi="宋体" w:cs="宋体"/>
          <w:szCs w:val="21"/>
        </w:rPr>
      </w:pPr>
      <w:r>
        <w:rPr>
          <w:rFonts w:hint="eastAsia" w:hAnsi="宋体" w:cs="宋体"/>
          <w:szCs w:val="21"/>
        </w:rPr>
        <w:t>如因我方违反上述条款造成安全生产事故的，我方将承担由此引发的一切责任与后果，如造成</w:t>
      </w:r>
      <w:r>
        <w:rPr>
          <w:rFonts w:hint="eastAsia"/>
          <w:szCs w:val="21"/>
        </w:rPr>
        <w:t>项目业主或</w:t>
      </w:r>
      <w:r>
        <w:rPr>
          <w:rFonts w:hint="eastAsia" w:hAnsi="宋体" w:cs="宋体"/>
          <w:szCs w:val="21"/>
        </w:rPr>
        <w:t xml:space="preserve">招标人损失的，我方将予以足额赔偿，同时，招标人有权没收我方提交的履约担保。                              </w:t>
      </w:r>
    </w:p>
    <w:p>
      <w:pPr>
        <w:snapToGrid w:val="0"/>
        <w:spacing w:line="420" w:lineRule="exact"/>
        <w:ind w:firstLine="4109" w:firstLineChars="1957"/>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420" w:lineRule="exact"/>
        <w:ind w:firstLine="4109" w:firstLineChars="1957"/>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napToGrid w:val="0"/>
        <w:spacing w:line="420" w:lineRule="exact"/>
        <w:ind w:firstLine="4200" w:firstLineChars="2000"/>
        <w:rPr>
          <w:rFonts w:ascii="宋体" w:hAnsi="宋体"/>
          <w:kern w:val="3"/>
          <w:u w:val="single"/>
        </w:rPr>
      </w:pPr>
      <w:r>
        <w:rPr>
          <w:rFonts w:ascii="宋体" w:hAnsi="宋体"/>
          <w:kern w:val="3"/>
        </w:rPr>
        <w:t>日    期：</w:t>
      </w:r>
      <w:r>
        <w:rPr>
          <w:rFonts w:ascii="宋体" w:hAnsi="宋体"/>
          <w:kern w:val="3"/>
          <w:u w:val="single"/>
        </w:rPr>
        <w:t xml:space="preserve"> </w:t>
      </w:r>
      <w:r>
        <w:rPr>
          <w:rFonts w:ascii="宋体" w:hAnsi="宋体"/>
          <w:kern w:val="3"/>
        </w:rPr>
        <w:t xml:space="preserve">                                </w:t>
      </w:r>
    </w:p>
    <w:p>
      <w:pPr>
        <w:snapToGrid w:val="0"/>
        <w:spacing w:line="420" w:lineRule="exact"/>
        <w:rPr>
          <w:rFonts w:ascii="宋体" w:hAnsi="宋体"/>
          <w:b/>
          <w:kern w:val="3"/>
        </w:rPr>
      </w:pPr>
      <w:r>
        <w:rPr>
          <w:rFonts w:hint="eastAsia" w:hAnsi="宋体" w:cs="宋体"/>
          <w:szCs w:val="21"/>
        </w:rPr>
        <w:t>说明</w:t>
      </w:r>
      <w:r>
        <w:rPr>
          <w:rFonts w:hAnsi="宋体" w:cs="宋体"/>
          <w:szCs w:val="21"/>
        </w:rPr>
        <w:t>：</w:t>
      </w:r>
      <w:r>
        <w:rPr>
          <w:rFonts w:hint="eastAsia" w:ascii="宋体" w:hAnsi="宋体" w:cs="宋体"/>
          <w:szCs w:val="21"/>
        </w:rPr>
        <w:t>由投标人使用投标人的企业数字证书，法定代表人数字证书电子签名。</w:t>
      </w:r>
    </w:p>
    <w:p>
      <w:pPr>
        <w:snapToGrid w:val="0"/>
        <w:spacing w:line="360" w:lineRule="auto"/>
        <w:rPr>
          <w:sz w:val="24"/>
        </w:rPr>
      </w:pPr>
    </w:p>
    <w:p>
      <w:pPr>
        <w:pStyle w:val="5"/>
        <w:keepNext w:val="0"/>
        <w:keepLines w:val="0"/>
        <w:pageBreakBefore/>
        <w:spacing w:before="156" w:beforeLines="50" w:after="156" w:afterLines="50"/>
        <w:jc w:val="center"/>
        <w:rPr>
          <w:rFonts w:ascii="宋体" w:hAnsi="宋体"/>
          <w:sz w:val="24"/>
          <w:szCs w:val="24"/>
        </w:rPr>
      </w:pPr>
      <w:bookmarkStart w:id="895" w:name="_Toc5234"/>
      <w:bookmarkStart w:id="896" w:name="_Toc8270"/>
      <w:bookmarkStart w:id="897" w:name="_Toc132814838"/>
      <w:bookmarkStart w:id="898" w:name="_Toc21246"/>
      <w:bookmarkStart w:id="899" w:name="_Toc4962"/>
      <w:bookmarkStart w:id="900" w:name="_Toc16402"/>
      <w:r>
        <w:rPr>
          <w:rFonts w:hint="eastAsia" w:ascii="宋体" w:hAnsi="宋体"/>
          <w:sz w:val="24"/>
          <w:szCs w:val="24"/>
        </w:rPr>
        <w:t>2、分项报价表</w:t>
      </w:r>
      <w:bookmarkEnd w:id="895"/>
      <w:bookmarkEnd w:id="896"/>
      <w:bookmarkEnd w:id="897"/>
      <w:bookmarkEnd w:id="898"/>
      <w:bookmarkEnd w:id="899"/>
      <w:bookmarkEnd w:id="900"/>
    </w:p>
    <w:p>
      <w:pPr>
        <w:pStyle w:val="15"/>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15"/>
        <w:snapToGrid w:val="0"/>
        <w:spacing w:line="360" w:lineRule="auto"/>
        <w:ind w:firstLine="6405" w:firstLineChars="3050"/>
        <w:rPr>
          <w:rFonts w:hAnsi="宋体"/>
          <w:szCs w:val="21"/>
        </w:rPr>
      </w:pPr>
      <w:r>
        <w:rPr>
          <w:rFonts w:hint="eastAsia" w:hAnsi="宋体"/>
          <w:szCs w:val="21"/>
        </w:rPr>
        <w:t>单位：人民币元</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3468"/>
        <w:gridCol w:w="289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90" w:type="pct"/>
            <w:vAlign w:val="center"/>
          </w:tcPr>
          <w:p>
            <w:pPr>
              <w:snapToGrid w:val="0"/>
              <w:spacing w:line="360" w:lineRule="auto"/>
              <w:jc w:val="center"/>
              <w:rPr>
                <w:rFonts w:ascii="宋体" w:hAnsi="宋体"/>
                <w:szCs w:val="20"/>
              </w:rPr>
            </w:pPr>
            <w:r>
              <w:rPr>
                <w:rFonts w:hint="eastAsia" w:ascii="宋体" w:hAnsi="宋体"/>
                <w:szCs w:val="20"/>
              </w:rPr>
              <w:t>序号</w:t>
            </w:r>
          </w:p>
        </w:tc>
        <w:tc>
          <w:tcPr>
            <w:tcW w:w="1902" w:type="pct"/>
            <w:vAlign w:val="center"/>
          </w:tcPr>
          <w:p>
            <w:pPr>
              <w:snapToGrid w:val="0"/>
              <w:spacing w:line="360" w:lineRule="auto"/>
              <w:jc w:val="center"/>
              <w:rPr>
                <w:rFonts w:ascii="宋体" w:hAnsi="宋体"/>
                <w:szCs w:val="20"/>
              </w:rPr>
            </w:pPr>
            <w:r>
              <w:rPr>
                <w:rFonts w:hint="eastAsia" w:ascii="宋体" w:hAnsi="宋体"/>
                <w:szCs w:val="20"/>
              </w:rPr>
              <w:t>项目及货物名称</w:t>
            </w:r>
          </w:p>
        </w:tc>
        <w:tc>
          <w:tcPr>
            <w:tcW w:w="1587" w:type="pct"/>
            <w:vAlign w:val="center"/>
          </w:tcPr>
          <w:p>
            <w:pPr>
              <w:snapToGrid w:val="0"/>
              <w:spacing w:line="360" w:lineRule="auto"/>
              <w:jc w:val="center"/>
              <w:rPr>
                <w:rFonts w:ascii="宋体" w:hAnsi="宋体"/>
                <w:szCs w:val="20"/>
              </w:rPr>
            </w:pPr>
            <w:r>
              <w:rPr>
                <w:rFonts w:hint="eastAsia" w:ascii="宋体" w:hAnsi="宋体"/>
                <w:szCs w:val="20"/>
              </w:rPr>
              <w:t>投标报价金额</w:t>
            </w:r>
          </w:p>
        </w:tc>
        <w:tc>
          <w:tcPr>
            <w:tcW w:w="1021" w:type="pct"/>
            <w:vAlign w:val="center"/>
          </w:tcPr>
          <w:p>
            <w:pPr>
              <w:snapToGrid w:val="0"/>
              <w:spacing w:line="360" w:lineRule="auto"/>
              <w:jc w:val="center"/>
              <w:rPr>
                <w:rFonts w:ascii="宋体" w:hAnsi="宋体"/>
                <w:szCs w:val="20"/>
              </w:rPr>
            </w:pPr>
            <w:r>
              <w:rPr>
                <w:rFonts w:hint="eastAsia" w:ascii="宋体" w:hAnsi="宋体"/>
                <w:szCs w:val="20"/>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hint="eastAsia" w:ascii="宋体" w:hAnsi="宋体"/>
                <w:szCs w:val="20"/>
              </w:rPr>
              <w:t>1</w:t>
            </w:r>
          </w:p>
        </w:tc>
        <w:tc>
          <w:tcPr>
            <w:tcW w:w="3468" w:type="dxa"/>
            <w:vAlign w:val="center"/>
          </w:tcPr>
          <w:p>
            <w:pPr>
              <w:pStyle w:val="68"/>
              <w:keepNext w:val="0"/>
              <w:snapToGrid w:val="0"/>
              <w:spacing w:after="0" w:line="360" w:lineRule="auto"/>
              <w:rPr>
                <w:rFonts w:ascii="宋体" w:hAnsi="宋体"/>
                <w:szCs w:val="20"/>
              </w:rPr>
            </w:pPr>
            <w:r>
              <w:rPr>
                <w:rFonts w:hint="eastAsia"/>
                <w:szCs w:val="21"/>
              </w:rPr>
              <w:t>东莞市沙田福禄沙污水处理厂二期工程刮泥机成套系统设备采购</w:t>
            </w:r>
          </w:p>
        </w:tc>
        <w:tc>
          <w:tcPr>
            <w:tcW w:w="2893" w:type="dxa"/>
            <w:vAlign w:val="center"/>
          </w:tcPr>
          <w:p>
            <w:pPr>
              <w:pStyle w:val="15"/>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pPr>
              <w:pStyle w:val="15"/>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ascii="宋体" w:hAnsi="宋体"/>
                <w:szCs w:val="20"/>
              </w:rPr>
              <w:t>2</w:t>
            </w:r>
          </w:p>
        </w:tc>
        <w:tc>
          <w:tcPr>
            <w:tcW w:w="3468" w:type="dxa"/>
            <w:vAlign w:val="center"/>
          </w:tcPr>
          <w:p>
            <w:pPr>
              <w:pStyle w:val="68"/>
              <w:keepNext w:val="0"/>
              <w:snapToGrid w:val="0"/>
              <w:spacing w:after="0" w:line="360" w:lineRule="auto"/>
              <w:rPr>
                <w:rFonts w:ascii="宋体" w:hAnsi="宋体"/>
                <w:szCs w:val="21"/>
              </w:rPr>
            </w:pPr>
            <w:r>
              <w:rPr>
                <w:rFonts w:hint="eastAsia"/>
              </w:rPr>
              <w:t>东莞市清溪厦坭污水处理厂二期工程刮泥机成套系统设备采购</w:t>
            </w:r>
          </w:p>
        </w:tc>
        <w:tc>
          <w:tcPr>
            <w:tcW w:w="2893" w:type="dxa"/>
            <w:vAlign w:val="center"/>
          </w:tcPr>
          <w:p>
            <w:pPr>
              <w:pStyle w:val="15"/>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15"/>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hint="eastAsia" w:ascii="宋体" w:hAnsi="宋体"/>
                <w:szCs w:val="20"/>
              </w:rPr>
              <w:t>3</w:t>
            </w:r>
          </w:p>
        </w:tc>
        <w:tc>
          <w:tcPr>
            <w:tcW w:w="3468" w:type="dxa"/>
            <w:vAlign w:val="center"/>
          </w:tcPr>
          <w:p>
            <w:pPr>
              <w:pStyle w:val="68"/>
              <w:keepNext w:val="0"/>
              <w:snapToGrid w:val="0"/>
              <w:spacing w:after="0" w:line="360" w:lineRule="auto"/>
              <w:rPr>
                <w:rFonts w:ascii="宋体" w:hAnsi="宋体"/>
                <w:szCs w:val="21"/>
              </w:rPr>
            </w:pPr>
            <w:r>
              <w:rPr>
                <w:rFonts w:hint="eastAsia"/>
              </w:rPr>
              <w:t>东莞市黄江梅塘南部污水处理厂一期工程刮泥机成套系统设备采购</w:t>
            </w:r>
          </w:p>
        </w:tc>
        <w:tc>
          <w:tcPr>
            <w:tcW w:w="2893" w:type="dxa"/>
            <w:vAlign w:val="center"/>
          </w:tcPr>
          <w:p>
            <w:pPr>
              <w:pStyle w:val="15"/>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pPr>
              <w:pStyle w:val="15"/>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hint="eastAsia" w:ascii="宋体" w:hAnsi="宋体"/>
                <w:szCs w:val="20"/>
              </w:rPr>
              <w:t>4</w:t>
            </w:r>
          </w:p>
        </w:tc>
        <w:tc>
          <w:tcPr>
            <w:tcW w:w="3468" w:type="dxa"/>
            <w:vAlign w:val="center"/>
          </w:tcPr>
          <w:p>
            <w:pPr>
              <w:pStyle w:val="68"/>
              <w:keepNext w:val="0"/>
              <w:snapToGrid w:val="0"/>
              <w:spacing w:after="0" w:line="360" w:lineRule="auto"/>
            </w:pPr>
            <w:r>
              <w:rPr>
                <w:rFonts w:hint="eastAsia"/>
              </w:rPr>
              <w:t>东莞市凤岗竹塘污水处理厂三期工程刮泥机成套系统设备采购</w:t>
            </w:r>
          </w:p>
        </w:tc>
        <w:tc>
          <w:tcPr>
            <w:tcW w:w="2893" w:type="dxa"/>
            <w:vAlign w:val="center"/>
          </w:tcPr>
          <w:p>
            <w:pPr>
              <w:pStyle w:val="15"/>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15"/>
              <w:snapToGrid w:val="0"/>
              <w:spacing w:line="360" w:lineRule="auto"/>
              <w:jc w:val="center"/>
              <w:rPr>
                <w:rFonts w:hAnsi="宋体"/>
              </w:rPr>
            </w:pPr>
          </w:p>
        </w:tc>
      </w:tr>
    </w:tbl>
    <w:p>
      <w:pPr>
        <w:snapToGrid w:val="0"/>
        <w:spacing w:line="360" w:lineRule="auto"/>
        <w:ind w:left="2"/>
        <w:rPr>
          <w:rFonts w:ascii="宋体" w:hAnsi="宋体"/>
          <w:lang w:val="zh-CN"/>
        </w:rPr>
      </w:pPr>
      <w:r>
        <w:rPr>
          <w:rFonts w:hint="eastAsia" w:ascii="宋体" w:hAnsi="宋体"/>
          <w:lang w:val="zh-CN"/>
        </w:rPr>
        <w:t>注：</w:t>
      </w:r>
    </w:p>
    <w:p>
      <w:pPr>
        <w:snapToGrid w:val="0"/>
        <w:spacing w:line="360" w:lineRule="auto"/>
        <w:ind w:left="210" w:hanging="210" w:hangingChars="100"/>
        <w:rPr>
          <w:rFonts w:ascii="宋体" w:hAnsi="宋体"/>
          <w:lang w:val="zh-CN"/>
        </w:rPr>
      </w:pPr>
      <w:r>
        <w:rPr>
          <w:rFonts w:hint="eastAsia" w:ascii="宋体" w:hAnsi="宋体"/>
          <w:lang w:val="zh-CN"/>
        </w:rPr>
        <w:t>1.</w:t>
      </w:r>
      <w:r>
        <w:rPr>
          <w:rFonts w:hint="eastAsia" w:hAnsi="宋体"/>
          <w:b/>
          <w:szCs w:val="21"/>
          <w:u w:val="single"/>
        </w:rPr>
        <w:t xml:space="preserve"> 本项目投标报价为不含税价，即为《中华人民共和国增值税暂行条例》（国务院令第6</w:t>
      </w:r>
      <w:r>
        <w:rPr>
          <w:rFonts w:hAnsi="宋体"/>
          <w:b/>
          <w:szCs w:val="21"/>
          <w:u w:val="single"/>
        </w:rPr>
        <w:t>91</w:t>
      </w:r>
      <w:r>
        <w:rPr>
          <w:rFonts w:hint="eastAsia" w:hAnsi="宋体"/>
          <w:b/>
          <w:szCs w:val="21"/>
          <w:u w:val="single"/>
        </w:rPr>
        <w:t>号修订版）规定的销售额</w:t>
      </w:r>
      <w:r>
        <w:rPr>
          <w:rFonts w:hint="eastAsia" w:hAnsi="宋体"/>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szCs w:val="21"/>
          <w:lang w:val="zh-CN"/>
        </w:rPr>
        <w:t>本采购项目的销项税额由项目业主承担</w:t>
      </w:r>
      <w:r>
        <w:rPr>
          <w:rFonts w:hint="eastAsia" w:hAnsi="宋体"/>
          <w:szCs w:val="21"/>
        </w:rPr>
        <w:t>，不计入投标报价。</w:t>
      </w:r>
    </w:p>
    <w:p>
      <w:pPr>
        <w:snapToGrid w:val="0"/>
        <w:spacing w:line="360" w:lineRule="auto"/>
        <w:ind w:left="211" w:hanging="211" w:hangingChars="100"/>
        <w:rPr>
          <w:rFonts w:ascii="宋体" w:hAnsi="宋体"/>
          <w:lang w:val="zh-CN"/>
        </w:rPr>
      </w:pPr>
      <w:r>
        <w:rPr>
          <w:rFonts w:hint="eastAsia" w:ascii="宋体" w:hAnsi="宋体"/>
          <w:b/>
          <w:szCs w:val="21"/>
          <w:u w:val="single"/>
          <w:lang w:val="zh-CN"/>
        </w:rPr>
        <w:t>2.此表的合计指所有需项目业主支付的本次招标范围内所有内容的金额总数即报价信封中的投标值</w:t>
      </w:r>
      <w:r>
        <w:rPr>
          <w:rFonts w:hint="eastAsia" w:ascii="宋体" w:hAnsi="宋体"/>
          <w:szCs w:val="21"/>
          <w:lang w:val="zh-CN"/>
        </w:rPr>
        <w:t>。</w:t>
      </w:r>
    </w:p>
    <w:p>
      <w:pPr>
        <w:snapToGrid w:val="0"/>
        <w:spacing w:line="360" w:lineRule="auto"/>
        <w:ind w:left="210" w:hanging="210" w:hangingChars="100"/>
        <w:rPr>
          <w:rFonts w:ascii="宋体" w:hAnsi="宋体"/>
          <w:b/>
          <w:szCs w:val="21"/>
          <w:lang w:val="zh-CN"/>
        </w:rPr>
      </w:pPr>
      <w:r>
        <w:rPr>
          <w:rFonts w:ascii="宋体" w:hAnsi="宋体"/>
          <w:szCs w:val="21"/>
          <w:lang w:val="zh-CN"/>
        </w:rPr>
        <w:t>3</w:t>
      </w:r>
      <w:r>
        <w:rPr>
          <w:rFonts w:hint="eastAsia" w:ascii="宋体" w:hAnsi="宋体"/>
          <w:szCs w:val="21"/>
          <w:lang w:val="zh-CN"/>
        </w:rPr>
        <w:t>.</w:t>
      </w:r>
      <w:r>
        <w:rPr>
          <w:rFonts w:hint="eastAsia" w:ascii="宋体" w:hAnsi="宋体"/>
          <w:b/>
          <w:szCs w:val="21"/>
          <w:u w:val="single"/>
          <w:lang w:val="zh-CN"/>
        </w:rPr>
        <w:t>本表可不填写大写数额的报价。若报价表内同时填报了大写数额和小写数额的报价且大写与小写不一致时，以大写数额为准，修正小写数额</w:t>
      </w:r>
      <w:r>
        <w:rPr>
          <w:rFonts w:hint="eastAsia" w:ascii="宋体" w:hAnsi="宋体"/>
          <w:b/>
          <w:szCs w:val="21"/>
          <w:lang w:val="zh-CN"/>
        </w:rPr>
        <w:t>。</w:t>
      </w:r>
    </w:p>
    <w:p>
      <w:pPr>
        <w:snapToGrid w:val="0"/>
        <w:spacing w:line="360" w:lineRule="auto"/>
        <w:ind w:left="210" w:hanging="210" w:hangingChars="100"/>
        <w:rPr>
          <w:rFonts w:ascii="宋体" w:hAnsi="宋体"/>
          <w:b/>
          <w:szCs w:val="21"/>
          <w:lang w:val="zh-CN"/>
        </w:rPr>
      </w:pPr>
      <w:r>
        <w:rPr>
          <w:rFonts w:ascii="宋体" w:hAnsi="宋体"/>
          <w:szCs w:val="21"/>
          <w:lang w:val="zh-CN"/>
        </w:rPr>
        <w:t>4</w:t>
      </w:r>
      <w:r>
        <w:rPr>
          <w:rFonts w:hint="eastAsia" w:ascii="宋体" w:hAnsi="宋体"/>
          <w:szCs w:val="21"/>
          <w:lang w:val="zh-CN"/>
        </w:rPr>
        <w:t>.</w:t>
      </w:r>
      <w:r>
        <w:rPr>
          <w:rFonts w:hint="eastAsia" w:ascii="宋体" w:hAnsi="宋体"/>
          <w:b/>
          <w:szCs w:val="21"/>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hint="eastAsia" w:ascii="宋体" w:hAnsi="宋体"/>
          <w:b/>
          <w:szCs w:val="21"/>
          <w:lang w:val="zh-CN"/>
        </w:rPr>
        <w:t>。</w:t>
      </w:r>
    </w:p>
    <w:p>
      <w:pPr>
        <w:snapToGrid w:val="0"/>
        <w:spacing w:line="360" w:lineRule="auto"/>
        <w:ind w:left="210" w:hanging="210" w:hangingChars="100"/>
        <w:rPr>
          <w:rFonts w:ascii="宋体" w:hAnsi="宋体"/>
          <w:b/>
          <w:szCs w:val="21"/>
          <w:lang w:val="zh-CN"/>
        </w:rPr>
      </w:pPr>
      <w:r>
        <w:rPr>
          <w:rFonts w:ascii="宋体" w:hAnsi="宋体"/>
          <w:bCs/>
          <w:szCs w:val="21"/>
          <w:lang w:val="zh-CN"/>
        </w:rPr>
        <w:t>5.</w:t>
      </w:r>
      <w:r>
        <w:rPr>
          <w:rFonts w:hint="eastAsia" w:ascii="宋体" w:hAnsi="宋体"/>
          <w:b/>
          <w:szCs w:val="21"/>
          <w:lang w:val="zh-CN"/>
        </w:rPr>
        <w:t>由投标人使用投标人的企业数字证书，法定代表人数字证书电子签名。</w:t>
      </w:r>
    </w:p>
    <w:p>
      <w:pPr>
        <w:snapToGrid w:val="0"/>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rPr>
          <w:rFonts w:hAnsi="宋体"/>
          <w:szCs w:val="21"/>
        </w:rPr>
      </w:pPr>
      <w:r>
        <w:rPr>
          <w:rFonts w:hint="eastAsia" w:ascii="宋体" w:hAnsi="宋体"/>
          <w:kern w:val="3"/>
        </w:rPr>
        <w:t xml:space="preserve"> </w:t>
      </w:r>
      <w:r>
        <w:rPr>
          <w:rFonts w:ascii="宋体" w:hAnsi="宋体"/>
          <w:kern w:val="3"/>
        </w:rPr>
        <w:t xml:space="preserve">                                </w:t>
      </w: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5"/>
        <w:rPr>
          <w:rFonts w:ascii="宋体"/>
          <w:sz w:val="24"/>
          <w:szCs w:val="24"/>
        </w:rPr>
      </w:pPr>
      <w:r>
        <w:br w:type="page"/>
      </w:r>
      <w:bookmarkStart w:id="901" w:name="_Toc132814839"/>
      <w:bookmarkStart w:id="902" w:name="_Toc7459"/>
      <w:bookmarkStart w:id="903" w:name="_Toc8829"/>
      <w:bookmarkStart w:id="904" w:name="_Toc1641"/>
      <w:bookmarkStart w:id="905" w:name="_Toc7989"/>
      <w:bookmarkStart w:id="906" w:name="_Toc10165"/>
      <w:r>
        <w:rPr>
          <w:rFonts w:hint="eastAsia" w:ascii="宋体"/>
          <w:sz w:val="24"/>
          <w:szCs w:val="24"/>
        </w:rPr>
        <w:t>3、东莞市沙田福禄沙污水处理厂二期工程刮泥机成套系统设备采购分项报价明细表及附表</w:t>
      </w:r>
      <w:bookmarkEnd w:id="901"/>
      <w:bookmarkEnd w:id="902"/>
    </w:p>
    <w:bookmarkEnd w:id="903"/>
    <w:bookmarkEnd w:id="904"/>
    <w:bookmarkEnd w:id="905"/>
    <w:bookmarkEnd w:id="906"/>
    <w:p>
      <w:pPr>
        <w:pStyle w:val="5"/>
        <w:rPr>
          <w:rFonts w:hAnsi="宋体"/>
          <w:szCs w:val="21"/>
        </w:rPr>
      </w:pPr>
      <w:bookmarkStart w:id="907" w:name="_Toc6800"/>
      <w:bookmarkStart w:id="908" w:name="_Toc132814840"/>
      <w:bookmarkStart w:id="909" w:name="_Toc11737"/>
      <w:bookmarkStart w:id="910" w:name="_Toc132276386"/>
      <w:r>
        <w:rPr>
          <w:rFonts w:hint="eastAsia" w:hAnsi="宋体"/>
          <w:szCs w:val="21"/>
        </w:rPr>
        <w:t>项目名称：</w:t>
      </w:r>
      <w:r>
        <w:rPr>
          <w:rFonts w:hint="eastAsia" w:hAnsi="宋体"/>
          <w:szCs w:val="21"/>
          <w:u w:val="single"/>
        </w:rPr>
        <w:t xml:space="preserve">                   {招标项目名称}</w:t>
      </w:r>
      <w:bookmarkEnd w:id="907"/>
      <w:bookmarkEnd w:id="908"/>
      <w:bookmarkEnd w:id="909"/>
      <w:bookmarkEnd w:id="910"/>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15"/>
        <w:snapToGrid w:val="0"/>
        <w:spacing w:line="360" w:lineRule="auto"/>
        <w:ind w:firstLine="6405" w:firstLineChars="3050"/>
        <w:rPr>
          <w:rFonts w:hAnsi="宋体"/>
          <w:szCs w:val="21"/>
        </w:rPr>
      </w:pPr>
      <w:r>
        <w:rPr>
          <w:rFonts w:hint="eastAsia" w:hAnsi="宋体"/>
          <w:szCs w:val="21"/>
        </w:rPr>
        <w:t>单位：人民币元</w:t>
      </w:r>
    </w:p>
    <w:tbl>
      <w:tblPr>
        <w:tblStyle w:val="29"/>
        <w:tblW w:w="5000" w:type="pct"/>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ind w:left="210" w:hanging="210" w:hangingChars="100"/>
        <w:rPr>
          <w:rFonts w:ascii="宋体" w:hAnsi="宋体"/>
          <w:szCs w:val="21"/>
          <w:lang w:val="zh-CN"/>
        </w:rPr>
      </w:pPr>
      <w:r>
        <w:rPr>
          <w:rFonts w:ascii="宋体" w:hAnsi="宋体"/>
          <w:szCs w:val="21"/>
          <w:lang w:val="zh-CN"/>
        </w:rPr>
        <w:t>5.</w:t>
      </w:r>
      <w:r>
        <w:rPr>
          <w:rFonts w:hint="eastAsia" w:ascii="宋体" w:hAnsi="宋体"/>
          <w:szCs w:val="21"/>
          <w:lang w:val="zh-CN"/>
        </w:rPr>
        <w:t xml:space="preserve"> </w:t>
      </w:r>
      <w:r>
        <w:rPr>
          <w:rFonts w:hint="eastAsia" w:ascii="宋体" w:hAnsi="宋体"/>
          <w:b/>
          <w:bCs/>
          <w:szCs w:val="21"/>
          <w:lang w:val="zh-CN"/>
        </w:rPr>
        <w:t>由投标人使用投标人的企业数字证书，法定代表人数字证书电子签名。</w:t>
      </w:r>
    </w:p>
    <w:p>
      <w:pPr>
        <w:rPr>
          <w:sz w:val="24"/>
        </w:rPr>
      </w:pPr>
    </w:p>
    <w:p>
      <w:pPr>
        <w:snapToGrid w:val="0"/>
        <w:spacing w:line="360" w:lineRule="auto"/>
        <w:ind w:firstLine="3570" w:firstLineChars="17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pageBreakBefore/>
        <w:spacing w:line="360" w:lineRule="auto"/>
        <w:rPr>
          <w:rFonts w:ascii="宋体" w:hAnsi="宋体"/>
          <w:b/>
          <w:sz w:val="24"/>
        </w:rPr>
      </w:pPr>
      <w:r>
        <w:rPr>
          <w:rFonts w:hint="eastAsia" w:ascii="宋体" w:hAnsi="宋体"/>
          <w:b/>
          <w:sz w:val="24"/>
        </w:rPr>
        <w:t>附表3-1货物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（东莞市沙田福禄沙污水处理厂二期工程刮泥机成套系统设备采购）货物详细报价表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附表3-2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（东莞市沙田福禄沙污水处理厂二期工程刮泥机成套系统设备采购）运输、装卸、保险详细报价表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附表3-3安装、单机试运转、指导及配合联合试运转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（东莞市沙田福禄沙污水处理厂二期工程刮泥机成套系统设备采购）安装、单机试运转、指导及配合联合试运转详细报价表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（东莞市沙田福禄沙污水处理厂二期工程刮泥机成套系统设备采购）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附表3-5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（东莞市沙田福禄沙污水处理厂二期工程刮泥机成套系统设备采购）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kern w:val="3"/>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kern w:val="3"/>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pStyle w:val="15"/>
        <w:spacing w:line="360" w:lineRule="auto"/>
        <w:rPr>
          <w:rFonts w:hAnsi="宋体"/>
          <w:szCs w:val="21"/>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cs="Arial"/>
                <w:b/>
                <w:kern w:val="0"/>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附表3-9日常技术指导、质保期保修服务费用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15"/>
              <w:spacing w:line="360" w:lineRule="auto"/>
              <w:jc w:val="center"/>
              <w:rPr>
                <w:rFonts w:hAnsi="宋体"/>
                <w:szCs w:val="21"/>
              </w:rPr>
            </w:pPr>
            <w:r>
              <w:rPr>
                <w:rFonts w:hint="eastAsia" w:hAnsi="宋体"/>
                <w:szCs w:val="21"/>
              </w:rPr>
              <w:t>……</w:t>
            </w:r>
          </w:p>
        </w:tc>
        <w:tc>
          <w:tcPr>
            <w:tcW w:w="2554" w:type="dxa"/>
            <w:vAlign w:val="center"/>
          </w:tcPr>
          <w:p>
            <w:pPr>
              <w:pStyle w:val="15"/>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bookmarkStart w:id="911" w:name="_Hlk89534363"/>
      <w:r>
        <w:rPr>
          <w:rFonts w:hint="eastAsia" w:ascii="宋体" w:hAnsi="宋体"/>
          <w:kern w:val="3"/>
        </w:rPr>
        <w:t>（2）</w:t>
      </w:r>
      <w:r>
        <w:rPr>
          <w:rFonts w:hint="eastAsia" w:ascii="宋体" w:hAnsi="宋体" w:cs="宋体"/>
          <w:szCs w:val="21"/>
        </w:rPr>
        <w:t>由投标人使用投标人的企业数字证书，法定代表人数字证书电子签名。</w:t>
      </w:r>
    </w:p>
    <w:bookmarkEnd w:id="911"/>
    <w:p>
      <w:pPr>
        <w:spacing w:line="360" w:lineRule="auto"/>
        <w:rPr>
          <w:rFonts w:ascii="宋体" w:hAnsi="宋体"/>
          <w:kern w:val="3"/>
        </w:rPr>
      </w:pP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5"/>
        <w:pageBreakBefore/>
        <w:spacing w:before="156" w:beforeLines="50" w:after="156" w:afterLines="50"/>
        <w:jc w:val="center"/>
        <w:rPr>
          <w:rFonts w:ascii="宋体" w:hAnsi="宋体"/>
          <w:sz w:val="24"/>
          <w:szCs w:val="24"/>
        </w:rPr>
      </w:pPr>
      <w:bookmarkStart w:id="912" w:name="_Toc12092"/>
      <w:bookmarkStart w:id="913" w:name="_Toc6190"/>
      <w:bookmarkStart w:id="914" w:name="_Toc8906"/>
      <w:bookmarkStart w:id="915" w:name="_Toc20859"/>
      <w:bookmarkStart w:id="916" w:name="_Toc15480"/>
      <w:bookmarkStart w:id="917" w:name="_Toc132814841"/>
      <w:r>
        <w:rPr>
          <w:rFonts w:ascii="宋体" w:hAnsi="宋体"/>
          <w:sz w:val="24"/>
          <w:szCs w:val="24"/>
        </w:rPr>
        <w:t>4</w:t>
      </w:r>
      <w:r>
        <w:rPr>
          <w:rFonts w:hint="eastAsia" w:ascii="宋体" w:hAnsi="宋体"/>
          <w:sz w:val="24"/>
          <w:szCs w:val="24"/>
        </w:rPr>
        <w:t>、东莞市清溪厦坭污水处理厂二期工程刮泥机成套系统设备采购分项报价明细表及附表</w:t>
      </w:r>
      <w:bookmarkEnd w:id="912"/>
      <w:bookmarkEnd w:id="913"/>
      <w:bookmarkEnd w:id="914"/>
      <w:bookmarkEnd w:id="915"/>
      <w:bookmarkEnd w:id="916"/>
      <w:bookmarkEnd w:id="917"/>
    </w:p>
    <w:p>
      <w:pPr>
        <w:pStyle w:val="15"/>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15"/>
        <w:snapToGrid w:val="0"/>
        <w:spacing w:line="360" w:lineRule="auto"/>
        <w:ind w:firstLine="6405" w:firstLineChars="3050"/>
        <w:rPr>
          <w:rFonts w:hAnsi="宋体"/>
          <w:szCs w:val="21"/>
        </w:rPr>
      </w:pPr>
      <w:r>
        <w:rPr>
          <w:rFonts w:hint="eastAsia" w:hAnsi="宋体"/>
          <w:szCs w:val="21"/>
        </w:rPr>
        <w:t>单位：人民币元</w:t>
      </w:r>
    </w:p>
    <w:tbl>
      <w:tblPr>
        <w:tblStyle w:val="29"/>
        <w:tblW w:w="5000" w:type="pct"/>
        <w:jc w:val="center"/>
        <w:tblLayout w:type="autofit"/>
        <w:tblCellMar>
          <w:top w:w="0" w:type="dxa"/>
          <w:left w:w="108" w:type="dxa"/>
          <w:bottom w:w="0" w:type="dxa"/>
          <w:right w:w="108" w:type="dxa"/>
        </w:tblCellMar>
      </w:tblPr>
      <w:tblGrid>
        <w:gridCol w:w="649"/>
        <w:gridCol w:w="4137"/>
        <w:gridCol w:w="1349"/>
        <w:gridCol w:w="1453"/>
        <w:gridCol w:w="1528"/>
      </w:tblGrid>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4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7"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其他费用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hint="eastAsia" w:ascii="宋体" w:hAnsi="宋体" w:cs="宋体"/>
          <w:b/>
          <w:bCs/>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（东莞市清溪厦坭污水处理厂二期工程刮泥机成套系统设备采购）货物详细报价表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（东莞市清溪厦坭污水处理厂二期工程刮泥机成套系统设备采购）运输、装卸、保险详细报价表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w:t>
      </w:r>
      <w:r>
        <w:rPr>
          <w:rFonts w:ascii="宋体" w:hAnsi="宋体"/>
          <w:b/>
          <w:sz w:val="24"/>
        </w:rPr>
        <w:t>4</w:t>
      </w:r>
      <w:r>
        <w:rPr>
          <w:rFonts w:hint="eastAsia" w:ascii="宋体" w:hAnsi="宋体"/>
          <w:b/>
          <w:sz w:val="24"/>
        </w:rPr>
        <w:t>-3安装、 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（东莞市清溪厦坭污水处理厂二期工程刮泥机成套系统设备采购）安装、单机试运转、指导及配合联合试运转详细报价表</w:t>
      </w:r>
    </w:p>
    <w:p>
      <w:pPr>
        <w:spacing w:line="360" w:lineRule="auto"/>
        <w:jc w:val="center"/>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-4</w:t>
      </w:r>
      <w:r>
        <w:rPr>
          <w:rFonts w:hint="eastAsia" w:ascii="宋体" w:hAnsi="宋体"/>
          <w:b/>
          <w:sz w:val="24"/>
          <w:lang w:val="zh-CN"/>
        </w:rPr>
        <w:t>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（东莞市清溪厦坭污水处理厂二期工程刮泥机成套系统设备采购）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jc w:val="center"/>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-5</w:t>
      </w:r>
      <w:r>
        <w:rPr>
          <w:rFonts w:hint="eastAsia" w:ascii="宋体" w:hAnsi="宋体"/>
          <w:b/>
          <w:sz w:val="24"/>
          <w:lang w:val="zh-CN"/>
        </w:rPr>
        <w:t>技术资料（含图纸）</w:t>
      </w:r>
    </w:p>
    <w:p>
      <w:pPr>
        <w:spacing w:line="360" w:lineRule="auto"/>
        <w:jc w:val="center"/>
        <w:rPr>
          <w:rFonts w:ascii="宋体" w:hAnsi="宋体"/>
          <w:sz w:val="24"/>
          <w:lang w:val="zh-CN"/>
        </w:rPr>
      </w:pPr>
      <w:r>
        <w:rPr>
          <w:rFonts w:hint="eastAsia" w:ascii="宋体" w:hAnsi="宋体"/>
          <w:sz w:val="24"/>
        </w:rPr>
        <w:t>（东莞市清溪厦坭污水处理厂二期工程刮泥机成套系统设备采购）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ind w:firstLine="3360" w:firstLineChars="1600"/>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ind w:firstLine="3373" w:firstLineChars="1600"/>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pStyle w:val="15"/>
        <w:spacing w:line="360" w:lineRule="auto"/>
        <w:rPr>
          <w:rFonts w:hAnsi="宋体"/>
          <w:szCs w:val="21"/>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b/>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w:t>
      </w:r>
      <w:r>
        <w:rPr>
          <w:rFonts w:ascii="宋体" w:hAnsi="宋体"/>
          <w:b/>
          <w:sz w:val="24"/>
          <w:lang w:val="zh-CN"/>
        </w:rPr>
        <w:t>4</w:t>
      </w:r>
      <w:r>
        <w:rPr>
          <w:rFonts w:hint="eastAsia" w:ascii="宋体" w:hAnsi="宋体"/>
          <w:b/>
          <w:sz w:val="24"/>
          <w:lang w:val="zh-CN"/>
        </w:rPr>
        <w:t>-9日常技术指导、质保期保修服务费用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15"/>
              <w:spacing w:line="360" w:lineRule="auto"/>
              <w:jc w:val="center"/>
              <w:rPr>
                <w:rFonts w:hAnsi="宋体"/>
                <w:szCs w:val="21"/>
              </w:rPr>
            </w:pPr>
            <w:r>
              <w:rPr>
                <w:rFonts w:hint="eastAsia" w:hAnsi="宋体"/>
                <w:szCs w:val="21"/>
              </w:rPr>
              <w:t>……</w:t>
            </w:r>
          </w:p>
        </w:tc>
        <w:tc>
          <w:tcPr>
            <w:tcW w:w="2554" w:type="dxa"/>
            <w:vAlign w:val="center"/>
          </w:tcPr>
          <w:p>
            <w:pPr>
              <w:pStyle w:val="15"/>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
      <w:pPr>
        <w:spacing w:line="360" w:lineRule="auto"/>
        <w:rPr>
          <w:rFonts w:ascii="宋体" w:hAnsi="宋体"/>
          <w:b/>
          <w:kern w:val="3"/>
        </w:rPr>
      </w:pPr>
    </w:p>
    <w:p>
      <w:pPr>
        <w:pStyle w:val="5"/>
        <w:pageBreakBefore/>
        <w:spacing w:before="156" w:beforeLines="50" w:after="156" w:afterLines="50"/>
        <w:jc w:val="center"/>
        <w:rPr>
          <w:rFonts w:ascii="宋体" w:hAnsi="宋体"/>
          <w:sz w:val="24"/>
          <w:szCs w:val="24"/>
        </w:rPr>
      </w:pPr>
      <w:bookmarkStart w:id="918" w:name="_Toc26451"/>
      <w:bookmarkStart w:id="919" w:name="_Toc12454"/>
      <w:bookmarkStart w:id="920" w:name="_Toc7606"/>
      <w:bookmarkStart w:id="921" w:name="_Toc18745"/>
      <w:bookmarkStart w:id="922" w:name="_Toc132814842"/>
      <w:bookmarkStart w:id="923" w:name="_Toc9764"/>
      <w:r>
        <w:rPr>
          <w:rFonts w:hint="eastAsia" w:ascii="宋体" w:hAnsi="宋体"/>
          <w:sz w:val="24"/>
          <w:szCs w:val="24"/>
        </w:rPr>
        <w:t>5、东莞市黄江梅塘南部污水处理厂一期工程刮泥机成套系统设备采购分项报价明细表及附表</w:t>
      </w:r>
      <w:bookmarkEnd w:id="918"/>
      <w:bookmarkEnd w:id="919"/>
      <w:bookmarkEnd w:id="920"/>
      <w:bookmarkEnd w:id="921"/>
      <w:bookmarkEnd w:id="922"/>
      <w:bookmarkEnd w:id="923"/>
    </w:p>
    <w:p>
      <w:pPr>
        <w:pStyle w:val="15"/>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15"/>
        <w:snapToGrid w:val="0"/>
        <w:spacing w:line="360" w:lineRule="auto"/>
        <w:ind w:firstLine="6405" w:firstLineChars="3050"/>
        <w:rPr>
          <w:rFonts w:hAnsi="宋体"/>
          <w:szCs w:val="21"/>
        </w:rPr>
      </w:pPr>
      <w:r>
        <w:rPr>
          <w:rFonts w:hint="eastAsia" w:hAnsi="宋体"/>
          <w:szCs w:val="21"/>
        </w:rPr>
        <w:t>单位：人民币元</w:t>
      </w:r>
    </w:p>
    <w:tbl>
      <w:tblPr>
        <w:tblStyle w:val="29"/>
        <w:tblW w:w="5000" w:type="pct"/>
        <w:jc w:val="center"/>
        <w:tblLayout w:type="autofit"/>
        <w:tblCellMar>
          <w:top w:w="0" w:type="dxa"/>
          <w:left w:w="108" w:type="dxa"/>
          <w:bottom w:w="0" w:type="dxa"/>
          <w:right w:w="108" w:type="dxa"/>
        </w:tblCellMar>
      </w:tblPr>
      <w:tblGrid>
        <w:gridCol w:w="648"/>
        <w:gridCol w:w="4139"/>
        <w:gridCol w:w="1348"/>
        <w:gridCol w:w="1452"/>
        <w:gridCol w:w="1529"/>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3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其他费用</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int="eastAsia" w:hAnsi="宋体" w:cs="宋体"/>
          <w:b/>
          <w:bCs/>
          <w:szCs w:val="21"/>
        </w:rPr>
        <w:t xml:space="preserve"> </w:t>
      </w:r>
      <w:r>
        <w:rPr>
          <w:rFonts w:hint="eastAsia" w:ascii="宋体" w:hAnsi="宋体" w:cs="宋体"/>
          <w:b/>
          <w:bCs/>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附表5-1货物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（东莞市黄江梅塘南部污水处理厂一期工程刮泥机成套系统设备采购）货物详细报价表</w:t>
      </w:r>
    </w:p>
    <w:p>
      <w:pPr>
        <w:spacing w:line="360" w:lineRule="auto"/>
        <w:jc w:val="center"/>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附表5-2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（东莞市黄江梅塘南部污水处理厂一期工程刮泥机成套系统设备采购）运输、装卸、保险详细报价表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附表5-3安装、 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（东莞市黄江梅塘南部污水处理厂一期工程刮泥机成套系统设备采购）安装、单机试运转、指导及配合联合试运转详细报价表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附表5-4</w:t>
      </w:r>
      <w:r>
        <w:rPr>
          <w:rFonts w:hint="eastAsia" w:ascii="宋体" w:hAnsi="宋体"/>
          <w:b/>
          <w:sz w:val="24"/>
          <w:lang w:val="zh-CN"/>
        </w:rPr>
        <w:t>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（东莞市黄江梅塘南部污水处理厂一期工程刮泥机成套系统设备采购）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附表5-5</w:t>
      </w:r>
      <w:r>
        <w:rPr>
          <w:rFonts w:hint="eastAsia" w:ascii="宋体" w:hAnsi="宋体"/>
          <w:b/>
          <w:sz w:val="24"/>
          <w:lang w:val="zh-CN"/>
        </w:rPr>
        <w:t>技术资料（含图纸）</w:t>
      </w:r>
    </w:p>
    <w:p>
      <w:pPr>
        <w:spacing w:line="360" w:lineRule="auto"/>
        <w:jc w:val="center"/>
        <w:rPr>
          <w:rFonts w:ascii="宋体" w:hAnsi="宋体"/>
          <w:sz w:val="24"/>
          <w:lang w:val="zh-CN"/>
        </w:rPr>
      </w:pPr>
      <w:r>
        <w:rPr>
          <w:rFonts w:hint="eastAsia" w:ascii="宋体" w:hAnsi="宋体"/>
          <w:sz w:val="24"/>
        </w:rPr>
        <w:t>（东莞市黄江梅塘南部污水处理厂一期工程刮泥机成套系统设备采购）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ind w:firstLine="3360" w:firstLineChars="1600"/>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ind w:firstLine="3373" w:firstLineChars="1600"/>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jc w:val="center"/>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pStyle w:val="15"/>
        <w:spacing w:line="360" w:lineRule="auto"/>
        <w:rPr>
          <w:rFonts w:hAnsi="宋体"/>
          <w:szCs w:val="21"/>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b/>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附表5-9日常技术指导、质保期保修服务费用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15"/>
              <w:spacing w:line="360" w:lineRule="auto"/>
              <w:jc w:val="center"/>
              <w:rPr>
                <w:rFonts w:hAnsi="宋体"/>
                <w:szCs w:val="21"/>
              </w:rPr>
            </w:pPr>
            <w:r>
              <w:rPr>
                <w:rFonts w:hint="eastAsia" w:hAnsi="宋体"/>
                <w:szCs w:val="21"/>
              </w:rPr>
              <w:t>……</w:t>
            </w:r>
          </w:p>
        </w:tc>
        <w:tc>
          <w:tcPr>
            <w:tcW w:w="2554" w:type="dxa"/>
            <w:vAlign w:val="center"/>
          </w:tcPr>
          <w:p>
            <w:pPr>
              <w:pStyle w:val="15"/>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sz w:val="24"/>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5"/>
        <w:pageBreakBefore/>
        <w:spacing w:before="156" w:beforeLines="50" w:after="156" w:afterLines="50"/>
        <w:jc w:val="center"/>
        <w:rPr>
          <w:rFonts w:ascii="宋体" w:hAnsi="宋体"/>
          <w:kern w:val="3"/>
          <w:sz w:val="24"/>
          <w:szCs w:val="24"/>
        </w:rPr>
        <w:sectPr>
          <w:pgSz w:w="11906" w:h="16838"/>
          <w:pgMar w:top="1440" w:right="1503" w:bottom="1440" w:left="1503" w:header="851" w:footer="992" w:gutter="0"/>
          <w:cols w:space="720" w:num="1"/>
          <w:titlePg/>
          <w:docGrid w:type="lines" w:linePitch="312" w:charSpace="0"/>
        </w:sectPr>
      </w:pPr>
      <w:bookmarkStart w:id="924" w:name="_Toc17630"/>
      <w:bookmarkStart w:id="925" w:name="_Toc277928788"/>
    </w:p>
    <w:p>
      <w:pPr>
        <w:pStyle w:val="5"/>
        <w:pageBreakBefore/>
        <w:spacing w:before="156" w:beforeLines="50" w:after="156" w:afterLines="50"/>
        <w:jc w:val="center"/>
        <w:rPr>
          <w:rFonts w:ascii="宋体" w:hAnsi="宋体"/>
          <w:sz w:val="24"/>
          <w:szCs w:val="24"/>
        </w:rPr>
      </w:pPr>
      <w:bookmarkStart w:id="926" w:name="_Toc802"/>
      <w:bookmarkStart w:id="927" w:name="_Toc14447"/>
      <w:bookmarkStart w:id="928" w:name="_Toc132814843"/>
      <w:bookmarkStart w:id="929" w:name="_Toc27164"/>
      <w:bookmarkStart w:id="930" w:name="_Toc92890434"/>
      <w:bookmarkStart w:id="931" w:name="_Toc15445"/>
      <w:bookmarkStart w:id="932" w:name="_Toc24842"/>
      <w:bookmarkStart w:id="933" w:name="_Toc15990"/>
      <w:bookmarkStart w:id="934" w:name="_Toc24870"/>
      <w:bookmarkStart w:id="935" w:name="_Toc26723"/>
      <w:r>
        <w:rPr>
          <w:rFonts w:hint="eastAsia" w:ascii="宋体" w:hAnsi="宋体"/>
          <w:sz w:val="24"/>
          <w:szCs w:val="24"/>
        </w:rPr>
        <w:t>6、东莞市凤岗竹塘污水处理厂三期工程刮泥机成套系统设备采购分项报价明细表及附表</w:t>
      </w:r>
      <w:bookmarkEnd w:id="926"/>
      <w:bookmarkEnd w:id="927"/>
      <w:bookmarkEnd w:id="928"/>
      <w:bookmarkEnd w:id="929"/>
      <w:bookmarkEnd w:id="930"/>
      <w:bookmarkEnd w:id="931"/>
      <w:bookmarkEnd w:id="932"/>
      <w:bookmarkEnd w:id="933"/>
      <w:bookmarkEnd w:id="934"/>
      <w:bookmarkEnd w:id="935"/>
    </w:p>
    <w:p>
      <w:pPr>
        <w:pStyle w:val="15"/>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15"/>
        <w:snapToGrid w:val="0"/>
        <w:spacing w:line="360" w:lineRule="auto"/>
        <w:ind w:firstLine="6405" w:firstLineChars="3050"/>
        <w:rPr>
          <w:rFonts w:hAnsi="宋体"/>
          <w:szCs w:val="21"/>
        </w:rPr>
      </w:pPr>
      <w:r>
        <w:rPr>
          <w:rFonts w:hint="eastAsia" w:hAnsi="宋体"/>
          <w:szCs w:val="21"/>
        </w:rPr>
        <w:t>单位：人民币元</w:t>
      </w:r>
    </w:p>
    <w:tbl>
      <w:tblPr>
        <w:tblStyle w:val="29"/>
        <w:tblW w:w="5000" w:type="pct"/>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int="eastAsia" w:hAnsi="宋体" w:cs="宋体"/>
          <w:b/>
          <w:bCs/>
          <w:szCs w:val="21"/>
        </w:rPr>
        <w:t xml:space="preserve"> </w:t>
      </w:r>
      <w:r>
        <w:rPr>
          <w:rFonts w:hint="eastAsia" w:ascii="宋体" w:hAnsi="宋体" w:cs="宋体"/>
          <w:b/>
          <w:bCs/>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附表6-1货物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（东莞市凤岗竹塘污水处理厂三期工程刮泥机成套系统设备采购）货物详细报价表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附表6-2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（东莞市凤岗竹塘污水处理厂三期工程刮泥机成套系统设备采购）运输、装卸、保险详细报价表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附表6-3安装、单机试运转、指导及配合联合试运转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（东莞市凤岗竹塘污水处理厂三期工程刮泥机成套系统设备采购）安装、单机试运转、指导及配合联合试运转详细报价表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（东莞市凤岗竹塘污水处理厂三期工程刮泥机成套系统设备采购）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附表6-5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（东莞市凤岗竹塘污水处理厂三期工程刮泥机成套系统设备采购）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pStyle w:val="15"/>
        <w:spacing w:line="360" w:lineRule="auto"/>
        <w:rPr>
          <w:rFonts w:hAnsi="宋体"/>
          <w:szCs w:val="21"/>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附表6-9日常技术指导、质保期保修服务费用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29"/>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15"/>
              <w:spacing w:line="360" w:lineRule="auto"/>
              <w:jc w:val="center"/>
              <w:rPr>
                <w:rFonts w:hAnsi="宋体"/>
                <w:szCs w:val="21"/>
              </w:rPr>
            </w:pPr>
            <w:r>
              <w:rPr>
                <w:rFonts w:hint="eastAsia" w:hAnsi="宋体"/>
                <w:szCs w:val="21"/>
              </w:rPr>
              <w:t>……</w:t>
            </w:r>
          </w:p>
        </w:tc>
        <w:tc>
          <w:tcPr>
            <w:tcW w:w="2554" w:type="dxa"/>
            <w:vAlign w:val="center"/>
          </w:tcPr>
          <w:p>
            <w:pPr>
              <w:pStyle w:val="15"/>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ind w:firstLine="3465" w:firstLineChars="1650"/>
        <w:rPr>
          <w:szCs w:val="21"/>
        </w:rPr>
      </w:pPr>
      <w:r>
        <w:rPr>
          <w:rFonts w:ascii="宋体" w:hAnsi="宋体"/>
          <w:kern w:val="3"/>
        </w:rPr>
        <w:t>法定代表人：</w:t>
      </w:r>
      <w:r>
        <w:rPr>
          <w:rFonts w:ascii="宋体" w:hAnsi="宋体"/>
          <w:kern w:val="3"/>
          <w:u w:val="single"/>
        </w:rPr>
        <w:t xml:space="preserve">                      </w:t>
      </w:r>
      <w:r>
        <w:rPr>
          <w:rFonts w:hint="eastAsia"/>
          <w:szCs w:val="21"/>
        </w:rPr>
        <w:t>（电子签名）</w:t>
      </w:r>
    </w:p>
    <w:p>
      <w:pPr>
        <w:ind w:firstLine="3465" w:firstLineChars="1650"/>
        <w:rPr>
          <w:rFonts w:ascii="宋体" w:hAnsi="宋体"/>
          <w:kern w:val="3"/>
          <w:sz w:val="24"/>
        </w:rPr>
        <w:sectPr>
          <w:pgSz w:w="11906" w:h="16838"/>
          <w:pgMar w:top="1440" w:right="1503" w:bottom="1440" w:left="1503" w:header="851" w:footer="992" w:gutter="0"/>
          <w:cols w:space="720" w:num="1"/>
          <w:titlePg/>
          <w:docGrid w:type="lines" w:linePitch="312" w:charSpace="0"/>
        </w:sect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5"/>
        <w:pageBreakBefore/>
        <w:spacing w:before="120" w:beforeLines="50" w:after="120" w:afterLines="50"/>
        <w:jc w:val="center"/>
        <w:rPr>
          <w:rFonts w:ascii="宋体" w:hAnsi="宋体"/>
          <w:sz w:val="24"/>
          <w:szCs w:val="24"/>
        </w:rPr>
      </w:pPr>
      <w:bookmarkStart w:id="936" w:name="_Toc21254"/>
      <w:bookmarkStart w:id="937" w:name="_Toc21891"/>
      <w:bookmarkStart w:id="938" w:name="_Toc16734"/>
      <w:bookmarkStart w:id="939" w:name="_Toc19960"/>
      <w:bookmarkStart w:id="940" w:name="_Toc132814844"/>
      <w:r>
        <w:rPr>
          <w:rFonts w:hint="eastAsia" w:ascii="宋体" w:hAnsi="宋体"/>
          <w:kern w:val="3"/>
          <w:sz w:val="24"/>
          <w:szCs w:val="24"/>
        </w:rPr>
        <w:t>7</w:t>
      </w:r>
      <w:r>
        <w:rPr>
          <w:rFonts w:ascii="宋体" w:hAnsi="宋体"/>
          <w:sz w:val="24"/>
          <w:szCs w:val="24"/>
        </w:rPr>
        <w:t>、</w:t>
      </w:r>
      <w:r>
        <w:rPr>
          <w:rFonts w:hint="eastAsia" w:ascii="宋体" w:hAnsi="宋体"/>
          <w:sz w:val="24"/>
          <w:szCs w:val="24"/>
          <w:lang w:val="zh-CN"/>
        </w:rPr>
        <w:t>法定代表人身份证明书</w:t>
      </w:r>
      <w:bookmarkEnd w:id="924"/>
      <w:bookmarkEnd w:id="925"/>
      <w:bookmarkEnd w:id="936"/>
      <w:bookmarkEnd w:id="937"/>
      <w:bookmarkEnd w:id="938"/>
      <w:bookmarkEnd w:id="939"/>
      <w:bookmarkEnd w:id="940"/>
    </w:p>
    <w:p>
      <w:pPr>
        <w:rPr>
          <w:rFonts w:ascii="宋体" w:hAnsi="宋体"/>
          <w:sz w:val="24"/>
        </w:rPr>
      </w:pPr>
      <w:bookmarkStart w:id="941" w:name="_Toc402471307"/>
    </w:p>
    <w:bookmarkEnd w:id="941"/>
    <w:p>
      <w:pPr>
        <w:pStyle w:val="15"/>
        <w:spacing w:line="360" w:lineRule="auto"/>
        <w:rPr>
          <w:rFonts w:hAnsi="宋体"/>
          <w:sz w:val="28"/>
          <w:szCs w:val="28"/>
        </w:rPr>
      </w:pPr>
    </w:p>
    <w:p>
      <w:pPr>
        <w:pStyle w:val="15"/>
        <w:spacing w:line="360" w:lineRule="auto"/>
        <w:ind w:firstLine="1079" w:firstLineChars="514"/>
        <w:rPr>
          <w:rFonts w:hAnsi="宋体"/>
          <w:szCs w:val="21"/>
          <w:u w:val="single"/>
        </w:rPr>
      </w:pPr>
      <w:r>
        <w:rPr>
          <w:rFonts w:hAnsi="宋体"/>
          <w:szCs w:val="21"/>
        </w:rPr>
        <w:t>单位名称：</w:t>
      </w:r>
      <w:r>
        <w:rPr>
          <w:rFonts w:hAnsi="宋体"/>
          <w:szCs w:val="21"/>
          <w:u w:val="single"/>
        </w:rPr>
        <w:t xml:space="preserve">                                            </w:t>
      </w:r>
    </w:p>
    <w:p>
      <w:pPr>
        <w:pStyle w:val="15"/>
        <w:spacing w:line="360" w:lineRule="auto"/>
        <w:ind w:firstLine="1079" w:firstLineChars="514"/>
        <w:rPr>
          <w:rFonts w:hAnsi="宋体"/>
          <w:szCs w:val="21"/>
          <w:u w:val="single"/>
        </w:rPr>
      </w:pPr>
      <w:r>
        <w:rPr>
          <w:rFonts w:hAnsi="宋体"/>
          <w:szCs w:val="21"/>
        </w:rPr>
        <w:t>单位性质：</w:t>
      </w:r>
      <w:r>
        <w:rPr>
          <w:rFonts w:hAnsi="宋体"/>
          <w:szCs w:val="21"/>
          <w:u w:val="single"/>
        </w:rPr>
        <w:t xml:space="preserve">                                          </w:t>
      </w:r>
      <w:r>
        <w:rPr>
          <w:rFonts w:hAnsi="宋体"/>
          <w:szCs w:val="21"/>
        </w:rPr>
        <w:t xml:space="preserve">  </w:t>
      </w:r>
    </w:p>
    <w:p>
      <w:pPr>
        <w:pStyle w:val="15"/>
        <w:spacing w:line="360" w:lineRule="auto"/>
        <w:ind w:firstLine="1079" w:firstLineChars="514"/>
        <w:rPr>
          <w:rFonts w:hAnsi="宋体"/>
          <w:szCs w:val="21"/>
          <w:u w:val="single"/>
        </w:rPr>
      </w:pPr>
      <w:r>
        <w:rPr>
          <w:rFonts w:hAnsi="宋体"/>
          <w:szCs w:val="21"/>
        </w:rPr>
        <w:t>地    址：</w:t>
      </w:r>
      <w:r>
        <w:rPr>
          <w:rFonts w:hAnsi="宋体"/>
          <w:szCs w:val="21"/>
          <w:u w:val="single"/>
        </w:rPr>
        <w:t xml:space="preserve">                                            </w:t>
      </w:r>
    </w:p>
    <w:p>
      <w:pPr>
        <w:pStyle w:val="15"/>
        <w:spacing w:line="360" w:lineRule="auto"/>
        <w:ind w:firstLine="1079" w:firstLineChars="514"/>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pacing w:line="360" w:lineRule="auto"/>
        <w:ind w:firstLine="1079" w:firstLineChars="514"/>
        <w:rPr>
          <w:rFonts w:hAnsi="宋体"/>
          <w:szCs w:val="21"/>
          <w:u w:val="single"/>
        </w:rPr>
      </w:pPr>
      <w:r>
        <w:rPr>
          <w:rFonts w:hAnsi="宋体"/>
          <w:szCs w:val="21"/>
        </w:rPr>
        <w:t xml:space="preserve">经营期限：                                          </w:t>
      </w:r>
      <w:r>
        <w:rPr>
          <w:rFonts w:hAnsi="宋体"/>
          <w:szCs w:val="21"/>
          <w:u w:val="single"/>
        </w:rPr>
        <w:t xml:space="preserve">   </w:t>
      </w:r>
    </w:p>
    <w:p>
      <w:pPr>
        <w:pStyle w:val="15"/>
        <w:spacing w:line="360" w:lineRule="auto"/>
        <w:ind w:firstLine="1079" w:firstLineChars="514"/>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pPr>
        <w:pStyle w:val="15"/>
        <w:spacing w:line="360" w:lineRule="auto"/>
        <w:ind w:firstLine="1079" w:firstLineChars="514"/>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pPr>
        <w:pStyle w:val="15"/>
        <w:spacing w:line="360" w:lineRule="auto"/>
        <w:ind w:firstLine="1079" w:firstLineChars="514"/>
        <w:rPr>
          <w:rFonts w:hAnsi="宋体"/>
          <w:szCs w:val="21"/>
        </w:rPr>
      </w:pPr>
      <w:r>
        <w:rPr>
          <w:rFonts w:hAnsi="宋体"/>
          <w:szCs w:val="21"/>
        </w:rPr>
        <w:t>特此证明。</w:t>
      </w:r>
    </w:p>
    <w:p>
      <w:pPr>
        <w:pStyle w:val="15"/>
        <w:spacing w:line="360" w:lineRule="auto"/>
        <w:rPr>
          <w:rFonts w:hAnsi="宋体"/>
          <w:szCs w:val="21"/>
        </w:rPr>
      </w:pPr>
    </w:p>
    <w:p>
      <w:pPr>
        <w:pStyle w:val="15"/>
        <w:tabs>
          <w:tab w:val="left" w:pos="4500"/>
          <w:tab w:val="left" w:pos="4680"/>
        </w:tabs>
        <w:spacing w:line="360" w:lineRule="auto"/>
        <w:rPr>
          <w:rFonts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（附</w:t>
      </w:r>
      <w:r>
        <w:rPr>
          <w:rFonts w:ascii="宋体" w:hAnsi="宋体"/>
          <w:szCs w:val="21"/>
        </w:rPr>
        <w:t xml:space="preserve"> 法定代表人身份证</w:t>
      </w:r>
      <w:r>
        <w:rPr>
          <w:rFonts w:hint="eastAsia" w:ascii="宋体" w:hAnsi="宋体"/>
          <w:szCs w:val="21"/>
        </w:rPr>
        <w:t>原件扫描</w:t>
      </w:r>
      <w:r>
        <w:rPr>
          <w:rFonts w:ascii="宋体" w:hAnsi="宋体"/>
          <w:szCs w:val="21"/>
        </w:rPr>
        <w:t>件</w:t>
      </w:r>
      <w:r>
        <w:rPr>
          <w:rFonts w:hint="eastAsia" w:ascii="宋体" w:hAnsi="宋体"/>
          <w:szCs w:val="21"/>
        </w:rPr>
        <w:t>）</w:t>
      </w:r>
    </w:p>
    <w:p>
      <w:pPr>
        <w:pStyle w:val="15"/>
        <w:tabs>
          <w:tab w:val="left" w:pos="4500"/>
          <w:tab w:val="left" w:pos="4680"/>
        </w:tabs>
        <w:spacing w:line="360" w:lineRule="auto"/>
        <w:rPr>
          <w:rFonts w:hAnsi="宋体"/>
          <w:szCs w:val="21"/>
        </w:rPr>
      </w:pPr>
    </w:p>
    <w:p>
      <w:pPr>
        <w:pStyle w:val="15"/>
        <w:spacing w:line="360" w:lineRule="auto"/>
        <w:rPr>
          <w:rFonts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pStyle w:val="15"/>
        <w:spacing w:line="360" w:lineRule="auto"/>
        <w:ind w:firstLine="2940" w:firstLineChars="1400"/>
        <w:rPr>
          <w:rFonts w:hAnsi="宋体"/>
          <w:szCs w:val="21"/>
        </w:rPr>
      </w:pPr>
    </w:p>
    <w:p>
      <w:pPr>
        <w:pStyle w:val="15"/>
        <w:spacing w:line="360" w:lineRule="auto"/>
        <w:rPr>
          <w:rFonts w:hAnsi="宋体"/>
          <w:szCs w:val="21"/>
        </w:rPr>
      </w:pPr>
    </w:p>
    <w:p>
      <w:pPr>
        <w:pStyle w:val="15"/>
        <w:spacing w:line="360" w:lineRule="auto"/>
        <w:ind w:firstLine="3990" w:firstLineChars="19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pacing w:line="360" w:lineRule="auto"/>
        <w:rPr>
          <w:rFonts w:hAnsi="宋体"/>
          <w:szCs w:val="21"/>
        </w:rPr>
      </w:pPr>
    </w:p>
    <w:p>
      <w:pPr>
        <w:pStyle w:val="15"/>
        <w:spacing w:line="360" w:lineRule="auto"/>
        <w:rPr>
          <w:rFonts w:hAnsi="宋体" w:cs="宋体"/>
          <w:szCs w:val="21"/>
        </w:rPr>
      </w:pPr>
      <w:r>
        <w:rPr>
          <w:rFonts w:hint="eastAsia" w:hAnsi="宋体" w:cs="宋体"/>
          <w:szCs w:val="21"/>
        </w:rPr>
        <w:t>说明</w:t>
      </w:r>
      <w:r>
        <w:rPr>
          <w:rFonts w:hAnsi="宋体" w:cs="宋体"/>
          <w:szCs w:val="21"/>
        </w:rPr>
        <w:t>：</w:t>
      </w:r>
      <w:r>
        <w:rPr>
          <w:rFonts w:hint="eastAsia" w:hAnsi="宋体" w:cs="宋体"/>
          <w:szCs w:val="21"/>
        </w:rPr>
        <w:t>由投标人使用投标人的企业数字证书，法定代表人数字证书电子签名。</w:t>
      </w:r>
    </w:p>
    <w:p>
      <w:pPr>
        <w:pStyle w:val="5"/>
        <w:rPr>
          <w:rFonts w:ascii="宋体"/>
        </w:rPr>
      </w:pPr>
      <w:r>
        <w:br w:type="page"/>
      </w:r>
    </w:p>
    <w:p>
      <w:pPr>
        <w:pStyle w:val="5"/>
        <w:pageBreakBefore/>
        <w:spacing w:before="120" w:beforeLines="50" w:after="120" w:afterLines="50"/>
        <w:jc w:val="center"/>
        <w:rPr>
          <w:rFonts w:ascii="宋体" w:hAnsi="宋体"/>
          <w:kern w:val="3"/>
          <w:sz w:val="24"/>
          <w:szCs w:val="24"/>
        </w:rPr>
      </w:pPr>
      <w:bookmarkStart w:id="942" w:name="_Toc132814845"/>
      <w:bookmarkStart w:id="943" w:name="_Toc8181"/>
      <w:r>
        <w:rPr>
          <w:rFonts w:ascii="宋体" w:hAnsi="宋体"/>
          <w:kern w:val="3"/>
          <w:sz w:val="24"/>
          <w:szCs w:val="24"/>
        </w:rPr>
        <w:t>8</w:t>
      </w:r>
      <w:r>
        <w:rPr>
          <w:rFonts w:hint="eastAsia" w:ascii="宋体" w:hAnsi="宋体"/>
          <w:kern w:val="3"/>
          <w:sz w:val="24"/>
          <w:szCs w:val="24"/>
        </w:rPr>
        <w:t>、法定代表人授权书</w:t>
      </w:r>
      <w:bookmarkEnd w:id="942"/>
      <w:bookmarkEnd w:id="943"/>
    </w:p>
    <w:p>
      <w:pPr>
        <w:spacing w:line="360" w:lineRule="auto"/>
        <w:rPr>
          <w:rFonts w:hAnsi="宋体"/>
          <w:szCs w:val="28"/>
          <w:lang w:val="zh-CN"/>
        </w:rPr>
      </w:pPr>
    </w:p>
    <w:p>
      <w:pPr>
        <w:spacing w:line="360" w:lineRule="auto"/>
        <w:rPr>
          <w:rFonts w:hAnsi="宋体"/>
          <w:szCs w:val="21"/>
          <w:u w:val="single"/>
        </w:rPr>
      </w:pPr>
      <w:r>
        <w:rPr>
          <w:rFonts w:hint="eastAsia" w:hAnsi="宋体"/>
          <w:szCs w:val="21"/>
          <w:lang w:val="zh-CN"/>
        </w:rPr>
        <w:t>致：</w:t>
      </w:r>
      <w:r>
        <w:rPr>
          <w:rFonts w:hint="eastAsia" w:hAnsi="宋体"/>
          <w:szCs w:val="21"/>
          <w:u w:val="single"/>
        </w:rPr>
        <w:t xml:space="preserve">东莞市石鼓污水处理有限公司、东莞市水务集团建设管理有限公司                </w:t>
      </w:r>
    </w:p>
    <w:p>
      <w:pPr>
        <w:spacing w:line="360" w:lineRule="auto"/>
        <w:rPr>
          <w:rFonts w:hAnsi="宋体"/>
          <w:szCs w:val="21"/>
          <w:lang w:val="zh-CN"/>
        </w:rPr>
      </w:pPr>
    </w:p>
    <w:p>
      <w:pPr>
        <w:pStyle w:val="15"/>
        <w:spacing w:line="360" w:lineRule="auto"/>
        <w:ind w:firstLine="525" w:firstLineChars="250"/>
        <w:rPr>
          <w:rFonts w:hAnsi="宋体"/>
          <w:szCs w:val="21"/>
        </w:rPr>
      </w:pPr>
      <w:r>
        <w:rPr>
          <w:rFonts w:hint="eastAsia" w:hAnsi="宋体"/>
          <w:szCs w:val="21"/>
          <w:lang w:val="zh-CN"/>
        </w:rPr>
        <w:t>本授权书声明：注册于中华人民共和国的</w:t>
      </w:r>
      <w:r>
        <w:rPr>
          <w:rFonts w:hint="eastAsia" w:hAnsi="宋体"/>
          <w:szCs w:val="21"/>
          <w:u w:val="single"/>
          <w:lang w:val="zh-CN"/>
        </w:rPr>
        <w:t xml:space="preserve">　　　       </w:t>
      </w:r>
      <w:r>
        <w:rPr>
          <w:rFonts w:hint="eastAsia" w:hAnsi="宋体"/>
          <w:szCs w:val="21"/>
          <w:lang w:val="zh-CN"/>
        </w:rPr>
        <w:t>（投标人名称）在下面签名或盖私章的</w:t>
      </w:r>
      <w:r>
        <w:rPr>
          <w:rFonts w:hint="eastAsia" w:hAnsi="宋体"/>
          <w:szCs w:val="21"/>
          <w:u w:val="single"/>
          <w:lang w:val="zh-CN"/>
        </w:rPr>
        <w:t xml:space="preserve">　     </w:t>
      </w:r>
      <w:r>
        <w:rPr>
          <w:rFonts w:hint="eastAsia" w:hAnsi="宋体"/>
          <w:szCs w:val="21"/>
          <w:lang w:val="zh-CN"/>
        </w:rPr>
        <w:t>（法定代表人姓名、职务）代表本公司授权在下面签名或盖私章的</w:t>
      </w:r>
      <w:r>
        <w:rPr>
          <w:rFonts w:hint="eastAsia" w:hAnsi="宋体"/>
          <w:szCs w:val="21"/>
          <w:u w:val="single"/>
          <w:lang w:val="zh-CN"/>
        </w:rPr>
        <w:t xml:space="preserve">　     </w:t>
      </w:r>
      <w:r>
        <w:rPr>
          <w:rFonts w:hint="eastAsia" w:hAnsi="宋体"/>
          <w:szCs w:val="21"/>
          <w:lang w:val="zh-CN"/>
        </w:rPr>
        <w:t>（被授权人的姓名、职务）为本公司的合法代表人，</w:t>
      </w:r>
      <w:r>
        <w:rPr>
          <w:rFonts w:hint="eastAsia" w:hAnsi="宋体"/>
          <w:b/>
          <w:bCs/>
          <w:szCs w:val="21"/>
          <w:lang w:val="zh-CN"/>
        </w:rPr>
        <w:t>代表我公司应评标委员会的要求对</w:t>
      </w:r>
      <w:r>
        <w:rPr>
          <w:rFonts w:hint="eastAsia" w:hAnsi="宋体"/>
          <w:szCs w:val="21"/>
          <w:u w:val="single"/>
        </w:rPr>
        <w:t xml:space="preserve">                 </w:t>
      </w:r>
      <w:r>
        <w:rPr>
          <w:rFonts w:hint="eastAsia" w:hAnsi="宋体"/>
          <w:szCs w:val="21"/>
          <w:lang w:val="zh-CN"/>
        </w:rPr>
        <w:t>（招标编号：</w:t>
      </w:r>
      <w:r>
        <w:rPr>
          <w:rFonts w:hint="eastAsia" w:hAnsi="宋体"/>
          <w:szCs w:val="21"/>
          <w:u w:val="single"/>
        </w:rPr>
        <w:t xml:space="preserve">            </w:t>
      </w:r>
      <w:r>
        <w:rPr>
          <w:rFonts w:hint="eastAsia" w:hAnsi="宋体"/>
          <w:szCs w:val="21"/>
          <w:lang w:val="zh-CN"/>
        </w:rPr>
        <w:t>）</w:t>
      </w:r>
      <w:r>
        <w:rPr>
          <w:rFonts w:hint="eastAsia" w:hAnsi="宋体"/>
          <w:b/>
          <w:bCs/>
          <w:szCs w:val="21"/>
          <w:lang w:val="zh-CN"/>
        </w:rPr>
        <w:t>投标文件进行澄清</w:t>
      </w:r>
      <w:r>
        <w:rPr>
          <w:rFonts w:hint="eastAsia" w:hAnsi="宋体"/>
          <w:szCs w:val="21"/>
          <w:lang w:val="zh-CN"/>
        </w:rPr>
        <w:t>，以我公司的名义处理一切与本次投标有关的事宜，</w:t>
      </w:r>
      <w:r>
        <w:rPr>
          <w:rFonts w:hAnsi="宋体"/>
          <w:szCs w:val="21"/>
        </w:rPr>
        <w:t>我承认代理人全权代表我所签署的本项目投标文件的内容</w:t>
      </w:r>
      <w:r>
        <w:rPr>
          <w:rFonts w:hint="eastAsia" w:hAnsi="宋体"/>
          <w:szCs w:val="21"/>
        </w:rPr>
        <w:t>及</w:t>
      </w:r>
      <w:r>
        <w:rPr>
          <w:rFonts w:hint="eastAsia" w:hAnsi="宋体"/>
          <w:szCs w:val="21"/>
          <w:lang w:val="zh-CN"/>
        </w:rPr>
        <w:t>所进行的上述活动</w:t>
      </w:r>
      <w:r>
        <w:rPr>
          <w:rFonts w:hAnsi="宋体"/>
          <w:szCs w:val="21"/>
          <w:lang w:val="zh-CN"/>
        </w:rPr>
        <w:t>。</w:t>
      </w:r>
    </w:p>
    <w:p>
      <w:pPr>
        <w:spacing w:line="360" w:lineRule="auto"/>
        <w:ind w:firstLine="480"/>
        <w:rPr>
          <w:rFonts w:hAnsi="宋体"/>
          <w:szCs w:val="21"/>
          <w:lang w:val="zh-CN"/>
        </w:rPr>
      </w:pPr>
      <w:r>
        <w:rPr>
          <w:rFonts w:hint="eastAsia" w:hAnsi="宋体"/>
          <w:szCs w:val="21"/>
          <w:lang w:val="zh-CN"/>
        </w:rPr>
        <w:t>本授权书于</w:t>
      </w:r>
      <w:r>
        <w:rPr>
          <w:rFonts w:hint="eastAsia" w:hAnsi="宋体"/>
          <w:szCs w:val="21"/>
          <w:u w:val="single"/>
          <w:lang w:val="zh-CN"/>
        </w:rPr>
        <w:t>　　　　</w:t>
      </w:r>
      <w:r>
        <w:rPr>
          <w:rFonts w:hint="eastAsia" w:hAnsi="宋体"/>
          <w:szCs w:val="21"/>
          <w:lang w:val="zh-CN"/>
        </w:rPr>
        <w:t>年</w:t>
      </w:r>
      <w:r>
        <w:rPr>
          <w:rFonts w:hint="eastAsia" w:hAnsi="宋体"/>
          <w:szCs w:val="21"/>
          <w:u w:val="single"/>
          <w:lang w:val="zh-CN"/>
        </w:rPr>
        <w:t>　　</w:t>
      </w:r>
      <w:r>
        <w:rPr>
          <w:rFonts w:hint="eastAsia" w:hAnsi="宋体"/>
          <w:szCs w:val="21"/>
          <w:lang w:val="zh-CN"/>
        </w:rPr>
        <w:t>月</w:t>
      </w:r>
      <w:r>
        <w:rPr>
          <w:rFonts w:hint="eastAsia" w:hAnsi="宋体"/>
          <w:szCs w:val="21"/>
          <w:u w:val="single"/>
          <w:lang w:val="zh-CN"/>
        </w:rPr>
        <w:t>　　</w:t>
      </w:r>
      <w:r>
        <w:rPr>
          <w:rFonts w:hint="eastAsia" w:hAnsi="宋体"/>
          <w:szCs w:val="21"/>
          <w:lang w:val="zh-CN"/>
        </w:rPr>
        <w:t>日签字生效，有效期至投标文件失效期止。</w:t>
      </w:r>
    </w:p>
    <w:p>
      <w:pPr>
        <w:spacing w:line="360" w:lineRule="auto"/>
        <w:ind w:firstLine="480"/>
        <w:rPr>
          <w:rFonts w:hAnsi="宋体"/>
          <w:szCs w:val="21"/>
        </w:rPr>
      </w:pPr>
      <w:r>
        <w:rPr>
          <w:rFonts w:hAnsi="宋体"/>
          <w:szCs w:val="21"/>
        </w:rPr>
        <w:t>代理人无转委托权。</w:t>
      </w:r>
    </w:p>
    <w:p>
      <w:pPr>
        <w:spacing w:line="360" w:lineRule="auto"/>
        <w:rPr>
          <w:rFonts w:hAnsi="宋体"/>
        </w:rPr>
      </w:pPr>
    </w:p>
    <w:p>
      <w:pPr>
        <w:spacing w:line="360" w:lineRule="auto"/>
        <w:ind w:firstLine="4200" w:firstLineChars="2000"/>
        <w:rPr>
          <w:rFonts w:hAnsi="宋体"/>
          <w:lang w:val="zh-CN"/>
        </w:rPr>
      </w:pPr>
      <w:r>
        <w:rPr>
          <w:rFonts w:ascii="宋体" w:hAnsi="宋体"/>
          <w:kern w:val="3"/>
        </w:rPr>
        <w:t>投</w:t>
      </w:r>
      <w:r>
        <w:rPr>
          <w:rFonts w:hint="eastAsia" w:ascii="宋体" w:hAnsi="宋体"/>
          <w:kern w:val="3"/>
        </w:rPr>
        <w:t xml:space="preserve"> </w:t>
      </w:r>
      <w:r>
        <w:rPr>
          <w:rFonts w:ascii="宋体" w:hAnsi="宋体"/>
          <w:kern w:val="3"/>
        </w:rPr>
        <w:t xml:space="preserve"> 标 </w:t>
      </w:r>
      <w:r>
        <w:rPr>
          <w:rFonts w:hint="eastAsia" w:ascii="宋体" w:hAnsi="宋体"/>
          <w:kern w:val="3"/>
        </w:rPr>
        <w:t xml:space="preserve"> </w:t>
      </w:r>
      <w:r>
        <w:rPr>
          <w:rFonts w:ascii="宋体" w:hAnsi="宋体"/>
          <w:kern w:val="3"/>
        </w:rPr>
        <w:t>人：</w:t>
      </w:r>
      <w:r>
        <w:rPr>
          <w:rFonts w:ascii="宋体" w:hAnsi="宋体"/>
          <w:kern w:val="3"/>
          <w:u w:val="single"/>
        </w:rPr>
        <w:t xml:space="preserve">             </w:t>
      </w:r>
      <w:r>
        <w:rPr>
          <w:rFonts w:hint="eastAsia" w:ascii="宋体" w:hAnsi="宋体"/>
          <w:szCs w:val="21"/>
          <w:u w:val="single"/>
        </w:rPr>
        <w:t>（加盖投标人法人公章）</w:t>
      </w:r>
    </w:p>
    <w:p>
      <w:pPr>
        <w:spacing w:line="360" w:lineRule="auto"/>
        <w:ind w:firstLine="4200" w:firstLineChars="2000"/>
        <w:rPr>
          <w:rFonts w:hAnsi="宋体"/>
          <w:lang w:val="zh-CN"/>
        </w:rPr>
      </w:pPr>
      <w:r>
        <w:rPr>
          <w:rFonts w:hint="eastAsia" w:hAnsi="宋体"/>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pPr>
        <w:spacing w:line="360" w:lineRule="auto"/>
        <w:ind w:firstLine="4200" w:firstLineChars="2000"/>
        <w:rPr>
          <w:rFonts w:hAnsi="宋体"/>
          <w:u w:val="single"/>
          <w:lang w:val="zh-CN"/>
        </w:rPr>
      </w:pPr>
      <w:r>
        <w:rPr>
          <w:rFonts w:hint="eastAsia" w:hAnsi="宋体"/>
          <w:lang w:val="zh-CN"/>
        </w:rPr>
        <w:t>职　　　务：</w:t>
      </w:r>
      <w:r>
        <w:rPr>
          <w:rFonts w:ascii="宋体" w:hAnsi="宋体"/>
          <w:kern w:val="3"/>
          <w:u w:val="single"/>
        </w:rPr>
        <w:t xml:space="preserve">                                       </w:t>
      </w:r>
    </w:p>
    <w:p>
      <w:pPr>
        <w:spacing w:line="360" w:lineRule="auto"/>
        <w:ind w:firstLine="4200" w:firstLineChars="2000"/>
        <w:rPr>
          <w:rFonts w:hAnsi="宋体"/>
          <w:lang w:val="zh-CN"/>
        </w:rPr>
      </w:pPr>
      <w:r>
        <w:rPr>
          <w:rFonts w:hint="eastAsia" w:hAnsi="宋体"/>
          <w:lang w:val="zh-CN"/>
        </w:rPr>
        <w:t>被授权人</w:t>
      </w:r>
      <w:r>
        <w:rPr>
          <w:rFonts w:ascii="宋体" w:hAnsi="宋体"/>
          <w:kern w:val="3"/>
        </w:rPr>
        <w:t>：</w:t>
      </w:r>
      <w:r>
        <w:rPr>
          <w:rFonts w:ascii="宋体" w:hAnsi="宋体"/>
          <w:kern w:val="3"/>
          <w:u w:val="single"/>
        </w:rPr>
        <w:t xml:space="preserve">             </w:t>
      </w:r>
      <w:r>
        <w:rPr>
          <w:rFonts w:hint="eastAsia" w:ascii="宋体" w:hAnsi="宋体"/>
          <w:kern w:val="3"/>
          <w:u w:val="single"/>
        </w:rPr>
        <w:t xml:space="preserve">  </w:t>
      </w:r>
      <w:r>
        <w:rPr>
          <w:rFonts w:ascii="宋体" w:hAnsi="宋体"/>
          <w:kern w:val="3"/>
          <w:u w:val="single"/>
        </w:rPr>
        <w:t xml:space="preserve">       </w:t>
      </w:r>
      <w:r>
        <w:rPr>
          <w:rFonts w:hint="eastAsia"/>
          <w:szCs w:val="21"/>
        </w:rPr>
        <w:t>（</w:t>
      </w:r>
      <w:r>
        <w:rPr>
          <w:rFonts w:hint="eastAsia" w:hAnsi="宋体"/>
          <w:lang w:val="zh-CN"/>
        </w:rPr>
        <w:t>签名或盖私章</w:t>
      </w:r>
      <w:r>
        <w:rPr>
          <w:rFonts w:hint="eastAsia"/>
          <w:szCs w:val="21"/>
        </w:rPr>
        <w:t>）</w:t>
      </w:r>
    </w:p>
    <w:p>
      <w:pPr>
        <w:spacing w:line="360" w:lineRule="auto"/>
        <w:ind w:firstLine="4200" w:firstLineChars="2000"/>
        <w:rPr>
          <w:rFonts w:hAnsi="宋体"/>
          <w:lang w:val="zh-CN"/>
        </w:rPr>
      </w:pPr>
      <w:r>
        <w:rPr>
          <w:rFonts w:hint="eastAsia" w:hAnsi="宋体"/>
          <w:lang w:val="zh-CN"/>
        </w:rPr>
        <w:t>职　　　务：</w:t>
      </w:r>
      <w:r>
        <w:rPr>
          <w:rFonts w:ascii="宋体" w:hAnsi="宋体"/>
          <w:kern w:val="3"/>
          <w:u w:val="single"/>
        </w:rPr>
        <w:t xml:space="preserve">                 </w:t>
      </w:r>
      <w:r>
        <w:rPr>
          <w:rFonts w:hint="eastAsia" w:ascii="宋体" w:hAnsi="宋体"/>
          <w:kern w:val="3"/>
          <w:u w:val="single"/>
        </w:rPr>
        <w:t xml:space="preserve"> </w:t>
      </w:r>
      <w:r>
        <w:rPr>
          <w:rFonts w:ascii="宋体" w:hAnsi="宋体"/>
          <w:kern w:val="3"/>
          <w:u w:val="single"/>
        </w:rPr>
        <w:t xml:space="preserve">  </w:t>
      </w:r>
    </w:p>
    <w:p>
      <w:pPr>
        <w:widowControl/>
        <w:ind w:firstLine="4200" w:firstLineChars="2000"/>
        <w:rPr>
          <w:rFonts w:hAnsi="宋体"/>
        </w:rPr>
      </w:pPr>
      <w:r>
        <w:rPr>
          <w:rFonts w:hint="eastAsia" w:hAnsi="宋体"/>
          <w:lang w:val="zh-CN"/>
        </w:rPr>
        <w:t>被授权人</w:t>
      </w:r>
      <w:r>
        <w:rPr>
          <w:rFonts w:hint="eastAsia" w:hAnsi="宋体"/>
        </w:rPr>
        <w:t>联系电话：</w:t>
      </w:r>
      <w:r>
        <w:rPr>
          <w:rFonts w:ascii="宋体" w:hAnsi="宋体"/>
          <w:kern w:val="3"/>
          <w:u w:val="single"/>
        </w:rPr>
        <w:t xml:space="preserve">              </w:t>
      </w:r>
    </w:p>
    <w:p>
      <w:pPr>
        <w:snapToGrid w:val="0"/>
        <w:spacing w:line="380" w:lineRule="exact"/>
        <w:ind w:left="945" w:leftChars="200" w:hanging="525" w:hangingChars="250"/>
        <w:rPr>
          <w:rFonts w:ascii="宋体" w:hAnsi="宋体"/>
          <w:kern w:val="3"/>
        </w:rPr>
      </w:pPr>
      <w:r>
        <w:rPr>
          <w:rFonts w:hint="eastAsia" w:hAnsi="宋体"/>
        </w:rPr>
        <w:t xml:space="preserve">                                    </w:t>
      </w:r>
      <w:r>
        <w:rPr>
          <w:rFonts w:hint="eastAsia" w:ascii="宋体" w:hAnsi="宋体"/>
          <w:kern w:val="3"/>
        </w:rPr>
        <w:t>电 子 邮 箱：</w:t>
      </w:r>
      <w:r>
        <w:rPr>
          <w:rFonts w:hint="eastAsia" w:ascii="宋体" w:hAnsi="宋体"/>
          <w:kern w:val="3"/>
          <w:u w:val="single"/>
        </w:rPr>
        <w:t xml:space="preserve">               </w:t>
      </w:r>
      <w:r>
        <w:rPr>
          <w:rFonts w:hint="eastAsia" w:ascii="宋体" w:hAnsi="宋体"/>
          <w:kern w:val="3"/>
        </w:rPr>
        <w:t xml:space="preserve"> </w:t>
      </w: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snapToGrid w:val="0"/>
        <w:spacing w:line="360" w:lineRule="auto"/>
        <w:ind w:firstLine="600"/>
        <w:rPr>
          <w:rFonts w:ascii="宋体" w:hAnsi="宋体"/>
          <w:szCs w:val="21"/>
          <w:u w:val="single"/>
        </w:rPr>
      </w:pPr>
    </w:p>
    <w:p>
      <w:pPr>
        <w:pStyle w:val="12"/>
        <w:snapToGrid w:val="0"/>
        <w:spacing w:line="360" w:lineRule="auto"/>
        <w:ind w:firstLine="527" w:firstLineChars="250"/>
        <w:jc w:val="left"/>
        <w:rPr>
          <w:rFonts w:ascii="宋体" w:hAnsi="宋体"/>
          <w:b/>
          <w:sz w:val="21"/>
          <w:szCs w:val="21"/>
        </w:rPr>
      </w:pPr>
      <w:r>
        <w:rPr>
          <w:rFonts w:hint="eastAsia" w:ascii="宋体" w:hAnsi="宋体"/>
          <w:b/>
          <w:sz w:val="21"/>
          <w:szCs w:val="21"/>
        </w:rPr>
        <w:t>[备注: 法定代表人授权书必须提供原件扫描件。]</w:t>
      </w:r>
    </w:p>
    <w:p>
      <w:pPr>
        <w:spacing w:line="360" w:lineRule="auto"/>
        <w:ind w:firstLine="600"/>
        <w:rPr>
          <w:rFonts w:ascii="宋体" w:hAnsi="宋体"/>
          <w:b/>
          <w:bCs/>
          <w:szCs w:val="21"/>
          <w:u w:val="single"/>
        </w:rPr>
      </w:pPr>
      <w:r>
        <w:rPr>
          <w:rFonts w:hint="eastAsia" w:ascii="宋体" w:hAnsi="宋体"/>
          <w:b/>
          <w:bCs/>
          <w:szCs w:val="21"/>
          <w:u w:val="single"/>
        </w:rPr>
        <w:t>说明：扫描件上传后需由投标人使用投标人的企业数字证书电子签名。</w:t>
      </w:r>
    </w:p>
    <w:p>
      <w:pPr>
        <w:widowControl/>
        <w:spacing w:before="120" w:after="120" w:line="360" w:lineRule="auto"/>
        <w:ind w:right="893" w:firstLine="420" w:firstLineChars="200"/>
        <w:textAlignment w:val="bottom"/>
        <w:sectPr>
          <w:pgSz w:w="11907" w:h="16839"/>
          <w:pgMar w:top="1418" w:right="1418" w:bottom="1418" w:left="1418" w:header="720" w:footer="1005" w:gutter="0"/>
          <w:cols w:space="720" w:num="1"/>
          <w:titlePg/>
          <w:docGrid w:linePitch="326" w:charSpace="0"/>
        </w:sectPr>
      </w:pPr>
    </w:p>
    <w:p>
      <w:pPr>
        <w:widowControl/>
        <w:spacing w:before="120" w:after="120" w:line="360" w:lineRule="auto"/>
        <w:ind w:right="893" w:firstLine="420" w:firstLineChars="200"/>
        <w:textAlignment w:val="bottom"/>
      </w:pPr>
      <w:r>
        <w:t>附 法定代表人、被授权人身份证</w:t>
      </w:r>
      <w:r>
        <w:rPr>
          <w:rFonts w:hint="eastAsia"/>
        </w:rPr>
        <w:t>原件扫描件</w:t>
      </w:r>
    </w:p>
    <w:p>
      <w:pPr>
        <w:widowControl/>
        <w:spacing w:before="120" w:after="120" w:line="360" w:lineRule="auto"/>
        <w:ind w:right="893" w:firstLine="420" w:firstLineChars="200"/>
        <w:textAlignment w:val="bottom"/>
      </w:pPr>
      <w: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hP8D7ZAAAACQEAAA8AAAAAAAAAAQAgAAAAIgAA&#10;AGRycy9kb3ducmV2LnhtbFBLAQIUABQAAAAIAIdO4kCxr74+QAIAAIoEAAAOAAAAAAAAAAEAIAAA&#10;ACgBAABkcnMvZTJvRG9jLnhtbFBLBQYAAAAABgAGAFkBAADa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mk0N2AAAAAg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firstLine="425"/>
      </w:pPr>
    </w:p>
    <w:p>
      <w: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fsFDo2wAAAAsBAAAPAAAAAAAAAAEA&#10;IAAAACIAAABkcnMvZG93bnJldi54bWxQSwECFAAUAAAACACHTuJAJUr120UCAACKBAAADgAAAAAA&#10;AAABACAAAAAqAQAAZHJzL2Uyb0RvYy54bWxQSwUGAAAAAAYABgBZAQAA4Q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pWjetkAAAAKAQAADwAAAAAAAAABACAAAAAi&#10;AAAAZHJzL2Rvd25yZXYueG1sUEsBAhQAFAAAAAgAh07iQC1xTbJCAgAAig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b/>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b/>
          <w:szCs w:val="21"/>
        </w:rPr>
        <w:t>注：上述身份证须在有效期限内。</w:t>
      </w:r>
    </w:p>
    <w:p>
      <w:pPr>
        <w:rPr>
          <w:rFonts w:ascii="宋体" w:hAnsi="宋体"/>
          <w:sz w:val="24"/>
        </w:rPr>
      </w:pPr>
      <w:bookmarkStart w:id="944" w:name="_Toc277928789"/>
    </w:p>
    <w:p>
      <w:pPr>
        <w:pStyle w:val="5"/>
        <w:pageBreakBefore/>
        <w:ind w:firstLine="3253" w:firstLineChars="1350"/>
        <w:rPr>
          <w:rFonts w:ascii="宋体" w:hAnsi="宋体"/>
          <w:sz w:val="24"/>
          <w:szCs w:val="24"/>
        </w:rPr>
      </w:pPr>
      <w:bookmarkStart w:id="945" w:name="_Toc17137"/>
      <w:bookmarkStart w:id="946" w:name="_Toc2658"/>
      <w:bookmarkStart w:id="947" w:name="_Toc16097"/>
      <w:bookmarkStart w:id="948" w:name="_Toc30213"/>
      <w:bookmarkStart w:id="949" w:name="_Toc402471309"/>
      <w:bookmarkStart w:id="950" w:name="_Toc132814846"/>
      <w:bookmarkStart w:id="951" w:name="_Toc5703"/>
      <w:r>
        <w:rPr>
          <w:rFonts w:hint="eastAsia" w:ascii="宋体" w:hAnsi="宋体"/>
          <w:sz w:val="24"/>
          <w:szCs w:val="24"/>
        </w:rPr>
        <w:t>9、投标人资格证明文件</w:t>
      </w:r>
      <w:bookmarkEnd w:id="945"/>
      <w:bookmarkEnd w:id="946"/>
      <w:bookmarkEnd w:id="947"/>
      <w:bookmarkEnd w:id="948"/>
      <w:bookmarkEnd w:id="949"/>
      <w:bookmarkEnd w:id="950"/>
      <w:bookmarkEnd w:id="951"/>
    </w:p>
    <w:p>
      <w:pPr>
        <w:pStyle w:val="23"/>
        <w:snapToGrid w:val="0"/>
        <w:spacing w:line="360" w:lineRule="auto"/>
        <w:ind w:left="398" w:leftChars="95" w:hanging="199" w:hangingChars="95"/>
        <w:rPr>
          <w:rFonts w:hAnsi="宋体"/>
          <w:sz w:val="21"/>
          <w:szCs w:val="21"/>
        </w:rPr>
      </w:pPr>
    </w:p>
    <w:p>
      <w:pPr>
        <w:pStyle w:val="23"/>
        <w:snapToGrid w:val="0"/>
        <w:spacing w:line="360" w:lineRule="auto"/>
        <w:ind w:left="608" w:leftChars="95" w:hanging="409" w:hangingChars="195"/>
        <w:rPr>
          <w:rFonts w:hAnsi="宋体"/>
          <w:sz w:val="21"/>
          <w:szCs w:val="21"/>
        </w:rPr>
      </w:pPr>
      <w:r>
        <w:rPr>
          <w:rFonts w:hAnsi="宋体"/>
          <w:sz w:val="21"/>
          <w:szCs w:val="21"/>
        </w:rPr>
        <w:t>9</w:t>
      </w:r>
      <w:r>
        <w:rPr>
          <w:rFonts w:hint="eastAsia" w:hAnsi="宋体"/>
          <w:sz w:val="21"/>
          <w:szCs w:val="21"/>
        </w:rPr>
        <w:t>.1 营业执照/法人证书、（国、地）税务登记证、组织机构代码证</w:t>
      </w:r>
      <w:r>
        <w:rPr>
          <w:rFonts w:hint="eastAsia" w:hAnsi="宋体"/>
          <w:szCs w:val="21"/>
        </w:rPr>
        <w:t>原件扫描</w:t>
      </w:r>
      <w:r>
        <w:rPr>
          <w:rFonts w:hAnsi="宋体"/>
          <w:szCs w:val="21"/>
        </w:rPr>
        <w:t>件</w:t>
      </w:r>
      <w:r>
        <w:rPr>
          <w:rFonts w:hint="eastAsia" w:hAnsi="宋体"/>
          <w:sz w:val="21"/>
          <w:szCs w:val="21"/>
        </w:rPr>
        <w:t>（或</w:t>
      </w:r>
      <w:r>
        <w:rPr>
          <w:rFonts w:hAnsi="宋体" w:cs="Arial"/>
          <w:sz w:val="21"/>
          <w:szCs w:val="21"/>
          <w:shd w:val="clear" w:color="auto" w:fill="FFFFFF"/>
        </w:rPr>
        <w:t>“多证合一”营业执照</w:t>
      </w:r>
      <w:r>
        <w:rPr>
          <w:rFonts w:hint="eastAsia" w:hAnsi="宋体"/>
          <w:szCs w:val="21"/>
        </w:rPr>
        <w:t>原件扫描</w:t>
      </w:r>
      <w:r>
        <w:rPr>
          <w:rFonts w:hAnsi="宋体"/>
          <w:szCs w:val="21"/>
        </w:rPr>
        <w:t>件</w:t>
      </w:r>
      <w:r>
        <w:rPr>
          <w:rFonts w:hint="eastAsia" w:hAnsi="宋体" w:cs="Arial"/>
          <w:sz w:val="21"/>
          <w:szCs w:val="21"/>
          <w:shd w:val="clear" w:color="auto" w:fill="FFFFFF"/>
        </w:rPr>
        <w:t>）</w:t>
      </w:r>
      <w:r>
        <w:rPr>
          <w:rFonts w:hint="eastAsia" w:hAnsi="宋体"/>
          <w:sz w:val="21"/>
          <w:szCs w:val="21"/>
        </w:rPr>
        <w:t>；</w:t>
      </w:r>
    </w:p>
    <w:p>
      <w:pPr>
        <w:pStyle w:val="23"/>
        <w:snapToGrid w:val="0"/>
        <w:spacing w:line="360" w:lineRule="auto"/>
        <w:ind w:left="608" w:leftChars="95" w:hanging="409" w:hangingChars="195"/>
      </w:pPr>
      <w:r>
        <w:rPr>
          <w:rFonts w:hAnsi="宋体"/>
          <w:sz w:val="21"/>
          <w:szCs w:val="21"/>
        </w:rPr>
        <w:t xml:space="preserve">9.2 </w:t>
      </w:r>
      <w:r>
        <w:rPr>
          <w:rFonts w:hint="eastAsia"/>
          <w:sz w:val="21"/>
          <w:szCs w:val="21"/>
        </w:rPr>
        <w:t>成套设备制造商资格声明</w:t>
      </w:r>
      <w:r>
        <w:rPr>
          <w:rFonts w:hint="eastAsia"/>
          <w:b/>
          <w:bCs/>
          <w:sz w:val="21"/>
          <w:szCs w:val="21"/>
        </w:rPr>
        <w:t>（加盖制造商法人公章及签名/盖私章）</w:t>
      </w:r>
      <w:r>
        <w:rPr>
          <w:rFonts w:hint="eastAsia" w:hAnsi="宋体"/>
          <w:szCs w:val="21"/>
        </w:rPr>
        <w:t>原件扫描</w:t>
      </w:r>
      <w:r>
        <w:rPr>
          <w:rFonts w:hAnsi="宋体"/>
          <w:szCs w:val="21"/>
        </w:rPr>
        <w:t>件</w:t>
      </w:r>
      <w:r>
        <w:rPr>
          <w:rFonts w:hint="eastAsia"/>
          <w:sz w:val="21"/>
          <w:szCs w:val="21"/>
        </w:rPr>
        <w:t>。</w:t>
      </w:r>
    </w:p>
    <w:p>
      <w:pPr>
        <w:pStyle w:val="65"/>
        <w:ind w:left="0" w:leftChars="0" w:firstLine="0" w:firstLineChars="0"/>
        <w:rPr>
          <w:color w:val="auto"/>
          <w:lang w:val="en-US"/>
        </w:rPr>
      </w:pPr>
    </w:p>
    <w:p>
      <w:pPr>
        <w:pStyle w:val="23"/>
        <w:snapToGrid w:val="0"/>
        <w:spacing w:before="50" w:after="50" w:line="360" w:lineRule="auto"/>
        <w:ind w:left="226" w:leftChars="13" w:hanging="199" w:hangingChars="95"/>
        <w:rPr>
          <w:rFonts w:hAnsi="宋体"/>
          <w:sz w:val="21"/>
          <w:szCs w:val="21"/>
        </w:rPr>
      </w:pPr>
    </w:p>
    <w:p>
      <w:pPr>
        <w:pStyle w:val="23"/>
        <w:snapToGrid w:val="0"/>
        <w:spacing w:before="50" w:after="50" w:line="360" w:lineRule="auto"/>
        <w:ind w:left="299" w:leftChars="47" w:hangingChars="83"/>
        <w:rPr>
          <w:rFonts w:hAnsi="宋体"/>
          <w:b/>
          <w:bCs/>
          <w:szCs w:val="21"/>
          <w:u w:val="single"/>
        </w:rPr>
      </w:pPr>
      <w:r>
        <w:rPr>
          <w:rFonts w:hint="eastAsia" w:hAnsi="宋体"/>
          <w:b/>
          <w:bCs/>
          <w:szCs w:val="21"/>
          <w:u w:val="single"/>
        </w:rPr>
        <w:t>说明：1.原件扫描件上传后需由投标人使用投标人的企业数字证书电子签名。</w:t>
      </w:r>
    </w:p>
    <w:p>
      <w:pPr>
        <w:pStyle w:val="23"/>
        <w:snapToGrid w:val="0"/>
        <w:spacing w:before="50" w:after="50" w:line="360" w:lineRule="auto"/>
        <w:ind w:left="136" w:leftChars="65" w:firstLine="713" w:firstLineChars="296"/>
        <w:rPr>
          <w:rFonts w:hAnsi="宋体"/>
          <w:b/>
          <w:bCs/>
          <w:szCs w:val="21"/>
          <w:u w:val="single"/>
        </w:rPr>
      </w:pPr>
      <w:r>
        <w:rPr>
          <w:rFonts w:hint="eastAsia" w:hAnsi="宋体"/>
          <w:b/>
          <w:bCs/>
          <w:szCs w:val="21"/>
          <w:u w:val="single"/>
        </w:rPr>
        <w:t>2.投标人中标后，需提交成套设备制造商资格声明原件给招标人。</w:t>
      </w: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p>
    <w:p>
      <w:pPr>
        <w:pStyle w:val="23"/>
        <w:snapToGrid w:val="0"/>
        <w:spacing w:before="50" w:after="50" w:line="360" w:lineRule="auto"/>
        <w:ind w:left="99" w:leftChars="47" w:firstLine="0" w:firstLineChars="0"/>
        <w:rPr>
          <w:rFonts w:hAnsi="宋体"/>
          <w:sz w:val="21"/>
          <w:szCs w:val="21"/>
        </w:rPr>
      </w:pPr>
      <w:r>
        <w:rPr>
          <w:rFonts w:hint="eastAsia" w:hAnsi="宋体"/>
          <w:b/>
          <w:bCs/>
        </w:rPr>
        <w:t>9</w:t>
      </w:r>
      <w:r>
        <w:rPr>
          <w:rFonts w:hint="eastAsia" w:hAnsi="宋体"/>
          <w:b/>
          <w:bCs/>
          <w:lang w:val="zh-CN"/>
        </w:rPr>
        <w:t>.</w:t>
      </w:r>
      <w:r>
        <w:rPr>
          <w:rFonts w:hint="eastAsia" w:hAnsi="宋体"/>
          <w:b/>
          <w:bCs/>
        </w:rPr>
        <w:t>1</w:t>
      </w:r>
      <w:r>
        <w:rPr>
          <w:rFonts w:hint="eastAsia" w:hAnsi="宋体"/>
          <w:b/>
          <w:bCs/>
          <w:lang w:val="zh-CN"/>
        </w:rPr>
        <w:t xml:space="preserve"> </w:t>
      </w:r>
      <w:r>
        <w:rPr>
          <w:rFonts w:hint="eastAsia" w:hAnsi="宋体"/>
          <w:b/>
        </w:rPr>
        <w:t>营业执照/法人证书、（国、地）税务登记证、组织机构代码证原件扫描件（或“多证合一”营业执照原件扫描件）</w:t>
      </w:r>
    </w:p>
    <w:p>
      <w:pPr>
        <w:pageBreakBefore/>
        <w:snapToGrid w:val="0"/>
        <w:spacing w:line="360" w:lineRule="auto"/>
        <w:ind w:firstLine="2530" w:firstLineChars="1050"/>
        <w:rPr>
          <w:rFonts w:ascii="宋体" w:hAnsi="宋体"/>
          <w:b/>
          <w:sz w:val="24"/>
        </w:rPr>
      </w:pPr>
      <w:r>
        <w:rPr>
          <w:rFonts w:hint="eastAsia" w:ascii="宋体" w:hAnsi="宋体"/>
          <w:b/>
          <w:bCs/>
          <w:sz w:val="24"/>
        </w:rPr>
        <w:t>9</w:t>
      </w:r>
      <w:r>
        <w:rPr>
          <w:rFonts w:hint="eastAsia" w:ascii="宋体" w:hAnsi="宋体"/>
          <w:b/>
          <w:bCs/>
          <w:sz w:val="24"/>
          <w:lang w:val="zh-CN"/>
        </w:rPr>
        <w:t>.2</w:t>
      </w:r>
      <w:r>
        <w:rPr>
          <w:rFonts w:hint="eastAsia" w:ascii="宋体" w:hAnsi="宋体"/>
          <w:b/>
          <w:sz w:val="24"/>
        </w:rPr>
        <w:t>成套设备制造商资格声明</w:t>
      </w:r>
    </w:p>
    <w:p>
      <w:pPr>
        <w:snapToGrid w:val="0"/>
        <w:spacing w:line="360" w:lineRule="auto"/>
        <w:rPr>
          <w:rFonts w:ascii="宋体" w:hAnsi="宋体"/>
          <w:b/>
          <w:sz w:val="24"/>
        </w:rPr>
      </w:pPr>
    </w:p>
    <w:p>
      <w:pPr>
        <w:numPr>
          <w:ilvl w:val="0"/>
          <w:numId w:val="11"/>
        </w:numPr>
        <w:tabs>
          <w:tab w:val="left" w:pos="2700"/>
        </w:tabs>
        <w:adjustRightInd w:val="0"/>
        <w:snapToGrid w:val="0"/>
        <w:spacing w:line="360" w:lineRule="auto"/>
        <w:rPr>
          <w:rFonts w:ascii="宋体" w:hAnsi="宋体"/>
          <w:szCs w:val="21"/>
        </w:rPr>
      </w:pPr>
      <w:r>
        <w:rPr>
          <w:rFonts w:hint="eastAsia" w:ascii="宋体" w:hAnsi="宋体"/>
          <w:szCs w:val="21"/>
        </w:rPr>
        <w:t>名称及概况：</w:t>
      </w:r>
    </w:p>
    <w:p>
      <w:pPr>
        <w:numPr>
          <w:ilvl w:val="0"/>
          <w:numId w:val="12"/>
        </w:numPr>
        <w:adjustRightInd w:val="0"/>
        <w:snapToGrid w:val="0"/>
        <w:spacing w:line="360" w:lineRule="auto"/>
        <w:ind w:left="0"/>
        <w:jc w:val="left"/>
        <w:rPr>
          <w:rFonts w:ascii="宋体" w:hAnsi="宋体"/>
          <w:szCs w:val="21"/>
        </w:rPr>
      </w:pPr>
      <w:r>
        <w:rPr>
          <w:rFonts w:hint="eastAsia" w:ascii="宋体" w:hAnsi="宋体"/>
          <w:szCs w:val="21"/>
        </w:rPr>
        <w:t>成套设备制造商名称：</w:t>
      </w:r>
      <w:r>
        <w:rPr>
          <w:rFonts w:hint="eastAsia" w:ascii="宋体" w:hAnsi="宋体"/>
          <w:szCs w:val="21"/>
          <w:u w:val="single"/>
        </w:rPr>
        <w:t xml:space="preserve">                          </w:t>
      </w:r>
    </w:p>
    <w:p>
      <w:pPr>
        <w:numPr>
          <w:ilvl w:val="0"/>
          <w:numId w:val="12"/>
        </w:numPr>
        <w:adjustRightInd w:val="0"/>
        <w:snapToGrid w:val="0"/>
        <w:spacing w:line="360" w:lineRule="auto"/>
        <w:ind w:left="0"/>
        <w:jc w:val="left"/>
        <w:rPr>
          <w:rFonts w:ascii="宋体" w:hAnsi="宋体"/>
          <w:szCs w:val="21"/>
        </w:rPr>
      </w:pPr>
      <w:r>
        <w:rPr>
          <w:rFonts w:hint="eastAsia" w:ascii="宋体" w:hAnsi="宋体"/>
          <w:szCs w:val="21"/>
        </w:rPr>
        <w:t>总部地址：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tabs>
          <w:tab w:val="left" w:pos="900"/>
        </w:tabs>
        <w:snapToGrid w:val="0"/>
        <w:spacing w:line="360" w:lineRule="auto"/>
        <w:ind w:firstLine="898"/>
        <w:rPr>
          <w:rFonts w:ascii="宋体" w:hAnsi="宋体"/>
          <w:szCs w:val="21"/>
        </w:rPr>
      </w:pPr>
      <w:r>
        <w:rPr>
          <w:rFonts w:hint="eastAsia" w:ascii="宋体" w:hAnsi="宋体"/>
          <w:szCs w:val="21"/>
        </w:rPr>
        <w:t>电话号码：</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numPr>
          <w:ilvl w:val="0"/>
          <w:numId w:val="12"/>
        </w:numPr>
        <w:adjustRightInd w:val="0"/>
        <w:snapToGrid w:val="0"/>
        <w:spacing w:line="360" w:lineRule="auto"/>
        <w:ind w:left="0"/>
        <w:jc w:val="left"/>
        <w:rPr>
          <w:rFonts w:ascii="宋体" w:hAnsi="宋体"/>
          <w:szCs w:val="21"/>
        </w:rPr>
      </w:pPr>
      <w:r>
        <w:rPr>
          <w:rFonts w:hint="eastAsia" w:ascii="宋体" w:hAnsi="宋体"/>
          <w:szCs w:val="21"/>
        </w:rPr>
        <w:t>成立和/或注册日期：</w:t>
      </w:r>
      <w:r>
        <w:rPr>
          <w:rFonts w:hint="eastAsia" w:ascii="宋体" w:hAnsi="宋体"/>
          <w:szCs w:val="21"/>
          <w:u w:val="single"/>
        </w:rPr>
        <w:t xml:space="preserve">                   </w:t>
      </w:r>
    </w:p>
    <w:p>
      <w:pPr>
        <w:numPr>
          <w:ilvl w:val="0"/>
          <w:numId w:val="12"/>
        </w:numPr>
        <w:adjustRightInd w:val="0"/>
        <w:snapToGrid w:val="0"/>
        <w:spacing w:line="360" w:lineRule="auto"/>
        <w:ind w:left="0"/>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p>
    <w:p>
      <w:pPr>
        <w:numPr>
          <w:ilvl w:val="0"/>
          <w:numId w:val="12"/>
        </w:numPr>
        <w:adjustRightInd w:val="0"/>
        <w:snapToGrid w:val="0"/>
        <w:spacing w:line="360" w:lineRule="auto"/>
        <w:ind w:left="0"/>
        <w:jc w:val="left"/>
        <w:rPr>
          <w:rFonts w:ascii="宋体" w:hAnsi="宋体"/>
          <w:szCs w:val="21"/>
        </w:rPr>
      </w:pPr>
      <w:r>
        <w:rPr>
          <w:rFonts w:hint="eastAsia" w:ascii="宋体" w:hAnsi="宋体"/>
          <w:szCs w:val="21"/>
        </w:rPr>
        <w:t>成套设备制造商代表姓名、联系电话和地址：</w:t>
      </w:r>
    </w:p>
    <w:p>
      <w:pPr>
        <w:snapToGrid w:val="0"/>
        <w:spacing w:line="360" w:lineRule="auto"/>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numPr>
          <w:ilvl w:val="0"/>
          <w:numId w:val="11"/>
        </w:numPr>
        <w:tabs>
          <w:tab w:val="left" w:pos="2700"/>
        </w:tabs>
        <w:adjustRightInd w:val="0"/>
        <w:snapToGrid w:val="0"/>
        <w:spacing w:line="360" w:lineRule="auto"/>
        <w:rPr>
          <w:rFonts w:ascii="宋体" w:hAnsi="宋体"/>
          <w:szCs w:val="21"/>
        </w:rPr>
      </w:pPr>
      <w:r>
        <w:rPr>
          <w:rFonts w:hint="eastAsia" w:ascii="宋体" w:hAnsi="宋体"/>
          <w:szCs w:val="21"/>
        </w:rPr>
        <w:t>(1)制造投标货物的主要设备、设施及有关情况：</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6"/>
        <w:gridCol w:w="1927"/>
        <w:gridCol w:w="1606"/>
        <w:gridCol w:w="1446"/>
        <w:gridCol w:w="1446"/>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93" w:type="pct"/>
            <w:vAlign w:val="center"/>
          </w:tcPr>
          <w:p>
            <w:pPr>
              <w:snapToGrid w:val="0"/>
              <w:spacing w:line="360" w:lineRule="auto"/>
              <w:jc w:val="center"/>
              <w:rPr>
                <w:rFonts w:ascii="宋体" w:hAnsi="宋体"/>
                <w:szCs w:val="21"/>
              </w:rPr>
            </w:pPr>
            <w:r>
              <w:rPr>
                <w:rFonts w:hint="eastAsia" w:ascii="宋体" w:hAnsi="宋体"/>
                <w:szCs w:val="21"/>
              </w:rPr>
              <w:t>制造投标货物的工厂名称</w:t>
            </w:r>
          </w:p>
        </w:tc>
        <w:tc>
          <w:tcPr>
            <w:tcW w:w="1057" w:type="pct"/>
            <w:vAlign w:val="center"/>
          </w:tcPr>
          <w:p>
            <w:pPr>
              <w:snapToGrid w:val="0"/>
              <w:spacing w:line="360" w:lineRule="auto"/>
              <w:jc w:val="center"/>
              <w:rPr>
                <w:rFonts w:ascii="宋体" w:hAnsi="宋体"/>
                <w:szCs w:val="21"/>
              </w:rPr>
            </w:pPr>
            <w:r>
              <w:rPr>
                <w:rFonts w:hint="eastAsia" w:ascii="宋体" w:hAnsi="宋体"/>
                <w:szCs w:val="21"/>
              </w:rPr>
              <w:t>制造投标货物的工厂地址</w:t>
            </w:r>
          </w:p>
        </w:tc>
        <w:tc>
          <w:tcPr>
            <w:tcW w:w="881" w:type="pct"/>
            <w:vAlign w:val="center"/>
          </w:tcPr>
          <w:p>
            <w:pPr>
              <w:snapToGrid w:val="0"/>
              <w:spacing w:line="360" w:lineRule="auto"/>
              <w:jc w:val="center"/>
              <w:rPr>
                <w:rFonts w:ascii="宋体" w:hAnsi="宋体"/>
                <w:szCs w:val="21"/>
              </w:rPr>
            </w:pPr>
            <w:r>
              <w:rPr>
                <w:rFonts w:hint="eastAsia" w:ascii="宋体" w:hAnsi="宋体"/>
                <w:szCs w:val="21"/>
              </w:rPr>
              <w:t>制造投标货物的主要生产设备设施名称及数量</w:t>
            </w:r>
          </w:p>
        </w:tc>
        <w:tc>
          <w:tcPr>
            <w:tcW w:w="793" w:type="pct"/>
            <w:vAlign w:val="center"/>
          </w:tcPr>
          <w:p>
            <w:pPr>
              <w:snapToGrid w:val="0"/>
              <w:spacing w:line="360" w:lineRule="auto"/>
              <w:jc w:val="center"/>
              <w:rPr>
                <w:rFonts w:ascii="宋体" w:hAnsi="宋体"/>
                <w:szCs w:val="21"/>
              </w:rPr>
            </w:pPr>
            <w:r>
              <w:rPr>
                <w:rFonts w:hint="eastAsia" w:ascii="宋体" w:hAnsi="宋体"/>
                <w:szCs w:val="21"/>
              </w:rPr>
              <w:t>购买年份</w:t>
            </w:r>
          </w:p>
        </w:tc>
        <w:tc>
          <w:tcPr>
            <w:tcW w:w="793" w:type="pct"/>
            <w:vAlign w:val="center"/>
          </w:tcPr>
          <w:p>
            <w:pPr>
              <w:snapToGrid w:val="0"/>
              <w:spacing w:line="360" w:lineRule="auto"/>
              <w:jc w:val="center"/>
              <w:rPr>
                <w:rFonts w:ascii="宋体" w:hAnsi="宋体"/>
                <w:szCs w:val="21"/>
              </w:rPr>
            </w:pPr>
            <w:r>
              <w:rPr>
                <w:rFonts w:hint="eastAsia" w:ascii="宋体" w:hAnsi="宋体"/>
                <w:szCs w:val="21"/>
              </w:rPr>
              <w:t>年生产能力</w:t>
            </w:r>
          </w:p>
        </w:tc>
        <w:tc>
          <w:tcPr>
            <w:tcW w:w="684" w:type="pct"/>
            <w:vAlign w:val="center"/>
          </w:tcPr>
          <w:p>
            <w:pPr>
              <w:snapToGrid w:val="0"/>
              <w:spacing w:line="360" w:lineRule="auto"/>
              <w:jc w:val="center"/>
              <w:rPr>
                <w:rFonts w:ascii="宋体" w:hAnsi="宋体"/>
                <w:szCs w:val="21"/>
              </w:rPr>
            </w:pPr>
            <w:r>
              <w:rPr>
                <w:rFonts w:hint="eastAsia" w:ascii="宋体" w:hAnsi="宋体"/>
                <w:szCs w:val="21"/>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vAlign w:val="center"/>
          </w:tcPr>
          <w:p>
            <w:pPr>
              <w:snapToGrid w:val="0"/>
              <w:spacing w:line="360" w:lineRule="auto"/>
              <w:jc w:val="center"/>
              <w:rPr>
                <w:rFonts w:ascii="宋体" w:hAnsi="宋体"/>
                <w:szCs w:val="21"/>
              </w:rPr>
            </w:pPr>
          </w:p>
        </w:tc>
        <w:tc>
          <w:tcPr>
            <w:tcW w:w="1057" w:type="pct"/>
            <w:vAlign w:val="center"/>
          </w:tcPr>
          <w:p>
            <w:pPr>
              <w:snapToGrid w:val="0"/>
              <w:spacing w:line="360" w:lineRule="auto"/>
              <w:jc w:val="center"/>
              <w:rPr>
                <w:rFonts w:ascii="宋体" w:hAnsi="宋体"/>
                <w:szCs w:val="21"/>
              </w:rPr>
            </w:pPr>
          </w:p>
        </w:tc>
        <w:tc>
          <w:tcPr>
            <w:tcW w:w="881"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684" w:type="pct"/>
            <w:vAlign w:val="center"/>
          </w:tcPr>
          <w:p>
            <w:pPr>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vAlign w:val="center"/>
          </w:tcPr>
          <w:p>
            <w:pPr>
              <w:snapToGrid w:val="0"/>
              <w:spacing w:line="360" w:lineRule="auto"/>
              <w:jc w:val="center"/>
              <w:rPr>
                <w:rFonts w:ascii="宋体" w:hAnsi="宋体"/>
                <w:szCs w:val="21"/>
              </w:rPr>
            </w:pPr>
            <w:r>
              <w:rPr>
                <w:rFonts w:hint="eastAsia" w:ascii="宋体" w:hAnsi="宋体"/>
                <w:szCs w:val="21"/>
              </w:rPr>
              <w:t>……</w:t>
            </w:r>
          </w:p>
        </w:tc>
        <w:tc>
          <w:tcPr>
            <w:tcW w:w="1057" w:type="pct"/>
            <w:vAlign w:val="center"/>
          </w:tcPr>
          <w:p>
            <w:pPr>
              <w:snapToGrid w:val="0"/>
              <w:spacing w:line="360" w:lineRule="auto"/>
              <w:jc w:val="center"/>
              <w:rPr>
                <w:rFonts w:ascii="宋体" w:hAnsi="宋体"/>
                <w:szCs w:val="21"/>
              </w:rPr>
            </w:pPr>
          </w:p>
        </w:tc>
        <w:tc>
          <w:tcPr>
            <w:tcW w:w="881"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684" w:type="pct"/>
            <w:vAlign w:val="center"/>
          </w:tcPr>
          <w:p>
            <w:pPr>
              <w:snapToGrid w:val="0"/>
              <w:spacing w:line="360" w:lineRule="auto"/>
              <w:jc w:val="center"/>
              <w:rPr>
                <w:rFonts w:ascii="宋体" w:hAnsi="宋体"/>
                <w:szCs w:val="21"/>
              </w:rPr>
            </w:pPr>
          </w:p>
        </w:tc>
      </w:tr>
    </w:tbl>
    <w:p>
      <w:pPr>
        <w:snapToGrid w:val="0"/>
        <w:spacing w:line="360" w:lineRule="auto"/>
        <w:rPr>
          <w:rFonts w:ascii="宋体" w:hAnsi="宋体"/>
          <w:szCs w:val="21"/>
        </w:rPr>
      </w:pPr>
    </w:p>
    <w:p>
      <w:pPr>
        <w:snapToGrid w:val="0"/>
        <w:spacing w:line="360" w:lineRule="auto"/>
        <w:ind w:firstLine="358"/>
        <w:rPr>
          <w:rFonts w:ascii="宋体" w:hAnsi="宋体"/>
          <w:szCs w:val="21"/>
        </w:rPr>
      </w:pPr>
      <w:r>
        <w:rPr>
          <w:rFonts w:hint="eastAsia" w:ascii="宋体" w:hAnsi="宋体"/>
          <w:szCs w:val="21"/>
        </w:rPr>
        <w:t>(2) 投标货物中本制造商不生产，而需从其它制造商购买的主要零部件：</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28"/>
        <w:gridCol w:w="3045"/>
        <w:gridCol w:w="30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vAlign w:val="center"/>
          </w:tcPr>
          <w:p>
            <w:pPr>
              <w:snapToGrid w:val="0"/>
              <w:spacing w:line="360" w:lineRule="auto"/>
              <w:jc w:val="center"/>
              <w:rPr>
                <w:rFonts w:ascii="宋体" w:hAnsi="宋体"/>
                <w:szCs w:val="21"/>
              </w:rPr>
            </w:pPr>
            <w:r>
              <w:rPr>
                <w:rFonts w:hint="eastAsia" w:ascii="宋体" w:hAnsi="宋体"/>
                <w:szCs w:val="21"/>
              </w:rPr>
              <w:t>主要零部件名称</w:t>
            </w:r>
          </w:p>
        </w:tc>
        <w:tc>
          <w:tcPr>
            <w:tcW w:w="1670" w:type="pct"/>
            <w:vAlign w:val="center"/>
          </w:tcPr>
          <w:p>
            <w:pPr>
              <w:snapToGrid w:val="0"/>
              <w:spacing w:line="360" w:lineRule="auto"/>
              <w:jc w:val="center"/>
              <w:rPr>
                <w:rFonts w:ascii="宋体" w:hAnsi="宋体"/>
                <w:szCs w:val="21"/>
              </w:rPr>
            </w:pPr>
            <w:r>
              <w:rPr>
                <w:rFonts w:hint="eastAsia" w:ascii="宋体" w:hAnsi="宋体"/>
                <w:szCs w:val="21"/>
              </w:rPr>
              <w:t>制造厂名称</w:t>
            </w:r>
          </w:p>
        </w:tc>
        <w:tc>
          <w:tcPr>
            <w:tcW w:w="1669" w:type="pct"/>
            <w:vAlign w:val="center"/>
          </w:tcPr>
          <w:p>
            <w:pPr>
              <w:snapToGrid w:val="0"/>
              <w:spacing w:line="360" w:lineRule="auto"/>
              <w:ind w:firstLine="1050" w:firstLineChars="500"/>
              <w:rPr>
                <w:rFonts w:ascii="宋体" w:hAnsi="宋体"/>
                <w:szCs w:val="21"/>
              </w:rPr>
            </w:pPr>
            <w:r>
              <w:rPr>
                <w:rFonts w:hint="eastAsia" w:ascii="宋体" w:hAnsi="宋体"/>
                <w:szCs w:val="21"/>
              </w:rPr>
              <w:t>产地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vAlign w:val="center"/>
          </w:tcPr>
          <w:p>
            <w:pPr>
              <w:snapToGrid w:val="0"/>
              <w:spacing w:line="360" w:lineRule="auto"/>
              <w:jc w:val="center"/>
              <w:rPr>
                <w:rFonts w:ascii="宋体" w:hAnsi="宋体"/>
                <w:szCs w:val="21"/>
              </w:rPr>
            </w:pPr>
          </w:p>
        </w:tc>
        <w:tc>
          <w:tcPr>
            <w:tcW w:w="1670" w:type="pct"/>
            <w:vAlign w:val="center"/>
          </w:tcPr>
          <w:p>
            <w:pPr>
              <w:snapToGrid w:val="0"/>
              <w:spacing w:line="360" w:lineRule="auto"/>
              <w:jc w:val="center"/>
              <w:rPr>
                <w:rFonts w:ascii="宋体" w:hAnsi="宋体"/>
                <w:szCs w:val="21"/>
              </w:rPr>
            </w:pPr>
          </w:p>
        </w:tc>
        <w:tc>
          <w:tcPr>
            <w:tcW w:w="1669" w:type="pct"/>
            <w:vAlign w:val="center"/>
          </w:tcPr>
          <w:p>
            <w:pPr>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vAlign w:val="center"/>
          </w:tcPr>
          <w:p>
            <w:pPr>
              <w:snapToGrid w:val="0"/>
              <w:spacing w:line="360" w:lineRule="auto"/>
              <w:jc w:val="center"/>
              <w:rPr>
                <w:rFonts w:ascii="宋体" w:hAnsi="宋体"/>
                <w:szCs w:val="21"/>
              </w:rPr>
            </w:pPr>
            <w:r>
              <w:rPr>
                <w:rFonts w:hint="eastAsia" w:ascii="宋体" w:hAnsi="宋体"/>
                <w:szCs w:val="21"/>
              </w:rPr>
              <w:t>……</w:t>
            </w:r>
          </w:p>
        </w:tc>
        <w:tc>
          <w:tcPr>
            <w:tcW w:w="1670" w:type="pct"/>
            <w:vAlign w:val="center"/>
          </w:tcPr>
          <w:p>
            <w:pPr>
              <w:snapToGrid w:val="0"/>
              <w:spacing w:line="360" w:lineRule="auto"/>
              <w:jc w:val="center"/>
              <w:rPr>
                <w:rFonts w:ascii="宋体" w:hAnsi="宋体"/>
                <w:szCs w:val="21"/>
              </w:rPr>
            </w:pPr>
          </w:p>
        </w:tc>
        <w:tc>
          <w:tcPr>
            <w:tcW w:w="1669" w:type="pct"/>
            <w:vAlign w:val="center"/>
          </w:tcPr>
          <w:p>
            <w:pPr>
              <w:snapToGrid w:val="0"/>
              <w:spacing w:line="360" w:lineRule="auto"/>
              <w:jc w:val="center"/>
              <w:rPr>
                <w:rFonts w:ascii="宋体" w:hAnsi="宋体"/>
                <w:szCs w:val="21"/>
              </w:rPr>
            </w:pPr>
          </w:p>
        </w:tc>
      </w:tr>
    </w:tbl>
    <w:p>
      <w:pPr>
        <w:snapToGrid w:val="0"/>
        <w:spacing w:line="360" w:lineRule="auto"/>
        <w:rPr>
          <w:rFonts w:ascii="宋体" w:hAnsi="宋体"/>
          <w:szCs w:val="21"/>
        </w:rPr>
      </w:pPr>
    </w:p>
    <w:p>
      <w:pPr>
        <w:snapToGrid w:val="0"/>
        <w:spacing w:line="360" w:lineRule="auto"/>
        <w:rPr>
          <w:rFonts w:ascii="宋体" w:hAnsi="宋体"/>
          <w:szCs w:val="21"/>
        </w:rPr>
      </w:pPr>
      <w:r>
        <w:rPr>
          <w:rFonts w:hint="eastAsia" w:ascii="宋体" w:hAnsi="宋体"/>
          <w:szCs w:val="21"/>
        </w:rPr>
        <w:t xml:space="preserve">3、易损件供应商的名称和地址： </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napToGrid w:val="0"/>
              <w:spacing w:line="360" w:lineRule="auto"/>
              <w:jc w:val="center"/>
              <w:rPr>
                <w:rFonts w:ascii="宋体" w:hAnsi="宋体"/>
                <w:szCs w:val="21"/>
              </w:rPr>
            </w:pPr>
            <w:r>
              <w:rPr>
                <w:rFonts w:hint="eastAsia" w:ascii="宋体" w:hAnsi="宋体"/>
                <w:szCs w:val="21"/>
              </w:rPr>
              <w:t>易损件名称</w:t>
            </w:r>
          </w:p>
        </w:tc>
        <w:tc>
          <w:tcPr>
            <w:tcW w:w="1667" w:type="pct"/>
            <w:vAlign w:val="center"/>
          </w:tcPr>
          <w:p>
            <w:pPr>
              <w:snapToGrid w:val="0"/>
              <w:spacing w:line="360" w:lineRule="auto"/>
              <w:ind w:left="342"/>
              <w:jc w:val="center"/>
              <w:rPr>
                <w:rFonts w:ascii="宋体" w:hAnsi="宋体"/>
                <w:szCs w:val="21"/>
              </w:rPr>
            </w:pPr>
            <w:r>
              <w:rPr>
                <w:rFonts w:hint="eastAsia" w:ascii="宋体" w:hAnsi="宋体"/>
                <w:szCs w:val="21"/>
              </w:rPr>
              <w:t>供应商名称</w:t>
            </w:r>
          </w:p>
        </w:tc>
        <w:tc>
          <w:tcPr>
            <w:tcW w:w="1666" w:type="pct"/>
            <w:vAlign w:val="center"/>
          </w:tcPr>
          <w:p>
            <w:pPr>
              <w:snapToGrid w:val="0"/>
              <w:spacing w:line="360" w:lineRule="auto"/>
              <w:ind w:left="342"/>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napToGrid w:val="0"/>
              <w:spacing w:line="360" w:lineRule="auto"/>
              <w:jc w:val="center"/>
              <w:rPr>
                <w:rFonts w:ascii="宋体" w:hAnsi="宋体"/>
                <w:szCs w:val="21"/>
              </w:rPr>
            </w:pPr>
          </w:p>
        </w:tc>
        <w:tc>
          <w:tcPr>
            <w:tcW w:w="1667" w:type="pct"/>
            <w:vAlign w:val="center"/>
          </w:tcPr>
          <w:p>
            <w:pPr>
              <w:snapToGrid w:val="0"/>
              <w:spacing w:line="360" w:lineRule="auto"/>
              <w:ind w:left="342"/>
              <w:jc w:val="center"/>
              <w:rPr>
                <w:rFonts w:ascii="宋体" w:hAnsi="宋体"/>
                <w:snapToGrid w:val="0"/>
                <w:szCs w:val="21"/>
              </w:rPr>
            </w:pPr>
          </w:p>
        </w:tc>
        <w:tc>
          <w:tcPr>
            <w:tcW w:w="1666" w:type="pct"/>
            <w:vAlign w:val="center"/>
          </w:tcPr>
          <w:p>
            <w:pPr>
              <w:snapToGrid w:val="0"/>
              <w:spacing w:line="360" w:lineRule="auto"/>
              <w:ind w:left="342"/>
              <w:jc w:val="cente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napToGrid w:val="0"/>
              <w:spacing w:line="360" w:lineRule="auto"/>
              <w:jc w:val="center"/>
              <w:rPr>
                <w:rFonts w:ascii="宋体" w:hAnsi="宋体"/>
                <w:snapToGrid w:val="0"/>
                <w:szCs w:val="21"/>
              </w:rPr>
            </w:pPr>
            <w:r>
              <w:rPr>
                <w:rFonts w:hint="eastAsia" w:ascii="宋体" w:hAnsi="宋体"/>
                <w:szCs w:val="21"/>
              </w:rPr>
              <w:t>……</w:t>
            </w:r>
          </w:p>
        </w:tc>
        <w:tc>
          <w:tcPr>
            <w:tcW w:w="1667" w:type="pct"/>
            <w:vAlign w:val="center"/>
          </w:tcPr>
          <w:p>
            <w:pPr>
              <w:snapToGrid w:val="0"/>
              <w:spacing w:line="360" w:lineRule="auto"/>
              <w:ind w:left="357"/>
              <w:jc w:val="center"/>
              <w:rPr>
                <w:rFonts w:ascii="宋体" w:hAnsi="宋体"/>
                <w:snapToGrid w:val="0"/>
                <w:szCs w:val="21"/>
              </w:rPr>
            </w:pPr>
          </w:p>
        </w:tc>
        <w:tc>
          <w:tcPr>
            <w:tcW w:w="1666" w:type="pct"/>
            <w:vAlign w:val="center"/>
          </w:tcPr>
          <w:p>
            <w:pPr>
              <w:snapToGrid w:val="0"/>
              <w:spacing w:line="360" w:lineRule="auto"/>
              <w:ind w:left="357"/>
              <w:jc w:val="center"/>
              <w:rPr>
                <w:rFonts w:ascii="宋体" w:hAnsi="宋体"/>
                <w:snapToGrid w:val="0"/>
                <w:szCs w:val="21"/>
              </w:rPr>
            </w:pPr>
          </w:p>
        </w:tc>
      </w:tr>
    </w:tbl>
    <w:p>
      <w:pPr>
        <w:snapToGrid w:val="0"/>
        <w:spacing w:line="360" w:lineRule="auto"/>
        <w:rPr>
          <w:rFonts w:ascii="宋体" w:hAnsi="宋体"/>
          <w:szCs w:val="21"/>
        </w:rPr>
      </w:pPr>
    </w:p>
    <w:p>
      <w:pPr>
        <w:snapToGrid w:val="0"/>
        <w:spacing w:line="360" w:lineRule="auto"/>
        <w:rPr>
          <w:rFonts w:ascii="宋体" w:hAnsi="宋体"/>
          <w:szCs w:val="21"/>
        </w:rPr>
      </w:pPr>
      <w:r>
        <w:rPr>
          <w:rFonts w:hint="eastAsia" w:ascii="宋体" w:hAnsi="宋体"/>
          <w:szCs w:val="21"/>
        </w:rPr>
        <w:t>4、近三年该货物主要销售给国内、外主要客户的名称地址：</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6" w:type="pct"/>
            <w:vAlign w:val="center"/>
          </w:tcPr>
          <w:p>
            <w:pPr>
              <w:snapToGrid w:val="0"/>
              <w:spacing w:line="360" w:lineRule="auto"/>
              <w:jc w:val="center"/>
              <w:rPr>
                <w:rFonts w:ascii="宋体" w:hAnsi="宋体"/>
                <w:szCs w:val="21"/>
              </w:rPr>
            </w:pPr>
            <w:r>
              <w:rPr>
                <w:rFonts w:hint="eastAsia" w:ascii="宋体" w:hAnsi="宋体"/>
                <w:szCs w:val="21"/>
              </w:rPr>
              <w:t>客户名称</w:t>
            </w:r>
          </w:p>
        </w:tc>
        <w:tc>
          <w:tcPr>
            <w:tcW w:w="1667" w:type="pct"/>
            <w:vAlign w:val="center"/>
          </w:tcPr>
          <w:p>
            <w:pPr>
              <w:snapToGrid w:val="0"/>
              <w:spacing w:line="360" w:lineRule="auto"/>
              <w:ind w:left="342"/>
              <w:jc w:val="center"/>
              <w:rPr>
                <w:rFonts w:ascii="宋体" w:hAnsi="宋体"/>
                <w:szCs w:val="21"/>
              </w:rPr>
            </w:pPr>
            <w:r>
              <w:rPr>
                <w:rFonts w:hint="eastAsia" w:ascii="宋体" w:hAnsi="宋体"/>
                <w:szCs w:val="21"/>
              </w:rPr>
              <w:t>销售货物</w:t>
            </w:r>
          </w:p>
        </w:tc>
        <w:tc>
          <w:tcPr>
            <w:tcW w:w="1666" w:type="pct"/>
            <w:vAlign w:val="center"/>
          </w:tcPr>
          <w:p>
            <w:pPr>
              <w:snapToGrid w:val="0"/>
              <w:spacing w:line="360" w:lineRule="auto"/>
              <w:ind w:left="342"/>
              <w:jc w:val="center"/>
              <w:rPr>
                <w:rFonts w:ascii="宋体" w:hAnsi="宋体"/>
                <w:szCs w:val="21"/>
              </w:rPr>
            </w:pPr>
            <w:r>
              <w:rPr>
                <w:rFonts w:hint="eastAsia" w:ascii="宋体" w:hAnsi="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6" w:type="pct"/>
            <w:vAlign w:val="center"/>
          </w:tcPr>
          <w:p>
            <w:pPr>
              <w:snapToGrid w:val="0"/>
              <w:spacing w:line="360" w:lineRule="auto"/>
              <w:jc w:val="center"/>
              <w:rPr>
                <w:rFonts w:ascii="宋体" w:hAnsi="宋体"/>
                <w:szCs w:val="21"/>
              </w:rPr>
            </w:pPr>
          </w:p>
        </w:tc>
        <w:tc>
          <w:tcPr>
            <w:tcW w:w="1667" w:type="pct"/>
            <w:vAlign w:val="center"/>
          </w:tcPr>
          <w:p>
            <w:pPr>
              <w:snapToGrid w:val="0"/>
              <w:spacing w:line="360" w:lineRule="auto"/>
              <w:ind w:left="342"/>
              <w:jc w:val="center"/>
              <w:rPr>
                <w:rFonts w:ascii="宋体" w:hAnsi="宋体"/>
                <w:snapToGrid w:val="0"/>
                <w:szCs w:val="21"/>
              </w:rPr>
            </w:pPr>
          </w:p>
        </w:tc>
        <w:tc>
          <w:tcPr>
            <w:tcW w:w="1666" w:type="pct"/>
            <w:vAlign w:val="center"/>
          </w:tcPr>
          <w:p>
            <w:pPr>
              <w:snapToGrid w:val="0"/>
              <w:spacing w:line="360" w:lineRule="auto"/>
              <w:ind w:left="342"/>
              <w:jc w:val="cente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6" w:type="pct"/>
            <w:vAlign w:val="center"/>
          </w:tcPr>
          <w:p>
            <w:pPr>
              <w:snapToGrid w:val="0"/>
              <w:spacing w:line="360" w:lineRule="auto"/>
              <w:jc w:val="center"/>
              <w:rPr>
                <w:rFonts w:ascii="宋体" w:hAnsi="宋体"/>
                <w:snapToGrid w:val="0"/>
                <w:szCs w:val="21"/>
              </w:rPr>
            </w:pPr>
            <w:r>
              <w:rPr>
                <w:rFonts w:hint="eastAsia" w:ascii="宋体" w:hAnsi="宋体"/>
                <w:szCs w:val="21"/>
              </w:rPr>
              <w:t>……</w:t>
            </w:r>
          </w:p>
        </w:tc>
        <w:tc>
          <w:tcPr>
            <w:tcW w:w="1667" w:type="pct"/>
            <w:vAlign w:val="center"/>
          </w:tcPr>
          <w:p>
            <w:pPr>
              <w:snapToGrid w:val="0"/>
              <w:spacing w:line="360" w:lineRule="auto"/>
              <w:ind w:left="357"/>
              <w:jc w:val="center"/>
              <w:rPr>
                <w:rFonts w:ascii="宋体" w:hAnsi="宋体"/>
                <w:snapToGrid w:val="0"/>
                <w:szCs w:val="21"/>
              </w:rPr>
            </w:pPr>
          </w:p>
        </w:tc>
        <w:tc>
          <w:tcPr>
            <w:tcW w:w="1666" w:type="pct"/>
            <w:vAlign w:val="center"/>
          </w:tcPr>
          <w:p>
            <w:pPr>
              <w:snapToGrid w:val="0"/>
              <w:spacing w:line="360" w:lineRule="auto"/>
              <w:ind w:left="357"/>
              <w:jc w:val="center"/>
              <w:rPr>
                <w:rFonts w:ascii="宋体" w:hAnsi="宋体"/>
                <w:snapToGrid w:val="0"/>
                <w:szCs w:val="21"/>
              </w:rPr>
            </w:pPr>
          </w:p>
        </w:tc>
      </w:tr>
    </w:tbl>
    <w:p>
      <w:pPr>
        <w:snapToGrid w:val="0"/>
        <w:spacing w:line="360" w:lineRule="auto"/>
        <w:rPr>
          <w:rFonts w:ascii="宋体" w:hAnsi="宋体"/>
          <w:szCs w:val="21"/>
        </w:rPr>
      </w:pPr>
    </w:p>
    <w:p>
      <w:pPr>
        <w:pStyle w:val="12"/>
        <w:snapToGrid w:val="0"/>
        <w:spacing w:line="360" w:lineRule="auto"/>
        <w:ind w:firstLine="420"/>
        <w:rPr>
          <w:rFonts w:ascii="宋体" w:hAnsi="宋体"/>
          <w:sz w:val="21"/>
          <w:szCs w:val="21"/>
        </w:rPr>
      </w:pPr>
      <w:r>
        <w:rPr>
          <w:rFonts w:hint="eastAsia" w:ascii="宋体" w:hAnsi="宋体"/>
          <w:sz w:val="21"/>
          <w:szCs w:val="21"/>
        </w:rPr>
        <w:t>5、其他情况：(公司简介、技术力量、本制造商生产投标货物的经验等)</w:t>
      </w:r>
    </w:p>
    <w:p>
      <w:pPr>
        <w:pStyle w:val="12"/>
        <w:snapToGrid w:val="0"/>
        <w:spacing w:line="360" w:lineRule="auto"/>
        <w:ind w:left="648" w:firstLine="420"/>
        <w:rPr>
          <w:rFonts w:ascii="宋体" w:hAnsi="宋体"/>
          <w:sz w:val="21"/>
          <w:szCs w:val="21"/>
          <w:u w:val="single"/>
        </w:rPr>
      </w:pPr>
      <w:r>
        <w:rPr>
          <w:rFonts w:hint="eastAsia" w:ascii="宋体" w:hAnsi="宋体"/>
          <w:sz w:val="21"/>
          <w:szCs w:val="21"/>
          <w:u w:val="single"/>
        </w:rPr>
        <w:t xml:space="preserve">                                                                      </w:t>
      </w:r>
    </w:p>
    <w:p>
      <w:pPr>
        <w:pStyle w:val="12"/>
        <w:snapToGrid w:val="0"/>
        <w:spacing w:line="360" w:lineRule="auto"/>
        <w:ind w:firstLine="420"/>
        <w:rPr>
          <w:rFonts w:ascii="宋体" w:hAnsi="宋体"/>
          <w:sz w:val="21"/>
          <w:szCs w:val="21"/>
        </w:rPr>
      </w:pPr>
      <w:r>
        <w:rPr>
          <w:rFonts w:hint="eastAsia" w:ascii="宋体" w:hAnsi="宋体"/>
          <w:sz w:val="21"/>
          <w:szCs w:val="21"/>
        </w:rPr>
        <w:t>兹证明上述声明是真实的、正确的，并提供了全部能提供的资料和数据，我们同意遵照贵方要求出示有关证明文件。</w:t>
      </w:r>
    </w:p>
    <w:p>
      <w:pPr>
        <w:pStyle w:val="12"/>
        <w:snapToGrid w:val="0"/>
        <w:spacing w:line="360" w:lineRule="auto"/>
        <w:ind w:firstLine="420"/>
        <w:rPr>
          <w:rFonts w:ascii="宋体" w:hAnsi="宋体"/>
          <w:sz w:val="21"/>
          <w:szCs w:val="21"/>
        </w:rPr>
      </w:pPr>
    </w:p>
    <w:p>
      <w:pPr>
        <w:pStyle w:val="12"/>
        <w:snapToGrid w:val="0"/>
        <w:spacing w:line="360" w:lineRule="auto"/>
        <w:ind w:firstLine="525" w:firstLineChars="250"/>
        <w:jc w:val="left"/>
        <w:rPr>
          <w:rFonts w:ascii="宋体" w:hAnsi="宋体"/>
          <w:sz w:val="21"/>
          <w:szCs w:val="21"/>
        </w:rPr>
      </w:pPr>
      <w:r>
        <w:rPr>
          <w:rFonts w:hint="eastAsia" w:ascii="宋体" w:hAnsi="宋体"/>
          <w:sz w:val="21"/>
          <w:szCs w:val="21"/>
        </w:rPr>
        <w:t>成套设备</w:t>
      </w:r>
      <w:r>
        <w:rPr>
          <w:rFonts w:ascii="宋体" w:hAnsi="宋体"/>
          <w:sz w:val="21"/>
          <w:szCs w:val="21"/>
        </w:rPr>
        <w:t>制造商名称</w:t>
      </w:r>
      <w:r>
        <w:rPr>
          <w:rFonts w:hint="eastAsia" w:ascii="宋体" w:hAnsi="宋体"/>
          <w:sz w:val="21"/>
          <w:szCs w:val="21"/>
        </w:rPr>
        <w:t>：</w:t>
      </w:r>
      <w:r>
        <w:rPr>
          <w:rFonts w:hint="eastAsia" w:ascii="宋体" w:hAnsi="宋体"/>
          <w:sz w:val="21"/>
          <w:szCs w:val="21"/>
          <w:u w:val="single"/>
        </w:rPr>
        <w:t xml:space="preserve">                           </w:t>
      </w:r>
      <w:r>
        <w:rPr>
          <w:rFonts w:ascii="宋体" w:hAnsi="宋体"/>
          <w:sz w:val="21"/>
          <w:szCs w:val="21"/>
        </w:rPr>
        <w:t>（</w:t>
      </w:r>
      <w:r>
        <w:rPr>
          <w:rFonts w:hint="eastAsia" w:ascii="宋体" w:hAnsi="宋体"/>
          <w:sz w:val="21"/>
          <w:szCs w:val="21"/>
        </w:rPr>
        <w:t>境内工商注册的成套设备制造商必须同时加盖法人公章</w:t>
      </w:r>
      <w:r>
        <w:rPr>
          <w:rFonts w:ascii="宋体" w:hAnsi="宋体"/>
          <w:sz w:val="21"/>
          <w:szCs w:val="21"/>
        </w:rPr>
        <w:t>）</w:t>
      </w:r>
    </w:p>
    <w:p>
      <w:pPr>
        <w:snapToGrid w:val="0"/>
        <w:spacing w:line="360" w:lineRule="auto"/>
        <w:ind w:firstLine="525" w:firstLineChars="25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（签名或盖私章）</w:t>
      </w:r>
    </w:p>
    <w:p>
      <w:pPr>
        <w:snapToGrid w:val="0"/>
        <w:spacing w:line="360" w:lineRule="auto"/>
        <w:ind w:firstLine="525" w:firstLineChars="250"/>
        <w:rPr>
          <w:rFonts w:ascii="宋体" w:hAnsi="宋体"/>
          <w:szCs w:val="21"/>
          <w:u w:val="single"/>
        </w:rPr>
      </w:pPr>
      <w:r>
        <w:rPr>
          <w:rFonts w:hint="eastAsia" w:ascii="宋体" w:hAnsi="宋体"/>
          <w:szCs w:val="21"/>
        </w:rPr>
        <w:t>签署人职务：</w:t>
      </w:r>
      <w:r>
        <w:rPr>
          <w:rFonts w:hint="eastAsia" w:ascii="宋体" w:hAnsi="宋体"/>
          <w:szCs w:val="21"/>
          <w:u w:val="single"/>
        </w:rPr>
        <w:t xml:space="preserve">                                     </w:t>
      </w:r>
    </w:p>
    <w:p>
      <w:pPr>
        <w:snapToGrid w:val="0"/>
        <w:spacing w:line="360" w:lineRule="auto"/>
        <w:ind w:firstLine="525" w:firstLineChars="250"/>
        <w:rPr>
          <w:rFonts w:ascii="宋体" w:hAnsi="宋体"/>
          <w:szCs w:val="21"/>
        </w:rPr>
      </w:pPr>
      <w:r>
        <w:rPr>
          <w:rFonts w:hint="eastAsia" w:ascii="宋体" w:hAnsi="宋体"/>
          <w:szCs w:val="21"/>
        </w:rPr>
        <w:t>传真：</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网址：</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联系地址：</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napToGrid w:val="0"/>
        <w:spacing w:line="360" w:lineRule="auto"/>
        <w:ind w:firstLine="600"/>
        <w:rPr>
          <w:rFonts w:ascii="宋体" w:hAnsi="宋体"/>
          <w:szCs w:val="21"/>
          <w:u w:val="single"/>
        </w:rPr>
      </w:pPr>
    </w:p>
    <w:p>
      <w:pPr>
        <w:pStyle w:val="12"/>
        <w:snapToGrid w:val="0"/>
        <w:spacing w:line="360" w:lineRule="auto"/>
        <w:ind w:firstLine="527" w:firstLineChars="250"/>
        <w:jc w:val="left"/>
        <w:rPr>
          <w:rFonts w:ascii="宋体" w:hAnsi="宋体"/>
          <w:b/>
          <w:sz w:val="21"/>
          <w:szCs w:val="21"/>
        </w:rPr>
      </w:pPr>
      <w:r>
        <w:rPr>
          <w:rFonts w:hint="eastAsia" w:ascii="宋体" w:hAnsi="宋体"/>
          <w:b/>
          <w:sz w:val="21"/>
          <w:szCs w:val="21"/>
        </w:rPr>
        <w:t>[备注: 投标文件必须提供原件扫描件，出具本声明的成套设备</w:t>
      </w:r>
      <w:r>
        <w:rPr>
          <w:rFonts w:ascii="宋体" w:hAnsi="宋体"/>
          <w:b/>
          <w:sz w:val="21"/>
          <w:szCs w:val="21"/>
        </w:rPr>
        <w:t>制造商</w:t>
      </w:r>
      <w:r>
        <w:rPr>
          <w:rFonts w:hint="eastAsia" w:ascii="宋体" w:hAnsi="宋体"/>
          <w:b/>
          <w:sz w:val="21"/>
          <w:szCs w:val="21"/>
        </w:rPr>
        <w:t>为境内工商注册的成套设备制造商时，本资格声明每页需加盖其法人公章。]</w:t>
      </w:r>
    </w:p>
    <w:p>
      <w:pPr>
        <w:spacing w:line="360" w:lineRule="auto"/>
        <w:ind w:firstLine="600"/>
        <w:rPr>
          <w:rFonts w:ascii="宋体" w:hAnsi="宋体"/>
          <w:b/>
          <w:bCs/>
          <w:szCs w:val="21"/>
          <w:u w:val="single"/>
        </w:rPr>
      </w:pPr>
      <w:r>
        <w:rPr>
          <w:rFonts w:hint="eastAsia" w:ascii="宋体" w:hAnsi="宋体"/>
          <w:b/>
          <w:bCs/>
          <w:szCs w:val="21"/>
          <w:u w:val="single"/>
        </w:rPr>
        <w:t>说明：原件扫描件上传后需由投标人使用投标人的企业数字证书电子签名。</w:t>
      </w: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pStyle w:val="5"/>
        <w:pageBreakBefore/>
        <w:spacing w:line="340" w:lineRule="exact"/>
        <w:ind w:firstLine="3253" w:firstLineChars="1350"/>
        <w:rPr>
          <w:rFonts w:ascii="宋体" w:hAnsi="宋体"/>
          <w:sz w:val="24"/>
          <w:szCs w:val="24"/>
        </w:rPr>
      </w:pPr>
      <w:bookmarkStart w:id="952" w:name="_Toc5045"/>
      <w:bookmarkStart w:id="953" w:name="_Toc1642"/>
      <w:bookmarkStart w:id="954" w:name="_Toc6326"/>
      <w:bookmarkStart w:id="955" w:name="_Toc5859"/>
      <w:bookmarkStart w:id="956" w:name="_Toc6607"/>
      <w:bookmarkStart w:id="957" w:name="_Toc22059"/>
      <w:bookmarkStart w:id="958" w:name="_Toc92890438"/>
      <w:bookmarkStart w:id="959" w:name="_Toc10291"/>
      <w:bookmarkStart w:id="960" w:name="_Toc132814847"/>
      <w:bookmarkStart w:id="961" w:name="_Toc22622"/>
      <w:r>
        <w:rPr>
          <w:rFonts w:hint="eastAsia" w:ascii="宋体" w:hAnsi="宋体"/>
          <w:sz w:val="24"/>
          <w:szCs w:val="24"/>
        </w:rPr>
        <w:t>10</w:t>
      </w:r>
      <w:r>
        <w:rPr>
          <w:rFonts w:ascii="宋体" w:hAnsi="宋体"/>
          <w:sz w:val="24"/>
          <w:szCs w:val="24"/>
        </w:rPr>
        <w:t>、投标人基本情况</w:t>
      </w:r>
      <w:r>
        <w:rPr>
          <w:rFonts w:hint="eastAsia" w:ascii="宋体" w:hAnsi="宋体"/>
          <w:sz w:val="24"/>
          <w:szCs w:val="24"/>
        </w:rPr>
        <w:t>、简介</w:t>
      </w:r>
      <w:bookmarkEnd w:id="952"/>
      <w:bookmarkEnd w:id="953"/>
      <w:bookmarkEnd w:id="954"/>
      <w:bookmarkEnd w:id="955"/>
      <w:bookmarkEnd w:id="956"/>
      <w:bookmarkEnd w:id="957"/>
      <w:bookmarkEnd w:id="958"/>
      <w:bookmarkEnd w:id="959"/>
      <w:bookmarkEnd w:id="960"/>
      <w:bookmarkEnd w:id="961"/>
    </w:p>
    <w:p>
      <w:pPr>
        <w:snapToGrid w:val="0"/>
        <w:spacing w:line="340" w:lineRule="exact"/>
        <w:ind w:firstLine="420"/>
        <w:rPr>
          <w:rFonts w:ascii="宋体" w:hAnsi="宋体"/>
        </w:rPr>
      </w:pPr>
      <w:r>
        <w:rPr>
          <w:rFonts w:ascii="宋体" w:hAnsi="宋体"/>
          <w:lang w:val="zh-CN"/>
        </w:rPr>
        <w:t>1</w:t>
      </w:r>
      <w:r>
        <w:rPr>
          <w:rFonts w:hint="eastAsia" w:ascii="宋体" w:hAnsi="宋体"/>
          <w:lang w:val="zh-CN"/>
        </w:rPr>
        <w:t>．名称及概况：</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）投标人名称：</w:t>
      </w:r>
      <w:r>
        <w:rPr>
          <w:rFonts w:ascii="宋体" w:hAnsi="宋体"/>
          <w:lang w:val="zh-CN"/>
        </w:rPr>
        <w:t>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2</w:t>
      </w:r>
      <w:r>
        <w:rPr>
          <w:rFonts w:hint="eastAsia" w:ascii="宋体" w:hAnsi="宋体"/>
          <w:lang w:val="zh-CN"/>
        </w:rPr>
        <w:t>）总部地址：</w:t>
      </w:r>
      <w:r>
        <w:rPr>
          <w:rFonts w:ascii="宋体" w:hAnsi="宋体"/>
          <w:lang w:val="zh-CN"/>
        </w:rPr>
        <w:t>__________________________________________</w:t>
      </w:r>
    </w:p>
    <w:p>
      <w:pPr>
        <w:snapToGrid w:val="0"/>
        <w:spacing w:line="340" w:lineRule="exact"/>
        <w:ind w:firstLine="660"/>
        <w:rPr>
          <w:rFonts w:ascii="宋体" w:hAnsi="宋体"/>
          <w:lang w:val="zh-CN"/>
        </w:rPr>
      </w:pPr>
      <w:r>
        <w:rPr>
          <w:rFonts w:ascii="宋体" w:hAnsi="宋体"/>
          <w:lang w:val="zh-CN"/>
        </w:rPr>
        <w:t xml:space="preserve">   </w:t>
      </w:r>
      <w:r>
        <w:rPr>
          <w:rFonts w:hint="eastAsia" w:ascii="宋体" w:hAnsi="宋体"/>
          <w:lang w:val="zh-CN"/>
        </w:rPr>
        <w:t>邮政编码：</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ascii="宋体" w:hAnsi="宋体"/>
          <w:lang w:val="zh-CN"/>
        </w:rPr>
        <w:t xml:space="preserve">     </w:t>
      </w:r>
      <w:r>
        <w:rPr>
          <w:rFonts w:hint="eastAsia" w:ascii="宋体" w:hAnsi="宋体"/>
          <w:lang w:val="zh-CN"/>
        </w:rPr>
        <w:t>电话号码：</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ascii="宋体" w:hAnsi="宋体"/>
          <w:lang w:val="zh-CN"/>
        </w:rPr>
        <w:t xml:space="preserve">     </w:t>
      </w:r>
      <w:r>
        <w:rPr>
          <w:rFonts w:hint="eastAsia" w:ascii="宋体" w:hAnsi="宋体"/>
          <w:lang w:val="zh-CN"/>
        </w:rPr>
        <w:t>传真号码：</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3</w:t>
      </w:r>
      <w:r>
        <w:rPr>
          <w:rFonts w:hint="eastAsia" w:ascii="宋体" w:hAnsi="宋体"/>
          <w:lang w:val="zh-CN"/>
        </w:rPr>
        <w:t>）成立和／或注册日期：</w:t>
      </w:r>
      <w:r>
        <w:rPr>
          <w:rFonts w:ascii="宋体" w:hAnsi="宋体"/>
          <w:lang w:val="zh-CN"/>
        </w:rPr>
        <w:t>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4</w:t>
      </w:r>
      <w:r>
        <w:rPr>
          <w:rFonts w:hint="eastAsia" w:ascii="宋体" w:hAnsi="宋体"/>
          <w:lang w:val="zh-CN"/>
        </w:rPr>
        <w:t>）法人代表：</w:t>
      </w:r>
      <w:r>
        <w:rPr>
          <w:rFonts w:ascii="宋体" w:hAnsi="宋体"/>
          <w:lang w:val="zh-CN"/>
        </w:rPr>
        <w:t>________________________________________</w:t>
      </w:r>
      <w:r>
        <w:rPr>
          <w:rFonts w:hint="eastAsia" w:ascii="宋体" w:hAnsi="宋体"/>
          <w:lang w:val="zh-CN"/>
        </w:rPr>
        <w:t xml:space="preserve">  </w:t>
      </w:r>
      <w:r>
        <w:rPr>
          <w:rFonts w:ascii="宋体" w:hAnsi="宋体"/>
          <w:lang w:val="zh-CN"/>
        </w:rPr>
        <w:t>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5</w:t>
      </w:r>
      <w:r>
        <w:rPr>
          <w:rFonts w:hint="eastAsia" w:ascii="宋体" w:hAnsi="宋体"/>
          <w:lang w:val="zh-CN"/>
        </w:rPr>
        <w:t>）开户银行：</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6</w:t>
      </w:r>
      <w:r>
        <w:rPr>
          <w:rFonts w:hint="eastAsia" w:ascii="宋体" w:hAnsi="宋体"/>
          <w:lang w:val="zh-CN"/>
        </w:rPr>
        <w:t>）开户账号：</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7</w:t>
      </w:r>
      <w:r>
        <w:rPr>
          <w:rFonts w:hint="eastAsia" w:ascii="宋体" w:hAnsi="宋体"/>
          <w:lang w:val="zh-CN"/>
        </w:rPr>
        <w:t>）注册资金：</w:t>
      </w:r>
      <w:r>
        <w:rPr>
          <w:rFonts w:ascii="宋体" w:hAnsi="宋体"/>
          <w:lang w:val="zh-CN"/>
        </w:rPr>
        <w:t>__________________________________________</w:t>
      </w:r>
    </w:p>
    <w:p>
      <w:pPr>
        <w:snapToGrid w:val="0"/>
        <w:spacing w:line="340" w:lineRule="exact"/>
        <w:ind w:firstLine="420"/>
        <w:rPr>
          <w:rFonts w:ascii="宋体" w:hAnsi="宋体"/>
        </w:rPr>
      </w:pPr>
      <w:r>
        <w:rPr>
          <w:rFonts w:hint="eastAsia" w:ascii="宋体" w:hAnsi="宋体"/>
          <w:lang w:val="zh-CN"/>
        </w:rPr>
        <w:t>（8）主要负责人姓名：</w:t>
      </w:r>
    </w:p>
    <w:p>
      <w:pPr>
        <w:snapToGrid w:val="0"/>
        <w:spacing w:line="340" w:lineRule="exact"/>
        <w:ind w:firstLine="630" w:firstLineChars="300"/>
        <w:rPr>
          <w:rFonts w:ascii="宋体" w:hAnsi="宋体"/>
          <w:u w:val="single"/>
          <w:lang w:val="zh-CN"/>
        </w:rPr>
      </w:pPr>
      <w:r>
        <w:rPr>
          <w:rFonts w:ascii="宋体" w:hAnsi="宋体"/>
          <w:lang w:val="zh-CN"/>
        </w:rPr>
        <w:t>________________________________________________________</w:t>
      </w:r>
    </w:p>
    <w:p>
      <w:pPr>
        <w:snapToGrid w:val="0"/>
        <w:spacing w:line="340" w:lineRule="exact"/>
        <w:ind w:firstLine="420"/>
        <w:rPr>
          <w:rFonts w:ascii="宋体" w:hAnsi="宋体"/>
        </w:rPr>
      </w:pPr>
      <w:r>
        <w:rPr>
          <w:rFonts w:hint="eastAsia" w:ascii="宋体" w:hAnsi="宋体"/>
          <w:lang w:val="zh-CN"/>
        </w:rPr>
        <w:t>（9）项目主要联系人（姓名、职务、联系电话座机及手机号码）：</w:t>
      </w:r>
    </w:p>
    <w:p>
      <w:pPr>
        <w:snapToGrid w:val="0"/>
        <w:spacing w:line="340" w:lineRule="exact"/>
        <w:ind w:firstLine="525" w:firstLineChars="250"/>
        <w:rPr>
          <w:rFonts w:ascii="宋体" w:hAnsi="宋体"/>
          <w:lang w:val="zh-CN"/>
        </w:rPr>
      </w:pPr>
      <w:r>
        <w:rPr>
          <w:rFonts w:ascii="宋体" w:hAnsi="宋体"/>
          <w:lang w:val="zh-CN"/>
        </w:rPr>
        <w:t>_________________________________________________________</w:t>
      </w:r>
    </w:p>
    <w:p>
      <w:pPr>
        <w:snapToGrid w:val="0"/>
        <w:spacing w:line="340" w:lineRule="exact"/>
        <w:ind w:firstLine="420"/>
        <w:rPr>
          <w:rFonts w:ascii="宋体" w:hAnsi="宋体"/>
        </w:rPr>
      </w:pPr>
      <w:r>
        <w:rPr>
          <w:rFonts w:hint="eastAsia" w:ascii="宋体" w:hAnsi="宋体"/>
          <w:lang w:val="zh-CN"/>
        </w:rPr>
        <w:t>（</w:t>
      </w:r>
      <w:r>
        <w:rPr>
          <w:rFonts w:ascii="宋体" w:hAnsi="宋体"/>
          <w:lang w:val="zh-CN"/>
        </w:rPr>
        <w:t>1</w:t>
      </w:r>
      <w:r>
        <w:rPr>
          <w:rFonts w:hint="eastAsia" w:ascii="宋体" w:hAnsi="宋体"/>
          <w:lang w:val="zh-CN"/>
        </w:rPr>
        <w:t>0）在中国的代表的姓名和地址（如有）：</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rPr>
      </w:pPr>
      <w:r>
        <w:rPr>
          <w:rFonts w:ascii="宋体" w:hAnsi="宋体"/>
          <w:lang w:val="zh-CN"/>
        </w:rPr>
        <w:t>2</w:t>
      </w:r>
      <w:r>
        <w:rPr>
          <w:rFonts w:hint="eastAsia" w:ascii="宋体" w:hAnsi="宋体"/>
          <w:lang w:val="zh-CN"/>
        </w:rPr>
        <w:t>．供征询之银行的名称和地址：</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rPr>
      </w:pPr>
      <w:r>
        <w:rPr>
          <w:rFonts w:ascii="宋体" w:hAnsi="宋体"/>
          <w:lang w:val="zh-CN"/>
        </w:rPr>
        <w:t>3</w:t>
      </w:r>
      <w:r>
        <w:rPr>
          <w:rFonts w:hint="eastAsia" w:ascii="宋体" w:hAnsi="宋体"/>
          <w:lang w:val="zh-CN"/>
        </w:rPr>
        <w:t>．公司所隶属之国际集团名称（如果是）</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rPr>
      </w:pPr>
      <w:r>
        <w:rPr>
          <w:rFonts w:ascii="宋体" w:hAnsi="宋体"/>
          <w:lang w:val="zh-CN"/>
        </w:rPr>
        <w:t>4</w:t>
      </w:r>
      <w:r>
        <w:rPr>
          <w:rFonts w:hint="eastAsia" w:ascii="宋体" w:hAnsi="宋体"/>
          <w:lang w:val="zh-CN"/>
        </w:rPr>
        <w:t>.提交资料（包括但不限于组织架构、公司简介等）：</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）公司简介；</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lang w:val="zh-CN"/>
        </w:rPr>
      </w:pPr>
      <w:r>
        <w:rPr>
          <w:rFonts w:hint="eastAsia" w:ascii="宋体" w:hAnsi="宋体"/>
          <w:lang w:val="zh-CN"/>
        </w:rPr>
        <w:t>（2）公司组织架构；</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left="895" w:leftChars="176" w:hanging="525" w:hangingChars="250"/>
        <w:rPr>
          <w:rFonts w:ascii="宋体" w:hAnsi="宋体"/>
          <w:lang w:val="zh-CN"/>
        </w:rPr>
      </w:pPr>
      <w:r>
        <w:rPr>
          <w:rFonts w:hint="eastAsia" w:ascii="宋体" w:hAnsi="宋体"/>
          <w:lang w:val="zh-CN"/>
        </w:rPr>
        <w:t>（3）广东省内工商登记的分支机构（或固定办公场所）情况介绍{应提供该分支机构的营业执照、税务登记证、组织机构代码证原件扫描件</w:t>
      </w:r>
      <w:r>
        <w:rPr>
          <w:rFonts w:hint="eastAsia" w:ascii="宋体" w:hAnsi="宋体"/>
          <w:szCs w:val="21"/>
        </w:rPr>
        <w:t>（或</w:t>
      </w:r>
      <w:r>
        <w:rPr>
          <w:rFonts w:ascii="宋体" w:hAnsi="宋体" w:cs="Arial"/>
          <w:szCs w:val="21"/>
          <w:shd w:val="clear" w:color="auto" w:fill="FFFFFF"/>
        </w:rPr>
        <w:t>“多证合一”营业执照</w:t>
      </w:r>
      <w:r>
        <w:rPr>
          <w:rFonts w:hint="eastAsia" w:ascii="宋体" w:hAnsi="宋体"/>
          <w:lang w:val="zh-CN"/>
        </w:rPr>
        <w:t>原件扫描件</w:t>
      </w:r>
      <w:r>
        <w:rPr>
          <w:rFonts w:hint="eastAsia" w:ascii="宋体" w:hAnsi="宋体" w:cs="Arial"/>
          <w:szCs w:val="21"/>
          <w:shd w:val="clear" w:color="auto" w:fill="FFFFFF"/>
        </w:rPr>
        <w:t>）</w:t>
      </w:r>
      <w:r>
        <w:rPr>
          <w:rFonts w:hint="eastAsia" w:ascii="宋体" w:hAnsi="宋体"/>
          <w:lang w:val="zh-CN"/>
        </w:rPr>
        <w:t>，或办公场所租用合同原件扫描件</w:t>
      </w:r>
      <w:r>
        <w:rPr>
          <w:rFonts w:hint="eastAsia" w:ascii="宋体" w:hAnsi="宋体"/>
        </w:rPr>
        <w:t>及现场办公环境的照片</w:t>
      </w:r>
      <w:r>
        <w:rPr>
          <w:rFonts w:hint="eastAsia" w:ascii="宋体" w:hAnsi="宋体"/>
          <w:lang w:val="zh-CN"/>
        </w:rPr>
        <w:t>等证明材料}（若无前述分支机构的无需介绍）</w:t>
      </w:r>
    </w:p>
    <w:p>
      <w:pPr>
        <w:snapToGrid w:val="0"/>
        <w:spacing w:line="340" w:lineRule="exact"/>
        <w:ind w:firstLine="420"/>
        <w:rPr>
          <w:rFonts w:ascii="宋体" w:hAnsi="宋体"/>
          <w:lang w:val="zh-CN"/>
        </w:rPr>
      </w:pPr>
    </w:p>
    <w:p>
      <w:pPr>
        <w:snapToGrid w:val="0"/>
        <w:spacing w:line="340" w:lineRule="exact"/>
        <w:ind w:firstLine="420"/>
        <w:rPr>
          <w:rFonts w:ascii="宋体" w:hAnsi="宋体"/>
        </w:rPr>
      </w:pPr>
      <w:r>
        <w:rPr>
          <w:rFonts w:hint="eastAsia" w:ascii="宋体" w:hAnsi="宋体"/>
          <w:lang w:val="zh-CN"/>
        </w:rPr>
        <w:t>兹证明上述说明是真实、正确的，并提供了全部能提供的资料和数据，我们同意遵照贵方要求出示有关证明文件。</w:t>
      </w:r>
    </w:p>
    <w:p>
      <w:pPr>
        <w:snapToGrid w:val="0"/>
        <w:spacing w:line="340" w:lineRule="exact"/>
        <w:ind w:firstLine="420"/>
        <w:rPr>
          <w:rFonts w:ascii="宋体" w:hAnsi="宋体"/>
        </w:rPr>
      </w:pPr>
    </w:p>
    <w:p>
      <w:pPr>
        <w:snapToGrid w:val="0"/>
        <w:spacing w:line="340" w:lineRule="exact"/>
        <w:ind w:firstLine="3990" w:firstLineChars="19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40" w:lineRule="exact"/>
        <w:ind w:firstLine="4200" w:firstLineChars="2000"/>
        <w:rPr>
          <w:rFonts w:ascii="宋体" w:hAnsi="宋体"/>
        </w:rPr>
      </w:pPr>
    </w:p>
    <w:p>
      <w:pPr>
        <w:snapToGrid w:val="0"/>
        <w:spacing w:line="34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napToGrid w:val="0"/>
        <w:spacing w:line="340" w:lineRule="exact"/>
        <w:ind w:firstLine="420"/>
        <w:rPr>
          <w:sz w:val="24"/>
        </w:rPr>
      </w:pPr>
    </w:p>
    <w:p>
      <w:pPr>
        <w:snapToGrid w:val="0"/>
        <w:spacing w:line="340" w:lineRule="exact"/>
        <w:ind w:firstLine="420"/>
        <w:rPr>
          <w:rFonts w:hint="eastAsia" w:ascii="宋体" w:hAnsi="宋体"/>
          <w:sz w:val="24"/>
        </w:rPr>
      </w:pPr>
      <w:r>
        <w:rPr>
          <w:rFonts w:hint="eastAsia" w:ascii="宋体" w:hAnsi="宋体"/>
          <w:lang w:val="zh-CN"/>
        </w:rPr>
        <w:t>说明：</w:t>
      </w:r>
      <w:r>
        <w:rPr>
          <w:rFonts w:hint="eastAsia" w:ascii="宋体" w:hAnsi="宋体"/>
          <w:sz w:val="24"/>
        </w:rPr>
        <w:t>由投标人使用投标人的企业数字证书电子签名。</w:t>
      </w:r>
    </w:p>
    <w:p>
      <w:pPr>
        <w:jc w:val="center"/>
        <w:rPr>
          <w:rFonts w:ascii="宋体" w:hAnsi="宋体"/>
          <w:lang w:val="zh-CN"/>
        </w:rPr>
      </w:pPr>
    </w:p>
    <w:p>
      <w:pPr>
        <w:pStyle w:val="5"/>
        <w:pageBreakBefore/>
        <w:ind w:firstLine="3253" w:firstLineChars="1350"/>
        <w:rPr>
          <w:rFonts w:ascii="宋体" w:hAnsi="宋体"/>
          <w:sz w:val="24"/>
          <w:szCs w:val="24"/>
        </w:rPr>
      </w:pPr>
      <w:bookmarkStart w:id="962" w:name="_Toc132814848"/>
      <w:bookmarkStart w:id="963" w:name="_Toc20030"/>
      <w:bookmarkStart w:id="964" w:name="_Toc10151"/>
      <w:bookmarkStart w:id="965" w:name="_Toc18348"/>
      <w:bookmarkStart w:id="966" w:name="_Toc9077"/>
      <w:bookmarkStart w:id="967" w:name="_Toc92890439"/>
      <w:bookmarkStart w:id="968" w:name="_Toc3322"/>
      <w:bookmarkStart w:id="969" w:name="_Toc12390"/>
      <w:bookmarkStart w:id="970" w:name="_Toc6649"/>
      <w:bookmarkStart w:id="971" w:name="_Toc30924"/>
      <w:r>
        <w:rPr>
          <w:rFonts w:hint="eastAsia" w:ascii="宋体" w:hAnsi="宋体"/>
          <w:sz w:val="24"/>
          <w:szCs w:val="24"/>
        </w:rPr>
        <w:t>11</w:t>
      </w:r>
      <w:r>
        <w:rPr>
          <w:rFonts w:ascii="宋体" w:hAnsi="宋体"/>
          <w:sz w:val="24"/>
          <w:szCs w:val="24"/>
        </w:rPr>
        <w:t>、</w:t>
      </w:r>
      <w:r>
        <w:rPr>
          <w:rFonts w:hint="eastAsia" w:ascii="宋体" w:hAnsi="宋体"/>
          <w:sz w:val="24"/>
          <w:szCs w:val="24"/>
        </w:rPr>
        <w:t>投标人财务状况</w:t>
      </w:r>
      <w:bookmarkEnd w:id="962"/>
      <w:bookmarkEnd w:id="963"/>
      <w:bookmarkEnd w:id="964"/>
      <w:bookmarkEnd w:id="965"/>
      <w:bookmarkEnd w:id="966"/>
      <w:bookmarkEnd w:id="967"/>
      <w:bookmarkEnd w:id="968"/>
      <w:bookmarkEnd w:id="969"/>
      <w:bookmarkEnd w:id="970"/>
      <w:bookmarkEnd w:id="971"/>
    </w:p>
    <w:p>
      <w:pPr>
        <w:spacing w:line="360" w:lineRule="auto"/>
        <w:jc w:val="center"/>
        <w:rPr>
          <w:rFonts w:ascii="宋体" w:hAnsi="宋体"/>
          <w:b/>
          <w:szCs w:val="21"/>
        </w:rPr>
      </w:pPr>
      <w:r>
        <w:rPr>
          <w:rFonts w:hint="eastAsia" w:ascii="宋体" w:hAnsi="宋体"/>
          <w:b/>
          <w:szCs w:val="21"/>
        </w:rPr>
        <w:t xml:space="preserve">                                                    </w:t>
      </w:r>
    </w:p>
    <w:p>
      <w:pPr>
        <w:spacing w:line="360" w:lineRule="auto"/>
        <w:jc w:val="center"/>
        <w:rPr>
          <w:rFonts w:ascii="宋体" w:hAnsi="宋体"/>
          <w:szCs w:val="21"/>
        </w:rPr>
      </w:pPr>
      <w:r>
        <w:rPr>
          <w:rFonts w:hint="eastAsia" w:ascii="宋体" w:hAnsi="宋体"/>
          <w:b/>
          <w:szCs w:val="21"/>
        </w:rPr>
        <w:t xml:space="preserve">                                                 </w:t>
      </w:r>
      <w:r>
        <w:rPr>
          <w:rFonts w:hint="eastAsia" w:ascii="宋体" w:hAnsi="宋体"/>
          <w:szCs w:val="21"/>
        </w:rPr>
        <w:t>【价格单位：（人民币）元】</w:t>
      </w:r>
    </w:p>
    <w:p>
      <w:pPr>
        <w:spacing w:line="360" w:lineRule="auto"/>
        <w:jc w:val="center"/>
        <w:rPr>
          <w:rFonts w:ascii="宋体" w:hAnsi="宋体"/>
          <w:szCs w:val="21"/>
        </w:rPr>
      </w:pP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3"/>
        <w:gridCol w:w="1905"/>
        <w:gridCol w:w="1907"/>
        <w:gridCol w:w="2210"/>
        <w:gridCol w:w="19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spacing w:line="360" w:lineRule="auto"/>
              <w:jc w:val="center"/>
              <w:rPr>
                <w:rFonts w:ascii="宋体" w:hAnsi="宋体"/>
                <w:szCs w:val="21"/>
              </w:rPr>
            </w:pPr>
            <w:r>
              <w:rPr>
                <w:rFonts w:hint="eastAsia" w:ascii="宋体" w:hAnsi="宋体"/>
                <w:szCs w:val="21"/>
              </w:rPr>
              <w:t>年  度</w:t>
            </w:r>
          </w:p>
        </w:tc>
        <w:tc>
          <w:tcPr>
            <w:tcW w:w="1045" w:type="pct"/>
            <w:vAlign w:val="center"/>
          </w:tcPr>
          <w:p>
            <w:pPr>
              <w:spacing w:line="360" w:lineRule="auto"/>
              <w:jc w:val="center"/>
              <w:rPr>
                <w:rFonts w:ascii="宋体" w:hAnsi="宋体"/>
                <w:szCs w:val="21"/>
              </w:rPr>
            </w:pPr>
            <w:r>
              <w:rPr>
                <w:rFonts w:hint="eastAsia" w:ascii="宋体" w:hAnsi="宋体"/>
                <w:szCs w:val="21"/>
              </w:rPr>
              <w:t>总资产（元）</w:t>
            </w:r>
          </w:p>
        </w:tc>
        <w:tc>
          <w:tcPr>
            <w:tcW w:w="1046" w:type="pct"/>
            <w:vAlign w:val="center"/>
          </w:tcPr>
          <w:p>
            <w:pPr>
              <w:spacing w:line="360" w:lineRule="auto"/>
              <w:jc w:val="center"/>
              <w:rPr>
                <w:rFonts w:ascii="宋体" w:hAnsi="宋体"/>
                <w:szCs w:val="21"/>
              </w:rPr>
            </w:pPr>
            <w:r>
              <w:rPr>
                <w:rFonts w:hint="eastAsia" w:ascii="宋体" w:hAnsi="宋体"/>
                <w:szCs w:val="21"/>
              </w:rPr>
              <w:t>净资产（元）</w:t>
            </w:r>
          </w:p>
        </w:tc>
        <w:tc>
          <w:tcPr>
            <w:tcW w:w="1212" w:type="pct"/>
            <w:vAlign w:val="center"/>
          </w:tcPr>
          <w:p>
            <w:pPr>
              <w:spacing w:line="360" w:lineRule="auto"/>
              <w:jc w:val="center"/>
              <w:rPr>
                <w:rFonts w:ascii="宋体" w:hAnsi="宋体"/>
                <w:szCs w:val="21"/>
              </w:rPr>
            </w:pPr>
            <w:r>
              <w:rPr>
                <w:rFonts w:hint="eastAsia" w:ascii="宋体" w:hAnsi="宋体"/>
                <w:szCs w:val="21"/>
              </w:rPr>
              <w:t>年营业额（元）</w:t>
            </w:r>
          </w:p>
        </w:tc>
        <w:tc>
          <w:tcPr>
            <w:tcW w:w="1070" w:type="pct"/>
            <w:vAlign w:val="center"/>
          </w:tcPr>
          <w:p>
            <w:pPr>
              <w:spacing w:line="360" w:lineRule="auto"/>
              <w:jc w:val="center"/>
              <w:rPr>
                <w:rFonts w:ascii="宋体" w:hAnsi="宋体"/>
                <w:szCs w:val="21"/>
              </w:rPr>
            </w:pPr>
            <w:r>
              <w:rPr>
                <w:rFonts w:hint="eastAsia" w:ascii="宋体" w:hAnsi="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spacing w:line="360" w:lineRule="auto"/>
              <w:jc w:val="center"/>
              <w:rPr>
                <w:rFonts w:ascii="宋体" w:hAnsi="宋体"/>
                <w:szCs w:val="21"/>
              </w:rPr>
            </w:pPr>
            <w:r>
              <w:rPr>
                <w:rFonts w:ascii="宋体" w:hAnsi="宋体"/>
                <w:szCs w:val="21"/>
              </w:rPr>
              <w:t>20</w:t>
            </w:r>
            <w:r>
              <w:rPr>
                <w:rFonts w:hint="eastAsia" w:ascii="宋体" w:hAnsi="宋体"/>
                <w:szCs w:val="21"/>
              </w:rPr>
              <w:t>20</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szCs w:val="21"/>
              </w:rPr>
            </w:pPr>
            <w:r>
              <w:rPr>
                <w:rFonts w:ascii="宋体" w:hAnsi="宋体"/>
                <w:szCs w:val="21"/>
              </w:rPr>
              <w:t>20</w:t>
            </w:r>
            <w:r>
              <w:rPr>
                <w:rFonts w:hint="eastAsia" w:ascii="宋体" w:hAnsi="宋体"/>
                <w:szCs w:val="21"/>
              </w:rPr>
              <w:t>21</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szCs w:val="21"/>
              </w:rPr>
            </w:pPr>
            <w:r>
              <w:rPr>
                <w:rFonts w:ascii="宋体" w:hAnsi="宋体"/>
                <w:szCs w:val="21"/>
              </w:rPr>
              <w:t>202</w:t>
            </w:r>
            <w:r>
              <w:rPr>
                <w:rFonts w:hint="eastAsia" w:ascii="宋体" w:hAnsi="宋体"/>
                <w:szCs w:val="21"/>
              </w:rPr>
              <w:t>2</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spacing w:line="360" w:lineRule="auto"/>
              <w:jc w:val="center"/>
              <w:rPr>
                <w:rFonts w:ascii="宋体" w:hAnsi="宋体"/>
                <w:szCs w:val="21"/>
              </w:rPr>
            </w:pPr>
            <w:r>
              <w:rPr>
                <w:rFonts w:hint="eastAsia" w:ascii="宋体" w:hAnsi="宋体"/>
                <w:szCs w:val="21"/>
              </w:rPr>
              <w:t>总计</w:t>
            </w: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bl>
    <w:p>
      <w:pPr>
        <w:pStyle w:val="66"/>
        <w:spacing w:line="360" w:lineRule="auto"/>
        <w:ind w:firstLine="0" w:firstLineChars="0"/>
        <w:rPr>
          <w:rFonts w:ascii="宋体" w:eastAsia="宋体"/>
          <w:sz w:val="21"/>
          <w:szCs w:val="21"/>
        </w:rPr>
      </w:pPr>
      <w:r>
        <w:rPr>
          <w:rFonts w:hint="eastAsia" w:ascii="宋体" w:eastAsia="宋体"/>
          <w:sz w:val="21"/>
          <w:szCs w:val="21"/>
        </w:rPr>
        <w:t>备注：</w:t>
      </w:r>
    </w:p>
    <w:p>
      <w:pPr>
        <w:snapToGrid w:val="0"/>
        <w:spacing w:line="360" w:lineRule="auto"/>
        <w:ind w:firstLine="420" w:firstLineChars="200"/>
        <w:rPr>
          <w:rFonts w:ascii="宋体" w:hAnsi="宋体"/>
        </w:rPr>
      </w:pPr>
      <w:r>
        <w:rPr>
          <w:rFonts w:hint="eastAsia" w:ascii="宋体" w:hAnsi="宋体"/>
          <w:szCs w:val="21"/>
        </w:rPr>
        <w:t>需提供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66"/>
        <w:spacing w:line="360" w:lineRule="auto"/>
        <w:ind w:firstLine="433"/>
        <w:rPr>
          <w:rFonts w:ascii="宋体" w:eastAsia="宋体"/>
          <w:sz w:val="21"/>
          <w:szCs w:val="21"/>
        </w:rPr>
      </w:pPr>
    </w:p>
    <w:p>
      <w:pPr>
        <w:pStyle w:val="66"/>
        <w:spacing w:line="360" w:lineRule="auto"/>
        <w:ind w:firstLine="494"/>
        <w:rPr>
          <w:rFonts w:ascii="宋体" w:eastAsia="宋体"/>
          <w:sz w:val="24"/>
          <w:szCs w:val="24"/>
        </w:rPr>
      </w:pPr>
    </w:p>
    <w:p>
      <w:pPr>
        <w:snapToGrid w:val="0"/>
        <w:spacing w:line="360"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exact"/>
        <w:ind w:firstLine="4200" w:firstLineChars="2000"/>
        <w:rPr>
          <w:rFonts w:ascii="宋体" w:hAnsi="宋体"/>
        </w:rPr>
      </w:pPr>
    </w:p>
    <w:p>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rPr>
          <w:rFonts w:ascii="宋体" w:hAnsi="宋体"/>
          <w:sz w:val="24"/>
        </w:rPr>
      </w:pPr>
      <w:r>
        <w:rPr>
          <w:rFonts w:hint="eastAsia" w:ascii="宋体" w:hAnsi="宋体"/>
          <w:sz w:val="24"/>
        </w:rPr>
        <w:t>说明：由投标人使用投标人的企业数字证书电子签名。</w:t>
      </w:r>
    </w:p>
    <w:p>
      <w:pPr>
        <w:rPr>
          <w:sz w:val="24"/>
        </w:rPr>
      </w:pPr>
    </w:p>
    <w:p>
      <w:pPr>
        <w:pStyle w:val="5"/>
        <w:pageBreakBefore/>
        <w:ind w:firstLine="3253" w:firstLineChars="1350"/>
        <w:rPr>
          <w:rFonts w:ascii="宋体" w:hAnsi="宋体"/>
          <w:sz w:val="24"/>
          <w:szCs w:val="24"/>
        </w:rPr>
      </w:pPr>
      <w:bookmarkStart w:id="972" w:name="_Toc31425"/>
      <w:bookmarkStart w:id="973" w:name="_Toc132814849"/>
      <w:bookmarkStart w:id="974" w:name="_Toc22876"/>
      <w:bookmarkStart w:id="975" w:name="_Toc92890440"/>
      <w:bookmarkStart w:id="976" w:name="_Toc13330"/>
      <w:bookmarkStart w:id="977" w:name="_Toc1102"/>
      <w:bookmarkStart w:id="978" w:name="_Toc25856"/>
      <w:bookmarkStart w:id="979" w:name="_Toc5226"/>
      <w:bookmarkStart w:id="980" w:name="_Toc30901"/>
      <w:bookmarkStart w:id="981" w:name="_Toc3516"/>
      <w:r>
        <w:rPr>
          <w:rFonts w:hint="eastAsia" w:ascii="宋体" w:hAnsi="宋体"/>
          <w:sz w:val="24"/>
          <w:szCs w:val="24"/>
        </w:rPr>
        <w:t>12</w:t>
      </w:r>
      <w:r>
        <w:rPr>
          <w:rFonts w:ascii="宋体" w:hAnsi="宋体"/>
          <w:sz w:val="24"/>
          <w:szCs w:val="24"/>
        </w:rPr>
        <w:t>、</w:t>
      </w:r>
      <w:r>
        <w:rPr>
          <w:rFonts w:hint="eastAsia" w:ascii="宋体" w:hAnsi="宋体"/>
          <w:sz w:val="24"/>
          <w:szCs w:val="24"/>
        </w:rPr>
        <w:t>合同条款偏离表</w:t>
      </w:r>
      <w:bookmarkEnd w:id="972"/>
      <w:bookmarkEnd w:id="973"/>
      <w:bookmarkEnd w:id="974"/>
      <w:bookmarkEnd w:id="975"/>
      <w:bookmarkEnd w:id="976"/>
      <w:bookmarkEnd w:id="977"/>
      <w:bookmarkEnd w:id="978"/>
      <w:bookmarkEnd w:id="979"/>
      <w:bookmarkEnd w:id="980"/>
      <w:bookmarkEnd w:id="98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vMerge w:val="restart"/>
            <w:vAlign w:val="center"/>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序号</w:t>
            </w:r>
          </w:p>
        </w:tc>
        <w:tc>
          <w:tcPr>
            <w:tcW w:w="3406" w:type="dxa"/>
            <w:gridSpan w:val="2"/>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招标文件要求</w:t>
            </w:r>
          </w:p>
        </w:tc>
        <w:tc>
          <w:tcPr>
            <w:tcW w:w="4897" w:type="dxa"/>
            <w:gridSpan w:val="2"/>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Pr>
          <w:p>
            <w:pPr>
              <w:pStyle w:val="66"/>
              <w:snapToGrid w:val="0"/>
              <w:spacing w:line="360" w:lineRule="auto"/>
              <w:ind w:firstLine="0" w:firstLineChars="0"/>
              <w:jc w:val="center"/>
              <w:rPr>
                <w:rFonts w:ascii="宋体" w:eastAsia="宋体"/>
                <w:sz w:val="21"/>
                <w:szCs w:val="21"/>
              </w:rPr>
            </w:pPr>
          </w:p>
        </w:tc>
        <w:tc>
          <w:tcPr>
            <w:tcW w:w="1280" w:type="dxa"/>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条款号</w:t>
            </w:r>
          </w:p>
        </w:tc>
        <w:tc>
          <w:tcPr>
            <w:tcW w:w="2126" w:type="dxa"/>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简要内容</w:t>
            </w:r>
          </w:p>
        </w:tc>
        <w:tc>
          <w:tcPr>
            <w:tcW w:w="1418" w:type="dxa"/>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偏离情况</w:t>
            </w:r>
          </w:p>
        </w:tc>
        <w:tc>
          <w:tcPr>
            <w:tcW w:w="3479" w:type="dxa"/>
            <w:vAlign w:val="center"/>
          </w:tcPr>
          <w:p>
            <w:pPr>
              <w:pStyle w:val="66"/>
              <w:snapToGrid w:val="0"/>
              <w:spacing w:line="360" w:lineRule="auto"/>
              <w:ind w:firstLine="0" w:firstLineChars="0"/>
              <w:jc w:val="center"/>
              <w:rPr>
                <w:rFonts w:ascii="宋体" w:eastAsia="宋体"/>
                <w:sz w:val="21"/>
                <w:szCs w:val="21"/>
              </w:rPr>
            </w:pPr>
            <w:r>
              <w:rPr>
                <w:rFonts w:hint="eastAsia" w:ascii="宋体" w:eastAsia="宋体"/>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第一条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合同项目</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第二条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合同价</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第三条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合同组成</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第四条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技术要求</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第五条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质量保证、工厂监造、和出厂试验</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第六条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包装与运输</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第七条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保险</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第八条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货物的交付</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第九条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安装、调试</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验收</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第十一条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设备变更条款</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第十二条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技术服务、设计联络和培训</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第十三条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质保期及售后服务</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第十四条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履约担保</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第十五条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付款方式</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第十六条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技术资料</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第十七条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权利保证</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第十八条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不可抗力</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第十九条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索赔</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第二十条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违约责任</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第二十一条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争议解决</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第二十二条</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其他</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1</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安全生产管理协议</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2</w:t>
            </w:r>
          </w:p>
        </w:tc>
        <w:tc>
          <w:tcPr>
            <w:tcW w:w="2126" w:type="dxa"/>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廉洁协议书</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3</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不可撤销银行履约保函</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4</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担保公司履约担保书</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5</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公证书</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6</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预付款银行保函</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7</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银行质量保函</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8</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交接验收报告</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9</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最终验收报告</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66"/>
              <w:numPr>
                <w:ilvl w:val="0"/>
                <w:numId w:val="13"/>
              </w:numPr>
              <w:snapToGrid w:val="0"/>
              <w:spacing w:line="360" w:lineRule="auto"/>
              <w:ind w:firstLineChars="0"/>
              <w:jc w:val="center"/>
              <w:rPr>
                <w:rFonts w:ascii="宋体" w:eastAsia="宋体"/>
                <w:sz w:val="21"/>
                <w:szCs w:val="21"/>
              </w:rPr>
            </w:pPr>
          </w:p>
        </w:tc>
        <w:tc>
          <w:tcPr>
            <w:tcW w:w="1280"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附件10</w:t>
            </w:r>
          </w:p>
        </w:tc>
        <w:tc>
          <w:tcPr>
            <w:tcW w:w="2126" w:type="dxa"/>
            <w:vAlign w:val="center"/>
          </w:tcPr>
          <w:p>
            <w:pPr>
              <w:pStyle w:val="66"/>
              <w:snapToGrid w:val="0"/>
              <w:spacing w:line="360" w:lineRule="auto"/>
              <w:ind w:firstLine="0" w:firstLineChars="0"/>
              <w:rPr>
                <w:rFonts w:ascii="宋体" w:eastAsia="宋体"/>
                <w:sz w:val="21"/>
                <w:szCs w:val="21"/>
              </w:rPr>
            </w:pPr>
            <w:r>
              <w:rPr>
                <w:rFonts w:hint="eastAsia" w:ascii="宋体" w:eastAsia="宋体"/>
                <w:sz w:val="21"/>
                <w:szCs w:val="21"/>
              </w:rPr>
              <w:t>诚信履约承诺书</w:t>
            </w:r>
          </w:p>
        </w:tc>
        <w:tc>
          <w:tcPr>
            <w:tcW w:w="1418" w:type="dxa"/>
            <w:vAlign w:val="center"/>
          </w:tcPr>
          <w:p>
            <w:pPr>
              <w:pStyle w:val="66"/>
              <w:snapToGrid w:val="0"/>
              <w:spacing w:line="360" w:lineRule="auto"/>
              <w:ind w:firstLine="0" w:firstLineChars="0"/>
              <w:rPr>
                <w:rFonts w:ascii="宋体" w:eastAsia="宋体"/>
                <w:sz w:val="21"/>
                <w:szCs w:val="21"/>
              </w:rPr>
            </w:pPr>
          </w:p>
        </w:tc>
        <w:tc>
          <w:tcPr>
            <w:tcW w:w="3479" w:type="dxa"/>
            <w:vAlign w:val="center"/>
          </w:tcPr>
          <w:p>
            <w:pPr>
              <w:pStyle w:val="66"/>
              <w:snapToGrid w:val="0"/>
              <w:spacing w:line="360" w:lineRule="auto"/>
              <w:ind w:firstLine="0" w:firstLineChars="0"/>
              <w:rPr>
                <w:rFonts w:ascii="宋体" w:eastAsia="宋体"/>
                <w:sz w:val="21"/>
                <w:szCs w:val="21"/>
              </w:rPr>
            </w:pPr>
          </w:p>
        </w:tc>
      </w:tr>
    </w:tbl>
    <w:p>
      <w:pPr>
        <w:snapToGrid w:val="0"/>
        <w:spacing w:line="360" w:lineRule="auto"/>
        <w:ind w:left="210" w:hanging="210" w:hangingChars="100"/>
        <w:rPr>
          <w:rFonts w:ascii="宋体" w:hAnsi="宋体"/>
          <w:szCs w:val="21"/>
        </w:rPr>
      </w:pPr>
      <w:r>
        <w:rPr>
          <w:rFonts w:hint="eastAsia" w:ascii="宋体" w:hAnsi="宋体"/>
          <w:szCs w:val="21"/>
        </w:rPr>
        <w:t>注：</w:t>
      </w:r>
    </w:p>
    <w:p>
      <w:pPr>
        <w:spacing w:line="360" w:lineRule="auto"/>
        <w:ind w:left="211" w:hanging="211" w:hangingChars="100"/>
        <w:rPr>
          <w:rFonts w:ascii="宋体" w:hAnsi="宋体"/>
          <w:szCs w:val="21"/>
        </w:rPr>
      </w:pPr>
      <w:r>
        <w:rPr>
          <w:rFonts w:hint="eastAsia" w:ascii="宋体" w:hAnsi="宋体"/>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szCs w:val="21"/>
        </w:rPr>
      </w:pPr>
      <w:r>
        <w:rPr>
          <w:rFonts w:hint="eastAsia" w:ascii="宋体" w:hAnsi="宋体"/>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szCs w:val="21"/>
        </w:rPr>
      </w:pPr>
      <w:r>
        <w:rPr>
          <w:rFonts w:hint="eastAsia" w:ascii="宋体" w:hAnsi="宋体"/>
          <w:szCs w:val="21"/>
        </w:rPr>
        <w:t>3.招标文件采购合同“附件</w:t>
      </w:r>
      <w:r>
        <w:rPr>
          <w:rFonts w:ascii="宋体" w:hAnsi="宋体"/>
          <w:szCs w:val="21"/>
        </w:rPr>
        <w:t>1</w:t>
      </w:r>
      <w:r>
        <w:rPr>
          <w:rFonts w:hint="eastAsia" w:ascii="宋体" w:hAnsi="宋体"/>
          <w:szCs w:val="21"/>
        </w:rPr>
        <w:t>”、“附件</w:t>
      </w:r>
      <w:r>
        <w:rPr>
          <w:rFonts w:ascii="宋体" w:hAnsi="宋体"/>
          <w:szCs w:val="21"/>
        </w:rPr>
        <w:t>2</w:t>
      </w:r>
      <w:r>
        <w:rPr>
          <w:rFonts w:hint="eastAsia" w:ascii="宋体" w:hAnsi="宋体"/>
          <w:szCs w:val="21"/>
        </w:rPr>
        <w:t>”、“附件</w:t>
      </w:r>
      <w:r>
        <w:rPr>
          <w:rFonts w:ascii="宋体" w:hAnsi="宋体"/>
          <w:szCs w:val="21"/>
        </w:rPr>
        <w:t>3</w:t>
      </w:r>
      <w:r>
        <w:rPr>
          <w:rFonts w:hint="eastAsia" w:ascii="宋体" w:hAnsi="宋体"/>
          <w:szCs w:val="21"/>
        </w:rPr>
        <w:t>”、“附件</w:t>
      </w:r>
      <w:r>
        <w:rPr>
          <w:rFonts w:ascii="宋体" w:hAnsi="宋体"/>
          <w:szCs w:val="21"/>
        </w:rPr>
        <w:t>4</w:t>
      </w:r>
      <w:r>
        <w:rPr>
          <w:rFonts w:hint="eastAsia" w:ascii="宋体" w:hAnsi="宋体"/>
          <w:szCs w:val="21"/>
        </w:rPr>
        <w:t>”、“附件</w:t>
      </w:r>
      <w:r>
        <w:rPr>
          <w:rFonts w:ascii="宋体" w:hAnsi="宋体"/>
          <w:szCs w:val="21"/>
        </w:rPr>
        <w:t>5</w:t>
      </w:r>
      <w:r>
        <w:rPr>
          <w:rFonts w:hint="eastAsia" w:ascii="宋体" w:hAnsi="宋体"/>
          <w:szCs w:val="21"/>
        </w:rPr>
        <w:t>”、“附件</w:t>
      </w:r>
      <w:r>
        <w:rPr>
          <w:rFonts w:ascii="宋体" w:hAnsi="宋体"/>
          <w:szCs w:val="21"/>
        </w:rPr>
        <w:t>6</w:t>
      </w:r>
      <w:r>
        <w:rPr>
          <w:rFonts w:hint="eastAsia" w:ascii="宋体" w:hAnsi="宋体"/>
          <w:szCs w:val="21"/>
        </w:rPr>
        <w:t>”、“附件</w:t>
      </w:r>
      <w:r>
        <w:rPr>
          <w:rFonts w:ascii="宋体" w:hAnsi="宋体"/>
          <w:szCs w:val="21"/>
        </w:rPr>
        <w:t>7</w:t>
      </w:r>
      <w:r>
        <w:rPr>
          <w:rFonts w:hint="eastAsia" w:ascii="宋体" w:hAnsi="宋体"/>
          <w:szCs w:val="21"/>
        </w:rPr>
        <w:t>”、“附件</w:t>
      </w:r>
      <w:r>
        <w:rPr>
          <w:rFonts w:ascii="宋体" w:hAnsi="宋体"/>
          <w:szCs w:val="21"/>
        </w:rPr>
        <w:t>8</w:t>
      </w:r>
      <w:r>
        <w:rPr>
          <w:rFonts w:hint="eastAsia" w:ascii="宋体" w:hAnsi="宋体"/>
          <w:szCs w:val="21"/>
        </w:rPr>
        <w:t>”、“附件</w:t>
      </w:r>
      <w:r>
        <w:rPr>
          <w:rFonts w:ascii="宋体" w:hAnsi="宋体"/>
          <w:szCs w:val="21"/>
        </w:rPr>
        <w:t>9</w:t>
      </w:r>
      <w:r>
        <w:rPr>
          <w:rFonts w:hint="eastAsia" w:ascii="宋体" w:hAnsi="宋体"/>
          <w:szCs w:val="21"/>
        </w:rPr>
        <w:t>”、“附件10”作为重要的商务条款，投标人的响应情况列入本合同条款偏离表。</w:t>
      </w:r>
    </w:p>
    <w:p>
      <w:pPr>
        <w:snapToGrid w:val="0"/>
        <w:spacing w:line="360" w:lineRule="auto"/>
        <w:ind w:left="210" w:hanging="210" w:hangingChars="100"/>
        <w:rPr>
          <w:rFonts w:ascii="宋体" w:hAnsi="宋体"/>
          <w:szCs w:val="21"/>
        </w:rPr>
      </w:pPr>
      <w:r>
        <w:rPr>
          <w:rFonts w:hint="eastAsia" w:ascii="宋体" w:hAnsi="宋体"/>
          <w:szCs w:val="21"/>
        </w:rPr>
        <w:t>4.如投标人差异内容较多可另附页说明，</w:t>
      </w:r>
      <w:r>
        <w:rPr>
          <w:rFonts w:hint="eastAsia" w:ascii="宋体" w:hAnsi="宋体"/>
          <w:szCs w:val="21"/>
          <w:lang w:val="zh-CN"/>
        </w:rPr>
        <w:t>并在本偏离表“具体偏离内容”项注明其在投标文件中的具体页码</w:t>
      </w:r>
      <w:r>
        <w:rPr>
          <w:rFonts w:hint="eastAsia" w:ascii="宋体" w:hAnsi="宋体"/>
          <w:szCs w:val="21"/>
        </w:rPr>
        <w:t>。</w:t>
      </w:r>
    </w:p>
    <w:p>
      <w:pPr>
        <w:spacing w:line="360" w:lineRule="auto"/>
        <w:ind w:left="210" w:hanging="210" w:hangingChars="100"/>
        <w:rPr>
          <w:szCs w:val="21"/>
        </w:rPr>
      </w:pPr>
      <w:r>
        <w:rPr>
          <w:rFonts w:hint="eastAsia" w:ascii="宋体" w:hAnsi="宋体"/>
          <w:szCs w:val="21"/>
        </w:rPr>
        <w:t>5.</w:t>
      </w:r>
      <w:r>
        <w:rPr>
          <w:rFonts w:hint="eastAsia"/>
          <w:szCs w:val="21"/>
        </w:rPr>
        <w:t>“廉洁协议书”作为一个整体，投标人无需就协议书内容单独逐条填写偏离情况，对整体进行响应即可。</w:t>
      </w:r>
    </w:p>
    <w:p>
      <w:pPr>
        <w:snapToGrid w:val="0"/>
        <w:spacing w:line="360" w:lineRule="auto"/>
        <w:ind w:left="210" w:hanging="210" w:hangingChars="100"/>
        <w:rPr>
          <w:rFonts w:ascii="宋体" w:hAnsi="宋体"/>
          <w:szCs w:val="21"/>
        </w:rPr>
      </w:pPr>
    </w:p>
    <w:p>
      <w:pPr>
        <w:pStyle w:val="66"/>
        <w:spacing w:line="360" w:lineRule="auto"/>
        <w:ind w:firstLine="494"/>
        <w:rPr>
          <w:rFonts w:ascii="宋体" w:eastAsia="宋体"/>
          <w:sz w:val="24"/>
          <w:szCs w:val="24"/>
        </w:rPr>
      </w:pPr>
    </w:p>
    <w:p>
      <w:pPr>
        <w:snapToGrid w:val="0"/>
        <w:spacing w:line="360"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exact"/>
        <w:ind w:firstLine="4200" w:firstLineChars="2000"/>
        <w:rPr>
          <w:rFonts w:ascii="宋体" w:hAnsi="宋体"/>
        </w:rPr>
      </w:pPr>
    </w:p>
    <w:p>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napToGrid w:val="0"/>
        <w:spacing w:line="360" w:lineRule="auto"/>
        <w:ind w:firstLine="4620" w:firstLineChars="2200"/>
        <w:rPr>
          <w:rFonts w:hAnsi="宋体"/>
          <w:szCs w:val="21"/>
        </w:rPr>
      </w:pPr>
    </w:p>
    <w:p>
      <w:pPr>
        <w:pStyle w:val="15"/>
        <w:snapToGrid w:val="0"/>
        <w:spacing w:line="360" w:lineRule="auto"/>
        <w:ind w:firstLine="4620" w:firstLineChars="2200"/>
        <w:rPr>
          <w:rFonts w:hAnsi="宋体"/>
          <w:szCs w:val="21"/>
        </w:rPr>
      </w:pPr>
    </w:p>
    <w:p>
      <w:pPr>
        <w:pStyle w:val="15"/>
        <w:snapToGrid w:val="0"/>
        <w:spacing w:line="360" w:lineRule="auto"/>
        <w:ind w:firstLine="4620" w:firstLineChars="2200"/>
        <w:rPr>
          <w:rFonts w:hAnsi="宋体"/>
          <w:szCs w:val="21"/>
        </w:rPr>
      </w:pPr>
    </w:p>
    <w:p>
      <w:pPr>
        <w:rPr>
          <w:rFonts w:ascii="宋体" w:hAnsi="宋体"/>
          <w:sz w:val="24"/>
        </w:rPr>
      </w:pPr>
      <w:r>
        <w:rPr>
          <w:rFonts w:hint="eastAsia" w:ascii="宋体" w:hAnsi="宋体"/>
          <w:sz w:val="24"/>
        </w:rPr>
        <w:t>说明：由投标人使用投标人的企业数字证书电子签名。</w:t>
      </w:r>
    </w:p>
    <w:p>
      <w:pPr>
        <w:pStyle w:val="15"/>
        <w:snapToGrid w:val="0"/>
        <w:spacing w:line="360" w:lineRule="auto"/>
        <w:ind w:firstLine="4620" w:firstLineChars="2200"/>
        <w:rPr>
          <w:rFonts w:hAnsi="宋体"/>
          <w:szCs w:val="21"/>
        </w:rPr>
      </w:pPr>
    </w:p>
    <w:p>
      <w:pPr>
        <w:pStyle w:val="5"/>
        <w:keepNext w:val="0"/>
        <w:keepLines w:val="0"/>
        <w:pageBreakBefore/>
        <w:jc w:val="center"/>
      </w:pPr>
      <w:bookmarkStart w:id="982" w:name="_Toc1074"/>
      <w:bookmarkStart w:id="983" w:name="_Toc132814850"/>
      <w:bookmarkStart w:id="984" w:name="_Toc20668"/>
      <w:bookmarkStart w:id="985" w:name="_Toc1064"/>
      <w:bookmarkStart w:id="986" w:name="_Toc9059"/>
      <w:bookmarkStart w:id="987" w:name="_Toc10783"/>
      <w:bookmarkStart w:id="988" w:name="_Toc22670"/>
      <w:bookmarkStart w:id="989" w:name="_Toc5428"/>
      <w:bookmarkStart w:id="990" w:name="_Toc92890441"/>
      <w:bookmarkStart w:id="991" w:name="_Toc6778"/>
      <w:r>
        <w:rPr>
          <w:rFonts w:hint="eastAsia" w:ascii="宋体" w:hAnsi="宋体"/>
          <w:bCs w:val="0"/>
          <w:sz w:val="24"/>
          <w:szCs w:val="24"/>
        </w:rPr>
        <w:t>13、</w:t>
      </w:r>
      <w:r>
        <w:rPr>
          <w:rFonts w:hint="eastAsia" w:ascii="宋体" w:hAnsi="宋体" w:cs="宋体"/>
          <w:sz w:val="24"/>
          <w:szCs w:val="24"/>
        </w:rPr>
        <w:t>资格业绩表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项目名称</w:t>
            </w:r>
          </w:p>
        </w:tc>
        <w:tc>
          <w:tcPr>
            <w:tcW w:w="445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w:t>
            </w:r>
          </w:p>
        </w:tc>
        <w:tc>
          <w:tcPr>
            <w:tcW w:w="321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445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2</w:t>
            </w:r>
          </w:p>
        </w:tc>
        <w:tc>
          <w:tcPr>
            <w:tcW w:w="3213" w:type="dxa"/>
            <w:gridSpan w:val="2"/>
            <w:vAlign w:val="center"/>
          </w:tcPr>
          <w:p>
            <w:pPr>
              <w:pStyle w:val="12"/>
              <w:spacing w:line="360" w:lineRule="auto"/>
              <w:ind w:firstLine="0" w:firstLineChars="0"/>
              <w:jc w:val="center"/>
              <w:rPr>
                <w:rFonts w:ascii="宋体" w:hAnsi="宋体"/>
                <w:sz w:val="21"/>
                <w:szCs w:val="21"/>
              </w:rPr>
            </w:pPr>
            <w:r>
              <w:rPr>
                <w:rFonts w:ascii="宋体" w:hAnsi="宋体"/>
                <w:sz w:val="21"/>
                <w:szCs w:val="21"/>
              </w:rPr>
              <w:t>工程所在地</w:t>
            </w:r>
          </w:p>
        </w:tc>
        <w:tc>
          <w:tcPr>
            <w:tcW w:w="445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3</w:t>
            </w:r>
          </w:p>
        </w:tc>
        <w:tc>
          <w:tcPr>
            <w:tcW w:w="321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项目规模</w:t>
            </w:r>
          </w:p>
          <w:p>
            <w:pPr>
              <w:pStyle w:val="12"/>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445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4</w:t>
            </w:r>
          </w:p>
        </w:tc>
        <w:tc>
          <w:tcPr>
            <w:tcW w:w="321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445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5</w:t>
            </w:r>
          </w:p>
        </w:tc>
        <w:tc>
          <w:tcPr>
            <w:tcW w:w="321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445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67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名称</w:t>
            </w:r>
          </w:p>
        </w:tc>
        <w:tc>
          <w:tcPr>
            <w:tcW w:w="445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67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地址</w:t>
            </w:r>
          </w:p>
        </w:tc>
        <w:tc>
          <w:tcPr>
            <w:tcW w:w="445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67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邮政编码</w:t>
            </w:r>
          </w:p>
        </w:tc>
        <w:tc>
          <w:tcPr>
            <w:tcW w:w="445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67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联系人</w:t>
            </w:r>
          </w:p>
        </w:tc>
        <w:tc>
          <w:tcPr>
            <w:tcW w:w="445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67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联系电话</w:t>
            </w:r>
          </w:p>
        </w:tc>
        <w:tc>
          <w:tcPr>
            <w:tcW w:w="445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11</w:t>
            </w:r>
          </w:p>
        </w:tc>
        <w:tc>
          <w:tcPr>
            <w:tcW w:w="3213" w:type="dxa"/>
            <w:gridSpan w:val="2"/>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4459" w:type="dxa"/>
            <w:vAlign w:val="center"/>
          </w:tcPr>
          <w:p>
            <w:pPr>
              <w:pStyle w:val="12"/>
              <w:spacing w:line="360" w:lineRule="auto"/>
              <w:ind w:firstLine="0" w:firstLineChars="0"/>
              <w:jc w:val="center"/>
              <w:rPr>
                <w:rFonts w:ascii="宋体" w:hAnsi="宋体"/>
                <w:sz w:val="21"/>
                <w:szCs w:val="21"/>
              </w:rPr>
            </w:pPr>
          </w:p>
        </w:tc>
      </w:tr>
    </w:tbl>
    <w:p>
      <w:pPr>
        <w:rPr>
          <w:rFonts w:ascii="宋体" w:hAnsi="宋体"/>
          <w:szCs w:val="21"/>
        </w:rPr>
      </w:pPr>
    </w:p>
    <w:p>
      <w:pPr>
        <w:rPr>
          <w:rFonts w:ascii="宋体" w:hAnsi="宋体"/>
          <w:szCs w:val="21"/>
        </w:rPr>
      </w:pPr>
      <w:r>
        <w:rPr>
          <w:rFonts w:hint="eastAsia" w:ascii="宋体" w:hAnsi="宋体"/>
          <w:szCs w:val="21"/>
        </w:rPr>
        <w:t>备注：</w:t>
      </w:r>
    </w:p>
    <w:p>
      <w:pPr>
        <w:numPr>
          <w:ilvl w:val="0"/>
          <w:numId w:val="14"/>
        </w:numPr>
        <w:rPr>
          <w:rFonts w:ascii="宋体" w:hAnsi="宋体"/>
          <w:szCs w:val="21"/>
        </w:rPr>
      </w:pPr>
      <w:r>
        <w:rPr>
          <w:rFonts w:hint="eastAsia" w:ascii="宋体" w:hAnsi="宋体"/>
          <w:szCs w:val="21"/>
        </w:rPr>
        <w:t>如本次招标要求业绩资格审查，投标人必须提供1份符合招标文件前附表第4</w:t>
      </w:r>
      <w:r>
        <w:rPr>
          <w:rFonts w:ascii="宋体" w:hAnsi="宋体"/>
          <w:szCs w:val="21"/>
        </w:rPr>
        <w:t>.1</w:t>
      </w:r>
      <w:r>
        <w:rPr>
          <w:rFonts w:hint="eastAsia" w:ascii="宋体" w:hAnsi="宋体"/>
          <w:szCs w:val="21"/>
        </w:rPr>
        <w:t>款关于投标人资格业绩要求的供货业绩。</w:t>
      </w:r>
    </w:p>
    <w:p>
      <w:pPr>
        <w:numPr>
          <w:ilvl w:val="0"/>
          <w:numId w:val="14"/>
        </w:numPr>
        <w:rPr>
          <w:rFonts w:ascii="宋体" w:hAnsi="宋体"/>
          <w:b w:val="0"/>
          <w:bCs/>
          <w:szCs w:val="21"/>
        </w:rPr>
      </w:pPr>
      <w:r>
        <w:rPr>
          <w:rFonts w:hint="eastAsia" w:ascii="宋体" w:hAnsi="宋体"/>
          <w:b w:val="0"/>
          <w:bCs/>
          <w:szCs w:val="21"/>
          <w:lang w:val="en-US" w:eastAsia="zh-CN"/>
        </w:rPr>
        <w:t>投标人自</w:t>
      </w:r>
      <w:r>
        <w:rPr>
          <w:rFonts w:hint="eastAsia" w:ascii="宋体" w:hAnsi="宋体"/>
          <w:b w:val="0"/>
          <w:bCs/>
          <w:szCs w:val="21"/>
        </w:rPr>
        <w:t>2018年1月1日至今</w:t>
      </w:r>
      <w:r>
        <w:rPr>
          <w:rFonts w:hint="eastAsia" w:ascii="宋体" w:hAnsi="宋体"/>
          <w:b w:val="0"/>
          <w:bCs/>
          <w:szCs w:val="21"/>
          <w:lang w:eastAsia="zh-CN"/>
        </w:rPr>
        <w:t>，</w:t>
      </w:r>
      <w:r>
        <w:rPr>
          <w:rFonts w:hint="eastAsia" w:ascii="宋体" w:hAnsi="宋体"/>
          <w:b w:val="0"/>
          <w:bCs/>
          <w:szCs w:val="21"/>
        </w:rPr>
        <w:t>在国内完成一个质量合格的投标品牌的污水处理厂刮泥机成套系统设备供货业绩，业绩的时间以合同签订的日期为准。</w:t>
      </w:r>
    </w:p>
    <w:p>
      <w:pPr>
        <w:snapToGrid w:val="0"/>
        <w:spacing w:line="360" w:lineRule="auto"/>
        <w:rPr>
          <w:rFonts w:hint="eastAsia" w:ascii="宋体" w:hAnsi="宋体" w:cs="宋体"/>
          <w:b w:val="0"/>
          <w:bCs/>
          <w:color w:val="auto"/>
          <w:szCs w:val="21"/>
          <w:highlight w:val="none"/>
        </w:rPr>
      </w:pPr>
      <w:r>
        <w:rPr>
          <w:rFonts w:hint="eastAsia" w:ascii="宋体" w:hAnsi="宋体" w:cs="宋体"/>
          <w:b w:val="0"/>
          <w:bCs/>
          <w:color w:val="auto"/>
          <w:szCs w:val="21"/>
          <w:highlight w:val="none"/>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Pr>
          <w:rFonts w:hint="eastAsia" w:ascii="宋体" w:hAnsi="宋体"/>
          <w:b/>
          <w:bCs w:val="0"/>
          <w:color w:val="auto"/>
          <w:szCs w:val="21"/>
          <w:highlight w:val="none"/>
          <w:lang w:eastAsia="zh-CN"/>
        </w:rPr>
        <w:t>合同卖方必须为投标人</w:t>
      </w:r>
      <w:r>
        <w:rPr>
          <w:rFonts w:hint="eastAsia" w:ascii="宋体" w:hAnsi="宋体" w:cs="宋体"/>
          <w:b w:val="0"/>
          <w:bCs/>
          <w:color w:val="auto"/>
          <w:szCs w:val="21"/>
          <w:highlight w:val="none"/>
        </w:rPr>
        <w:t>），否则</w:t>
      </w:r>
      <w:r>
        <w:rPr>
          <w:rFonts w:hint="eastAsia" w:ascii="宋体" w:hAnsi="宋体"/>
          <w:b w:val="0"/>
          <w:bCs/>
          <w:color w:val="auto"/>
          <w:szCs w:val="21"/>
          <w:highlight w:val="none"/>
        </w:rPr>
        <w:t>按无效投标文件处理</w:t>
      </w:r>
      <w:r>
        <w:rPr>
          <w:rFonts w:hint="eastAsia" w:ascii="宋体" w:hAnsi="宋体" w:cs="宋体"/>
          <w:b w:val="0"/>
          <w:bCs/>
          <w:color w:val="auto"/>
          <w:szCs w:val="21"/>
          <w:highlight w:val="none"/>
        </w:rPr>
        <w:t>。</w:t>
      </w:r>
    </w:p>
    <w:p>
      <w:pPr>
        <w:snapToGrid w:val="0"/>
        <w:spacing w:line="360" w:lineRule="auto"/>
        <w:rPr>
          <w:rFonts w:ascii="宋体" w:hAnsi="宋体" w:cs="宋体"/>
          <w:bCs/>
          <w:szCs w:val="21"/>
        </w:rPr>
      </w:pPr>
      <w:r>
        <w:rPr>
          <w:rFonts w:hint="eastAsia" w:ascii="宋体" w:hAnsi="宋体" w:cs="宋体"/>
          <w:bCs/>
          <w:szCs w:val="21"/>
        </w:rPr>
        <w:t>（4）若合同或证明文件均无法反映资格业绩条件（合同签订日期为201</w:t>
      </w:r>
      <w:r>
        <w:rPr>
          <w:rFonts w:ascii="宋体" w:hAnsi="宋体" w:cs="宋体"/>
          <w:bCs/>
          <w:szCs w:val="21"/>
        </w:rPr>
        <w:t>8</w:t>
      </w:r>
      <w:r>
        <w:rPr>
          <w:rFonts w:hint="eastAsia" w:ascii="宋体" w:hAnsi="宋体" w:cs="宋体"/>
          <w:bCs/>
          <w:szCs w:val="21"/>
        </w:rPr>
        <w:t>年1 月1 日或以后，合同标的必须包含投标品牌的污水处理厂刮泥机系统成套设备）的，还需提供合同买方出具的书面补充情况说明文件原件扫描件作为辅助证明。</w:t>
      </w:r>
    </w:p>
    <w:p>
      <w:pPr>
        <w:pStyle w:val="9"/>
        <w:rPr>
          <w:bCs/>
          <w:sz w:val="21"/>
          <w:szCs w:val="21"/>
        </w:rPr>
      </w:pPr>
      <w:r>
        <w:rPr>
          <w:rFonts w:hint="eastAsia" w:ascii="宋体" w:hAnsi="宋体" w:cs="宋体"/>
          <w:bCs/>
          <w:sz w:val="21"/>
          <w:szCs w:val="21"/>
        </w:rPr>
        <w:t>（5）上述的“合同买方”即为与投标人提供的业绩对应的合同的买方，包括但不限于本招标项目的项目业主。</w:t>
      </w:r>
    </w:p>
    <w:p>
      <w:pPr>
        <w:numPr>
          <w:ilvl w:val="255"/>
          <w:numId w:val="0"/>
        </w:numPr>
        <w:rPr>
          <w:rFonts w:ascii="宋体" w:hAnsi="宋体"/>
          <w:szCs w:val="21"/>
        </w:rPr>
      </w:pPr>
      <w:r>
        <w:rPr>
          <w:rFonts w:hint="eastAsia" w:ascii="宋体" w:hAnsi="宋体" w:cs="宋体"/>
          <w:szCs w:val="21"/>
        </w:rPr>
        <w:t>（6）招标人有权对投标人提供的资格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rPr>
          <w:rFonts w:ascii="宋体" w:hAnsi="宋体"/>
          <w:szCs w:val="21"/>
        </w:rPr>
      </w:pPr>
    </w:p>
    <w:p>
      <w:r>
        <w:rPr>
          <w:rFonts w:hint="eastAsia" w:ascii="宋体" w:hAnsi="宋体"/>
          <w:szCs w:val="21"/>
        </w:rPr>
        <w:t>其他说明：由投标人使用投标人的企业数字证书电子签名。</w:t>
      </w:r>
    </w:p>
    <w:p>
      <w:pPr>
        <w:pStyle w:val="5"/>
        <w:keepNext w:val="0"/>
        <w:keepLines w:val="0"/>
        <w:pageBreakBefore/>
        <w:jc w:val="center"/>
        <w:rPr>
          <w:rFonts w:ascii="宋体" w:hAnsi="宋体" w:cs="宋体"/>
          <w:sz w:val="24"/>
          <w:szCs w:val="24"/>
        </w:rPr>
      </w:pPr>
      <w:r>
        <w:rPr>
          <w:rFonts w:hint="eastAsia" w:ascii="宋体" w:hAnsi="宋体"/>
          <w:bCs w:val="0"/>
          <w:sz w:val="24"/>
          <w:szCs w:val="24"/>
        </w:rPr>
        <w:t>14</w:t>
      </w:r>
      <w:r>
        <w:rPr>
          <w:rFonts w:ascii="宋体" w:hAnsi="宋体"/>
          <w:bCs w:val="0"/>
          <w:sz w:val="24"/>
          <w:szCs w:val="24"/>
        </w:rPr>
        <w:t>、</w:t>
      </w:r>
      <w:r>
        <w:rPr>
          <w:rFonts w:hint="eastAsia" w:ascii="宋体" w:hAnsi="宋体" w:cs="宋体"/>
          <w:sz w:val="24"/>
          <w:szCs w:val="24"/>
        </w:rPr>
        <w:t>201</w:t>
      </w:r>
      <w:r>
        <w:rPr>
          <w:rFonts w:ascii="宋体" w:hAnsi="宋体" w:cs="宋体"/>
          <w:sz w:val="24"/>
          <w:szCs w:val="24"/>
        </w:rPr>
        <w:t>8</w:t>
      </w:r>
      <w:r>
        <w:rPr>
          <w:rFonts w:hint="eastAsia" w:ascii="宋体" w:hAnsi="宋体" w:cs="宋体"/>
          <w:sz w:val="24"/>
          <w:szCs w:val="24"/>
        </w:rPr>
        <w:t>年1月1日至今投标品牌的刮泥机系统成套设备在国内完成的供货业绩表</w:t>
      </w:r>
      <w:bookmarkEnd w:id="982"/>
      <w:bookmarkEnd w:id="983"/>
    </w:p>
    <w:p>
      <w:pPr>
        <w:spacing w:line="360" w:lineRule="auto"/>
        <w:rPr>
          <w:rFonts w:ascii="宋体" w:hAnsi="宋体" w:cs="宋体"/>
          <w:szCs w:val="21"/>
        </w:rPr>
      </w:pP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评分业绩编制说明：</w:t>
      </w:r>
    </w:p>
    <w:p>
      <w:pPr>
        <w:spacing w:line="360" w:lineRule="auto"/>
        <w:ind w:firstLine="420" w:firstLineChars="200"/>
        <w:rPr>
          <w:rFonts w:ascii="宋体" w:hAnsi="宋体" w:cs="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cs="宋体"/>
          <w:szCs w:val="21"/>
        </w:rPr>
        <w:t>同一个合同的业绩同时符合本次招标多种类型的业绩条件时，不得重复放置，由投标人选择将该项目业绩归类到其中一类业绩内</w:t>
      </w:r>
      <w:r>
        <w:rPr>
          <w:rFonts w:hint="eastAsia" w:ascii="宋体" w:hAnsi="宋体"/>
          <w:szCs w:val="21"/>
        </w:rPr>
        <w:t>。</w:t>
      </w:r>
      <w:r>
        <w:rPr>
          <w:rFonts w:hint="eastAsia" w:ascii="宋体" w:hAnsi="宋体" w:cs="宋体"/>
          <w:b w:val="0"/>
          <w:bCs/>
          <w:color w:val="auto"/>
          <w:szCs w:val="21"/>
          <w:highlight w:val="none"/>
        </w:rPr>
        <w:t>但同一个合同的业绩可以同时在资格业绩和评分业绩重复放置。</w:t>
      </w:r>
    </w:p>
    <w:p>
      <w:pPr>
        <w:spacing w:line="360" w:lineRule="auto"/>
        <w:ind w:firstLine="420" w:firstLineChars="200"/>
        <w:rPr>
          <w:rFonts w:ascii="宋体" w:hAnsi="宋体"/>
          <w:szCs w:val="21"/>
        </w:rPr>
      </w:pPr>
      <w:r>
        <w:rPr>
          <w:rFonts w:hint="eastAsia" w:ascii="宋体" w:hAnsi="宋体"/>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pPr>
        <w:spacing w:line="360" w:lineRule="auto"/>
        <w:ind w:firstLine="420" w:firstLineChars="200"/>
        <w:rPr>
          <w:rFonts w:ascii="宋体" w:hAnsi="宋体" w:cs="宋体"/>
          <w:szCs w:val="21"/>
        </w:rPr>
      </w:pPr>
      <w:r>
        <w:rPr>
          <w:rFonts w:hint="eastAsia" w:ascii="宋体" w:hAnsi="宋体"/>
          <w:szCs w:val="21"/>
        </w:rPr>
        <w:t>（3）</w:t>
      </w:r>
      <w:r>
        <w:rPr>
          <w:rFonts w:hint="eastAsia" w:ascii="宋体" w:hAnsi="宋体" w:cs="宋体"/>
          <w:bCs/>
          <w:szCs w:val="21"/>
        </w:rPr>
        <w:t>业绩须附合同</w:t>
      </w:r>
      <w:r>
        <w:rPr>
          <w:rFonts w:hint="eastAsia" w:ascii="宋体" w:hAnsi="宋体"/>
          <w:lang w:val="zh-CN"/>
        </w:rPr>
        <w:t>原件扫描件</w:t>
      </w:r>
      <w:r>
        <w:rPr>
          <w:rFonts w:hint="eastAsia" w:ascii="宋体" w:hAnsi="宋体" w:cs="宋体"/>
          <w:szCs w:val="21"/>
        </w:rPr>
        <w:t>及合同买方出具的能证明供货货物质量合格的验收证明或用户评价等证明文件的</w:t>
      </w:r>
      <w:r>
        <w:rPr>
          <w:rFonts w:hint="eastAsia" w:ascii="宋体" w:hAnsi="宋体"/>
          <w:lang w:val="zh-CN"/>
        </w:rPr>
        <w:t>原件扫描件</w:t>
      </w:r>
      <w:r>
        <w:rPr>
          <w:rFonts w:hint="eastAsia" w:ascii="宋体" w:hAnsi="宋体" w:cs="宋体"/>
          <w:bCs/>
          <w:szCs w:val="21"/>
        </w:rPr>
        <w:t>（需加盖买方公章，即</w:t>
      </w:r>
      <w:r>
        <w:rPr>
          <w:rFonts w:hint="eastAsia" w:ascii="宋体" w:hAnsi="宋体"/>
          <w:lang w:val="zh-CN"/>
        </w:rPr>
        <w:t>原件扫描件</w:t>
      </w:r>
      <w:r>
        <w:rPr>
          <w:rFonts w:hint="eastAsia" w:ascii="宋体" w:hAnsi="宋体" w:cs="宋体"/>
          <w:bCs/>
          <w:szCs w:val="21"/>
        </w:rPr>
        <w:t>能显示买方公章），否则不得分（合同卖方可为投标品牌成套设备的制造商，也可为投标品牌成套设备的代理商/经销商）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szCs w:val="21"/>
        </w:rPr>
        <w:t>（4）</w:t>
      </w:r>
      <w:r>
        <w:rPr>
          <w:rFonts w:hint="eastAsia" w:ascii="宋体" w:hAnsi="宋体" w:cs="宋体"/>
          <w:bCs/>
          <w:szCs w:val="21"/>
        </w:rPr>
        <w:t>若合同或证明文件均无法反映评分条件（合同签订日期为201</w:t>
      </w:r>
      <w:r>
        <w:rPr>
          <w:rFonts w:ascii="宋体" w:hAnsi="宋体" w:cs="宋体"/>
          <w:bCs/>
          <w:szCs w:val="21"/>
        </w:rPr>
        <w:t>8</w:t>
      </w:r>
      <w:r>
        <w:rPr>
          <w:rFonts w:hint="eastAsia" w:ascii="宋体" w:hAnsi="宋体" w:cs="宋体"/>
          <w:bCs/>
          <w:szCs w:val="21"/>
        </w:rPr>
        <w:t>年1 月1 日或以后，合同标的必须包含投标品牌的</w:t>
      </w:r>
      <w:r>
        <w:rPr>
          <w:rFonts w:hint="eastAsia"/>
        </w:rPr>
        <w:t>刮泥机系统成套设备</w:t>
      </w:r>
      <w:r>
        <w:rPr>
          <w:rFonts w:hint="eastAsia" w:ascii="宋体" w:hAnsi="宋体" w:cs="宋体"/>
          <w:bCs/>
          <w:szCs w:val="21"/>
        </w:rPr>
        <w:t>，合同标的投入建设的污水处理厂当期日处理污水能力）的，还需提供合同买方出具的书面补充情况说明文件</w:t>
      </w:r>
      <w:r>
        <w:rPr>
          <w:rFonts w:hint="eastAsia" w:ascii="宋体" w:hAnsi="宋体"/>
          <w:lang w:val="zh-CN"/>
        </w:rPr>
        <w:t>原件扫描件</w:t>
      </w:r>
      <w:r>
        <w:rPr>
          <w:rFonts w:hint="eastAsia" w:ascii="宋体" w:hAnsi="宋体" w:cs="宋体"/>
          <w:bCs/>
          <w:szCs w:val="21"/>
        </w:rPr>
        <w:t>作为辅助证明，否则不得分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szCs w:val="21"/>
        </w:rPr>
        <w:t>（5）</w:t>
      </w:r>
      <w:r>
        <w:rPr>
          <w:rFonts w:hint="eastAsia" w:ascii="宋体" w:hAnsi="宋体" w:cs="宋体"/>
          <w:szCs w:val="21"/>
        </w:rPr>
        <w:t>当污水处理厂为分期建设时，业绩评分按合同或合同买方书面证明文件提供的当期日污水处理能力计算本次评分得分。</w:t>
      </w:r>
    </w:p>
    <w:p>
      <w:pPr>
        <w:pStyle w:val="5"/>
        <w:ind w:firstLine="420" w:firstLineChars="200"/>
      </w:pPr>
      <w:bookmarkStart w:id="992" w:name="_Toc4946"/>
      <w:r>
        <w:rPr>
          <w:rFonts w:hint="eastAsia" w:ascii="宋体" w:hAnsi="宋体" w:cs="宋体"/>
          <w:b w:val="0"/>
          <w:szCs w:val="21"/>
          <w:lang w:bidi="ar"/>
        </w:rPr>
        <w:t>（6）上述的“合同买方”即为与投标人提供的业绩对应的合同的买方，包括但不限于本招标项目的项目业主。</w:t>
      </w:r>
      <w:bookmarkEnd w:id="992"/>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ascii="宋体" w:hAnsi="宋体"/>
        </w:rPr>
      </w:pPr>
      <w:r>
        <w:rPr>
          <w:rFonts w:hint="eastAsia" w:ascii="宋体" w:hAnsi="宋体"/>
        </w:rPr>
        <w:t>（</w:t>
      </w:r>
      <w:r>
        <w:rPr>
          <w:rFonts w:ascii="宋体" w:hAnsi="宋体"/>
        </w:rPr>
        <w:t>8</w:t>
      </w:r>
      <w:r>
        <w:rPr>
          <w:rFonts w:hint="eastAsia" w:ascii="宋体" w:hAnsi="宋体"/>
        </w:rPr>
        <w:t>）投标人若无某类型的业绩时，在投标文件中也应按格式放置一张该类型未填写业绩信息情况的格式表格。</w:t>
      </w:r>
    </w:p>
    <w:p>
      <w:pPr>
        <w:pStyle w:val="9"/>
      </w:pPr>
    </w:p>
    <w:p>
      <w:pPr>
        <w:rPr>
          <w:sz w:val="24"/>
        </w:rPr>
      </w:pPr>
    </w:p>
    <w:p>
      <w:pPr>
        <w:rPr>
          <w:rFonts w:ascii="宋体" w:hAnsi="宋体"/>
          <w:sz w:val="24"/>
        </w:rPr>
      </w:pPr>
      <w:r>
        <w:rPr>
          <w:rFonts w:hint="eastAsia" w:ascii="宋体" w:hAnsi="宋体"/>
          <w:sz w:val="24"/>
        </w:rPr>
        <w:t>说明：由投标人使用投标人的企业数字证书电子签名。</w:t>
      </w:r>
    </w:p>
    <w:bookmarkEnd w:id="984"/>
    <w:bookmarkEnd w:id="985"/>
    <w:bookmarkEnd w:id="986"/>
    <w:bookmarkEnd w:id="987"/>
    <w:bookmarkEnd w:id="988"/>
    <w:bookmarkEnd w:id="989"/>
    <w:bookmarkEnd w:id="990"/>
    <w:bookmarkEnd w:id="991"/>
    <w:p>
      <w:pPr>
        <w:pageBreakBefore/>
        <w:spacing w:line="360" w:lineRule="auto"/>
        <w:rPr>
          <w:rFonts w:ascii="宋体" w:hAnsi="宋体"/>
          <w:sz w:val="24"/>
        </w:rPr>
      </w:pPr>
      <w:r>
        <w:rPr>
          <w:rFonts w:hint="eastAsia" w:ascii="宋体" w:hAnsi="宋体" w:cs="宋体"/>
          <w:b/>
          <w:sz w:val="24"/>
        </w:rPr>
        <w:t>14-1. （201</w:t>
      </w:r>
      <w:r>
        <w:rPr>
          <w:rFonts w:ascii="宋体" w:hAnsi="宋体" w:cs="宋体"/>
          <w:b/>
          <w:sz w:val="24"/>
        </w:rPr>
        <w:t>8</w:t>
      </w:r>
      <w:r>
        <w:rPr>
          <w:rFonts w:hint="eastAsia" w:ascii="宋体" w:hAnsi="宋体" w:cs="宋体"/>
          <w:b/>
          <w:sz w:val="24"/>
        </w:rPr>
        <w:t>年1月1日至今投标品牌的刮泥机系统成套设备在国内完成的供货业绩）每个日处理污水能力大于</w:t>
      </w:r>
      <w:r>
        <w:rPr>
          <w:rFonts w:ascii="宋体" w:hAnsi="宋体" w:cs="宋体"/>
          <w:b/>
          <w:sz w:val="24"/>
        </w:rPr>
        <w:t>20</w:t>
      </w:r>
      <w:r>
        <w:rPr>
          <w:rFonts w:hint="eastAsia" w:ascii="宋体" w:hAnsi="宋体" w:cs="宋体"/>
          <w:b/>
          <w:sz w:val="24"/>
        </w:rPr>
        <w:t>万吨/天（或立方米/天）（含</w:t>
      </w:r>
      <w:r>
        <w:rPr>
          <w:rFonts w:ascii="宋体" w:hAnsi="宋体" w:cs="宋体"/>
          <w:b/>
          <w:sz w:val="24"/>
        </w:rPr>
        <w:t>20</w:t>
      </w:r>
      <w:r>
        <w:rPr>
          <w:rFonts w:hint="eastAsia" w:ascii="宋体" w:hAnsi="宋体" w:cs="宋体"/>
          <w:b/>
          <w:sz w:val="24"/>
        </w:rPr>
        <w:t>万）的污水处理厂业绩</w:t>
      </w:r>
      <w:r>
        <w:rPr>
          <w:rFonts w:hint="eastAsia" w:ascii="宋体" w:hAnsi="宋体"/>
          <w:b/>
          <w:sz w:val="24"/>
        </w:rPr>
        <w:t>信息表</w:t>
      </w:r>
    </w:p>
    <w:p>
      <w:pPr>
        <w:spacing w:line="360" w:lineRule="auto"/>
        <w:rPr>
          <w:rFonts w:ascii="宋体" w:hAnsi="宋体"/>
          <w:b/>
          <w:bCs/>
          <w:szCs w:val="21"/>
        </w:rPr>
      </w:pPr>
    </w:p>
    <w:p>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pPr>
              <w:pStyle w:val="12"/>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项目规模</w:t>
            </w:r>
          </w:p>
          <w:p>
            <w:pPr>
              <w:pStyle w:val="12"/>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pPr>
              <w:pStyle w:val="12"/>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pPr>
              <w:pStyle w:val="12"/>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pPr>
        <w:pageBreakBefore/>
        <w:spacing w:line="360" w:lineRule="auto"/>
        <w:rPr>
          <w:rFonts w:ascii="宋体" w:hAnsi="宋体" w:cs="宋体"/>
          <w:b/>
          <w:sz w:val="24"/>
        </w:rPr>
      </w:pPr>
      <w:r>
        <w:rPr>
          <w:rFonts w:hint="eastAsia" w:ascii="宋体" w:hAnsi="宋体" w:cs="宋体"/>
          <w:b/>
          <w:sz w:val="24"/>
        </w:rPr>
        <w:t>14-2. （201</w:t>
      </w:r>
      <w:r>
        <w:rPr>
          <w:rFonts w:ascii="宋体" w:hAnsi="宋体" w:cs="宋体"/>
          <w:b/>
          <w:sz w:val="24"/>
        </w:rPr>
        <w:t>8</w:t>
      </w:r>
      <w:r>
        <w:rPr>
          <w:rFonts w:hint="eastAsia" w:ascii="宋体" w:hAnsi="宋体" w:cs="宋体"/>
          <w:b/>
          <w:sz w:val="24"/>
        </w:rPr>
        <w:t>年1月1日至今投标品牌的刮泥机系统成套设备在国内完成的供货业绩）每个日处理污水能力大于</w:t>
      </w:r>
      <w:r>
        <w:rPr>
          <w:rFonts w:ascii="宋体" w:hAnsi="宋体" w:cs="宋体"/>
          <w:b/>
          <w:sz w:val="24"/>
        </w:rPr>
        <w:t>10</w:t>
      </w:r>
      <w:r>
        <w:rPr>
          <w:rFonts w:hint="eastAsia" w:ascii="宋体" w:hAnsi="宋体" w:cs="宋体"/>
          <w:b/>
          <w:sz w:val="24"/>
        </w:rPr>
        <w:t>万吨/天（或立方米/天）（含</w:t>
      </w:r>
      <w:r>
        <w:rPr>
          <w:rFonts w:ascii="宋体" w:hAnsi="宋体" w:cs="宋体"/>
          <w:b/>
          <w:sz w:val="24"/>
        </w:rPr>
        <w:t>10</w:t>
      </w:r>
      <w:r>
        <w:rPr>
          <w:rFonts w:hint="eastAsia" w:ascii="宋体" w:hAnsi="宋体" w:cs="宋体"/>
          <w:b/>
          <w:sz w:val="24"/>
        </w:rPr>
        <w:t>万，但已归类到其他类型的业绩除外）的污水处理厂业绩</w:t>
      </w:r>
      <w:r>
        <w:rPr>
          <w:rFonts w:hint="eastAsia" w:ascii="宋体" w:hAnsi="宋体"/>
          <w:b/>
          <w:sz w:val="24"/>
        </w:rPr>
        <w:t>信息表</w:t>
      </w:r>
    </w:p>
    <w:p>
      <w:pPr>
        <w:spacing w:line="360" w:lineRule="auto"/>
        <w:ind w:firstLine="211" w:firstLineChars="100"/>
        <w:rPr>
          <w:rFonts w:ascii="宋体" w:hAnsi="宋体"/>
          <w:b/>
          <w:bCs/>
          <w:szCs w:val="21"/>
        </w:rPr>
      </w:pPr>
    </w:p>
    <w:p>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pPr>
              <w:pStyle w:val="12"/>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项目规模</w:t>
            </w:r>
          </w:p>
          <w:p>
            <w:pPr>
              <w:pStyle w:val="12"/>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pPr>
              <w:pStyle w:val="12"/>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pPr>
              <w:pStyle w:val="12"/>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pPr>
        <w:pageBreakBefore/>
        <w:spacing w:line="360" w:lineRule="auto"/>
        <w:rPr>
          <w:rFonts w:ascii="宋体" w:hAnsi="宋体" w:cs="宋体"/>
          <w:b/>
          <w:sz w:val="24"/>
        </w:rPr>
      </w:pPr>
      <w:r>
        <w:rPr>
          <w:rFonts w:ascii="宋体" w:hAnsi="宋体" w:cs="宋体"/>
          <w:b/>
          <w:sz w:val="24"/>
        </w:rPr>
        <w:t>1</w:t>
      </w:r>
      <w:r>
        <w:rPr>
          <w:rFonts w:hint="eastAsia" w:ascii="宋体" w:hAnsi="宋体" w:cs="宋体"/>
          <w:b/>
          <w:sz w:val="24"/>
        </w:rPr>
        <w:t>4-3.（201</w:t>
      </w:r>
      <w:r>
        <w:rPr>
          <w:rFonts w:ascii="宋体" w:hAnsi="宋体" w:cs="宋体"/>
          <w:b/>
          <w:sz w:val="24"/>
        </w:rPr>
        <w:t>8</w:t>
      </w:r>
      <w:r>
        <w:rPr>
          <w:rFonts w:hint="eastAsia" w:ascii="宋体" w:hAnsi="宋体" w:cs="宋体"/>
          <w:b/>
          <w:sz w:val="24"/>
        </w:rPr>
        <w:t>年1月1日至今投标品牌的刮泥机系统成套设备在国内完成的供货业绩）每个日处理污水能力大于</w:t>
      </w:r>
      <w:r>
        <w:rPr>
          <w:rFonts w:ascii="宋体" w:hAnsi="宋体" w:cs="宋体"/>
          <w:b/>
          <w:sz w:val="24"/>
        </w:rPr>
        <w:t>5</w:t>
      </w:r>
      <w:r>
        <w:rPr>
          <w:rFonts w:hint="eastAsia" w:ascii="宋体" w:hAnsi="宋体" w:cs="宋体"/>
          <w:b/>
          <w:sz w:val="24"/>
        </w:rPr>
        <w:t>万吨/天（或立方米/天）（含</w:t>
      </w:r>
      <w:r>
        <w:rPr>
          <w:rFonts w:ascii="宋体" w:hAnsi="宋体" w:cs="宋体"/>
          <w:b/>
          <w:sz w:val="24"/>
        </w:rPr>
        <w:t>5</w:t>
      </w:r>
      <w:r>
        <w:rPr>
          <w:rFonts w:hint="eastAsia" w:ascii="宋体" w:hAnsi="宋体" w:cs="宋体"/>
          <w:b/>
          <w:sz w:val="24"/>
        </w:rPr>
        <w:t>万，但已归类到其他类型的业绩除外）的污水处理厂业绩</w:t>
      </w:r>
      <w:r>
        <w:rPr>
          <w:rFonts w:hint="eastAsia" w:ascii="宋体" w:hAnsi="宋体"/>
          <w:b/>
          <w:sz w:val="24"/>
        </w:rPr>
        <w:t>信息表</w:t>
      </w:r>
    </w:p>
    <w:p>
      <w:pPr>
        <w:spacing w:line="360" w:lineRule="auto"/>
        <w:ind w:firstLine="211" w:firstLineChars="100"/>
        <w:rPr>
          <w:rFonts w:ascii="宋体" w:hAnsi="宋体"/>
          <w:b/>
          <w:bCs/>
          <w:szCs w:val="21"/>
        </w:rPr>
      </w:pPr>
    </w:p>
    <w:p>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pPr>
              <w:pStyle w:val="12"/>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ascii="宋体" w:hAnsi="宋体"/>
                <w:sz w:val="21"/>
                <w:szCs w:val="21"/>
              </w:rPr>
              <w:t>项目规模</w:t>
            </w:r>
          </w:p>
          <w:p>
            <w:pPr>
              <w:pStyle w:val="12"/>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vAlign w:val="center"/>
          </w:tcPr>
          <w:p>
            <w:pPr>
              <w:pStyle w:val="12"/>
              <w:spacing w:line="360" w:lineRule="auto"/>
              <w:ind w:firstLine="0" w:firstLineChars="0"/>
              <w:jc w:val="center"/>
              <w:rPr>
                <w:rFonts w:ascii="宋体" w:hAnsi="宋体"/>
                <w:sz w:val="21"/>
                <w:szCs w:val="21"/>
              </w:rPr>
            </w:pPr>
          </w:p>
        </w:tc>
        <w:tc>
          <w:tcPr>
            <w:tcW w:w="2003" w:type="dxa"/>
            <w:vAlign w:val="center"/>
          </w:tcPr>
          <w:p>
            <w:pPr>
              <w:pStyle w:val="12"/>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vAlign w:val="center"/>
          </w:tcPr>
          <w:p>
            <w:pPr>
              <w:pStyle w:val="12"/>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vAlign w:val="center"/>
          </w:tcPr>
          <w:p>
            <w:pPr>
              <w:pStyle w:val="12"/>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vAlign w:val="center"/>
          </w:tcPr>
          <w:p>
            <w:pPr>
              <w:pStyle w:val="12"/>
              <w:spacing w:line="360" w:lineRule="auto"/>
              <w:ind w:firstLine="0" w:firstLineChars="0"/>
              <w:jc w:val="center"/>
              <w:rPr>
                <w:rFonts w:ascii="宋体" w:hAnsi="宋体"/>
                <w:sz w:val="21"/>
                <w:szCs w:val="21"/>
              </w:rPr>
            </w:pPr>
          </w:p>
        </w:tc>
      </w:tr>
    </w:tbl>
    <w:p>
      <w:pPr>
        <w:pStyle w:val="15"/>
        <w:snapToGrid w:val="0"/>
        <w:spacing w:line="360" w:lineRule="auto"/>
        <w:rPr>
          <w:rFonts w:hAnsi="宋体"/>
          <w:szCs w:val="21"/>
        </w:rPr>
      </w:pPr>
      <w:r>
        <w:rPr>
          <w:rFonts w:hint="eastAsia" w:hAnsi="宋体"/>
          <w:szCs w:val="21"/>
        </w:rPr>
        <w:t>说明：由投标人使用投标人的企业数字证书电子签名。</w:t>
      </w:r>
    </w:p>
    <w:p>
      <w:pPr>
        <w:pStyle w:val="5"/>
        <w:pageBreakBefore/>
        <w:spacing w:before="156" w:beforeLines="50" w:after="156" w:afterLines="50"/>
        <w:ind w:firstLine="2530" w:firstLineChars="1050"/>
        <w:rPr>
          <w:rFonts w:ascii="宋体" w:hAnsi="宋体"/>
          <w:sz w:val="24"/>
          <w:szCs w:val="24"/>
        </w:rPr>
      </w:pPr>
      <w:bookmarkStart w:id="993" w:name="_Toc10373"/>
      <w:bookmarkStart w:id="994" w:name="_Toc16272"/>
      <w:bookmarkStart w:id="995" w:name="_Toc20383"/>
      <w:bookmarkStart w:id="996" w:name="_Toc6779"/>
      <w:bookmarkStart w:id="997" w:name="_Toc132814851"/>
      <w:bookmarkStart w:id="998" w:name="_Toc1802"/>
      <w:bookmarkStart w:id="999" w:name="_Toc13090"/>
      <w:bookmarkStart w:id="1000" w:name="_Toc92890443"/>
      <w:bookmarkStart w:id="1001" w:name="_Toc11553"/>
      <w:bookmarkStart w:id="1002" w:name="_Toc10839"/>
      <w:r>
        <w:rPr>
          <w:rFonts w:hint="eastAsia" w:ascii="宋体" w:hAnsi="宋体"/>
          <w:sz w:val="24"/>
          <w:szCs w:val="24"/>
        </w:rPr>
        <w:t>15</w:t>
      </w:r>
      <w:r>
        <w:rPr>
          <w:rFonts w:ascii="宋体" w:hAnsi="宋体"/>
          <w:sz w:val="24"/>
          <w:szCs w:val="24"/>
        </w:rPr>
        <w:t>、</w:t>
      </w:r>
      <w:r>
        <w:rPr>
          <w:rFonts w:hint="eastAsia" w:ascii="宋体" w:hAnsi="宋体"/>
          <w:sz w:val="24"/>
          <w:szCs w:val="24"/>
        </w:rPr>
        <w:t>反映投标人信誉和能力的其他资料</w:t>
      </w:r>
      <w:bookmarkEnd w:id="993"/>
      <w:bookmarkEnd w:id="994"/>
      <w:bookmarkEnd w:id="995"/>
      <w:bookmarkEnd w:id="996"/>
      <w:bookmarkEnd w:id="997"/>
      <w:bookmarkEnd w:id="998"/>
      <w:bookmarkEnd w:id="999"/>
      <w:bookmarkEnd w:id="1000"/>
      <w:bookmarkEnd w:id="1001"/>
      <w:bookmarkEnd w:id="1002"/>
    </w:p>
    <w:p>
      <w:pPr>
        <w:spacing w:line="360" w:lineRule="auto"/>
        <w:ind w:left="840" w:leftChars="350" w:hanging="105" w:hangingChars="50"/>
        <w:rPr>
          <w:rFonts w:ascii="宋体" w:hAnsi="宋体"/>
          <w:szCs w:val="21"/>
        </w:rPr>
      </w:pPr>
      <w:r>
        <w:rPr>
          <w:rFonts w:ascii="宋体" w:hAnsi="宋体"/>
          <w:bCs/>
          <w:szCs w:val="21"/>
        </w:rPr>
        <w:t>由投标人自行编制。</w:t>
      </w: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ind w:left="840" w:leftChars="200" w:hanging="420" w:hangingChars="200"/>
        <w:rPr>
          <w:rFonts w:ascii="宋体" w:hAnsi="宋体"/>
          <w:szCs w:val="21"/>
        </w:rPr>
      </w:pPr>
      <w:r>
        <w:rPr>
          <w:rFonts w:ascii="宋体" w:hAnsi="宋体"/>
          <w:szCs w:val="21"/>
        </w:rPr>
        <w:t>说明：由投标人使用投标人的企业数字证书电子签名。</w:t>
      </w: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bookmarkEnd w:id="944"/>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pStyle w:val="4"/>
        <w:keepNext w:val="0"/>
        <w:keepLines w:val="0"/>
        <w:pageBreakBefore/>
        <w:spacing w:before="0" w:after="0" w:line="360" w:lineRule="auto"/>
        <w:ind w:left="420"/>
        <w:jc w:val="center"/>
        <w:rPr>
          <w:rFonts w:ascii="宋体" w:hAnsi="宋体" w:eastAsia="宋体"/>
          <w:b w:val="0"/>
          <w:bCs w:val="0"/>
          <w:sz w:val="30"/>
          <w:szCs w:val="28"/>
        </w:rPr>
      </w:pPr>
      <w:bookmarkStart w:id="1003" w:name="_Toc12355"/>
      <w:bookmarkStart w:id="1004" w:name="_Toc20618"/>
      <w:bookmarkStart w:id="1005" w:name="_Toc138844825"/>
      <w:bookmarkStart w:id="1006" w:name="_Toc32020"/>
      <w:bookmarkStart w:id="1007" w:name="_Toc170529793"/>
      <w:bookmarkStart w:id="1008" w:name="_Toc12421"/>
      <w:bookmarkStart w:id="1009" w:name="_Toc132814852"/>
      <w:bookmarkStart w:id="1010" w:name="_Toc14270"/>
      <w:bookmarkStart w:id="1011" w:name="_Toc277928793"/>
      <w:r>
        <w:rPr>
          <w:rFonts w:ascii="宋体" w:hAnsi="宋体" w:eastAsia="宋体"/>
          <w:b w:val="0"/>
          <w:bCs w:val="0"/>
          <w:sz w:val="30"/>
          <w:szCs w:val="28"/>
        </w:rPr>
        <w:t>二、技术标格式</w:t>
      </w:r>
      <w:bookmarkEnd w:id="1003"/>
      <w:bookmarkEnd w:id="1004"/>
      <w:bookmarkEnd w:id="1005"/>
      <w:bookmarkEnd w:id="1006"/>
      <w:bookmarkEnd w:id="1007"/>
      <w:bookmarkEnd w:id="1008"/>
      <w:bookmarkEnd w:id="1009"/>
      <w:bookmarkEnd w:id="1010"/>
      <w:bookmarkEnd w:id="1011"/>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12"/>
        <w:spacing w:line="360" w:lineRule="auto"/>
        <w:ind w:firstLine="0" w:firstLineChars="0"/>
        <w:rPr>
          <w:rFonts w:ascii="宋体" w:hAnsi="宋体"/>
        </w:rPr>
      </w:pPr>
    </w:p>
    <w:p>
      <w:pPr>
        <w:pStyle w:val="12"/>
        <w:spacing w:line="360" w:lineRule="auto"/>
        <w:ind w:firstLine="0" w:firstLineChars="0"/>
        <w:rPr>
          <w:rFonts w:ascii="宋体" w:hAnsi="宋体"/>
        </w:rPr>
      </w:pPr>
    </w:p>
    <w:p>
      <w:pPr>
        <w:pStyle w:val="12"/>
        <w:spacing w:line="360" w:lineRule="auto"/>
        <w:ind w:firstLine="0" w:firstLineChars="0"/>
        <w:jc w:val="center"/>
        <w:rPr>
          <w:rFonts w:ascii="宋体" w:hAnsi="宋体"/>
          <w:sz w:val="84"/>
        </w:rPr>
      </w:pPr>
      <w:r>
        <w:rPr>
          <w:rFonts w:ascii="宋体" w:hAnsi="宋体"/>
          <w:sz w:val="84"/>
        </w:rPr>
        <w:t>投 标 文 件</w:t>
      </w:r>
    </w:p>
    <w:p>
      <w:pPr>
        <w:pStyle w:val="12"/>
        <w:spacing w:line="360" w:lineRule="auto"/>
        <w:ind w:firstLine="0" w:firstLineChars="0"/>
        <w:rPr>
          <w:rFonts w:ascii="宋体" w:hAnsi="宋体"/>
        </w:rPr>
      </w:pPr>
    </w:p>
    <w:p>
      <w:pPr>
        <w:pStyle w:val="12"/>
        <w:spacing w:line="360" w:lineRule="auto"/>
        <w:ind w:firstLine="0" w:firstLineChars="0"/>
        <w:rPr>
          <w:rFonts w:ascii="宋体" w:hAnsi="宋体"/>
        </w:rPr>
      </w:pPr>
    </w:p>
    <w:p>
      <w:pPr>
        <w:pStyle w:val="12"/>
        <w:spacing w:line="360" w:lineRule="auto"/>
        <w:ind w:firstLine="0" w:firstLineChars="0"/>
        <w:rPr>
          <w:rFonts w:ascii="宋体" w:hAnsi="宋体"/>
        </w:rPr>
      </w:pPr>
    </w:p>
    <w:p>
      <w:pPr>
        <w:pStyle w:val="12"/>
        <w:spacing w:line="360" w:lineRule="auto"/>
        <w:ind w:firstLine="0" w:firstLineChars="0"/>
        <w:rPr>
          <w:rFonts w:ascii="宋体" w:hAnsi="宋体"/>
        </w:rPr>
      </w:pPr>
    </w:p>
    <w:p>
      <w:pPr>
        <w:pStyle w:val="12"/>
        <w:spacing w:line="360" w:lineRule="auto"/>
        <w:ind w:firstLine="0" w:firstLineChars="0"/>
        <w:rPr>
          <w:rFonts w:ascii="宋体" w:hAnsi="宋体"/>
        </w:rPr>
      </w:pPr>
    </w:p>
    <w:p>
      <w:pPr>
        <w:pStyle w:val="12"/>
        <w:spacing w:line="360" w:lineRule="auto"/>
        <w:ind w:firstLine="0" w:firstLineChars="0"/>
        <w:rPr>
          <w:rFonts w:ascii="宋体" w:hAnsi="宋体"/>
        </w:rPr>
      </w:pPr>
    </w:p>
    <w:p>
      <w:pPr>
        <w:pStyle w:val="12"/>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p>
    <w:p>
      <w:pPr>
        <w:pStyle w:val="12"/>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p>
    <w:p>
      <w:pPr>
        <w:pStyle w:val="12"/>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hint="eastAsia" w:ascii="宋体" w:hAnsi="宋体"/>
          <w:sz w:val="30"/>
          <w:u w:val="single"/>
        </w:rPr>
        <w:t>技术</w:t>
      </w:r>
      <w:r>
        <w:rPr>
          <w:rFonts w:ascii="宋体" w:hAnsi="宋体"/>
          <w:sz w:val="30"/>
          <w:u w:val="single"/>
        </w:rPr>
        <w:t xml:space="preserve">标   </w:t>
      </w:r>
    </w:p>
    <w:p>
      <w:pPr>
        <w:pStyle w:val="12"/>
        <w:spacing w:line="360" w:lineRule="auto"/>
        <w:ind w:firstLine="1908" w:firstLineChars="636"/>
        <w:rPr>
          <w:rFonts w:ascii="宋体" w:hAnsi="宋体"/>
          <w:sz w:val="30"/>
        </w:rPr>
      </w:pPr>
      <w:r>
        <w:rPr>
          <w:rFonts w:ascii="宋体" w:hAnsi="宋体"/>
          <w:sz w:val="30"/>
        </w:rPr>
        <w:t xml:space="preserve">招标人：  </w:t>
      </w:r>
      <w:r>
        <w:rPr>
          <w:rFonts w:ascii="宋体" w:hAnsi="宋体"/>
          <w:sz w:val="30"/>
          <w:u w:val="single"/>
        </w:rPr>
        <w:t xml:space="preserve">                      </w:t>
      </w:r>
    </w:p>
    <w:p>
      <w:pPr>
        <w:pStyle w:val="12"/>
        <w:spacing w:line="360" w:lineRule="auto"/>
        <w:ind w:firstLine="1908" w:firstLineChars="636"/>
        <w:rPr>
          <w:rFonts w:ascii="宋体" w:hAnsi="宋体"/>
          <w:sz w:val="30"/>
          <w:u w:val="single"/>
        </w:rPr>
      </w:pPr>
      <w:r>
        <w:rPr>
          <w:rFonts w:ascii="宋体" w:hAnsi="宋体"/>
          <w:sz w:val="30"/>
        </w:rPr>
        <w:t>投标人：</w:t>
      </w:r>
      <w:r>
        <w:rPr>
          <w:rFonts w:hint="eastAsia" w:hAnsi="宋体"/>
          <w:sz w:val="30"/>
          <w:u w:val="single"/>
        </w:rPr>
        <w:t>（企业数字证书电子签名）</w:t>
      </w:r>
    </w:p>
    <w:p>
      <w:pPr>
        <w:pStyle w:val="12"/>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pPr>
        <w:pStyle w:val="12"/>
        <w:spacing w:line="360" w:lineRule="auto"/>
        <w:ind w:left="400"/>
        <w:rPr>
          <w:rFonts w:ascii="宋体" w:hAnsi="宋体"/>
        </w:rPr>
      </w:pPr>
    </w:p>
    <w:p>
      <w:pPr>
        <w:spacing w:line="360" w:lineRule="auto"/>
        <w:rPr>
          <w:rFonts w:ascii="宋体" w:hAnsi="宋体"/>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 w:val="24"/>
          <w:lang w:val="zh-CN"/>
        </w:rPr>
      </w:pPr>
      <w:r>
        <w:rPr>
          <w:rFonts w:hint="eastAsia" w:ascii="宋体" w:hAnsi="宋体"/>
          <w:szCs w:val="21"/>
          <w:lang w:val="zh-CN"/>
        </w:rPr>
        <w:t xml:space="preserve">                                </w:t>
      </w:r>
      <w:r>
        <w:rPr>
          <w:rFonts w:hint="eastAsia" w:ascii="宋体" w:hAnsi="宋体"/>
          <w:sz w:val="24"/>
          <w:lang w:val="zh-CN"/>
        </w:rPr>
        <w:t xml:space="preserve">    目录</w:t>
      </w:r>
    </w:p>
    <w:p>
      <w:pPr>
        <w:numPr>
          <w:ilvl w:val="1"/>
          <w:numId w:val="12"/>
        </w:numPr>
        <w:spacing w:line="360" w:lineRule="auto"/>
        <w:ind w:hanging="289"/>
        <w:rPr>
          <w:rFonts w:ascii="宋体" w:hAnsi="宋体"/>
          <w:szCs w:val="21"/>
          <w:lang w:val="zh-CN"/>
        </w:rPr>
      </w:pPr>
      <w:r>
        <w:rPr>
          <w:rFonts w:hint="eastAsia" w:ascii="宋体" w:hAnsi="宋体"/>
          <w:szCs w:val="21"/>
          <w:lang w:val="zh-CN"/>
        </w:rPr>
        <w:t>技术响应程度（技术规格偏离表）；</w:t>
      </w:r>
    </w:p>
    <w:p>
      <w:pPr>
        <w:numPr>
          <w:ilvl w:val="1"/>
          <w:numId w:val="12"/>
        </w:numPr>
        <w:spacing w:line="360" w:lineRule="auto"/>
        <w:ind w:hanging="289"/>
        <w:rPr>
          <w:rFonts w:ascii="宋体" w:hAnsi="宋体"/>
          <w:szCs w:val="21"/>
          <w:lang w:val="zh-CN"/>
        </w:rPr>
      </w:pPr>
      <w:r>
        <w:rPr>
          <w:rFonts w:hint="eastAsia" w:ascii="宋体" w:hAnsi="宋体"/>
          <w:szCs w:val="21"/>
          <w:lang w:val="zh-CN"/>
        </w:rPr>
        <w:t>供货货物清单；</w:t>
      </w:r>
    </w:p>
    <w:p>
      <w:pPr>
        <w:numPr>
          <w:ilvl w:val="1"/>
          <w:numId w:val="12"/>
        </w:numPr>
        <w:spacing w:line="360" w:lineRule="auto"/>
        <w:ind w:hanging="289"/>
        <w:rPr>
          <w:rFonts w:ascii="宋体" w:hAnsi="宋体"/>
          <w:szCs w:val="21"/>
          <w:lang w:val="zh-CN"/>
        </w:rPr>
      </w:pPr>
      <w:r>
        <w:rPr>
          <w:rFonts w:hint="eastAsia" w:ascii="宋体" w:hAnsi="宋体"/>
          <w:szCs w:val="21"/>
        </w:rPr>
        <w:t>设备安装必需的配件供货清单；</w:t>
      </w:r>
    </w:p>
    <w:p>
      <w:pPr>
        <w:numPr>
          <w:ilvl w:val="1"/>
          <w:numId w:val="12"/>
        </w:numPr>
        <w:spacing w:line="360" w:lineRule="auto"/>
        <w:ind w:hanging="289"/>
        <w:rPr>
          <w:rFonts w:ascii="宋体" w:hAnsi="宋体"/>
          <w:szCs w:val="21"/>
        </w:rPr>
      </w:pPr>
      <w:r>
        <w:rPr>
          <w:rFonts w:hint="eastAsia" w:ascii="宋体" w:hAnsi="宋体"/>
          <w:szCs w:val="21"/>
          <w:lang w:val="zh-CN"/>
        </w:rPr>
        <w:t>技术方案</w:t>
      </w:r>
      <w:r>
        <w:rPr>
          <w:rFonts w:hint="eastAsia" w:ascii="宋体" w:hAnsi="宋体"/>
          <w:szCs w:val="21"/>
        </w:rPr>
        <w:t>；</w:t>
      </w:r>
    </w:p>
    <w:p>
      <w:pPr>
        <w:numPr>
          <w:ilvl w:val="1"/>
          <w:numId w:val="12"/>
        </w:numPr>
        <w:spacing w:line="360" w:lineRule="auto"/>
        <w:ind w:hanging="289"/>
        <w:rPr>
          <w:rFonts w:ascii="宋体" w:hAnsi="宋体"/>
          <w:szCs w:val="21"/>
        </w:rPr>
      </w:pPr>
      <w:r>
        <w:rPr>
          <w:rFonts w:hint="eastAsia" w:ascii="宋体" w:hAnsi="宋体"/>
          <w:szCs w:val="21"/>
        </w:rPr>
        <w:t>投标人所在地的培训计划及报价（不计入投标总价，项目业主视情况决定是否组织到投标人所在地进行培训）；</w:t>
      </w:r>
    </w:p>
    <w:p>
      <w:pPr>
        <w:numPr>
          <w:ilvl w:val="1"/>
          <w:numId w:val="12"/>
        </w:numPr>
        <w:spacing w:line="360" w:lineRule="auto"/>
        <w:ind w:hanging="289"/>
        <w:rPr>
          <w:rFonts w:ascii="宋体" w:hAnsi="宋体"/>
          <w:szCs w:val="21"/>
        </w:rPr>
      </w:pPr>
      <w:r>
        <w:rPr>
          <w:rFonts w:hint="eastAsia" w:ascii="宋体" w:hAnsi="宋体"/>
          <w:szCs w:val="21"/>
        </w:rPr>
        <w:t>设备检测所需仪器仪表清单及报价（不计入投标总价，项目业主视情况决定是否采购该部分内容）；</w:t>
      </w:r>
    </w:p>
    <w:p>
      <w:pPr>
        <w:numPr>
          <w:ilvl w:val="1"/>
          <w:numId w:val="12"/>
        </w:numPr>
        <w:spacing w:line="360" w:lineRule="auto"/>
        <w:ind w:hanging="289"/>
        <w:rPr>
          <w:rFonts w:ascii="宋体" w:hAnsi="宋体"/>
          <w:szCs w:val="21"/>
        </w:rPr>
      </w:pPr>
      <w:r>
        <w:rPr>
          <w:rFonts w:hint="eastAsia" w:ascii="宋体" w:hAnsi="宋体"/>
          <w:szCs w:val="21"/>
        </w:rPr>
        <w:t>质保期后设备配件及专用工具报价表（不计入投标总价，项目业主视情况决定是否采购该部分内容）；</w:t>
      </w:r>
    </w:p>
    <w:p>
      <w:pPr>
        <w:numPr>
          <w:ilvl w:val="1"/>
          <w:numId w:val="12"/>
        </w:numPr>
        <w:spacing w:line="360" w:lineRule="auto"/>
        <w:ind w:hanging="289"/>
        <w:rPr>
          <w:rFonts w:ascii="宋体" w:hAnsi="宋体"/>
          <w:szCs w:val="21"/>
          <w:lang w:val="zh-CN"/>
        </w:rPr>
      </w:pPr>
      <w:r>
        <w:rPr>
          <w:rFonts w:hint="eastAsia" w:ascii="宋体" w:hAnsi="宋体"/>
          <w:szCs w:val="21"/>
          <w:lang w:val="zh-CN"/>
        </w:rPr>
        <w:t>用户需求书要求提交的其他技术资料（含图纸、图表等）；</w:t>
      </w:r>
    </w:p>
    <w:p>
      <w:pPr>
        <w:numPr>
          <w:ilvl w:val="1"/>
          <w:numId w:val="12"/>
        </w:numPr>
        <w:spacing w:line="360" w:lineRule="auto"/>
        <w:ind w:hanging="289"/>
        <w:rPr>
          <w:rFonts w:ascii="宋体" w:hAnsi="宋体"/>
          <w:szCs w:val="21"/>
          <w:lang w:val="zh-CN"/>
        </w:rPr>
      </w:pPr>
      <w:r>
        <w:rPr>
          <w:rFonts w:hint="eastAsia" w:ascii="宋体" w:hAnsi="宋体"/>
          <w:szCs w:val="21"/>
          <w:lang w:val="zh-CN"/>
        </w:rPr>
        <w:t>投标人认为有需要提供的其他文件</w:t>
      </w:r>
      <w:r>
        <w:rPr>
          <w:rFonts w:hint="eastAsia" w:ascii="宋体" w:hAnsi="宋体"/>
          <w:szCs w:val="21"/>
        </w:rPr>
        <w:t>（不做强制性提交要求）。</w:t>
      </w:r>
    </w:p>
    <w:p>
      <w:pPr>
        <w:spacing w:before="156" w:beforeLines="50" w:after="156" w:afterLines="50" w:line="360" w:lineRule="auto"/>
        <w:ind w:left="851"/>
        <w:rPr>
          <w:rFonts w:ascii="宋体" w:hAnsi="宋体"/>
          <w:szCs w:val="21"/>
          <w:lang w:val="zh-CN"/>
        </w:rPr>
      </w:pPr>
    </w:p>
    <w:p>
      <w:pPr>
        <w:rPr>
          <w:rFonts w:ascii="宋体" w:hAnsi="宋体"/>
          <w:sz w:val="24"/>
        </w:rPr>
      </w:pPr>
      <w:r>
        <w:rPr>
          <w:rFonts w:hint="eastAsia" w:ascii="宋体" w:hAnsi="宋体"/>
          <w:sz w:val="24"/>
        </w:rPr>
        <w:t>说明：由投标人使用投标人的企业数字证书电子签名。</w:t>
      </w:r>
    </w:p>
    <w:p>
      <w:pPr>
        <w:pageBreakBefore/>
        <w:spacing w:line="380" w:lineRule="exact"/>
        <w:jc w:val="center"/>
        <w:rPr>
          <w:rFonts w:ascii="宋体" w:hAnsi="宋体"/>
          <w:b/>
          <w:sz w:val="24"/>
        </w:rPr>
      </w:pPr>
      <w:r>
        <w:rPr>
          <w:rFonts w:ascii="宋体" w:hAnsi="宋体"/>
          <w:b/>
          <w:sz w:val="24"/>
          <w:lang w:val="zh-CN"/>
        </w:rPr>
        <w:t>1</w:t>
      </w:r>
      <w:r>
        <w:rPr>
          <w:rFonts w:hint="eastAsia" w:ascii="宋体" w:hAnsi="宋体"/>
          <w:b/>
          <w:sz w:val="24"/>
          <w:lang w:val="zh-CN"/>
        </w:rPr>
        <w:t>、技术规格偏离表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304"/>
        <w:gridCol w:w="2388"/>
        <w:gridCol w:w="788"/>
        <w:gridCol w:w="1778"/>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9" w:type="pct"/>
            <w:vMerge w:val="restart"/>
            <w:vAlign w:val="center"/>
          </w:tcPr>
          <w:p>
            <w:pPr>
              <w:spacing w:line="360" w:lineRule="auto"/>
              <w:jc w:val="center"/>
              <w:rPr>
                <w:rFonts w:ascii="宋体" w:hAnsi="宋体"/>
                <w:szCs w:val="21"/>
              </w:rPr>
            </w:pPr>
            <w:r>
              <w:rPr>
                <w:rFonts w:hint="eastAsia" w:ascii="宋体" w:hAnsi="宋体"/>
                <w:szCs w:val="21"/>
              </w:rPr>
              <w:t>序号</w:t>
            </w:r>
          </w:p>
        </w:tc>
        <w:tc>
          <w:tcPr>
            <w:tcW w:w="2025" w:type="pct"/>
            <w:gridSpan w:val="2"/>
            <w:vAlign w:val="center"/>
          </w:tcPr>
          <w:p>
            <w:pPr>
              <w:spacing w:line="360" w:lineRule="auto"/>
              <w:jc w:val="center"/>
              <w:rPr>
                <w:rFonts w:ascii="宋体" w:hAnsi="宋体"/>
                <w:szCs w:val="21"/>
              </w:rPr>
            </w:pPr>
            <w:r>
              <w:rPr>
                <w:rFonts w:hint="eastAsia" w:ascii="宋体" w:hAnsi="宋体"/>
                <w:szCs w:val="21"/>
              </w:rPr>
              <w:t>招标文件要求</w:t>
            </w:r>
          </w:p>
        </w:tc>
        <w:tc>
          <w:tcPr>
            <w:tcW w:w="2515" w:type="pct"/>
            <w:gridSpan w:val="3"/>
          </w:tcPr>
          <w:p>
            <w:pPr>
              <w:spacing w:line="360" w:lineRule="auto"/>
              <w:jc w:val="center"/>
              <w:rPr>
                <w:rFonts w:ascii="宋体" w:hAnsi="宋体"/>
                <w:szCs w:val="21"/>
              </w:rPr>
            </w:pPr>
            <w:r>
              <w:rPr>
                <w:rFonts w:hint="eastAsia" w:ascii="宋体" w:hAnsi="宋体"/>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9" w:type="pct"/>
            <w:vMerge w:val="continue"/>
            <w:vAlign w:val="center"/>
          </w:tcPr>
          <w:p>
            <w:pPr>
              <w:spacing w:line="360" w:lineRule="auto"/>
              <w:jc w:val="center"/>
              <w:rPr>
                <w:rFonts w:ascii="宋体" w:hAnsi="宋体"/>
                <w:szCs w:val="21"/>
              </w:rPr>
            </w:pPr>
          </w:p>
        </w:tc>
        <w:tc>
          <w:tcPr>
            <w:tcW w:w="715" w:type="pct"/>
            <w:vAlign w:val="center"/>
          </w:tcPr>
          <w:p>
            <w:pPr>
              <w:spacing w:line="360" w:lineRule="auto"/>
              <w:jc w:val="center"/>
              <w:rPr>
                <w:rFonts w:ascii="宋体" w:hAnsi="宋体"/>
                <w:szCs w:val="21"/>
              </w:rPr>
            </w:pPr>
            <w:r>
              <w:rPr>
                <w:rFonts w:hint="eastAsia" w:ascii="宋体" w:hAnsi="宋体"/>
                <w:szCs w:val="21"/>
              </w:rPr>
              <w:t>条款号</w:t>
            </w:r>
          </w:p>
        </w:tc>
        <w:tc>
          <w:tcPr>
            <w:tcW w:w="1309" w:type="pct"/>
            <w:vAlign w:val="center"/>
          </w:tcPr>
          <w:p>
            <w:pPr>
              <w:spacing w:line="360" w:lineRule="auto"/>
              <w:jc w:val="center"/>
              <w:rPr>
                <w:rFonts w:ascii="宋体" w:hAnsi="宋体"/>
                <w:szCs w:val="21"/>
              </w:rPr>
            </w:pPr>
            <w:r>
              <w:rPr>
                <w:rFonts w:hint="eastAsia" w:ascii="宋体" w:hAnsi="宋体"/>
                <w:szCs w:val="21"/>
              </w:rPr>
              <w:t>简要内容</w:t>
            </w:r>
          </w:p>
        </w:tc>
        <w:tc>
          <w:tcPr>
            <w:tcW w:w="432" w:type="pct"/>
            <w:vAlign w:val="center"/>
          </w:tcPr>
          <w:p>
            <w:pPr>
              <w:spacing w:line="360" w:lineRule="auto"/>
              <w:jc w:val="center"/>
              <w:rPr>
                <w:rFonts w:ascii="宋体" w:hAnsi="宋体"/>
                <w:szCs w:val="21"/>
              </w:rPr>
            </w:pPr>
            <w:r>
              <w:rPr>
                <w:rFonts w:hint="eastAsia" w:ascii="宋体" w:hAnsi="宋体"/>
                <w:szCs w:val="21"/>
              </w:rPr>
              <w:t>偏离情况</w:t>
            </w:r>
          </w:p>
        </w:tc>
        <w:tc>
          <w:tcPr>
            <w:tcW w:w="975" w:type="pct"/>
            <w:vAlign w:val="center"/>
          </w:tcPr>
          <w:p>
            <w:pPr>
              <w:spacing w:line="360" w:lineRule="auto"/>
              <w:jc w:val="center"/>
              <w:rPr>
                <w:rFonts w:ascii="宋体" w:hAnsi="宋体"/>
                <w:szCs w:val="21"/>
              </w:rPr>
            </w:pPr>
            <w:r>
              <w:rPr>
                <w:rFonts w:hint="eastAsia" w:ascii="宋体" w:hAnsi="宋体"/>
                <w:szCs w:val="21"/>
              </w:rPr>
              <w:t>实质响应的具体内容</w:t>
            </w:r>
          </w:p>
        </w:tc>
        <w:tc>
          <w:tcPr>
            <w:tcW w:w="1107" w:type="pct"/>
            <w:vAlign w:val="center"/>
          </w:tcPr>
          <w:p>
            <w:pPr>
              <w:spacing w:line="360" w:lineRule="auto"/>
              <w:jc w:val="center"/>
              <w:rPr>
                <w:rFonts w:ascii="宋体" w:hAnsi="宋体"/>
                <w:szCs w:val="21"/>
              </w:rPr>
            </w:pPr>
            <w:r>
              <w:rPr>
                <w:rFonts w:hint="eastAsia" w:hAnsi="宋体" w:cs="宋体"/>
                <w:szCs w:val="21"/>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spacing w:line="360" w:lineRule="auto"/>
              <w:rPr>
                <w:rFonts w:ascii="宋体" w:hAnsi="宋体"/>
                <w:szCs w:val="21"/>
              </w:rPr>
            </w:pPr>
            <w:r>
              <w:rPr>
                <w:rFonts w:hint="eastAsia" w:ascii="宋体" w:hAnsi="宋体"/>
                <w:b/>
                <w:bCs/>
                <w:szCs w:val="21"/>
              </w:rPr>
              <w:t>用户需求书非标“</w:t>
            </w:r>
            <w:r>
              <w:rPr>
                <w:rFonts w:hint="eastAsia" w:hAnsi="宋体"/>
                <w:b/>
                <w:bCs/>
                <w:szCs w:val="21"/>
                <w:u w:val="single"/>
              </w:rPr>
              <w:t>★</w:t>
            </w:r>
            <w:r>
              <w:rPr>
                <w:rFonts w:hint="eastAsia" w:ascii="宋体" w:hAnsi="宋体"/>
                <w:b/>
                <w:bCs/>
                <w:szCs w:val="21"/>
              </w:rPr>
              <w:t>”条款汇总（投标人必须</w:t>
            </w:r>
            <w:r>
              <w:rPr>
                <w:rFonts w:hint="eastAsia" w:ascii="宋体" w:hAnsi="宋体"/>
                <w:b/>
                <w:szCs w:val="21"/>
                <w:u w:val="single"/>
              </w:rPr>
              <w:t>逐条、如实</w:t>
            </w:r>
            <w:r>
              <w:rPr>
                <w:rFonts w:hint="eastAsia" w:ascii="宋体" w:hAnsi="宋体"/>
                <w:b/>
                <w:bCs/>
                <w:szCs w:val="21"/>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hint="eastAsia" w:ascii="宋体" w:hAnsi="宋体"/>
                <w:szCs w:val="21"/>
              </w:rPr>
              <w:t>1</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hint="eastAsia" w:ascii="宋体" w:hAnsi="宋体"/>
                <w:szCs w:val="21"/>
              </w:rPr>
              <w:t>2</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hint="eastAsia" w:ascii="宋体" w:hAnsi="宋体"/>
                <w:szCs w:val="21"/>
              </w:rPr>
              <w:t>3</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ascii="宋体" w:hAnsi="宋体"/>
                <w:szCs w:val="21"/>
              </w:rPr>
              <w:t>……</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spacing w:line="360" w:lineRule="auto"/>
              <w:rPr>
                <w:rFonts w:ascii="宋体" w:hAnsi="宋体"/>
                <w:szCs w:val="21"/>
              </w:rPr>
            </w:pPr>
            <w:r>
              <w:rPr>
                <w:rFonts w:hint="eastAsia" w:ascii="宋体" w:hAnsi="宋体"/>
                <w:b/>
                <w:bCs/>
                <w:szCs w:val="21"/>
              </w:rPr>
              <w:t>用户需求书“</w:t>
            </w:r>
            <w:r>
              <w:rPr>
                <w:rFonts w:hint="eastAsia" w:hAnsi="宋体"/>
                <w:b/>
                <w:bCs/>
                <w:szCs w:val="21"/>
                <w:u w:val="single"/>
              </w:rPr>
              <w:t>★</w:t>
            </w:r>
            <w:r>
              <w:rPr>
                <w:rFonts w:hint="eastAsia" w:ascii="宋体" w:hAnsi="宋体"/>
                <w:b/>
                <w:bCs/>
                <w:szCs w:val="21"/>
              </w:rPr>
              <w:t>”条款汇总（投标人必须</w:t>
            </w:r>
            <w:r>
              <w:rPr>
                <w:rFonts w:hint="eastAsia" w:ascii="宋体" w:hAnsi="宋体"/>
                <w:b/>
                <w:szCs w:val="21"/>
                <w:u w:val="single"/>
              </w:rPr>
              <w:t>逐条、如实</w:t>
            </w:r>
            <w:r>
              <w:rPr>
                <w:rFonts w:hint="eastAsia" w:ascii="宋体" w:hAnsi="宋体"/>
                <w:b/>
                <w:bCs/>
                <w:szCs w:val="21"/>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1</w:t>
            </w:r>
          </w:p>
        </w:tc>
        <w:tc>
          <w:tcPr>
            <w:tcW w:w="715" w:type="pct"/>
            <w:vAlign w:val="center"/>
          </w:tcPr>
          <w:p>
            <w:pPr>
              <w:jc w:val="center"/>
              <w:rPr>
                <w:rFonts w:ascii="宋体" w:hAnsi="宋体" w:cs="宋体"/>
                <w:sz w:val="18"/>
                <w:szCs w:val="18"/>
              </w:rPr>
            </w:pPr>
            <w:r>
              <w:rPr>
                <w:rFonts w:hint="eastAsia" w:ascii="宋体" w:hAnsi="宋体" w:cs="宋体"/>
                <w:kern w:val="0"/>
                <w:sz w:val="18"/>
                <w:szCs w:val="18"/>
              </w:rPr>
              <w:t>第二节 总体技术要求第2.1款</w:t>
            </w:r>
          </w:p>
        </w:tc>
        <w:tc>
          <w:tcPr>
            <w:tcW w:w="1309" w:type="pct"/>
          </w:tcPr>
          <w:p>
            <w:pPr>
              <w:jc w:val="left"/>
              <w:rPr>
                <w:rFonts w:ascii="宋体" w:hAnsi="宋体" w:cs="宋体"/>
                <w:sz w:val="18"/>
                <w:szCs w:val="18"/>
              </w:rPr>
            </w:pPr>
            <w:r>
              <w:rPr>
                <w:rFonts w:hint="eastAsia" w:ascii="宋体" w:hAnsi="宋体" w:cs="宋体"/>
                <w:sz w:val="18"/>
                <w:szCs w:val="18"/>
              </w:rPr>
              <w:t>★本项目的工艺流程、总平面布置、工艺方案、控制系统方案、变配电系统已经确定，无需替代方案。</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2</w:t>
            </w:r>
          </w:p>
        </w:tc>
        <w:tc>
          <w:tcPr>
            <w:tcW w:w="715" w:type="pct"/>
            <w:vAlign w:val="center"/>
          </w:tcPr>
          <w:p>
            <w:pPr>
              <w:jc w:val="center"/>
              <w:rPr>
                <w:rFonts w:ascii="宋体" w:hAnsi="宋体" w:cs="宋体"/>
                <w:sz w:val="18"/>
                <w:szCs w:val="18"/>
              </w:rPr>
            </w:pPr>
            <w:r>
              <w:rPr>
                <w:rFonts w:hint="eastAsia" w:ascii="宋体" w:hAnsi="宋体" w:cs="宋体"/>
                <w:sz w:val="18"/>
                <w:szCs w:val="18"/>
              </w:rPr>
              <w:t>2.2.1招标范围</w:t>
            </w:r>
          </w:p>
          <w:p>
            <w:pPr>
              <w:jc w:val="center"/>
              <w:rPr>
                <w:rFonts w:ascii="宋体" w:hAnsi="宋体" w:cs="宋体"/>
                <w:sz w:val="18"/>
                <w:szCs w:val="18"/>
              </w:rPr>
            </w:pPr>
          </w:p>
        </w:tc>
        <w:tc>
          <w:tcPr>
            <w:tcW w:w="1309" w:type="pct"/>
          </w:tcPr>
          <w:p>
            <w:pPr>
              <w:jc w:val="left"/>
              <w:rPr>
                <w:rFonts w:ascii="宋体" w:hAnsi="宋体" w:cs="宋体"/>
                <w:sz w:val="18"/>
                <w:szCs w:val="18"/>
              </w:rPr>
            </w:pPr>
            <w:r>
              <w:rPr>
                <w:rFonts w:hint="eastAsia" w:ascii="宋体" w:hAnsi="宋体" w:cs="宋体"/>
                <w:sz w:val="18"/>
                <w:szCs w:val="18"/>
              </w:rPr>
              <w:t>★投标人必须对招标范围内的全部设备进行投标报价。投标人不得只对部分设备进行投标报价，否则按无效投标文件处理。</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3</w:t>
            </w:r>
          </w:p>
        </w:tc>
        <w:tc>
          <w:tcPr>
            <w:tcW w:w="715" w:type="pct"/>
            <w:vAlign w:val="center"/>
          </w:tcPr>
          <w:p>
            <w:pPr>
              <w:jc w:val="center"/>
              <w:rPr>
                <w:rFonts w:ascii="宋体" w:hAnsi="宋体" w:cs="宋体"/>
                <w:sz w:val="18"/>
                <w:szCs w:val="18"/>
              </w:rPr>
            </w:pPr>
            <w:r>
              <w:rPr>
                <w:rFonts w:hint="eastAsia" w:ascii="宋体" w:hAnsi="宋体" w:cs="宋体"/>
                <w:sz w:val="18"/>
                <w:szCs w:val="18"/>
              </w:rPr>
              <w:t>2.2.3投标分包规定</w:t>
            </w:r>
          </w:p>
        </w:tc>
        <w:tc>
          <w:tcPr>
            <w:tcW w:w="1309" w:type="pct"/>
          </w:tcPr>
          <w:p>
            <w:pPr>
              <w:jc w:val="left"/>
              <w:rPr>
                <w:rFonts w:ascii="宋体" w:hAnsi="宋体" w:cs="宋体"/>
                <w:sz w:val="18"/>
                <w:szCs w:val="18"/>
              </w:rPr>
            </w:pPr>
            <w:r>
              <w:rPr>
                <w:rFonts w:hint="eastAsia" w:ascii="宋体" w:hAnsi="宋体" w:cs="宋体"/>
                <w:sz w:val="18"/>
                <w:szCs w:val="18"/>
              </w:rPr>
              <w:t>★本项目不允许投标人资格条件中约定的成套设备制造商将主要设备委外生产制造，与主要设备配套的附属设备、控制系统等可采用其它生产商产品，但须注明品牌及主要技术参数，本条款所指的主要设备是指刮泥机。</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4</w:t>
            </w:r>
          </w:p>
        </w:tc>
        <w:tc>
          <w:tcPr>
            <w:tcW w:w="715" w:type="pct"/>
            <w:vAlign w:val="center"/>
          </w:tcPr>
          <w:p>
            <w:pPr>
              <w:jc w:val="center"/>
              <w:rPr>
                <w:rFonts w:ascii="宋体" w:hAnsi="宋体" w:cs="宋体"/>
                <w:sz w:val="18"/>
                <w:szCs w:val="18"/>
              </w:rPr>
            </w:pPr>
            <w:r>
              <w:rPr>
                <w:rFonts w:hint="eastAsia" w:ascii="宋体" w:hAnsi="宋体" w:cs="宋体"/>
                <w:sz w:val="18"/>
                <w:szCs w:val="18"/>
              </w:rPr>
              <w:t>2.3.4</w:t>
            </w:r>
          </w:p>
          <w:p>
            <w:pPr>
              <w:jc w:val="center"/>
              <w:rPr>
                <w:rFonts w:ascii="宋体" w:hAnsi="宋体" w:cs="宋体"/>
                <w:sz w:val="18"/>
                <w:szCs w:val="18"/>
              </w:rPr>
            </w:pPr>
            <w:r>
              <w:rPr>
                <w:rFonts w:hint="eastAsia" w:ascii="宋体" w:hAnsi="宋体" w:cs="宋体"/>
                <w:sz w:val="18"/>
                <w:szCs w:val="18"/>
              </w:rPr>
              <w:t>（2）交货地点</w:t>
            </w:r>
          </w:p>
          <w:p>
            <w:pPr>
              <w:jc w:val="center"/>
              <w:rPr>
                <w:rFonts w:ascii="宋体" w:hAnsi="宋体" w:cs="宋体"/>
                <w:sz w:val="18"/>
                <w:szCs w:val="18"/>
              </w:rPr>
            </w:pPr>
          </w:p>
        </w:tc>
        <w:tc>
          <w:tcPr>
            <w:tcW w:w="1309" w:type="pct"/>
          </w:tcPr>
          <w:p>
            <w:pPr>
              <w:jc w:val="left"/>
              <w:rPr>
                <w:rFonts w:ascii="宋体" w:hAnsi="宋体" w:cs="宋体"/>
                <w:sz w:val="18"/>
                <w:szCs w:val="18"/>
              </w:rPr>
            </w:pPr>
            <w:r>
              <w:rPr>
                <w:rFonts w:hint="eastAsia" w:ascii="宋体" w:hAnsi="宋体" w:cs="宋体"/>
                <w:sz w:val="18"/>
                <w:szCs w:val="18"/>
              </w:rPr>
              <w:t>★本项目所有的设备交货地点分别为东莞市沙田福禄沙污水处理厂二期工程、东莞市清溪厦坭污水处理厂二期工程、东莞市黄江梅塘南部污水处理厂一期工程、东莞市凤岗竹塘污水处理厂三期工程工地现场招标人指定地点。</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5</w:t>
            </w:r>
          </w:p>
        </w:tc>
        <w:tc>
          <w:tcPr>
            <w:tcW w:w="715" w:type="pct"/>
            <w:vAlign w:val="center"/>
          </w:tcPr>
          <w:p>
            <w:pPr>
              <w:jc w:val="center"/>
              <w:rPr>
                <w:rFonts w:ascii="宋体" w:hAnsi="宋体" w:cs="宋体"/>
                <w:sz w:val="18"/>
                <w:szCs w:val="18"/>
              </w:rPr>
            </w:pPr>
            <w:r>
              <w:rPr>
                <w:rFonts w:hint="eastAsia" w:ascii="宋体" w:hAnsi="宋体" w:cs="宋体"/>
                <w:sz w:val="18"/>
                <w:szCs w:val="18"/>
              </w:rPr>
              <w:t>2.3.4</w:t>
            </w:r>
          </w:p>
          <w:p>
            <w:pPr>
              <w:jc w:val="center"/>
              <w:rPr>
                <w:rFonts w:ascii="宋体" w:hAnsi="宋体" w:cs="宋体"/>
                <w:sz w:val="18"/>
                <w:szCs w:val="18"/>
              </w:rPr>
            </w:pPr>
            <w:r>
              <w:rPr>
                <w:rFonts w:hint="eastAsia" w:ascii="宋体" w:hAnsi="宋体" w:cs="宋体"/>
                <w:sz w:val="18"/>
                <w:szCs w:val="18"/>
              </w:rPr>
              <w:t>（3）运输</w:t>
            </w:r>
          </w:p>
          <w:p>
            <w:pPr>
              <w:jc w:val="center"/>
              <w:rPr>
                <w:rFonts w:ascii="宋体" w:hAnsi="宋体" w:cs="宋体"/>
                <w:sz w:val="18"/>
                <w:szCs w:val="18"/>
              </w:rPr>
            </w:pPr>
          </w:p>
        </w:tc>
        <w:tc>
          <w:tcPr>
            <w:tcW w:w="1309" w:type="pct"/>
          </w:tcPr>
          <w:p>
            <w:pPr>
              <w:jc w:val="left"/>
              <w:rPr>
                <w:rFonts w:ascii="宋体" w:hAnsi="宋体" w:cs="宋体"/>
                <w:sz w:val="18"/>
                <w:szCs w:val="18"/>
              </w:rPr>
            </w:pPr>
            <w:r>
              <w:rPr>
                <w:rFonts w:hint="eastAsia" w:ascii="宋体" w:hAnsi="宋体" w:cs="宋体"/>
                <w:sz w:val="18"/>
                <w:szCs w:val="18"/>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6</w:t>
            </w:r>
          </w:p>
        </w:tc>
        <w:tc>
          <w:tcPr>
            <w:tcW w:w="715" w:type="pct"/>
            <w:vAlign w:val="center"/>
          </w:tcPr>
          <w:p>
            <w:pPr>
              <w:jc w:val="center"/>
              <w:rPr>
                <w:rFonts w:ascii="宋体" w:hAnsi="宋体" w:cs="宋体"/>
                <w:sz w:val="18"/>
                <w:szCs w:val="18"/>
              </w:rPr>
            </w:pPr>
            <w:r>
              <w:rPr>
                <w:rFonts w:hint="eastAsia" w:ascii="宋体" w:hAnsi="宋体" w:cs="宋体"/>
                <w:sz w:val="18"/>
                <w:szCs w:val="18"/>
              </w:rPr>
              <w:t>2.3.5设备安装及调试</w:t>
            </w:r>
          </w:p>
        </w:tc>
        <w:tc>
          <w:tcPr>
            <w:tcW w:w="1309" w:type="pct"/>
          </w:tcPr>
          <w:p>
            <w:pPr>
              <w:jc w:val="left"/>
              <w:rPr>
                <w:rFonts w:ascii="宋体" w:hAnsi="宋体" w:cs="宋体"/>
                <w:sz w:val="18"/>
                <w:szCs w:val="18"/>
              </w:rPr>
            </w:pPr>
            <w:r>
              <w:rPr>
                <w:rFonts w:hint="eastAsia" w:ascii="宋体" w:hAnsi="宋体" w:cs="宋体"/>
                <w:sz w:val="18"/>
                <w:szCs w:val="18"/>
              </w:rPr>
              <w:t>★上述的技术服务费已包含在投标报价中。</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7</w:t>
            </w:r>
          </w:p>
        </w:tc>
        <w:tc>
          <w:tcPr>
            <w:tcW w:w="715" w:type="pct"/>
            <w:vAlign w:val="center"/>
          </w:tcPr>
          <w:p>
            <w:pPr>
              <w:jc w:val="center"/>
              <w:rPr>
                <w:rFonts w:hAnsi="宋体" w:cs="宋体"/>
                <w:sz w:val="18"/>
                <w:szCs w:val="18"/>
              </w:rPr>
            </w:pPr>
            <w:r>
              <w:rPr>
                <w:rFonts w:hint="eastAsia" w:hAnsi="宋体" w:cs="宋体"/>
                <w:sz w:val="18"/>
                <w:szCs w:val="18"/>
              </w:rPr>
              <w:t>2.3.7质保期工作</w:t>
            </w:r>
          </w:p>
          <w:p>
            <w:pPr>
              <w:jc w:val="center"/>
              <w:rPr>
                <w:rFonts w:ascii="宋体" w:hAnsi="宋体"/>
                <w:sz w:val="18"/>
                <w:szCs w:val="18"/>
              </w:rPr>
            </w:pPr>
          </w:p>
        </w:tc>
        <w:tc>
          <w:tcPr>
            <w:tcW w:w="1309" w:type="pct"/>
          </w:tcPr>
          <w:p>
            <w:pPr>
              <w:jc w:val="left"/>
              <w:rPr>
                <w:rFonts w:ascii="宋体" w:hAnsi="宋体"/>
                <w:sz w:val="18"/>
                <w:szCs w:val="18"/>
              </w:rPr>
            </w:pPr>
            <w:r>
              <w:rPr>
                <w:rFonts w:hint="eastAsia" w:ascii="宋体" w:hAnsi="宋体"/>
                <w:sz w:val="18"/>
                <w:szCs w:val="18"/>
              </w:rPr>
              <w:t>★设备质保期为至少24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r>
              <w:rPr>
                <w:rFonts w:ascii="宋体" w:hAnsi="宋体"/>
                <w:sz w:val="18"/>
                <w:szCs w:val="18"/>
              </w:rPr>
              <w:t>。</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vAlign w:val="center"/>
          </w:tcPr>
          <w:p>
            <w:pPr>
              <w:jc w:val="center"/>
              <w:rPr>
                <w:rFonts w:ascii="宋体" w:hAnsi="宋体"/>
                <w:sz w:val="18"/>
                <w:szCs w:val="18"/>
              </w:rPr>
            </w:pPr>
            <w:r>
              <w:rPr>
                <w:rFonts w:hint="eastAsia" w:ascii="宋体" w:hAnsi="宋体"/>
                <w:sz w:val="18"/>
                <w:szCs w:val="18"/>
              </w:rPr>
              <w:t>8</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3.4.1.2、刮泥机主要结构及性能要求（3）驱动装置</w:t>
            </w:r>
          </w:p>
        </w:tc>
        <w:tc>
          <w:tcPr>
            <w:tcW w:w="1309" w:type="pct"/>
          </w:tcPr>
          <w:p>
            <w:pPr>
              <w:jc w:val="left"/>
              <w:rPr>
                <w:sz w:val="24"/>
              </w:rPr>
            </w:pPr>
            <w:r>
              <w:rPr>
                <w:rFonts w:hint="eastAsia" w:ascii="宋体" w:hAnsi="宋体" w:cs="宋体"/>
                <w:sz w:val="18"/>
                <w:szCs w:val="18"/>
              </w:rPr>
              <w:t>★</w:t>
            </w:r>
            <w:r>
              <w:rPr>
                <w:rFonts w:hint="eastAsia" w:ascii="宋体" w:hAnsi="宋体"/>
                <w:sz w:val="18"/>
                <w:szCs w:val="18"/>
              </w:rPr>
              <w:t>驱动减速装置应采用低噪音、高效率、密封良好的产品，其品牌应不低于SEW、NORD、FLENDER或同等品牌产品。电机其品牌质量应不低于SEW、NORD、FLENDER或同等品牌产品质量。</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9</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3.4.1.2、刮泥机主要结构及性能要求（4）刮泥板牵引链条</w:t>
            </w:r>
          </w:p>
        </w:tc>
        <w:tc>
          <w:tcPr>
            <w:tcW w:w="1309" w:type="pct"/>
            <w:vAlign w:val="center"/>
          </w:tcPr>
          <w:p>
            <w:pPr>
              <w:jc w:val="left"/>
              <w:rPr>
                <w:rFonts w:hAnsi="宋体" w:cs="宋体"/>
                <w:sz w:val="18"/>
                <w:szCs w:val="18"/>
              </w:rPr>
            </w:pPr>
            <w:r>
              <w:rPr>
                <w:rFonts w:hint="eastAsia" w:hAnsi="宋体" w:cs="宋体"/>
                <w:sz w:val="18"/>
                <w:szCs w:val="18"/>
              </w:rPr>
              <w:t>★刮泥板牵引链条采用热塑性聚酯或热塑性乙缩醛树脂或玻璃纤维长丝缠绕浇铸料制造，链条的允许工作荷载≥1400kgf，保证强度应大于2900 kgf，破断强度≥3400kgf。</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10</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3.4.1.2、刮泥机主要结构及性能要求（5）刮泥板</w:t>
            </w:r>
          </w:p>
        </w:tc>
        <w:tc>
          <w:tcPr>
            <w:tcW w:w="1309" w:type="pct"/>
            <w:vAlign w:val="center"/>
          </w:tcPr>
          <w:p>
            <w:pPr>
              <w:jc w:val="left"/>
              <w:rPr>
                <w:rFonts w:hAnsi="宋体" w:cs="宋体"/>
                <w:sz w:val="18"/>
                <w:szCs w:val="18"/>
              </w:rPr>
            </w:pPr>
            <w:r>
              <w:rPr>
                <w:rFonts w:hint="eastAsia" w:hAnsi="宋体" w:cs="宋体"/>
                <w:sz w:val="18"/>
                <w:szCs w:val="18"/>
              </w:rPr>
              <w:t>★刮泥板应由加强型玻璃钢或更好材料制成，其中玻璃纤维占60%以上，刮板应具有足够的强度和刚度，允许挠度不大于1／1000。</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11</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3.4.1.2、刮泥机主要结构及性能要求（5）刮泥板</w:t>
            </w:r>
          </w:p>
        </w:tc>
        <w:tc>
          <w:tcPr>
            <w:tcW w:w="1309" w:type="pct"/>
            <w:vAlign w:val="center"/>
          </w:tcPr>
          <w:p>
            <w:pPr>
              <w:jc w:val="left"/>
              <w:rPr>
                <w:rFonts w:hAnsi="宋体" w:cs="宋体"/>
                <w:sz w:val="18"/>
                <w:szCs w:val="18"/>
              </w:rPr>
            </w:pPr>
            <w:r>
              <w:rPr>
                <w:rFonts w:hint="eastAsia" w:hAnsi="宋体" w:cs="宋体"/>
                <w:sz w:val="18"/>
                <w:szCs w:val="18"/>
              </w:rPr>
              <w:t>★刮泥板间隔应布置均匀，沉淀池刮泥板最大间距不大于3.1米。刮板高度应不小于180mm，以保证刮泥效果。</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12</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3.4.1.2、刮泥机主要结构及性能要求（5）刮泥板</w:t>
            </w:r>
          </w:p>
        </w:tc>
        <w:tc>
          <w:tcPr>
            <w:tcW w:w="1309" w:type="pct"/>
            <w:vAlign w:val="center"/>
          </w:tcPr>
          <w:p>
            <w:pPr>
              <w:jc w:val="left"/>
              <w:rPr>
                <w:rFonts w:hAnsi="宋体" w:cs="宋体"/>
                <w:sz w:val="18"/>
                <w:szCs w:val="18"/>
              </w:rPr>
            </w:pPr>
            <w:r>
              <w:rPr>
                <w:rFonts w:hint="eastAsia" w:hAnsi="宋体" w:cs="宋体"/>
                <w:sz w:val="18"/>
                <w:szCs w:val="18"/>
              </w:rPr>
              <w:t>★投标方应在投标文件中明确刮泥板形状和有关参数指标。</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13</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3.4.1.2、刮泥机主要结构及性能要求（6）耐磨靴</w:t>
            </w:r>
          </w:p>
        </w:tc>
        <w:tc>
          <w:tcPr>
            <w:tcW w:w="1309" w:type="pct"/>
            <w:vAlign w:val="center"/>
          </w:tcPr>
          <w:p>
            <w:pPr>
              <w:jc w:val="left"/>
              <w:rPr>
                <w:rFonts w:hAnsi="宋体" w:cs="宋体"/>
                <w:sz w:val="18"/>
                <w:szCs w:val="18"/>
              </w:rPr>
            </w:pPr>
            <w:r>
              <w:rPr>
                <w:rFonts w:hint="eastAsia" w:hAnsi="宋体" w:cs="宋体"/>
                <w:sz w:val="18"/>
                <w:szCs w:val="18"/>
              </w:rPr>
              <w:t>★所有耐磨靴是双面（正反面）可调换使用。</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bl>
    <w:p>
      <w:pPr>
        <w:snapToGrid w:val="0"/>
        <w:spacing w:line="360" w:lineRule="auto"/>
        <w:ind w:left="210" w:hanging="210" w:hangingChars="1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w:t>
      </w:r>
      <w:r>
        <w:rPr>
          <w:rFonts w:hint="eastAsia" w:ascii="宋体" w:hAnsi="宋体"/>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hint="eastAsia" w:ascii="宋体" w:hAnsi="宋体"/>
          <w:szCs w:val="21"/>
        </w:rPr>
        <w:t>。</w:t>
      </w:r>
    </w:p>
    <w:p>
      <w:pPr>
        <w:snapToGrid w:val="0"/>
        <w:spacing w:line="360" w:lineRule="auto"/>
        <w:ind w:left="210" w:hanging="210" w:hangingChars="100"/>
        <w:jc w:val="left"/>
        <w:rPr>
          <w:rFonts w:ascii="宋体" w:hAnsi="宋体"/>
          <w:szCs w:val="21"/>
        </w:rPr>
      </w:pPr>
      <w:r>
        <w:rPr>
          <w:rFonts w:hint="eastAsia" w:ascii="宋体" w:hAnsi="宋体"/>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Ansi="宋体"/>
          <w:szCs w:val="21"/>
          <w:u w:val="single"/>
        </w:rPr>
      </w:pPr>
      <w:r>
        <w:rPr>
          <w:rFonts w:hint="eastAsia" w:ascii="宋体" w:hAnsi="宋体"/>
          <w:szCs w:val="21"/>
        </w:rPr>
        <w:t>3.</w:t>
      </w:r>
      <w:r>
        <w:rPr>
          <w:rFonts w:hint="eastAsia" w:hAnsi="宋体"/>
          <w:szCs w:val="21"/>
          <w:u w:val="single"/>
        </w:rPr>
        <w:t>应逐条</w:t>
      </w:r>
      <w:r>
        <w:rPr>
          <w:rFonts w:hint="eastAsia" w:hAnsi="宋体" w:cs="宋体"/>
          <w:szCs w:val="21"/>
          <w:u w:val="single"/>
        </w:rPr>
        <w:t>逐项</w:t>
      </w:r>
      <w:r>
        <w:rPr>
          <w:rFonts w:hint="eastAsia" w:hAnsi="宋体"/>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szCs w:val="21"/>
          <w:u w:val="single"/>
        </w:rPr>
        <w:t>投标货物技术参数、性能、功能的技术支持</w:t>
      </w:r>
      <w:r>
        <w:rPr>
          <w:rFonts w:hint="eastAsia" w:hAnsi="宋体"/>
          <w:szCs w:val="21"/>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szCs w:val="21"/>
          <w:lang w:val="zh-CN"/>
        </w:rPr>
      </w:pPr>
      <w:r>
        <w:rPr>
          <w:rFonts w:hint="eastAsia" w:hAnsi="宋体"/>
          <w:b/>
          <w:szCs w:val="21"/>
          <w:u w:val="single"/>
        </w:rPr>
        <w:t>4.</w:t>
      </w:r>
      <w:r>
        <w:rPr>
          <w:rFonts w:hAnsi="宋体"/>
          <w:b/>
          <w:szCs w:val="21"/>
          <w:u w:val="single"/>
        </w:rPr>
        <w:t>凡标有“</w:t>
      </w:r>
      <w:r>
        <w:rPr>
          <w:rFonts w:hint="eastAsia" w:hAnsi="宋体"/>
          <w:b/>
          <w:szCs w:val="21"/>
          <w:u w:val="single"/>
        </w:rPr>
        <w:t>★</w:t>
      </w:r>
      <w:r>
        <w:rPr>
          <w:rFonts w:hAnsi="宋体"/>
          <w:b/>
          <w:szCs w:val="21"/>
          <w:u w:val="single"/>
        </w:rPr>
        <w:t>”的地方均被视为重要的技术指标要求或性能要求。投标</w:t>
      </w:r>
      <w:r>
        <w:rPr>
          <w:rFonts w:hint="eastAsia" w:hAnsi="宋体"/>
          <w:b/>
          <w:szCs w:val="21"/>
          <w:u w:val="single"/>
        </w:rPr>
        <w:t>人</w:t>
      </w:r>
      <w:r>
        <w:rPr>
          <w:rFonts w:hAnsi="宋体"/>
          <w:b/>
          <w:szCs w:val="21"/>
          <w:u w:val="single"/>
        </w:rPr>
        <w:t>要特别加以注意，必须对此回答并完全满足这些要求</w:t>
      </w:r>
      <w:r>
        <w:rPr>
          <w:rFonts w:hint="eastAsia" w:hAnsi="宋体"/>
          <w:b/>
          <w:szCs w:val="21"/>
          <w:u w:val="single"/>
        </w:rPr>
        <w:t>，</w:t>
      </w:r>
      <w:r>
        <w:rPr>
          <w:rFonts w:hAnsi="宋体"/>
          <w:b/>
          <w:szCs w:val="21"/>
          <w:u w:val="single"/>
        </w:rPr>
        <w:t>否则若有一项带“</w:t>
      </w:r>
      <w:r>
        <w:rPr>
          <w:rFonts w:hint="eastAsia" w:hAnsi="宋体"/>
          <w:b/>
          <w:szCs w:val="21"/>
          <w:u w:val="single"/>
        </w:rPr>
        <w:t>★</w:t>
      </w:r>
      <w:r>
        <w:rPr>
          <w:rFonts w:hAnsi="宋体"/>
          <w:b/>
          <w:szCs w:val="21"/>
          <w:u w:val="single"/>
        </w:rPr>
        <w:t>”的指标未响应或不满足，将按</w:t>
      </w:r>
      <w:r>
        <w:rPr>
          <w:rFonts w:hint="eastAsia" w:hAnsi="宋体"/>
          <w:b/>
          <w:szCs w:val="21"/>
          <w:u w:val="single"/>
        </w:rPr>
        <w:t>无效投标</w:t>
      </w:r>
      <w:r>
        <w:rPr>
          <w:rFonts w:hAnsi="宋体"/>
          <w:b/>
          <w:szCs w:val="21"/>
          <w:u w:val="single"/>
        </w:rPr>
        <w:t>处理</w:t>
      </w:r>
      <w:r>
        <w:rPr>
          <w:rFonts w:hAnsi="宋体"/>
          <w:b/>
          <w:szCs w:val="21"/>
          <w:lang w:val="zh-CN"/>
        </w:rPr>
        <w:t>。</w:t>
      </w:r>
    </w:p>
    <w:p>
      <w:pPr>
        <w:snapToGrid w:val="0"/>
        <w:spacing w:line="360" w:lineRule="auto"/>
        <w:ind w:left="240" w:hanging="240" w:hangingChars="100"/>
        <w:jc w:val="left"/>
        <w:rPr>
          <w:sz w:val="24"/>
        </w:rPr>
      </w:pPr>
    </w:p>
    <w:p>
      <w:pPr>
        <w:spacing w:line="360" w:lineRule="auto"/>
        <w:rPr>
          <w:rFonts w:ascii="宋体" w:hAnsi="宋体"/>
        </w:rPr>
      </w:pPr>
      <w:r>
        <w:rPr>
          <w:rFonts w:hint="eastAsia" w:ascii="宋体" w:hAnsi="宋体"/>
          <w:szCs w:val="21"/>
        </w:rPr>
        <w:t xml:space="preserve">                                   </w:t>
      </w: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pStyle w:val="15"/>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pacing w:line="360" w:lineRule="auto"/>
        <w:ind w:firstLine="4200" w:firstLineChars="2000"/>
        <w:rPr>
          <w:rFonts w:hAnsi="宋体"/>
          <w:szCs w:val="21"/>
        </w:rPr>
      </w:pPr>
    </w:p>
    <w:p>
      <w:pPr>
        <w:pStyle w:val="15"/>
        <w:spacing w:line="360" w:lineRule="auto"/>
        <w:rPr>
          <w:rFonts w:hAnsi="宋体"/>
        </w:rPr>
      </w:pPr>
      <w:r>
        <w:rPr>
          <w:rFonts w:hint="eastAsia" w:hAnsi="宋体"/>
          <w:szCs w:val="21"/>
        </w:rPr>
        <w:t>说明：</w:t>
      </w:r>
      <w:r>
        <w:rPr>
          <w:rFonts w:hint="eastAsia" w:ascii="Times New Roman" w:hAnsi="宋体"/>
          <w:szCs w:val="21"/>
        </w:rPr>
        <w:t>由投标人使用投标人的企业数字证书电子签名。</w:t>
      </w:r>
    </w:p>
    <w:p>
      <w:pPr>
        <w:pageBreakBefore/>
        <w:spacing w:line="380" w:lineRule="exact"/>
        <w:jc w:val="center"/>
        <w:rPr>
          <w:rFonts w:ascii="宋体" w:hAnsi="宋体"/>
          <w:b/>
          <w:bCs/>
          <w:sz w:val="24"/>
          <w:lang w:val="zh-CN"/>
        </w:rPr>
      </w:pPr>
      <w:r>
        <w:rPr>
          <w:rFonts w:ascii="宋体" w:hAnsi="宋体"/>
          <w:b/>
          <w:sz w:val="24"/>
        </w:rPr>
        <w:t>2</w:t>
      </w:r>
      <w:r>
        <w:rPr>
          <w:rFonts w:hint="eastAsia" w:ascii="宋体" w:hAnsi="宋体"/>
          <w:b/>
          <w:sz w:val="24"/>
        </w:rPr>
        <w:t>、供货货物清单</w:t>
      </w:r>
    </w:p>
    <w:p>
      <w:pPr>
        <w:spacing w:line="380" w:lineRule="exact"/>
        <w:rPr>
          <w:rFonts w:ascii="宋体" w:hAnsi="宋体"/>
          <w:b/>
          <w:bCs/>
          <w:sz w:val="30"/>
          <w:szCs w:val="30"/>
          <w:lang w:val="zh-CN"/>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货物名称</w:t>
            </w: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品牌</w:t>
            </w: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产地</w:t>
            </w: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数量</w:t>
            </w: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规格</w:t>
            </w:r>
          </w:p>
          <w:p>
            <w:pPr>
              <w:pStyle w:val="15"/>
              <w:spacing w:line="300" w:lineRule="auto"/>
              <w:jc w:val="center"/>
              <w:rPr>
                <w:rFonts w:hAnsi="宋体"/>
                <w:szCs w:val="21"/>
              </w:rPr>
            </w:pPr>
            <w:r>
              <w:rPr>
                <w:rFonts w:hint="eastAsia" w:hAnsi="宋体"/>
                <w:szCs w:val="21"/>
              </w:rPr>
              <w:t>型号</w:t>
            </w: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15"/>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rPr>
                <w:rFonts w:hAnsi="宋体"/>
                <w:szCs w:val="21"/>
              </w:rPr>
            </w:pPr>
            <w:r>
              <w:rPr>
                <w:rFonts w:hint="eastAsia"/>
                <w:szCs w:val="21"/>
              </w:rPr>
              <w:t>东莞市沙田福禄沙污水处理厂二期工程刮泥机成套系统设备采购</w:t>
            </w:r>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rPr>
                <w:rFonts w:hAnsi="宋体"/>
                <w:szCs w:val="21"/>
              </w:rPr>
            </w:pPr>
            <w:r>
              <w:rPr>
                <w:rFonts w:hint="eastAsia"/>
              </w:rPr>
              <w:t>东莞市清溪厦坭污水处理厂二期工程刮泥机成套系统设备采购</w:t>
            </w:r>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rPr>
                <w:rFonts w:hAnsi="宋体"/>
                <w:szCs w:val="21"/>
              </w:rPr>
            </w:pPr>
            <w:bookmarkStart w:id="1012" w:name="_Hlk89549693"/>
            <w:r>
              <w:rPr>
                <w:rFonts w:hint="eastAsia"/>
              </w:rPr>
              <w:t>东莞市黄江梅塘南部污水处理厂一期工程刮泥机成套系统设备采购</w:t>
            </w:r>
            <w:bookmarkEnd w:id="1012"/>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jc w:val="left"/>
              <w:rPr>
                <w:rFonts w:hAnsi="宋体"/>
                <w:szCs w:val="21"/>
              </w:rPr>
            </w:pPr>
            <w:r>
              <w:rPr>
                <w:rFonts w:hint="eastAsia"/>
              </w:rPr>
              <w:t>东莞市凤岗竹塘污水处理厂三期工程</w:t>
            </w:r>
            <w:r>
              <w:t>刮泥机成套系统设备采购</w:t>
            </w:r>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bl>
    <w:p>
      <w:pPr>
        <w:snapToGrid w:val="0"/>
        <w:spacing w:line="360" w:lineRule="auto"/>
        <w:ind w:left="210" w:hanging="210" w:hangingChars="100"/>
        <w:rPr>
          <w:rFonts w:ascii="宋体" w:hAnsi="宋体"/>
        </w:rPr>
      </w:pPr>
      <w:r>
        <w:rPr>
          <w:rFonts w:hint="eastAsia" w:ascii="宋体" w:hAnsi="宋体"/>
        </w:rPr>
        <w:t>注：</w:t>
      </w:r>
    </w:p>
    <w:p>
      <w:pPr>
        <w:snapToGrid w:val="0"/>
        <w:spacing w:line="360" w:lineRule="auto"/>
        <w:ind w:left="210" w:hanging="210" w:hangingChars="100"/>
        <w:rPr>
          <w:rFonts w:ascii="宋体" w:hAnsi="宋体"/>
          <w:szCs w:val="21"/>
        </w:rPr>
      </w:pPr>
      <w:r>
        <w:rPr>
          <w:rFonts w:hint="eastAsia" w:ascii="宋体" w:hAnsi="宋体"/>
        </w:rPr>
        <w:t>1.投标人应列明按“用户需求书”所要求的全部货物（含软件）及其服务的明细清单；</w:t>
      </w:r>
    </w:p>
    <w:p>
      <w:pPr>
        <w:snapToGrid w:val="0"/>
        <w:spacing w:line="360" w:lineRule="auto"/>
        <w:ind w:left="210" w:hanging="210" w:hangingChars="100"/>
        <w:rPr>
          <w:rFonts w:ascii="宋体" w:hAnsi="宋体"/>
          <w:szCs w:val="21"/>
          <w:lang w:val="zh-CN"/>
        </w:rPr>
      </w:pPr>
      <w:r>
        <w:rPr>
          <w:rFonts w:hint="eastAsia" w:ascii="宋体" w:hAnsi="宋体"/>
          <w:szCs w:val="21"/>
        </w:rPr>
        <w:t>2.</w:t>
      </w:r>
      <w:r>
        <w:rPr>
          <w:rFonts w:hint="eastAsia" w:ascii="宋体" w:hAnsi="宋体"/>
          <w:szCs w:val="21"/>
          <w:lang w:val="zh-CN"/>
        </w:rPr>
        <w:t>货物名称、品牌、规格型号、产地、数量等必须与分</w:t>
      </w:r>
      <w:r>
        <w:rPr>
          <w:rFonts w:hint="eastAsia" w:ascii="宋体" w:hAnsi="宋体"/>
          <w:szCs w:val="21"/>
        </w:rPr>
        <w:t>项</w:t>
      </w:r>
      <w:r>
        <w:rPr>
          <w:rFonts w:hint="eastAsia" w:ascii="宋体" w:hAnsi="宋体"/>
          <w:szCs w:val="21"/>
          <w:lang w:val="zh-CN"/>
        </w:rPr>
        <w:t>报价明细表的名称、品牌、型号、产地完全一致；</w:t>
      </w:r>
    </w:p>
    <w:p>
      <w:pPr>
        <w:snapToGrid w:val="0"/>
        <w:spacing w:line="360" w:lineRule="auto"/>
        <w:ind w:left="210" w:hanging="210" w:hangingChars="100"/>
        <w:rPr>
          <w:rFonts w:ascii="宋体" w:hAnsi="宋体"/>
          <w:szCs w:val="21"/>
          <w:lang w:val="zh-CN"/>
        </w:rPr>
      </w:pPr>
      <w:r>
        <w:rPr>
          <w:rFonts w:hint="eastAsia" w:ascii="宋体" w:hAnsi="宋体"/>
          <w:szCs w:val="21"/>
          <w:lang w:val="zh-CN"/>
        </w:rPr>
        <w:t>3.表格可根据实际货物种类自行扩展。</w:t>
      </w:r>
    </w:p>
    <w:p>
      <w:pPr>
        <w:spacing w:line="360" w:lineRule="auto"/>
        <w:ind w:firstLine="4200" w:firstLineChars="200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pStyle w:val="15"/>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pacing w:line="360" w:lineRule="auto"/>
        <w:ind w:firstLine="4200" w:firstLineChars="2000"/>
        <w:rPr>
          <w:rFonts w:hAnsi="宋体"/>
          <w:szCs w:val="21"/>
        </w:rPr>
      </w:pPr>
    </w:p>
    <w:p>
      <w:pPr>
        <w:pStyle w:val="15"/>
        <w:spacing w:line="360" w:lineRule="auto"/>
        <w:rPr>
          <w:rFonts w:hAnsi="宋体"/>
          <w:szCs w:val="21"/>
        </w:rPr>
      </w:pPr>
      <w:r>
        <w:rPr>
          <w:rFonts w:hint="eastAsia" w:hAnsi="宋体"/>
          <w:szCs w:val="21"/>
        </w:rPr>
        <w:t>说明：</w:t>
      </w:r>
      <w:r>
        <w:rPr>
          <w:rFonts w:hint="eastAsia" w:ascii="Times New Roman" w:hAnsi="宋体"/>
          <w:szCs w:val="21"/>
        </w:rPr>
        <w:t>由投标人使用投标人的企业数字证书电子签名。</w:t>
      </w:r>
    </w:p>
    <w:p>
      <w:pPr>
        <w:pageBreakBefore/>
        <w:spacing w:line="380" w:lineRule="exact"/>
        <w:jc w:val="center"/>
        <w:rPr>
          <w:rFonts w:ascii="宋体" w:hAnsi="宋体"/>
          <w:b/>
          <w:sz w:val="24"/>
          <w:lang w:val="zh-CN"/>
        </w:rPr>
      </w:pPr>
      <w:r>
        <w:rPr>
          <w:rFonts w:ascii="宋体" w:hAnsi="宋体"/>
          <w:b/>
          <w:sz w:val="24"/>
          <w:lang w:val="zh-CN"/>
        </w:rPr>
        <w:t>3</w:t>
      </w:r>
      <w:r>
        <w:rPr>
          <w:rFonts w:hint="eastAsia" w:ascii="宋体" w:hAnsi="宋体"/>
          <w:b/>
          <w:sz w:val="24"/>
          <w:lang w:val="zh-CN"/>
        </w:rPr>
        <w:t>、</w:t>
      </w:r>
      <w:r>
        <w:rPr>
          <w:rFonts w:hint="eastAsia" w:ascii="宋体" w:hAnsi="宋体"/>
          <w:b/>
          <w:sz w:val="24"/>
        </w:rPr>
        <w:t>设备安装必需的配件供货清单</w:t>
      </w:r>
    </w:p>
    <w:p>
      <w:pPr>
        <w:spacing w:line="380" w:lineRule="exact"/>
        <w:rPr>
          <w:rFonts w:ascii="宋体" w:hAnsi="宋体"/>
          <w:b/>
          <w:bCs/>
          <w:sz w:val="30"/>
          <w:szCs w:val="30"/>
          <w:lang w:val="zh-CN"/>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配件名称</w:t>
            </w: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品牌</w:t>
            </w: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产地</w:t>
            </w: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数量</w:t>
            </w: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规格</w:t>
            </w:r>
          </w:p>
          <w:p>
            <w:pPr>
              <w:pStyle w:val="15"/>
              <w:spacing w:line="300" w:lineRule="auto"/>
              <w:jc w:val="center"/>
              <w:rPr>
                <w:rFonts w:hAnsi="宋体"/>
                <w:szCs w:val="21"/>
              </w:rPr>
            </w:pPr>
            <w:r>
              <w:rPr>
                <w:rFonts w:hint="eastAsia" w:hAnsi="宋体"/>
                <w:szCs w:val="21"/>
              </w:rPr>
              <w:t>型号</w:t>
            </w: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jc w:val="left"/>
              <w:rPr>
                <w:rFonts w:hAnsi="宋体"/>
                <w:szCs w:val="21"/>
              </w:rPr>
            </w:pPr>
            <w:r>
              <w:rPr>
                <w:rFonts w:hint="eastAsia"/>
                <w:szCs w:val="21"/>
              </w:rPr>
              <w:t>东莞市沙田福禄沙污水处理厂二期工程刮泥机成套系统设备采购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rPr>
                <w:rFonts w:hAnsi="宋体"/>
                <w:szCs w:val="21"/>
              </w:rPr>
            </w:pPr>
            <w:r>
              <w:rPr>
                <w:rFonts w:hint="eastAsia"/>
              </w:rPr>
              <w:t>东莞市清溪厦坭污水处理厂二期工程刮泥机成套系统设备采购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rPr>
                <w:rFonts w:hAnsi="宋体"/>
                <w:szCs w:val="21"/>
              </w:rPr>
            </w:pPr>
            <w:r>
              <w:rPr>
                <w:rFonts w:hint="eastAsia"/>
              </w:rPr>
              <w:t>东莞市黄江梅塘南部污水处理厂一期工程刮泥机成套系统设备采购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00" w:lineRule="auto"/>
              <w:jc w:val="left"/>
              <w:rPr>
                <w:rFonts w:hAnsi="宋体"/>
                <w:szCs w:val="21"/>
              </w:rPr>
            </w:pPr>
            <w:r>
              <w:rPr>
                <w:rFonts w:hint="eastAsia"/>
              </w:rPr>
              <w:t>东莞市凤岗竹塘污水处理厂三期工程</w:t>
            </w:r>
            <w:r>
              <w:t>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Ansi="宋体"/>
                <w:szCs w:val="21"/>
              </w:rPr>
            </w:pPr>
          </w:p>
        </w:tc>
      </w:tr>
    </w:tbl>
    <w:p>
      <w:pPr>
        <w:snapToGrid w:val="0"/>
        <w:spacing w:line="360" w:lineRule="exact"/>
        <w:ind w:left="210" w:hanging="210" w:hangingChars="100"/>
        <w:rPr>
          <w:rFonts w:hAnsi="宋体"/>
        </w:rPr>
      </w:pPr>
      <w:r>
        <w:rPr>
          <w:rFonts w:hint="eastAsia" w:hAnsi="宋体"/>
        </w:rPr>
        <w:t>注：</w:t>
      </w:r>
    </w:p>
    <w:p>
      <w:pPr>
        <w:snapToGrid w:val="0"/>
        <w:spacing w:line="360" w:lineRule="exact"/>
        <w:ind w:left="210" w:hanging="210" w:hangingChars="100"/>
        <w:rPr>
          <w:rFonts w:ascii="宋体" w:hAnsi="宋体"/>
        </w:rPr>
      </w:pPr>
      <w:r>
        <w:rPr>
          <w:rFonts w:hint="eastAsia" w:ascii="宋体" w:hAnsi="宋体"/>
        </w:rPr>
        <w:t>1.本表内所有的配件费用已计入投标报价。</w:t>
      </w:r>
    </w:p>
    <w:p>
      <w:pPr>
        <w:snapToGrid w:val="0"/>
        <w:spacing w:line="360" w:lineRule="exact"/>
        <w:ind w:left="210" w:hanging="210" w:hangingChars="100"/>
        <w:rPr>
          <w:rFonts w:ascii="宋体" w:hAnsi="宋体"/>
          <w:szCs w:val="21"/>
          <w:lang w:val="zh-CN"/>
        </w:rPr>
      </w:pPr>
      <w:r>
        <w:rPr>
          <w:rFonts w:hint="eastAsia" w:ascii="宋体" w:hAnsi="宋体"/>
        </w:rPr>
        <w:t>2.本表配件包括但不限于螺母、地脚螺栓、紧固件、连接件等其他配件。</w:t>
      </w:r>
    </w:p>
    <w:p>
      <w:pPr>
        <w:snapToGrid w:val="0"/>
        <w:spacing w:line="360" w:lineRule="exact"/>
        <w:ind w:left="210" w:hanging="210" w:hangingChars="100"/>
        <w:rPr>
          <w:rFonts w:ascii="宋体" w:hAnsi="宋体"/>
          <w:szCs w:val="21"/>
          <w:lang w:val="zh-CN"/>
        </w:rPr>
      </w:pPr>
      <w:r>
        <w:rPr>
          <w:rFonts w:hint="eastAsia" w:ascii="宋体" w:hAnsi="宋体"/>
          <w:szCs w:val="21"/>
          <w:lang w:val="zh-CN"/>
        </w:rPr>
        <w:t>3.表格可根据实际货物种类自行扩展。</w:t>
      </w:r>
    </w:p>
    <w:p>
      <w:pPr>
        <w:spacing w:line="360" w:lineRule="exact"/>
        <w:ind w:firstLine="4200" w:firstLineChars="200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pStyle w:val="15"/>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pacing w:line="360" w:lineRule="exact"/>
        <w:ind w:firstLine="4200" w:firstLineChars="2000"/>
        <w:rPr>
          <w:rFonts w:hAnsi="宋体"/>
          <w:szCs w:val="21"/>
        </w:rPr>
      </w:pPr>
    </w:p>
    <w:p>
      <w:pPr>
        <w:pStyle w:val="15"/>
        <w:spacing w:line="360" w:lineRule="exact"/>
        <w:rPr>
          <w:rFonts w:hAnsi="宋体"/>
          <w:szCs w:val="21"/>
        </w:rPr>
      </w:pPr>
      <w:r>
        <w:rPr>
          <w:rFonts w:hint="eastAsia" w:hAnsi="宋体"/>
          <w:szCs w:val="21"/>
        </w:rPr>
        <w:t>说明：</w:t>
      </w:r>
      <w:r>
        <w:rPr>
          <w:rFonts w:hint="eastAsia" w:ascii="Times New Roman" w:hAnsi="宋体"/>
          <w:szCs w:val="21"/>
        </w:rPr>
        <w:t>由投标人使用投标人的企业数字证书电子签名。</w:t>
      </w:r>
    </w:p>
    <w:p>
      <w:pPr>
        <w:pageBreakBefore/>
        <w:spacing w:line="380" w:lineRule="exact"/>
        <w:jc w:val="center"/>
        <w:rPr>
          <w:rFonts w:ascii="宋体" w:hAnsi="宋体"/>
          <w:b/>
          <w:sz w:val="24"/>
          <w:lang w:val="zh-CN"/>
        </w:rPr>
      </w:pPr>
      <w:r>
        <w:rPr>
          <w:rFonts w:hint="eastAsia" w:ascii="宋体" w:hAnsi="宋体"/>
          <w:b/>
          <w:sz w:val="24"/>
          <w:lang w:val="zh-CN"/>
        </w:rPr>
        <w:t>4、技术方案</w:t>
      </w:r>
    </w:p>
    <w:p>
      <w:pPr>
        <w:spacing w:before="156" w:beforeLines="50" w:after="156" w:afterLines="50" w:line="360" w:lineRule="auto"/>
        <w:ind w:firstLine="105" w:firstLineChars="50"/>
        <w:jc w:val="center"/>
        <w:rPr>
          <w:rFonts w:ascii="宋体" w:hAnsi="宋体"/>
          <w:szCs w:val="21"/>
          <w:lang w:val="zh-CN"/>
        </w:rPr>
      </w:pPr>
      <w:r>
        <w:rPr>
          <w:rFonts w:hint="eastAsia" w:ascii="宋体" w:hAnsi="宋体"/>
          <w:szCs w:val="21"/>
          <w:lang w:val="zh-CN"/>
        </w:rPr>
        <w:t xml:space="preserve"> </w:t>
      </w:r>
    </w:p>
    <w:p>
      <w:pPr>
        <w:spacing w:line="360" w:lineRule="auto"/>
        <w:ind w:firstLine="420" w:firstLineChars="200"/>
        <w:rPr>
          <w:rFonts w:ascii="宋体" w:hAnsi="宋体"/>
          <w:szCs w:val="21"/>
        </w:rPr>
      </w:pPr>
      <w:r>
        <w:rPr>
          <w:rFonts w:hint="eastAsia" w:ascii="宋体" w:hAnsi="宋体"/>
          <w:szCs w:val="21"/>
        </w:rPr>
        <w:t>投标人自行编写，未提供格式的内容，格式不限，内容应包括但不限于：</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供货、安装计划及进度保证措施；</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产品制造、运输等全过程质量管理及保证措施；</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产品的测试、试验、保险计划；</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项目实施安装、单机试运转、指导及配合联合试运转的组织设计，产品的安装施工方法及工艺；</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验收计划；</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招标人所在地及项目现场培训计划；</w:t>
      </w:r>
    </w:p>
    <w:p>
      <w:pPr>
        <w:numPr>
          <w:ilvl w:val="8"/>
          <w:numId w:val="15"/>
        </w:numPr>
        <w:tabs>
          <w:tab w:val="left" w:pos="1134"/>
          <w:tab w:val="clear" w:pos="3720"/>
        </w:tabs>
        <w:spacing w:line="360" w:lineRule="auto"/>
        <w:ind w:left="1134" w:hanging="283"/>
        <w:rPr>
          <w:rFonts w:ascii="宋体" w:hAnsi="宋体"/>
          <w:szCs w:val="21"/>
        </w:rPr>
      </w:pPr>
      <w:r>
        <w:rPr>
          <w:rFonts w:hint="eastAsia" w:ascii="宋体" w:hAnsi="宋体"/>
          <w:szCs w:val="21"/>
        </w:rPr>
        <w:t>售后服务方案（明确售后服务机构的名称及所在地，其中表格格式见附件4-1“拟投入本项目售后服务的主要管理及技术人员情况表”格式、附件4-2“拟担任本项目</w:t>
      </w:r>
      <w:r>
        <w:rPr>
          <w:rFonts w:hint="eastAsia" w:ascii="宋体" w:hAnsi="宋体"/>
          <w:szCs w:val="21"/>
          <w:u w:val="single"/>
        </w:rPr>
        <w:t>（职位名称）</w:t>
      </w:r>
      <w:r>
        <w:rPr>
          <w:rFonts w:hint="eastAsia" w:ascii="宋体" w:hAnsi="宋体"/>
          <w:szCs w:val="21"/>
        </w:rPr>
        <w:t>人员简历表”格式）；</w:t>
      </w:r>
    </w:p>
    <w:p>
      <w:pPr>
        <w:tabs>
          <w:tab w:val="left" w:pos="1134"/>
        </w:tabs>
        <w:spacing w:line="360" w:lineRule="auto"/>
        <w:ind w:left="851"/>
        <w:rPr>
          <w:rFonts w:ascii="宋体" w:hAnsi="宋体"/>
          <w:szCs w:val="21"/>
        </w:rPr>
      </w:pPr>
      <w:r>
        <w:rPr>
          <w:rFonts w:hint="eastAsia" w:ascii="宋体" w:hAnsi="宋体"/>
          <w:szCs w:val="21"/>
        </w:rPr>
        <w:t>8）</w:t>
      </w:r>
      <w:r>
        <w:rPr>
          <w:rFonts w:hint="eastAsia"/>
        </w:rPr>
        <w:t>安装时间、质保期、维修响应时间承诺表（详见附件4-3“安装时间、质保期、维修响应时间承诺表”格式）。</w:t>
      </w:r>
    </w:p>
    <w:p>
      <w:pPr>
        <w:spacing w:line="360" w:lineRule="auto"/>
        <w:rPr>
          <w:rFonts w:ascii="宋体" w:hAnsi="宋体"/>
          <w:szCs w:val="21"/>
        </w:rPr>
      </w:pPr>
    </w:p>
    <w:p>
      <w:pPr>
        <w:spacing w:line="360" w:lineRule="auto"/>
        <w:rPr>
          <w:rFonts w:ascii="宋体" w:hAnsi="宋体"/>
          <w:b/>
          <w:sz w:val="24"/>
        </w:rPr>
      </w:pPr>
      <w:r>
        <w:rPr>
          <w:rFonts w:hint="eastAsia" w:hAnsi="宋体"/>
          <w:szCs w:val="21"/>
        </w:rPr>
        <w:t>说明：由投标人使用投标人的企业数字证书电子签名。</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5219"/>
        </w:tabs>
        <w:rPr>
          <w:rFonts w:ascii="宋体" w:hAnsi="宋体"/>
          <w:sz w:val="24"/>
        </w:rPr>
      </w:pPr>
      <w:r>
        <w:rPr>
          <w:rFonts w:ascii="宋体" w:hAnsi="宋体"/>
          <w:sz w:val="24"/>
        </w:rPr>
        <w:tab/>
      </w:r>
    </w:p>
    <w:p>
      <w:pPr>
        <w:pageBreakBefore/>
        <w:spacing w:line="360" w:lineRule="auto"/>
        <w:rPr>
          <w:rFonts w:ascii="宋体" w:hAnsi="宋体"/>
          <w:b/>
          <w:sz w:val="24"/>
        </w:rPr>
      </w:pPr>
      <w:r>
        <w:rPr>
          <w:rFonts w:hint="eastAsia" w:ascii="宋体" w:hAnsi="宋体"/>
          <w:b/>
          <w:sz w:val="24"/>
        </w:rPr>
        <w:t>附件4-1.拟投入本项目售后服务的主要管理及技术人员情况表</w:t>
      </w:r>
    </w:p>
    <w:p>
      <w:pPr>
        <w:spacing w:line="360" w:lineRule="auto"/>
        <w:jc w:val="center"/>
        <w:rPr>
          <w:rFonts w:ascii="宋体" w:hAnsi="宋体"/>
          <w:b/>
          <w:sz w:val="24"/>
        </w:rPr>
      </w:pPr>
      <w:r>
        <w:rPr>
          <w:rFonts w:hint="eastAsia" w:ascii="宋体" w:hAnsi="宋体"/>
          <w:b/>
          <w:sz w:val="24"/>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19"/>
        <w:gridCol w:w="649"/>
        <w:gridCol w:w="649"/>
        <w:gridCol w:w="649"/>
        <w:gridCol w:w="1090"/>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1" w:type="pct"/>
            <w:vAlign w:val="center"/>
          </w:tcPr>
          <w:p>
            <w:pPr>
              <w:spacing w:line="360" w:lineRule="auto"/>
              <w:jc w:val="center"/>
              <w:rPr>
                <w:rFonts w:ascii="宋体" w:hAnsi="宋体"/>
                <w:szCs w:val="21"/>
              </w:rPr>
            </w:pPr>
            <w:r>
              <w:rPr>
                <w:rFonts w:hint="eastAsia" w:ascii="宋体" w:hAnsi="宋体"/>
                <w:szCs w:val="21"/>
              </w:rPr>
              <w:t>序号</w:t>
            </w:r>
          </w:p>
        </w:tc>
        <w:tc>
          <w:tcPr>
            <w:tcW w:w="614" w:type="pct"/>
            <w:vAlign w:val="center"/>
          </w:tcPr>
          <w:p>
            <w:pPr>
              <w:spacing w:line="360" w:lineRule="auto"/>
              <w:jc w:val="center"/>
              <w:rPr>
                <w:rFonts w:ascii="宋体" w:hAnsi="宋体"/>
                <w:szCs w:val="21"/>
              </w:rPr>
            </w:pPr>
            <w:r>
              <w:rPr>
                <w:rFonts w:hint="eastAsia" w:ascii="宋体" w:hAnsi="宋体"/>
                <w:szCs w:val="21"/>
              </w:rPr>
              <w:t>姓名</w:t>
            </w:r>
          </w:p>
        </w:tc>
        <w:tc>
          <w:tcPr>
            <w:tcW w:w="356" w:type="pct"/>
            <w:vAlign w:val="center"/>
          </w:tcPr>
          <w:p>
            <w:pPr>
              <w:spacing w:line="360" w:lineRule="auto"/>
              <w:jc w:val="center"/>
              <w:rPr>
                <w:rFonts w:ascii="宋体" w:hAnsi="宋体"/>
                <w:szCs w:val="21"/>
              </w:rPr>
            </w:pPr>
            <w:r>
              <w:rPr>
                <w:rFonts w:hint="eastAsia" w:ascii="宋体" w:hAnsi="宋体"/>
                <w:szCs w:val="21"/>
              </w:rPr>
              <w:t>性别</w:t>
            </w:r>
          </w:p>
        </w:tc>
        <w:tc>
          <w:tcPr>
            <w:tcW w:w="356" w:type="pct"/>
            <w:vAlign w:val="center"/>
          </w:tcPr>
          <w:p>
            <w:pPr>
              <w:spacing w:line="360" w:lineRule="auto"/>
              <w:jc w:val="center"/>
              <w:rPr>
                <w:rFonts w:ascii="宋体" w:hAnsi="宋体"/>
                <w:szCs w:val="21"/>
              </w:rPr>
            </w:pPr>
            <w:r>
              <w:rPr>
                <w:rFonts w:hint="eastAsia" w:ascii="宋体" w:hAnsi="宋体"/>
                <w:szCs w:val="21"/>
              </w:rPr>
              <w:t>年龄</w:t>
            </w:r>
          </w:p>
        </w:tc>
        <w:tc>
          <w:tcPr>
            <w:tcW w:w="356" w:type="pct"/>
            <w:vAlign w:val="center"/>
          </w:tcPr>
          <w:p>
            <w:pPr>
              <w:spacing w:line="360" w:lineRule="auto"/>
              <w:jc w:val="center"/>
              <w:rPr>
                <w:rFonts w:ascii="宋体" w:hAnsi="宋体"/>
                <w:szCs w:val="21"/>
              </w:rPr>
            </w:pPr>
            <w:r>
              <w:rPr>
                <w:rFonts w:hint="eastAsia" w:ascii="宋体" w:hAnsi="宋体"/>
                <w:szCs w:val="21"/>
              </w:rPr>
              <w:t>学历</w:t>
            </w:r>
          </w:p>
        </w:tc>
        <w:tc>
          <w:tcPr>
            <w:tcW w:w="598" w:type="pct"/>
            <w:vAlign w:val="center"/>
          </w:tcPr>
          <w:p>
            <w:pPr>
              <w:spacing w:line="360" w:lineRule="auto"/>
              <w:jc w:val="center"/>
              <w:rPr>
                <w:rFonts w:ascii="宋体" w:hAnsi="宋体"/>
                <w:szCs w:val="21"/>
              </w:rPr>
            </w:pPr>
            <w:r>
              <w:rPr>
                <w:rFonts w:hint="eastAsia" w:ascii="宋体" w:hAnsi="宋体"/>
                <w:szCs w:val="21"/>
              </w:rPr>
              <w:t>资格/职称证书</w:t>
            </w:r>
          </w:p>
        </w:tc>
        <w:tc>
          <w:tcPr>
            <w:tcW w:w="369" w:type="pct"/>
            <w:vAlign w:val="center"/>
          </w:tcPr>
          <w:p>
            <w:pPr>
              <w:spacing w:line="360" w:lineRule="auto"/>
              <w:jc w:val="center"/>
              <w:rPr>
                <w:rFonts w:ascii="宋体" w:hAnsi="宋体"/>
                <w:szCs w:val="21"/>
              </w:rPr>
            </w:pPr>
            <w:r>
              <w:rPr>
                <w:rFonts w:hint="eastAsia" w:ascii="宋体" w:hAnsi="宋体"/>
                <w:szCs w:val="21"/>
              </w:rPr>
              <w:t>拟任职务</w:t>
            </w:r>
          </w:p>
        </w:tc>
        <w:tc>
          <w:tcPr>
            <w:tcW w:w="1513" w:type="pct"/>
            <w:vAlign w:val="center"/>
          </w:tcPr>
          <w:p>
            <w:pPr>
              <w:spacing w:line="360" w:lineRule="auto"/>
              <w:jc w:val="center"/>
              <w:rPr>
                <w:rFonts w:ascii="宋体" w:hAnsi="宋体"/>
                <w:szCs w:val="21"/>
              </w:rPr>
            </w:pPr>
            <w:r>
              <w:rPr>
                <w:rFonts w:hint="eastAsia" w:ascii="宋体" w:hAnsi="宋体"/>
                <w:szCs w:val="21"/>
              </w:rPr>
              <w:t>从事本行业年限</w:t>
            </w:r>
          </w:p>
        </w:tc>
        <w:tc>
          <w:tcPr>
            <w:tcW w:w="498" w:type="pct"/>
            <w:vAlign w:val="center"/>
          </w:tcPr>
          <w:p>
            <w:pPr>
              <w:spacing w:line="360" w:lineRule="auto"/>
              <w:rPr>
                <w:rFonts w:ascii="宋体" w:hAnsi="宋体"/>
                <w:szCs w:val="21"/>
              </w:rPr>
            </w:pPr>
            <w:r>
              <w:rPr>
                <w:rFonts w:hint="eastAsia" w:ascii="宋体" w:hAnsi="宋体"/>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ind w:left="3885" w:leftChars="1850" w:firstLine="315" w:firstLineChars="1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spacing w:line="360" w:lineRule="auto"/>
        <w:ind w:left="3885" w:leftChars="1850" w:firstLine="315" w:firstLineChars="1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sz w:val="24"/>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60" w:lineRule="auto"/>
        <w:rPr>
          <w:rFonts w:ascii="宋体" w:hAnsi="宋体"/>
          <w:sz w:val="24"/>
        </w:rPr>
      </w:pPr>
      <w:bookmarkStart w:id="1013" w:name="_Toc402776922"/>
      <w:bookmarkStart w:id="1014" w:name="_Toc402471315"/>
      <w:bookmarkStart w:id="1015" w:name="_Toc316896767"/>
      <w:bookmarkStart w:id="1016" w:name="_Toc311032595"/>
      <w:bookmarkStart w:id="1017" w:name="_Toc326768884"/>
      <w:r>
        <w:rPr>
          <w:rFonts w:hint="eastAsia" w:ascii="宋体" w:hAnsi="宋体"/>
          <w:b/>
          <w:sz w:val="24"/>
        </w:rPr>
        <w:t>附件4-2.简历表</w:t>
      </w:r>
      <w:bookmarkEnd w:id="1013"/>
      <w:bookmarkEnd w:id="1014"/>
      <w:bookmarkEnd w:id="1015"/>
      <w:bookmarkEnd w:id="1016"/>
      <w:bookmarkEnd w:id="1017"/>
      <w:r>
        <w:rPr>
          <w:rFonts w:hint="eastAsia" w:ascii="宋体" w:hAnsi="宋体"/>
          <w:b/>
          <w:sz w:val="24"/>
        </w:rPr>
        <w:t xml:space="preserve"> </w:t>
      </w:r>
    </w:p>
    <w:p>
      <w:pPr>
        <w:spacing w:line="360" w:lineRule="auto"/>
        <w:jc w:val="center"/>
        <w:rPr>
          <w:rFonts w:ascii="宋体" w:hAnsi="宋体"/>
          <w:b/>
          <w:sz w:val="24"/>
        </w:rPr>
      </w:pPr>
      <w:r>
        <w:rPr>
          <w:rFonts w:hint="eastAsia" w:ascii="宋体" w:hAnsi="宋体"/>
          <w:b/>
          <w:sz w:val="24"/>
        </w:rPr>
        <w:t>拟担任本项目</w:t>
      </w:r>
      <w:r>
        <w:rPr>
          <w:rFonts w:hint="eastAsia" w:ascii="宋体" w:hAnsi="宋体"/>
          <w:b/>
          <w:sz w:val="24"/>
          <w:u w:val="single"/>
        </w:rPr>
        <w:t xml:space="preserve">     （职位名称） </w:t>
      </w:r>
      <w:r>
        <w:rPr>
          <w:rFonts w:hint="eastAsia" w:ascii="宋体" w:hAnsi="宋体"/>
          <w:b/>
          <w:sz w:val="24"/>
        </w:rPr>
        <w:t>人员简历表</w:t>
      </w:r>
    </w:p>
    <w:p>
      <w:pPr>
        <w:spacing w:line="360" w:lineRule="auto"/>
        <w:rPr>
          <w:rFonts w:ascii="宋体" w:hAnsi="宋体"/>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pPr>
              <w:spacing w:line="360" w:lineRule="auto"/>
              <w:jc w:val="center"/>
              <w:rPr>
                <w:rFonts w:ascii="宋体" w:hAnsi="宋体"/>
                <w:szCs w:val="21"/>
              </w:rPr>
            </w:pPr>
            <w:r>
              <w:rPr>
                <w:rFonts w:hint="eastAsia" w:ascii="宋体" w:hAnsi="宋体"/>
                <w:szCs w:val="21"/>
              </w:rPr>
              <w:t>姓名</w:t>
            </w:r>
          </w:p>
        </w:tc>
        <w:tc>
          <w:tcPr>
            <w:tcW w:w="1492" w:type="pct"/>
            <w:gridSpan w:val="4"/>
            <w:vAlign w:val="center"/>
          </w:tcPr>
          <w:p>
            <w:pPr>
              <w:spacing w:line="360" w:lineRule="auto"/>
              <w:jc w:val="center"/>
              <w:rPr>
                <w:rFonts w:ascii="宋体" w:hAnsi="宋体"/>
                <w:szCs w:val="21"/>
              </w:rPr>
            </w:pPr>
          </w:p>
        </w:tc>
        <w:tc>
          <w:tcPr>
            <w:tcW w:w="480" w:type="pct"/>
            <w:vAlign w:val="center"/>
          </w:tcPr>
          <w:p>
            <w:pPr>
              <w:spacing w:line="360" w:lineRule="auto"/>
              <w:jc w:val="center"/>
              <w:rPr>
                <w:rFonts w:ascii="宋体" w:hAnsi="宋体"/>
                <w:szCs w:val="21"/>
              </w:rPr>
            </w:pPr>
            <w:r>
              <w:rPr>
                <w:rFonts w:hint="eastAsia" w:ascii="宋体" w:hAnsi="宋体"/>
                <w:szCs w:val="21"/>
              </w:rPr>
              <w:t>性别</w:t>
            </w:r>
          </w:p>
        </w:tc>
        <w:tc>
          <w:tcPr>
            <w:tcW w:w="961" w:type="pct"/>
            <w:gridSpan w:val="4"/>
            <w:vAlign w:val="center"/>
          </w:tcPr>
          <w:p>
            <w:pPr>
              <w:spacing w:line="360" w:lineRule="auto"/>
              <w:jc w:val="center"/>
              <w:rPr>
                <w:rFonts w:ascii="宋体" w:hAnsi="宋体"/>
                <w:szCs w:val="21"/>
              </w:rPr>
            </w:pPr>
          </w:p>
        </w:tc>
        <w:tc>
          <w:tcPr>
            <w:tcW w:w="617" w:type="pct"/>
            <w:gridSpan w:val="2"/>
            <w:vAlign w:val="center"/>
          </w:tcPr>
          <w:p>
            <w:pPr>
              <w:spacing w:line="360" w:lineRule="auto"/>
              <w:jc w:val="center"/>
              <w:rPr>
                <w:rFonts w:ascii="宋体" w:hAnsi="宋体"/>
                <w:szCs w:val="21"/>
              </w:rPr>
            </w:pPr>
            <w:r>
              <w:rPr>
                <w:rFonts w:hint="eastAsia" w:ascii="宋体" w:hAnsi="宋体"/>
                <w:szCs w:val="21"/>
              </w:rPr>
              <w:t>年龄</w:t>
            </w:r>
          </w:p>
        </w:tc>
        <w:tc>
          <w:tcPr>
            <w:tcW w:w="1029"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vAlign w:val="center"/>
          </w:tcPr>
          <w:p>
            <w:pPr>
              <w:spacing w:line="360" w:lineRule="auto"/>
              <w:jc w:val="center"/>
              <w:rPr>
                <w:rFonts w:ascii="宋体" w:hAnsi="宋体"/>
                <w:szCs w:val="21"/>
              </w:rPr>
            </w:pPr>
            <w:r>
              <w:rPr>
                <w:rFonts w:hint="eastAsia" w:ascii="宋体" w:hAnsi="宋体"/>
                <w:szCs w:val="21"/>
              </w:rPr>
              <w:t>职务</w:t>
            </w:r>
          </w:p>
        </w:tc>
        <w:tc>
          <w:tcPr>
            <w:tcW w:w="1492" w:type="pct"/>
            <w:gridSpan w:val="4"/>
            <w:vAlign w:val="center"/>
          </w:tcPr>
          <w:p>
            <w:pPr>
              <w:spacing w:line="360" w:lineRule="auto"/>
              <w:jc w:val="center"/>
              <w:rPr>
                <w:rFonts w:ascii="宋体" w:hAnsi="宋体"/>
                <w:szCs w:val="21"/>
              </w:rPr>
            </w:pPr>
          </w:p>
        </w:tc>
        <w:tc>
          <w:tcPr>
            <w:tcW w:w="480" w:type="pct"/>
            <w:vAlign w:val="center"/>
          </w:tcPr>
          <w:p>
            <w:pPr>
              <w:spacing w:line="360" w:lineRule="auto"/>
              <w:jc w:val="center"/>
              <w:rPr>
                <w:rFonts w:ascii="宋体" w:hAnsi="宋体"/>
                <w:szCs w:val="21"/>
              </w:rPr>
            </w:pPr>
            <w:r>
              <w:rPr>
                <w:rFonts w:hint="eastAsia" w:ascii="宋体" w:hAnsi="宋体"/>
                <w:szCs w:val="21"/>
              </w:rPr>
              <w:t>职称</w:t>
            </w:r>
          </w:p>
        </w:tc>
        <w:tc>
          <w:tcPr>
            <w:tcW w:w="961" w:type="pct"/>
            <w:gridSpan w:val="4"/>
            <w:vAlign w:val="center"/>
          </w:tcPr>
          <w:p>
            <w:pPr>
              <w:spacing w:line="360" w:lineRule="auto"/>
              <w:jc w:val="center"/>
              <w:rPr>
                <w:rFonts w:ascii="宋体" w:hAnsi="宋体"/>
                <w:szCs w:val="21"/>
              </w:rPr>
            </w:pPr>
          </w:p>
        </w:tc>
        <w:tc>
          <w:tcPr>
            <w:tcW w:w="617" w:type="pct"/>
            <w:gridSpan w:val="2"/>
            <w:vAlign w:val="center"/>
          </w:tcPr>
          <w:p>
            <w:pPr>
              <w:spacing w:line="360" w:lineRule="auto"/>
              <w:jc w:val="center"/>
              <w:rPr>
                <w:rFonts w:ascii="宋体" w:hAnsi="宋体"/>
                <w:szCs w:val="21"/>
              </w:rPr>
            </w:pPr>
            <w:r>
              <w:rPr>
                <w:rFonts w:hint="eastAsia" w:ascii="宋体" w:hAnsi="宋体"/>
                <w:szCs w:val="21"/>
              </w:rPr>
              <w:t>学历</w:t>
            </w:r>
          </w:p>
        </w:tc>
        <w:tc>
          <w:tcPr>
            <w:tcW w:w="1029"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pPr>
              <w:spacing w:line="360" w:lineRule="auto"/>
              <w:jc w:val="center"/>
              <w:rPr>
                <w:rFonts w:ascii="宋体" w:hAnsi="宋体"/>
                <w:szCs w:val="21"/>
              </w:rPr>
            </w:pPr>
            <w:r>
              <w:rPr>
                <w:rFonts w:hint="eastAsia" w:ascii="宋体" w:hAnsi="宋体"/>
                <w:szCs w:val="21"/>
              </w:rPr>
              <w:t>参加工作时间</w:t>
            </w:r>
          </w:p>
        </w:tc>
        <w:tc>
          <w:tcPr>
            <w:tcW w:w="1081" w:type="pct"/>
            <w:gridSpan w:val="4"/>
            <w:vAlign w:val="center"/>
          </w:tcPr>
          <w:p>
            <w:pPr>
              <w:spacing w:line="360" w:lineRule="auto"/>
              <w:jc w:val="center"/>
              <w:rPr>
                <w:rFonts w:ascii="宋体" w:hAnsi="宋体"/>
                <w:szCs w:val="21"/>
              </w:rPr>
            </w:pPr>
          </w:p>
        </w:tc>
        <w:tc>
          <w:tcPr>
            <w:tcW w:w="1294" w:type="pct"/>
            <w:gridSpan w:val="6"/>
            <w:vAlign w:val="center"/>
          </w:tcPr>
          <w:p>
            <w:pPr>
              <w:spacing w:line="360" w:lineRule="auto"/>
              <w:jc w:val="center"/>
              <w:rPr>
                <w:rFonts w:ascii="宋体" w:hAnsi="宋体"/>
                <w:szCs w:val="21"/>
              </w:rPr>
            </w:pPr>
            <w:r>
              <w:rPr>
                <w:rFonts w:hint="eastAsia" w:ascii="宋体" w:hAnsi="宋体"/>
                <w:szCs w:val="21"/>
              </w:rPr>
              <w:t>担任</w:t>
            </w:r>
            <w:r>
              <w:rPr>
                <w:rFonts w:hint="eastAsia" w:ascii="宋体" w:hAnsi="宋体"/>
                <w:b/>
                <w:szCs w:val="21"/>
                <w:u w:val="single"/>
              </w:rPr>
              <w:t xml:space="preserve"> </w:t>
            </w:r>
            <w:r>
              <w:rPr>
                <w:rFonts w:hint="eastAsia" w:ascii="宋体" w:hAnsi="宋体"/>
                <w:szCs w:val="21"/>
                <w:u w:val="single"/>
              </w:rPr>
              <w:t xml:space="preserve">    （职位名称）</w:t>
            </w:r>
            <w:r>
              <w:rPr>
                <w:rFonts w:hint="eastAsia" w:ascii="宋体" w:hAnsi="宋体"/>
                <w:szCs w:val="21"/>
              </w:rPr>
              <w:t>年限</w:t>
            </w:r>
          </w:p>
        </w:tc>
        <w:tc>
          <w:tcPr>
            <w:tcW w:w="1005"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pPr>
              <w:spacing w:line="360" w:lineRule="auto"/>
              <w:jc w:val="center"/>
              <w:rPr>
                <w:rFonts w:ascii="宋体" w:hAnsi="宋体"/>
                <w:szCs w:val="21"/>
              </w:rPr>
            </w:pPr>
            <w:r>
              <w:rPr>
                <w:rFonts w:hint="eastAsia" w:ascii="宋体" w:hAnsi="宋体"/>
                <w:szCs w:val="21"/>
              </w:rPr>
              <w:t>资格证书编号</w:t>
            </w:r>
          </w:p>
        </w:tc>
        <w:tc>
          <w:tcPr>
            <w:tcW w:w="1690" w:type="pct"/>
            <w:gridSpan w:val="6"/>
            <w:vAlign w:val="center"/>
          </w:tcPr>
          <w:p>
            <w:pPr>
              <w:spacing w:line="360" w:lineRule="auto"/>
              <w:jc w:val="center"/>
              <w:rPr>
                <w:rFonts w:ascii="宋体" w:hAnsi="宋体"/>
                <w:szCs w:val="21"/>
              </w:rPr>
            </w:pPr>
          </w:p>
        </w:tc>
        <w:tc>
          <w:tcPr>
            <w:tcW w:w="685" w:type="pct"/>
            <w:gridSpan w:val="4"/>
            <w:vAlign w:val="center"/>
          </w:tcPr>
          <w:p>
            <w:pPr>
              <w:spacing w:line="360" w:lineRule="auto"/>
              <w:jc w:val="center"/>
              <w:rPr>
                <w:rFonts w:ascii="宋体" w:hAnsi="宋体"/>
                <w:szCs w:val="21"/>
              </w:rPr>
            </w:pPr>
            <w:r>
              <w:rPr>
                <w:rFonts w:hint="eastAsia" w:ascii="宋体" w:hAnsi="宋体"/>
                <w:szCs w:val="21"/>
              </w:rPr>
              <w:t>联系电话</w:t>
            </w:r>
          </w:p>
        </w:tc>
        <w:tc>
          <w:tcPr>
            <w:tcW w:w="1005"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4"/>
            <w:vAlign w:val="center"/>
          </w:tcPr>
          <w:p>
            <w:pPr>
              <w:spacing w:line="360" w:lineRule="auto"/>
              <w:jc w:val="center"/>
              <w:rPr>
                <w:rFonts w:ascii="宋体" w:hAnsi="宋体"/>
                <w:szCs w:val="21"/>
              </w:rPr>
            </w:pPr>
            <w:r>
              <w:rPr>
                <w:rFonts w:hint="eastAsia" w:ascii="宋体" w:hAnsi="宋体"/>
                <w:szCs w:val="21"/>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gridSpan w:val="2"/>
            <w:vAlign w:val="center"/>
          </w:tcPr>
          <w:p>
            <w:pPr>
              <w:spacing w:line="360" w:lineRule="auto"/>
              <w:jc w:val="center"/>
              <w:rPr>
                <w:rFonts w:ascii="宋体" w:hAnsi="宋体"/>
                <w:szCs w:val="21"/>
              </w:rPr>
            </w:pPr>
            <w:r>
              <w:rPr>
                <w:rFonts w:hint="eastAsia" w:ascii="宋体" w:hAnsi="宋体"/>
                <w:szCs w:val="21"/>
              </w:rPr>
              <w:t>招标人</w:t>
            </w:r>
          </w:p>
        </w:tc>
        <w:tc>
          <w:tcPr>
            <w:tcW w:w="961" w:type="pct"/>
            <w:gridSpan w:val="2"/>
            <w:vAlign w:val="center"/>
          </w:tcPr>
          <w:p>
            <w:pPr>
              <w:spacing w:line="360" w:lineRule="auto"/>
              <w:jc w:val="center"/>
              <w:rPr>
                <w:rFonts w:ascii="宋体" w:hAnsi="宋体"/>
                <w:szCs w:val="21"/>
              </w:rPr>
            </w:pPr>
            <w:r>
              <w:rPr>
                <w:rFonts w:hint="eastAsia" w:ascii="宋体" w:hAnsi="宋体"/>
                <w:szCs w:val="21"/>
              </w:rPr>
              <w:t>项目名称</w:t>
            </w:r>
          </w:p>
        </w:tc>
        <w:tc>
          <w:tcPr>
            <w:tcW w:w="903" w:type="pct"/>
            <w:gridSpan w:val="4"/>
            <w:vAlign w:val="center"/>
          </w:tcPr>
          <w:p>
            <w:pPr>
              <w:spacing w:line="360" w:lineRule="auto"/>
              <w:jc w:val="center"/>
              <w:rPr>
                <w:rFonts w:ascii="宋体" w:hAnsi="宋体"/>
                <w:szCs w:val="21"/>
              </w:rPr>
            </w:pPr>
            <w:r>
              <w:rPr>
                <w:rFonts w:hint="eastAsia" w:ascii="宋体" w:hAnsi="宋体"/>
                <w:szCs w:val="21"/>
              </w:rPr>
              <w:t>项目规模</w:t>
            </w:r>
          </w:p>
        </w:tc>
        <w:tc>
          <w:tcPr>
            <w:tcW w:w="892" w:type="pct"/>
            <w:gridSpan w:val="3"/>
            <w:vAlign w:val="center"/>
          </w:tcPr>
          <w:p>
            <w:pPr>
              <w:spacing w:line="360" w:lineRule="auto"/>
              <w:jc w:val="center"/>
              <w:rPr>
                <w:rFonts w:ascii="宋体" w:hAnsi="宋体"/>
                <w:szCs w:val="21"/>
              </w:rPr>
            </w:pPr>
            <w:r>
              <w:rPr>
                <w:rFonts w:hint="eastAsia" w:ascii="宋体" w:hAnsi="宋体"/>
                <w:szCs w:val="21"/>
              </w:rPr>
              <w:t>所任职务</w:t>
            </w:r>
          </w:p>
        </w:tc>
        <w:tc>
          <w:tcPr>
            <w:tcW w:w="1398" w:type="pct"/>
            <w:gridSpan w:val="3"/>
            <w:vAlign w:val="center"/>
          </w:tcPr>
          <w:p>
            <w:pPr>
              <w:spacing w:line="360" w:lineRule="auto"/>
              <w:jc w:val="center"/>
              <w:rPr>
                <w:rFonts w:ascii="宋体" w:hAnsi="宋体"/>
                <w:szCs w:val="21"/>
              </w:rPr>
            </w:pPr>
            <w:r>
              <w:rPr>
                <w:rFonts w:hint="eastAsia" w:ascii="宋体" w:hAnsi="宋体"/>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bl>
    <w:p>
      <w:pPr>
        <w:pStyle w:val="2"/>
        <w:overflowPunct w:val="0"/>
        <w:spacing w:after="0" w:line="360" w:lineRule="auto"/>
        <w:jc w:val="left"/>
        <w:rPr>
          <w:rFonts w:ascii="宋体" w:hAnsi="宋体"/>
          <w:szCs w:val="21"/>
        </w:rPr>
      </w:pPr>
      <w:r>
        <w:rPr>
          <w:rFonts w:hint="eastAsia" w:ascii="宋体" w:hAnsi="宋体"/>
          <w:szCs w:val="21"/>
        </w:rPr>
        <w:t>注：需附有身份证（或外籍人员护照）、技术职称（或注册/执业/岗位等资格证书，非技术类人员可不提供）等证明材料的</w:t>
      </w:r>
      <w:r>
        <w:rPr>
          <w:rFonts w:hint="eastAsia" w:ascii="宋体" w:hAnsi="宋体"/>
          <w:lang w:val="zh-CN"/>
        </w:rPr>
        <w:t>原件扫描件</w:t>
      </w:r>
      <w:r>
        <w:rPr>
          <w:rFonts w:hint="eastAsia" w:ascii="宋体" w:hAnsi="宋体"/>
          <w:szCs w:val="21"/>
        </w:rPr>
        <w:t>。</w:t>
      </w: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rPr>
          <w:rFonts w:hAnsi="宋体"/>
          <w:szCs w:val="21"/>
        </w:rPr>
      </w:pPr>
      <w:r>
        <w:rPr>
          <w:rFonts w:hint="eastAsia" w:hAnsi="宋体"/>
          <w:szCs w:val="21"/>
        </w:rPr>
        <w:t>说明：由投标人使用投标人的企业数字证书电子签名。</w:t>
      </w:r>
    </w:p>
    <w:p>
      <w:pPr>
        <w:pageBreakBefore/>
        <w:spacing w:line="360" w:lineRule="auto"/>
        <w:rPr>
          <w:rFonts w:ascii="宋体" w:hAnsi="宋体"/>
          <w:b/>
          <w:sz w:val="24"/>
        </w:rPr>
      </w:pPr>
      <w:r>
        <w:rPr>
          <w:rFonts w:hint="eastAsia" w:ascii="宋体" w:hAnsi="宋体"/>
          <w:b/>
          <w:sz w:val="24"/>
        </w:rPr>
        <w:t>附件4-</w:t>
      </w:r>
      <w:r>
        <w:rPr>
          <w:rFonts w:ascii="宋体" w:hAnsi="宋体"/>
          <w:b/>
          <w:sz w:val="24"/>
        </w:rPr>
        <w:t>3.</w:t>
      </w:r>
      <w:r>
        <w:rPr>
          <w:rFonts w:hint="eastAsia" w:ascii="宋体" w:hAnsi="宋体"/>
          <w:b/>
          <w:sz w:val="24"/>
        </w:rPr>
        <w:t>安装时间、质保期、维修响应时间承诺表</w:t>
      </w:r>
    </w:p>
    <w:p>
      <w:pPr>
        <w:spacing w:line="360" w:lineRule="auto"/>
        <w:jc w:val="center"/>
        <w:rPr>
          <w:sz w:val="24"/>
        </w:rPr>
      </w:pPr>
    </w:p>
    <w:p>
      <w:pPr>
        <w:jc w:val="center"/>
        <w:rPr>
          <w:rFonts w:hAnsi="宋体" w:cs="宋体"/>
          <w:b/>
          <w:sz w:val="32"/>
          <w:szCs w:val="32"/>
        </w:rPr>
      </w:pPr>
      <w:r>
        <w:rPr>
          <w:rFonts w:hint="eastAsia" w:hAnsi="宋体" w:cs="宋体"/>
          <w:b/>
          <w:sz w:val="32"/>
          <w:szCs w:val="32"/>
        </w:rPr>
        <w:t>安装时间、质保期、维修响应时间承诺表</w:t>
      </w:r>
    </w:p>
    <w:tbl>
      <w:tblPr>
        <w:tblStyle w:val="29"/>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2" w:type="pct"/>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序号</w:t>
            </w:r>
          </w:p>
        </w:tc>
        <w:tc>
          <w:tcPr>
            <w:tcW w:w="4298" w:type="pct"/>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1</w:t>
            </w:r>
          </w:p>
        </w:tc>
        <w:tc>
          <w:tcPr>
            <w:tcW w:w="4298" w:type="pct"/>
            <w:vAlign w:val="center"/>
          </w:tcPr>
          <w:p>
            <w:pPr>
              <w:spacing w:line="360" w:lineRule="auto"/>
              <w:jc w:val="left"/>
              <w:rPr>
                <w:rFonts w:ascii="宋体" w:hAnsi="宋体"/>
                <w:szCs w:val="21"/>
              </w:rPr>
            </w:pPr>
            <w:r>
              <w:rPr>
                <w:rFonts w:hint="eastAsia" w:ascii="宋体" w:hAnsi="宋体"/>
                <w:szCs w:val="21"/>
              </w:rPr>
              <w:t>我方承诺于交货后派专业技术人员在招标人规定的时间内完成供货，</w:t>
            </w:r>
            <w:r>
              <w:rPr>
                <w:rFonts w:ascii="宋体" w:hAnsi="宋体"/>
                <w:szCs w:val="21"/>
              </w:rPr>
              <w:t>并在交接验收</w:t>
            </w:r>
            <w:r>
              <w:rPr>
                <w:rFonts w:hint="eastAsia" w:ascii="宋体" w:hAnsi="宋体"/>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hint="eastAsia" w:ascii="宋体" w:hAnsi="宋体"/>
                <w:b/>
                <w:szCs w:val="21"/>
              </w:rPr>
              <w:t>日</w:t>
            </w:r>
            <w:r>
              <w:rPr>
                <w:rFonts w:ascii="宋体" w:hAnsi="宋体"/>
                <w:szCs w:val="21"/>
              </w:rPr>
              <w:t>内</w:t>
            </w:r>
            <w:r>
              <w:rPr>
                <w:rFonts w:hint="eastAsia" w:ascii="宋体" w:hAnsi="宋体"/>
                <w:szCs w:val="21"/>
              </w:rPr>
              <w:t>完成全部设备的安装，且经项目业主和招标人初步验收合格。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pPr>
              <w:spacing w:line="360" w:lineRule="auto"/>
              <w:ind w:firstLine="420" w:firstLineChars="200"/>
              <w:rPr>
                <w:rFonts w:hAnsi="宋体" w:cs="宋体"/>
                <w:szCs w:val="21"/>
              </w:rPr>
            </w:pPr>
            <w:r>
              <w:rPr>
                <w:rFonts w:hint="eastAsia" w:hAnsi="宋体" w:cs="宋体"/>
                <w:szCs w:val="21"/>
              </w:rPr>
              <w:t>2</w:t>
            </w:r>
          </w:p>
        </w:tc>
        <w:tc>
          <w:tcPr>
            <w:tcW w:w="4298" w:type="pct"/>
            <w:vAlign w:val="center"/>
          </w:tcPr>
          <w:p>
            <w:pPr>
              <w:spacing w:line="360" w:lineRule="auto"/>
              <w:rPr>
                <w:rFonts w:hAnsi="宋体" w:cs="宋体"/>
                <w:szCs w:val="21"/>
                <w:shd w:val="clear" w:color="auto" w:fill="FFFFFF"/>
              </w:rPr>
            </w:pPr>
            <w:r>
              <w:rPr>
                <w:rFonts w:hint="eastAsia" w:ascii="宋体" w:hAnsi="宋体"/>
                <w:szCs w:val="21"/>
              </w:rPr>
              <w:t>我方承诺</w:t>
            </w:r>
            <w:r>
              <w:rPr>
                <w:rFonts w:hint="eastAsia" w:hAnsi="宋体" w:cs="宋体"/>
                <w:szCs w:val="21"/>
                <w:shd w:val="clear" w:color="auto" w:fill="FFFFFF"/>
              </w:rPr>
              <w:t>设备质保期为</w:t>
            </w:r>
            <w:r>
              <w:rPr>
                <w:rFonts w:hAnsi="宋体" w:cs="宋体"/>
                <w:b/>
                <w:szCs w:val="21"/>
                <w:u w:val="single"/>
                <w:shd w:val="clear" w:color="auto" w:fill="FFFFFF"/>
              </w:rPr>
              <w:t xml:space="preserve">        </w:t>
            </w:r>
            <w:r>
              <w:rPr>
                <w:rFonts w:hint="eastAsia" w:hAnsi="宋体" w:cs="宋体"/>
                <w:b/>
                <w:szCs w:val="21"/>
                <w:shd w:val="clear" w:color="auto" w:fill="FFFFFF"/>
              </w:rPr>
              <w:t>个月</w:t>
            </w:r>
            <w:r>
              <w:rPr>
                <w:rFonts w:hint="eastAsia" w:hAnsi="宋体" w:cs="宋体"/>
                <w:szCs w:val="21"/>
                <w:shd w:val="clear" w:color="auto" w:fill="FFFFFF"/>
              </w:rPr>
              <w:t>，质保期自单个项目所有设备最终验收合格之日起算（以设备整体验收报告日期为准）。</w:t>
            </w:r>
          </w:p>
          <w:p>
            <w:pPr>
              <w:spacing w:line="360" w:lineRule="auto"/>
              <w:rPr>
                <w:rFonts w:hAnsi="宋体" w:cs="宋体"/>
                <w:b/>
                <w:szCs w:val="21"/>
                <w:shd w:val="clear" w:color="auto" w:fill="FFFFFF"/>
              </w:rPr>
            </w:pPr>
            <w:r>
              <w:rPr>
                <w:rFonts w:hint="eastAsia" w:hAnsi="宋体" w:cs="宋体"/>
                <w:b/>
                <w:szCs w:val="21"/>
                <w:shd w:val="clear" w:color="auto" w:fill="FFFFFF"/>
              </w:rPr>
              <w:t>备</w:t>
            </w:r>
            <w:r>
              <w:rPr>
                <w:rFonts w:hint="eastAsia"/>
                <w:b/>
                <w:szCs w:val="21"/>
              </w:rPr>
              <w:t>注：</w:t>
            </w:r>
            <w:r>
              <w:rPr>
                <w:b/>
                <w:szCs w:val="21"/>
              </w:rPr>
              <w:t>承诺的质保期需按月（整数）填写，若填写数值为非整数，</w:t>
            </w:r>
            <w:r>
              <w:rPr>
                <w:rFonts w:hint="eastAsia"/>
                <w:b/>
                <w:szCs w:val="21"/>
              </w:rPr>
              <w:t>我方</w:t>
            </w:r>
            <w:r>
              <w:rPr>
                <w:b/>
                <w:szCs w:val="21"/>
              </w:rPr>
              <w:t>同意按小数点后的数字向上取整的方式调整承诺的质保期数值。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pPr>
              <w:spacing w:line="360" w:lineRule="auto"/>
              <w:ind w:firstLine="420" w:firstLineChars="200"/>
              <w:rPr>
                <w:rFonts w:hAnsi="宋体" w:cs="宋体"/>
                <w:szCs w:val="21"/>
              </w:rPr>
            </w:pPr>
            <w:r>
              <w:rPr>
                <w:rFonts w:hint="eastAsia" w:hAnsi="宋体" w:cs="宋体"/>
                <w:szCs w:val="21"/>
              </w:rPr>
              <w:t>3</w:t>
            </w:r>
          </w:p>
        </w:tc>
        <w:tc>
          <w:tcPr>
            <w:tcW w:w="4298" w:type="pct"/>
            <w:vAlign w:val="center"/>
          </w:tcPr>
          <w:p>
            <w:pPr>
              <w:spacing w:line="360" w:lineRule="auto"/>
              <w:rPr>
                <w:szCs w:val="21"/>
              </w:rPr>
            </w:pPr>
            <w:r>
              <w:rPr>
                <w:rFonts w:hint="eastAsia" w:ascii="宋体" w:hAnsi="宋体"/>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pPr>
        <w:spacing w:line="360" w:lineRule="auto"/>
        <w:ind w:left="360" w:right="420" w:firstLine="3255" w:firstLineChars="1550"/>
      </w:pPr>
    </w:p>
    <w:p>
      <w:pPr>
        <w:spacing w:line="360" w:lineRule="auto"/>
        <w:rPr>
          <w:b/>
          <w:sz w:val="24"/>
        </w:rPr>
      </w:pPr>
      <w:r>
        <w:rPr>
          <w:rFonts w:hint="eastAsia"/>
          <w:b/>
          <w:sz w:val="24"/>
        </w:rPr>
        <w:t>备注：1.本表承诺事项若未填或漏填的，视为投标人按用户需求书响应。</w:t>
      </w:r>
    </w:p>
    <w:p>
      <w:pPr>
        <w:spacing w:line="360" w:lineRule="auto"/>
        <w:rPr>
          <w:b/>
          <w:sz w:val="24"/>
        </w:rPr>
      </w:pPr>
      <w:r>
        <w:rPr>
          <w:b/>
          <w:sz w:val="24"/>
        </w:rPr>
        <w:t xml:space="preserve">      2.</w:t>
      </w:r>
      <w:r>
        <w:rPr>
          <w:rFonts w:hint="eastAsia"/>
          <w:b/>
          <w:sz w:val="24"/>
        </w:rPr>
        <w:t>本表承诺事项若与投标文件其他地方表述不一致的，以本承诺表为准。</w:t>
      </w:r>
    </w:p>
    <w:p>
      <w:pPr>
        <w:spacing w:line="360" w:lineRule="auto"/>
        <w:ind w:left="360" w:right="420" w:firstLine="3255" w:firstLineChars="1550"/>
        <w:rPr>
          <w:rFonts w:ascii="宋体" w:hAnsi="宋体"/>
          <w:kern w:val="3"/>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rPr>
          <w:rFonts w:hAnsi="宋体"/>
          <w:szCs w:val="21"/>
        </w:rPr>
      </w:pPr>
      <w:r>
        <w:rPr>
          <w:rFonts w:hint="eastAsia" w:hAnsi="宋体"/>
          <w:szCs w:val="21"/>
        </w:rPr>
        <w:t>说明：由投标人使用投标人的企业数字证书电子签名。</w:t>
      </w:r>
    </w:p>
    <w:p>
      <w:pPr>
        <w:rPr>
          <w:sz w:val="24"/>
        </w:rPr>
      </w:pPr>
    </w:p>
    <w:p>
      <w:pPr>
        <w:pageBreakBefore/>
        <w:spacing w:line="380" w:lineRule="exact"/>
        <w:jc w:val="center"/>
        <w:rPr>
          <w:rFonts w:ascii="宋体" w:hAnsi="宋体"/>
          <w:b/>
          <w:sz w:val="24"/>
        </w:rPr>
      </w:pPr>
      <w:r>
        <w:rPr>
          <w:rFonts w:hint="eastAsia" w:ascii="宋体" w:hAnsi="宋体"/>
          <w:b/>
          <w:sz w:val="24"/>
          <w:lang w:val="zh-CN"/>
        </w:rPr>
        <w:t>5、</w:t>
      </w:r>
      <w:r>
        <w:rPr>
          <w:rFonts w:hint="eastAsia" w:ascii="宋体" w:hAnsi="宋体"/>
          <w:b/>
          <w:sz w:val="24"/>
        </w:rPr>
        <w:t>投标人所在地的培训计划及报价</w:t>
      </w:r>
    </w:p>
    <w:p>
      <w:pPr>
        <w:spacing w:line="360" w:lineRule="auto"/>
        <w:rPr>
          <w:rFonts w:ascii="宋体" w:hAnsi="宋体"/>
          <w:szCs w:val="21"/>
        </w:rPr>
      </w:pPr>
    </w:p>
    <w:p>
      <w:pPr>
        <w:spacing w:line="360" w:lineRule="auto"/>
        <w:jc w:val="left"/>
        <w:rPr>
          <w:rFonts w:ascii="宋体" w:hAnsi="宋体"/>
          <w:sz w:val="24"/>
        </w:rPr>
      </w:pPr>
      <w:r>
        <w:rPr>
          <w:rFonts w:hint="eastAsia" w:ascii="宋体" w:hAnsi="宋体"/>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pPr>
        <w:spacing w:line="360" w:lineRule="auto"/>
        <w:jc w:val="left"/>
        <w:rPr>
          <w:rFonts w:ascii="宋体" w:hAnsi="宋体"/>
          <w:szCs w:val="21"/>
          <w:lang w:val="zh-CN"/>
        </w:rPr>
      </w:pPr>
    </w:p>
    <w:p>
      <w:pPr>
        <w:spacing w:line="360" w:lineRule="auto"/>
        <w:jc w:val="left"/>
        <w:rPr>
          <w:rFonts w:ascii="宋体" w:hAnsi="宋体"/>
          <w:b/>
          <w:szCs w:val="21"/>
        </w:rPr>
      </w:pPr>
      <w:r>
        <w:rPr>
          <w:rFonts w:hint="eastAsia" w:ascii="宋体" w:hAnsi="宋体"/>
          <w:b/>
          <w:szCs w:val="21"/>
          <w:lang w:val="zh-CN"/>
        </w:rPr>
        <w:t>附件5-1：投标人所在地培训</w:t>
      </w:r>
      <w:r>
        <w:rPr>
          <w:rFonts w:hint="eastAsia" w:ascii="宋体" w:hAnsi="宋体"/>
          <w:b/>
          <w:szCs w:val="21"/>
        </w:rPr>
        <w:t>详细报价表</w:t>
      </w:r>
    </w:p>
    <w:p>
      <w:pPr>
        <w:pStyle w:val="15"/>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szCs w:val="21"/>
        </w:rPr>
      </w:pPr>
    </w:p>
    <w:tbl>
      <w:tblPr>
        <w:tblStyle w:val="29"/>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660"/>
        <w:gridCol w:w="1477"/>
        <w:gridCol w:w="749"/>
        <w:gridCol w:w="1099"/>
        <w:gridCol w:w="109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5"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pPr>
              <w:pStyle w:val="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603"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pPr>
              <w:autoSpaceDE w:val="0"/>
              <w:autoSpaceDN w:val="0"/>
              <w:spacing w:line="360" w:lineRule="auto"/>
              <w:jc w:val="center"/>
              <w:rPr>
                <w:rFonts w:ascii="宋体" w:hAnsi="宋体" w:cs="Arial"/>
                <w:kern w:val="0"/>
                <w:szCs w:val="21"/>
              </w:rPr>
            </w:pPr>
          </w:p>
        </w:tc>
        <w:tc>
          <w:tcPr>
            <w:tcW w:w="1459" w:type="pct"/>
            <w:vAlign w:val="center"/>
          </w:tcPr>
          <w:p>
            <w:pPr>
              <w:pStyle w:val="9"/>
              <w:autoSpaceDE w:val="0"/>
              <w:autoSpaceDN w:val="0"/>
              <w:spacing w:before="0" w:line="360" w:lineRule="auto"/>
              <w:rPr>
                <w:rFonts w:ascii="宋体" w:hAnsi="宋体" w:cs="Arial"/>
                <w:kern w:val="0"/>
                <w:sz w:val="21"/>
                <w:szCs w:val="21"/>
              </w:rPr>
            </w:pPr>
          </w:p>
        </w:tc>
        <w:tc>
          <w:tcPr>
            <w:tcW w:w="810" w:type="pct"/>
            <w:vAlign w:val="center"/>
          </w:tcPr>
          <w:p>
            <w:pPr>
              <w:autoSpaceDE w:val="0"/>
              <w:autoSpaceDN w:val="0"/>
              <w:spacing w:line="360" w:lineRule="auto"/>
              <w:jc w:val="center"/>
              <w:rPr>
                <w:rFonts w:ascii="宋体" w:hAnsi="宋体" w:cs="Arial"/>
                <w:kern w:val="0"/>
                <w:szCs w:val="21"/>
              </w:rPr>
            </w:pPr>
          </w:p>
        </w:tc>
        <w:tc>
          <w:tcPr>
            <w:tcW w:w="411"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49" w:type="pct"/>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pPr>
              <w:autoSpaceDE w:val="0"/>
              <w:autoSpaceDN w:val="0"/>
              <w:spacing w:line="360" w:lineRule="auto"/>
              <w:jc w:val="center"/>
              <w:rPr>
                <w:rFonts w:ascii="宋体" w:hAnsi="宋体" w:cs="Arial"/>
                <w:kern w:val="0"/>
                <w:szCs w:val="21"/>
              </w:rPr>
            </w:pPr>
          </w:p>
        </w:tc>
        <w:tc>
          <w:tcPr>
            <w:tcW w:w="1459" w:type="pct"/>
            <w:vAlign w:val="center"/>
          </w:tcPr>
          <w:p>
            <w:pPr>
              <w:pStyle w:val="9"/>
              <w:autoSpaceDE w:val="0"/>
              <w:autoSpaceDN w:val="0"/>
              <w:spacing w:before="0" w:line="360" w:lineRule="auto"/>
              <w:rPr>
                <w:rFonts w:ascii="宋体" w:hAnsi="宋体" w:cs="Arial"/>
                <w:sz w:val="21"/>
                <w:szCs w:val="21"/>
              </w:rPr>
            </w:pPr>
          </w:p>
        </w:tc>
        <w:tc>
          <w:tcPr>
            <w:tcW w:w="810" w:type="pct"/>
            <w:vAlign w:val="center"/>
          </w:tcPr>
          <w:p>
            <w:pPr>
              <w:autoSpaceDE w:val="0"/>
              <w:autoSpaceDN w:val="0"/>
              <w:spacing w:line="360" w:lineRule="auto"/>
              <w:jc w:val="center"/>
              <w:rPr>
                <w:rFonts w:ascii="宋体" w:hAnsi="宋体" w:cs="Arial"/>
                <w:kern w:val="0"/>
                <w:szCs w:val="21"/>
              </w:rPr>
            </w:pPr>
          </w:p>
        </w:tc>
        <w:tc>
          <w:tcPr>
            <w:tcW w:w="411"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49" w:type="pct"/>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1459" w:type="pct"/>
            <w:vAlign w:val="center"/>
          </w:tcPr>
          <w:p>
            <w:pPr>
              <w:pStyle w:val="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810" w:type="pct"/>
            <w:vAlign w:val="center"/>
          </w:tcPr>
          <w:p>
            <w:pPr>
              <w:autoSpaceDE w:val="0"/>
              <w:autoSpaceDN w:val="0"/>
              <w:spacing w:line="360" w:lineRule="auto"/>
              <w:jc w:val="center"/>
              <w:rPr>
                <w:rFonts w:ascii="宋体" w:hAnsi="宋体" w:cs="Arial"/>
                <w:kern w:val="0"/>
                <w:szCs w:val="21"/>
              </w:rPr>
            </w:pPr>
          </w:p>
        </w:tc>
        <w:tc>
          <w:tcPr>
            <w:tcW w:w="411"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49" w:type="pct"/>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5" w:type="pct"/>
            <w:vAlign w:val="center"/>
          </w:tcPr>
          <w:p>
            <w:pPr>
              <w:autoSpaceDE w:val="0"/>
              <w:autoSpaceDN w:val="0"/>
              <w:spacing w:line="360" w:lineRule="auto"/>
              <w:jc w:val="center"/>
              <w:rPr>
                <w:rFonts w:ascii="宋体" w:hAnsi="宋体" w:cs="Arial"/>
                <w:kern w:val="0"/>
                <w:szCs w:val="21"/>
              </w:rPr>
            </w:pPr>
          </w:p>
        </w:tc>
        <w:tc>
          <w:tcPr>
            <w:tcW w:w="1459" w:type="pct"/>
            <w:vAlign w:val="center"/>
          </w:tcPr>
          <w:p>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szCs w:val="21"/>
        </w:rPr>
      </w:pPr>
      <w:r>
        <w:rPr>
          <w:rFonts w:hint="eastAsia" w:ascii="宋体" w:hAnsi="宋体"/>
          <w:kern w:val="3"/>
          <w:szCs w:val="21"/>
        </w:rPr>
        <w:t>注：本项报价不包含在投标报价中。</w:t>
      </w:r>
      <w:r>
        <w:rPr>
          <w:rFonts w:hint="eastAsia" w:ascii="宋体" w:hAnsi="宋体"/>
          <w:szCs w:val="21"/>
        </w:rPr>
        <w:t xml:space="preserve"> </w:t>
      </w:r>
    </w:p>
    <w:p>
      <w:pPr>
        <w:spacing w:line="360" w:lineRule="auto"/>
        <w:rPr>
          <w:rFonts w:ascii="宋体" w:hAnsi="宋体"/>
          <w:szCs w:val="21"/>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sz w:val="24"/>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60" w:lineRule="auto"/>
        <w:jc w:val="center"/>
        <w:rPr>
          <w:rFonts w:ascii="宋体" w:hAnsi="宋体"/>
          <w:b/>
          <w:sz w:val="24"/>
        </w:rPr>
      </w:pPr>
      <w:r>
        <w:rPr>
          <w:rFonts w:hint="eastAsia" w:ascii="宋体" w:hAnsi="宋体"/>
          <w:b/>
          <w:sz w:val="24"/>
          <w:lang w:val="zh-CN"/>
        </w:rPr>
        <w:t>6、</w:t>
      </w:r>
      <w:r>
        <w:rPr>
          <w:rFonts w:hint="eastAsia" w:ascii="宋体" w:hAnsi="宋体"/>
          <w:b/>
          <w:sz w:val="24"/>
        </w:rPr>
        <w:t>设备检测所需仪器仪表清单及报价</w:t>
      </w:r>
    </w:p>
    <w:p>
      <w:pPr>
        <w:spacing w:line="360" w:lineRule="auto"/>
        <w:rPr>
          <w:rFonts w:ascii="宋体" w:hAnsi="宋体"/>
          <w:szCs w:val="21"/>
        </w:rPr>
      </w:pPr>
      <w:r>
        <w:rPr>
          <w:rFonts w:hint="eastAsia" w:ascii="宋体" w:hAnsi="宋体"/>
          <w:szCs w:val="21"/>
        </w:rPr>
        <w:t>（项目业主视情况决定是否采购本部分内容，本部分报价不计入投标报价。）</w:t>
      </w:r>
    </w:p>
    <w:p>
      <w:pPr>
        <w:pStyle w:val="15"/>
        <w:spacing w:line="360" w:lineRule="auto"/>
        <w:ind w:firstLine="6405" w:firstLineChars="3050"/>
        <w:rPr>
          <w:rFonts w:hAnsi="宋体"/>
          <w:szCs w:val="21"/>
        </w:rPr>
      </w:pPr>
      <w:r>
        <w:rPr>
          <w:rFonts w:hint="eastAsia" w:hAnsi="宋体"/>
          <w:szCs w:val="21"/>
        </w:rPr>
        <w:t>单位：人民币元</w:t>
      </w:r>
    </w:p>
    <w:p>
      <w:pPr>
        <w:pStyle w:val="15"/>
        <w:spacing w:line="360" w:lineRule="auto"/>
        <w:ind w:firstLine="6405" w:firstLineChars="3050"/>
        <w:rPr>
          <w:rFonts w:hAnsi="宋体"/>
          <w:szCs w:val="21"/>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513"/>
        <w:gridCol w:w="802"/>
        <w:gridCol w:w="981"/>
        <w:gridCol w:w="1140"/>
        <w:gridCol w:w="1056"/>
        <w:gridCol w:w="895"/>
        <w:gridCol w:w="104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83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货物名称</w:t>
            </w:r>
          </w:p>
        </w:tc>
        <w:tc>
          <w:tcPr>
            <w:tcW w:w="44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品牌</w:t>
            </w:r>
          </w:p>
        </w:tc>
        <w:tc>
          <w:tcPr>
            <w:tcW w:w="53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62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型号</w:t>
            </w:r>
          </w:p>
        </w:tc>
        <w:tc>
          <w:tcPr>
            <w:tcW w:w="579"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49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57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48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 xml:space="preserve"> </w:t>
            </w:r>
          </w:p>
        </w:tc>
        <w:tc>
          <w:tcPr>
            <w:tcW w:w="83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 xml:space="preserve"> </w:t>
            </w:r>
          </w:p>
        </w:tc>
        <w:tc>
          <w:tcPr>
            <w:tcW w:w="44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4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4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83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pct"/>
            <w:gridSpan w:val="3"/>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合计</w:t>
            </w:r>
          </w:p>
        </w:tc>
        <w:tc>
          <w:tcPr>
            <w:tcW w:w="3287" w:type="pct"/>
            <w:gridSpan w:val="6"/>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bl>
    <w:p>
      <w:pPr>
        <w:spacing w:line="360" w:lineRule="auto"/>
        <w:rPr>
          <w:rFonts w:ascii="宋体" w:hAnsi="宋体"/>
          <w:kern w:val="3"/>
        </w:rPr>
      </w:pPr>
      <w:r>
        <w:rPr>
          <w:rFonts w:hint="eastAsia" w:ascii="宋体" w:hAnsi="宋体"/>
          <w:kern w:val="3"/>
        </w:rPr>
        <w:t>注：</w:t>
      </w:r>
      <w:r>
        <w:rPr>
          <w:rFonts w:hint="eastAsia" w:ascii="宋体" w:hAnsi="宋体"/>
          <w:kern w:val="3"/>
          <w:szCs w:val="21"/>
        </w:rPr>
        <w:t>本项报价不包含在投标报价中</w:t>
      </w:r>
      <w:r>
        <w:rPr>
          <w:rFonts w:hint="eastAsia" w:ascii="宋体" w:hAnsi="宋体"/>
          <w:szCs w:val="21"/>
        </w:rPr>
        <w:t>。</w:t>
      </w:r>
    </w:p>
    <w:p>
      <w:pPr>
        <w:spacing w:line="360" w:lineRule="auto"/>
        <w:rPr>
          <w:rFonts w:ascii="宋体" w:hAnsi="宋体"/>
          <w:b/>
          <w:kern w:val="3"/>
        </w:rPr>
      </w:pPr>
    </w:p>
    <w:p>
      <w:pPr>
        <w:spacing w:line="360" w:lineRule="auto"/>
        <w:ind w:firstLine="3465" w:firstLineChars="1650"/>
        <w:rPr>
          <w:rFonts w:ascii="宋体" w:hAnsi="宋体"/>
          <w:kern w:val="3"/>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15"/>
        <w:spacing w:line="360" w:lineRule="auto"/>
        <w:ind w:firstLine="3990" w:firstLineChars="1900"/>
        <w:rPr>
          <w:rFonts w:hAnsi="宋体"/>
          <w:szCs w:val="21"/>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60" w:lineRule="auto"/>
        <w:jc w:val="center"/>
        <w:rPr>
          <w:rFonts w:ascii="宋体" w:hAnsi="宋体"/>
          <w:b/>
          <w:sz w:val="24"/>
        </w:rPr>
      </w:pPr>
      <w:r>
        <w:rPr>
          <w:rFonts w:hint="eastAsia" w:ascii="宋体" w:hAnsi="宋体"/>
          <w:b/>
          <w:sz w:val="24"/>
        </w:rPr>
        <w:t>7、质保期后设备配件及专用工具报价表</w:t>
      </w:r>
    </w:p>
    <w:p>
      <w:pPr>
        <w:spacing w:line="360" w:lineRule="auto"/>
        <w:jc w:val="center"/>
        <w:rPr>
          <w:rFonts w:ascii="宋体" w:hAnsi="宋体"/>
          <w:szCs w:val="21"/>
        </w:rPr>
      </w:pPr>
      <w:r>
        <w:rPr>
          <w:rFonts w:hint="eastAsia" w:ascii="宋体" w:hAnsi="宋体"/>
          <w:szCs w:val="21"/>
        </w:rPr>
        <w:t>（不计入投标总价，项目业主视情况决定是否采购该部分内容）</w:t>
      </w:r>
    </w:p>
    <w:p>
      <w:pPr>
        <w:pStyle w:val="15"/>
        <w:spacing w:line="360" w:lineRule="auto"/>
        <w:ind w:firstLine="6405" w:firstLineChars="3050"/>
        <w:rPr>
          <w:rFonts w:hAnsi="宋体"/>
          <w:szCs w:val="21"/>
        </w:rPr>
      </w:pPr>
      <w:r>
        <w:rPr>
          <w:rFonts w:hint="eastAsia" w:hAnsi="宋体"/>
          <w:szCs w:val="21"/>
        </w:rPr>
        <w:t>单位：人民币元</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517"/>
        <w:gridCol w:w="1484"/>
        <w:gridCol w:w="979"/>
        <w:gridCol w:w="937"/>
        <w:gridCol w:w="742"/>
        <w:gridCol w:w="726"/>
        <w:gridCol w:w="103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序号</w:t>
            </w: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配件名称</w:t>
            </w: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制造商/品牌</w:t>
            </w: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产地</w:t>
            </w: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型号</w:t>
            </w: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单位</w:t>
            </w: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数量</w:t>
            </w: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单价</w:t>
            </w:r>
          </w:p>
          <w:p>
            <w:pPr>
              <w:pStyle w:val="15"/>
              <w:spacing w:line="360" w:lineRule="auto"/>
              <w:jc w:val="center"/>
              <w:rPr>
                <w:rFonts w:hAnsi="宋体"/>
                <w:b/>
                <w:szCs w:val="21"/>
              </w:rPr>
            </w:pPr>
            <w:r>
              <w:rPr>
                <w:rFonts w:hint="eastAsia" w:hAnsi="宋体"/>
                <w:b/>
                <w:szCs w:val="21"/>
              </w:rPr>
              <w:t>（不含税）</w:t>
            </w: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b/>
                <w:szCs w:val="21"/>
              </w:rPr>
            </w:pPr>
            <w:r>
              <w:rPr>
                <w:rFonts w:hint="eastAsia"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一</w:t>
            </w: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配件</w:t>
            </w: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二</w:t>
            </w: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专用工具</w:t>
            </w: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832"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r>
              <w:rPr>
                <w:rFonts w:hint="eastAsia" w:hAnsi="宋体"/>
                <w:szCs w:val="21"/>
              </w:rPr>
              <w:t>……</w:t>
            </w:r>
          </w:p>
        </w:tc>
        <w:tc>
          <w:tcPr>
            <w:tcW w:w="8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hAnsi="宋体"/>
                <w:szCs w:val="21"/>
              </w:rPr>
            </w:pPr>
            <w:r>
              <w:rPr>
                <w:rFonts w:hint="eastAsia" w:hAnsi="宋体" w:cs="宋体"/>
                <w:kern w:val="0"/>
                <w:szCs w:val="21"/>
              </w:rPr>
              <w:t>说明：本次招标约定由投标人提供的备品备件已计入投标总报价，不列入本表。</w:t>
            </w:r>
          </w:p>
        </w:tc>
      </w:tr>
    </w:tbl>
    <w:p>
      <w:pPr>
        <w:pStyle w:val="15"/>
        <w:spacing w:line="360" w:lineRule="auto"/>
        <w:rPr>
          <w:rFonts w:hAnsi="宋体"/>
          <w:szCs w:val="21"/>
        </w:rPr>
      </w:pPr>
    </w:p>
    <w:p>
      <w:pPr>
        <w:spacing w:line="360" w:lineRule="auto"/>
        <w:rPr>
          <w:rFonts w:ascii="宋体" w:hAnsi="宋体"/>
          <w:szCs w:val="21"/>
        </w:rPr>
      </w:pPr>
      <w:r>
        <w:rPr>
          <w:rFonts w:hint="eastAsia" w:ascii="宋体" w:hAnsi="宋体"/>
          <w:kern w:val="3"/>
        </w:rPr>
        <w:t>注：</w:t>
      </w:r>
      <w:r>
        <w:rPr>
          <w:rFonts w:hint="eastAsia" w:ascii="宋体" w:hAnsi="宋体"/>
          <w:kern w:val="3"/>
          <w:szCs w:val="21"/>
        </w:rPr>
        <w:t>本项报价不包含在投标报价中</w:t>
      </w:r>
      <w:r>
        <w:rPr>
          <w:rFonts w:hint="eastAsia" w:ascii="宋体" w:hAnsi="宋体"/>
          <w:szCs w:val="21"/>
        </w:rPr>
        <w:t>。</w:t>
      </w:r>
    </w:p>
    <w:p>
      <w:pPr>
        <w:spacing w:line="360" w:lineRule="auto"/>
        <w:rPr>
          <w:rFonts w:ascii="宋体" w:hAnsi="宋体"/>
          <w:szCs w:val="21"/>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sz w:val="24"/>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80" w:lineRule="exact"/>
        <w:jc w:val="center"/>
        <w:rPr>
          <w:rFonts w:ascii="宋体" w:hAnsi="宋体"/>
          <w:b/>
          <w:sz w:val="24"/>
          <w:lang w:val="zh-CN"/>
        </w:rPr>
      </w:pPr>
      <w:r>
        <w:rPr>
          <w:rFonts w:hint="eastAsia" w:ascii="宋体" w:hAnsi="宋体"/>
          <w:b/>
          <w:sz w:val="24"/>
          <w:lang w:val="zh-CN"/>
        </w:rPr>
        <w:t>8、用户需求书要求提交的其他技术资料（含图纸、图表等）</w:t>
      </w:r>
    </w:p>
    <w:p>
      <w:pPr>
        <w:spacing w:line="360" w:lineRule="auto"/>
        <w:ind w:left="360"/>
        <w:rPr>
          <w:rFonts w:ascii="宋体" w:hAnsi="宋体"/>
          <w:szCs w:val="21"/>
          <w:lang w:val="zh-CN"/>
        </w:rPr>
      </w:pPr>
    </w:p>
    <w:p>
      <w:pPr>
        <w:spacing w:line="360" w:lineRule="auto"/>
        <w:ind w:left="360"/>
        <w:rPr>
          <w:rFonts w:ascii="宋体" w:hAnsi="宋体"/>
          <w:szCs w:val="21"/>
          <w:lang w:val="zh-CN"/>
        </w:rPr>
      </w:pPr>
      <w:r>
        <w:rPr>
          <w:rFonts w:hint="eastAsia" w:ascii="宋体" w:hAnsi="宋体"/>
          <w:szCs w:val="21"/>
          <w:lang w:val="zh-CN"/>
        </w:rPr>
        <w:t>（</w:t>
      </w:r>
      <w:r>
        <w:rPr>
          <w:rFonts w:hint="eastAsia" w:ascii="宋体" w:hAnsi="宋体"/>
          <w:szCs w:val="21"/>
        </w:rPr>
        <w:t>投标人自行编写，格式不限，</w:t>
      </w:r>
      <w:r>
        <w:rPr>
          <w:rFonts w:ascii="宋体" w:hAnsi="宋体"/>
          <w:szCs w:val="21"/>
        </w:rPr>
        <w:t>投标人按用户需求书的要求，</w:t>
      </w:r>
      <w:r>
        <w:rPr>
          <w:rFonts w:hint="eastAsia" w:ascii="宋体" w:hAnsi="宋体"/>
          <w:szCs w:val="21"/>
        </w:rPr>
        <w:t>提供反映投标产品性能的技术支持资料相关证明材料，包括但不限于：</w:t>
      </w:r>
    </w:p>
    <w:p>
      <w:pPr>
        <w:spacing w:line="360" w:lineRule="auto"/>
        <w:ind w:firstLine="570"/>
        <w:rPr>
          <w:rFonts w:ascii="宋体" w:hAnsi="宋体"/>
          <w:szCs w:val="21"/>
        </w:rPr>
      </w:pPr>
      <w:r>
        <w:rPr>
          <w:rFonts w:hint="eastAsia" w:ascii="宋体" w:hAnsi="宋体"/>
          <w:szCs w:val="21"/>
        </w:rPr>
        <w:t>1）供货设备的设备说明书、必要的设备图纸等技术资料。这些资料应能表述设备的关键参数和性能(包括设备部件的材质、质量标准、设备产地、制造商)。</w:t>
      </w:r>
    </w:p>
    <w:p>
      <w:pPr>
        <w:spacing w:line="360" w:lineRule="auto"/>
        <w:ind w:firstLine="570"/>
        <w:rPr>
          <w:rFonts w:ascii="宋体" w:hAnsi="宋体"/>
          <w:szCs w:val="21"/>
        </w:rPr>
      </w:pPr>
      <w:r>
        <w:rPr>
          <w:rFonts w:hint="eastAsia" w:ascii="宋体" w:hAnsi="宋体"/>
          <w:szCs w:val="21"/>
        </w:rPr>
        <w:t>包括但不限于：</w:t>
      </w:r>
    </w:p>
    <w:p>
      <w:pPr>
        <w:snapToGrid w:val="0"/>
        <w:spacing w:line="360" w:lineRule="auto"/>
        <w:ind w:firstLine="525" w:firstLineChars="250"/>
      </w:pPr>
      <w:r>
        <w:rPr>
          <w:rFonts w:hint="eastAsia" w:ascii="宋体" w:hAnsi="宋体" w:cs="宋体"/>
          <w:szCs w:val="21"/>
          <w:lang w:bidi="ar"/>
        </w:rPr>
        <w:t>机械类：性能曲线、效率曲线、性能参数、结构图、主要部件材质表、电气自控配套图纸等及说明（包括电机功率、轴功率等）。</w:t>
      </w:r>
    </w:p>
    <w:p>
      <w:pPr>
        <w:spacing w:line="360" w:lineRule="auto"/>
        <w:ind w:firstLine="630" w:firstLineChars="300"/>
        <w:rPr>
          <w:rFonts w:hAnsi="宋体" w:cs="宋体"/>
        </w:rPr>
      </w:pPr>
      <w:r>
        <w:rPr>
          <w:rFonts w:hint="eastAsia" w:hAnsi="宋体" w:cs="宋体"/>
        </w:rPr>
        <w:t>电机类：主要性能参数、电机接线及结构简图等。</w:t>
      </w:r>
    </w:p>
    <w:p>
      <w:pPr>
        <w:spacing w:line="360" w:lineRule="auto"/>
        <w:ind w:firstLine="630" w:firstLineChars="300"/>
        <w:rPr>
          <w:rFonts w:hAnsi="宋体" w:cs="宋体"/>
        </w:rPr>
      </w:pPr>
      <w:r>
        <w:rPr>
          <w:rFonts w:hint="eastAsia" w:hAnsi="宋体" w:cs="宋体"/>
        </w:rPr>
        <w:t>电气控制类：主要性能参数、平均无故障时间，系统图、硬件构成图、软件功能说明、原理图、电气设备图纸等。</w:t>
      </w:r>
    </w:p>
    <w:p>
      <w:pPr>
        <w:spacing w:line="360" w:lineRule="auto"/>
        <w:ind w:firstLine="570"/>
        <w:rPr>
          <w:rFonts w:ascii="宋体" w:hAnsi="宋体"/>
          <w:szCs w:val="21"/>
        </w:rPr>
      </w:pPr>
      <w:r>
        <w:rPr>
          <w:rFonts w:hint="eastAsia" w:ascii="宋体" w:hAnsi="宋体"/>
          <w:szCs w:val="21"/>
        </w:rPr>
        <w:t>4）其他投标人认为应该提供的材料。</w:t>
      </w:r>
    </w:p>
    <w:p>
      <w:pPr>
        <w:spacing w:before="156" w:beforeLines="50" w:after="156" w:afterLines="50" w:line="360" w:lineRule="auto"/>
        <w:ind w:left="360"/>
        <w:rPr>
          <w:rFonts w:hAnsi="宋体"/>
          <w:szCs w:val="21"/>
        </w:rPr>
      </w:pPr>
    </w:p>
    <w:p>
      <w:pPr>
        <w:spacing w:before="156" w:beforeLines="50" w:after="156" w:afterLines="50" w:line="360" w:lineRule="auto"/>
        <w:ind w:left="360"/>
        <w:rPr>
          <w:rFonts w:ascii="宋体" w:hAnsi="宋体"/>
          <w:szCs w:val="21"/>
        </w:rPr>
      </w:pPr>
      <w:r>
        <w:rPr>
          <w:rFonts w:hint="eastAsia" w:hAnsi="宋体"/>
          <w:szCs w:val="21"/>
        </w:rPr>
        <w:t>说明：由投标人使用投标人的企业数字证书电子签名。</w:t>
      </w:r>
    </w:p>
    <w:p>
      <w:pPr>
        <w:pageBreakBefore/>
        <w:spacing w:line="380" w:lineRule="exact"/>
        <w:jc w:val="center"/>
        <w:rPr>
          <w:rFonts w:ascii="宋体" w:hAnsi="宋体"/>
          <w:b/>
          <w:sz w:val="24"/>
          <w:lang w:val="zh-CN"/>
        </w:rPr>
      </w:pPr>
      <w:r>
        <w:rPr>
          <w:rFonts w:hint="eastAsia" w:ascii="宋体" w:hAnsi="宋体"/>
          <w:b/>
          <w:sz w:val="24"/>
          <w:lang w:val="zh-CN"/>
        </w:rPr>
        <w:t>9、投标人认为有需要提供的其他文件</w:t>
      </w:r>
    </w:p>
    <w:p>
      <w:pPr>
        <w:pStyle w:val="12"/>
        <w:spacing w:line="360" w:lineRule="auto"/>
        <w:ind w:firstLine="2240" w:firstLineChars="800"/>
        <w:rPr>
          <w:rFonts w:ascii="宋体" w:hAnsi="宋体"/>
          <w:szCs w:val="21"/>
        </w:rPr>
      </w:pPr>
    </w:p>
    <w:p>
      <w:pPr>
        <w:pStyle w:val="12"/>
        <w:spacing w:line="360" w:lineRule="auto"/>
        <w:ind w:firstLine="2415" w:firstLineChars="1150"/>
        <w:rPr>
          <w:rFonts w:ascii="宋体" w:hAnsi="宋体"/>
          <w:sz w:val="21"/>
          <w:szCs w:val="21"/>
        </w:rPr>
      </w:pPr>
      <w:r>
        <w:rPr>
          <w:rFonts w:hint="eastAsia" w:ascii="宋体" w:hAnsi="宋体"/>
          <w:sz w:val="21"/>
          <w:szCs w:val="21"/>
        </w:rPr>
        <w:t>（不做强制性提交要求）。</w:t>
      </w: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2415" w:firstLineChars="1150"/>
        <w:rPr>
          <w:rFonts w:ascii="宋体" w:hAnsi="宋体"/>
          <w:sz w:val="21"/>
          <w:szCs w:val="21"/>
        </w:rPr>
      </w:pPr>
    </w:p>
    <w:p>
      <w:pPr>
        <w:pStyle w:val="12"/>
        <w:spacing w:line="360" w:lineRule="auto"/>
        <w:ind w:firstLine="0" w:firstLineChars="0"/>
        <w:jc w:val="left"/>
        <w:rPr>
          <w:rFonts w:ascii="宋体" w:hAnsi="宋体"/>
          <w:sz w:val="24"/>
        </w:rPr>
      </w:pPr>
      <w:r>
        <w:rPr>
          <w:rFonts w:hint="eastAsia" w:ascii="宋体" w:hAnsi="宋体"/>
          <w:sz w:val="24"/>
        </w:rPr>
        <w:t>说明：由投标人使用投标人的企业数字证书电子签名。</w:t>
      </w:r>
    </w:p>
    <w:p>
      <w:pPr>
        <w:pStyle w:val="4"/>
        <w:keepNext w:val="0"/>
        <w:keepLines w:val="0"/>
        <w:pageBreakBefore/>
        <w:spacing w:before="0" w:after="0" w:line="360" w:lineRule="auto"/>
        <w:ind w:left="420"/>
        <w:jc w:val="center"/>
        <w:rPr>
          <w:rFonts w:ascii="宋体" w:hAnsi="宋体" w:eastAsia="宋体"/>
          <w:b w:val="0"/>
          <w:bCs w:val="0"/>
          <w:sz w:val="30"/>
          <w:szCs w:val="28"/>
        </w:rPr>
      </w:pPr>
      <w:bookmarkStart w:id="1018" w:name="_Toc20268"/>
      <w:bookmarkStart w:id="1019" w:name="_Toc13571"/>
      <w:bookmarkStart w:id="1020" w:name="_Toc132814853"/>
      <w:bookmarkStart w:id="1021" w:name="_Toc19158"/>
      <w:bookmarkStart w:id="1022" w:name="_Toc6371"/>
      <w:bookmarkStart w:id="1023" w:name="_Toc27647"/>
      <w:r>
        <w:rPr>
          <w:rFonts w:hint="eastAsia" w:ascii="宋体" w:hAnsi="宋体" w:eastAsia="宋体"/>
          <w:b w:val="0"/>
          <w:bCs w:val="0"/>
          <w:sz w:val="30"/>
          <w:szCs w:val="28"/>
        </w:rPr>
        <w:t>三</w:t>
      </w:r>
      <w:r>
        <w:rPr>
          <w:rFonts w:ascii="宋体" w:hAnsi="宋体" w:eastAsia="宋体"/>
          <w:b w:val="0"/>
          <w:bCs w:val="0"/>
          <w:sz w:val="30"/>
          <w:szCs w:val="28"/>
        </w:rPr>
        <w:t>、</w:t>
      </w:r>
      <w:r>
        <w:rPr>
          <w:rFonts w:hint="eastAsia" w:ascii="宋体" w:hAnsi="宋体" w:eastAsia="宋体"/>
          <w:b w:val="0"/>
          <w:bCs w:val="0"/>
          <w:sz w:val="30"/>
          <w:szCs w:val="28"/>
        </w:rPr>
        <w:t>投标文件报价信封格式</w:t>
      </w:r>
      <w:bookmarkEnd w:id="1018"/>
      <w:bookmarkEnd w:id="1019"/>
      <w:bookmarkEnd w:id="1020"/>
      <w:bookmarkEnd w:id="1021"/>
      <w:bookmarkEnd w:id="1022"/>
      <w:bookmarkEnd w:id="1023"/>
    </w:p>
    <w:p>
      <w:pPr>
        <w:rPr>
          <w:sz w:val="24"/>
        </w:rPr>
      </w:pPr>
    </w:p>
    <w:p>
      <w:pPr>
        <w:rPr>
          <w:sz w:val="24"/>
        </w:rPr>
      </w:pPr>
    </w:p>
    <w:p>
      <w:pPr>
        <w:snapToGrid w:val="0"/>
        <w:spacing w:line="360" w:lineRule="auto"/>
        <w:ind w:firstLine="420" w:firstLineChars="200"/>
        <w:rPr>
          <w:rFonts w:ascii="宋体" w:hAnsi="宋体"/>
          <w:szCs w:val="21"/>
        </w:rPr>
      </w:pPr>
      <w:bookmarkStart w:id="1024" w:name="_Hlk89536733"/>
      <w:r>
        <w:rPr>
          <w:rFonts w:hint="eastAsia" w:ascii="宋体" w:hAnsi="宋体"/>
          <w:szCs w:val="21"/>
        </w:rPr>
        <w:t>本部分由投标人使用电子标书制作软件编制并生成报价信封。报价信封的编制要求详见第一章1</w:t>
      </w:r>
      <w:r>
        <w:rPr>
          <w:rFonts w:ascii="宋体" w:hAnsi="宋体"/>
          <w:szCs w:val="21"/>
        </w:rPr>
        <w:t>8.6.3</w:t>
      </w:r>
      <w:r>
        <w:rPr>
          <w:rFonts w:hint="eastAsia" w:ascii="宋体" w:hAnsi="宋体"/>
          <w:szCs w:val="21"/>
        </w:rPr>
        <w:t>项。由投标人按格式要求进行电子签名。</w:t>
      </w: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rPr>
          <w:rFonts w:ascii="宋体" w:hAnsi="宋体"/>
          <w:szCs w:val="21"/>
        </w:rPr>
      </w:pPr>
    </w:p>
    <w:p>
      <w:pPr>
        <w:pStyle w:val="9"/>
        <w:rPr>
          <w:rFonts w:ascii="宋体" w:hAnsi="宋体"/>
          <w:szCs w:val="21"/>
        </w:rPr>
      </w:pPr>
    </w:p>
    <w:p>
      <w:pPr>
        <w:pStyle w:val="4"/>
        <w:keepNext w:val="0"/>
        <w:keepLines w:val="0"/>
        <w:pageBreakBefore/>
        <w:spacing w:before="0" w:after="0" w:line="360" w:lineRule="auto"/>
        <w:ind w:left="420"/>
        <w:jc w:val="center"/>
        <w:rPr>
          <w:rFonts w:ascii="宋体" w:hAnsi="宋体" w:eastAsia="宋体"/>
          <w:b w:val="0"/>
          <w:bCs w:val="0"/>
          <w:sz w:val="30"/>
          <w:szCs w:val="28"/>
        </w:rPr>
      </w:pPr>
      <w:bookmarkStart w:id="1025" w:name="_Toc3468"/>
      <w:bookmarkStart w:id="1026" w:name="_Toc32115"/>
      <w:bookmarkStart w:id="1027" w:name="_Toc6947"/>
      <w:bookmarkStart w:id="1028" w:name="_Toc19640"/>
      <w:bookmarkStart w:id="1029" w:name="_Toc22844"/>
      <w:bookmarkStart w:id="1030" w:name="_Toc5419"/>
      <w:bookmarkStart w:id="1031" w:name="_Toc1705"/>
      <w:bookmarkStart w:id="1032" w:name="_Toc14921"/>
      <w:r>
        <w:rPr>
          <w:rFonts w:hint="eastAsia" w:ascii="宋体" w:hAnsi="宋体" w:eastAsia="宋体"/>
          <w:b w:val="0"/>
          <w:bCs w:val="0"/>
          <w:sz w:val="30"/>
          <w:szCs w:val="28"/>
        </w:rPr>
        <w:t>四</w:t>
      </w:r>
      <w:r>
        <w:rPr>
          <w:rFonts w:ascii="宋体" w:hAnsi="宋体" w:eastAsia="宋体"/>
          <w:b w:val="0"/>
          <w:bCs w:val="0"/>
          <w:sz w:val="30"/>
          <w:szCs w:val="28"/>
        </w:rPr>
        <w:t>、</w:t>
      </w:r>
      <w:r>
        <w:rPr>
          <w:rFonts w:hint="eastAsia" w:ascii="宋体" w:hAnsi="宋体" w:eastAsia="宋体"/>
          <w:b w:val="0"/>
          <w:bCs w:val="0"/>
          <w:sz w:val="30"/>
          <w:szCs w:val="28"/>
        </w:rPr>
        <w:t>投标文件公示表格</w:t>
      </w:r>
      <w:bookmarkEnd w:id="1025"/>
      <w:bookmarkEnd w:id="1026"/>
      <w:bookmarkEnd w:id="1027"/>
      <w:bookmarkEnd w:id="1028"/>
      <w:bookmarkEnd w:id="1029"/>
      <w:bookmarkEnd w:id="1030"/>
      <w:bookmarkEnd w:id="1031"/>
      <w:bookmarkEnd w:id="1032"/>
    </w:p>
    <w:p>
      <w:pPr>
        <w:spacing w:line="360" w:lineRule="auto"/>
        <w:jc w:val="center"/>
        <w:rPr>
          <w:rFonts w:ascii="宋体" w:hAnsi="宋体"/>
          <w:b/>
          <w:bCs/>
          <w:sz w:val="24"/>
        </w:rPr>
      </w:pPr>
      <w:r>
        <w:rPr>
          <w:rFonts w:hint="eastAsia" w:ascii="宋体" w:hAnsi="宋体"/>
          <w:b/>
          <w:bCs/>
          <w:sz w:val="24"/>
        </w:rPr>
        <w:t>1、资格业绩表格</w:t>
      </w:r>
    </w:p>
    <w:p>
      <w:pPr>
        <w:spacing w:line="360" w:lineRule="auto"/>
        <w:ind w:firstLine="157"/>
        <w:jc w:val="center"/>
        <w:rPr>
          <w:rFonts w:ascii="宋体" w:hAnsi="宋体"/>
          <w:b/>
          <w:bCs/>
          <w:sz w:val="24"/>
        </w:rPr>
      </w:pPr>
      <w:r>
        <w:rPr>
          <w:rFonts w:hint="eastAsia" w:ascii="宋体" w:hAnsi="宋体"/>
          <w:b/>
          <w:bCs/>
          <w:sz w:val="24"/>
        </w:rPr>
        <w:t>（公示用）</w:t>
      </w:r>
    </w:p>
    <w:tbl>
      <w:tblPr>
        <w:tblStyle w:val="29"/>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484"/>
        <w:gridCol w:w="1830"/>
        <w:gridCol w:w="148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商务部分资格业绩公示表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82" w:type="dxa"/>
            <w:vAlign w:val="center"/>
          </w:tcPr>
          <w:p>
            <w:pPr>
              <w:snapToGrid w:val="0"/>
              <w:rPr>
                <w:rFonts w:ascii="宋体" w:hAnsi="宋体" w:cs="宋体"/>
                <w:szCs w:val="21"/>
              </w:rPr>
            </w:pPr>
            <w:r>
              <w:rPr>
                <w:rFonts w:hint="eastAsia" w:ascii="宋体" w:hAnsi="宋体" w:cs="宋体"/>
                <w:szCs w:val="21"/>
              </w:rPr>
              <w:t>序号</w:t>
            </w:r>
          </w:p>
        </w:tc>
        <w:tc>
          <w:tcPr>
            <w:tcW w:w="2660" w:type="dxa"/>
            <w:vAlign w:val="center"/>
          </w:tcPr>
          <w:p>
            <w:pPr>
              <w:snapToGrid w:val="0"/>
              <w:jc w:val="center"/>
              <w:rPr>
                <w:rFonts w:ascii="宋体" w:hAnsi="宋体" w:cs="宋体"/>
                <w:szCs w:val="21"/>
              </w:rPr>
            </w:pPr>
            <w:r>
              <w:rPr>
                <w:rFonts w:hint="eastAsia" w:ascii="宋体" w:hAnsi="宋体" w:cs="宋体"/>
                <w:szCs w:val="21"/>
              </w:rPr>
              <w:t>业绩项目名称</w:t>
            </w:r>
          </w:p>
        </w:tc>
        <w:tc>
          <w:tcPr>
            <w:tcW w:w="1484" w:type="dxa"/>
            <w:vAlign w:val="center"/>
          </w:tcPr>
          <w:p>
            <w:pPr>
              <w:snapToGrid w:val="0"/>
              <w:jc w:val="center"/>
              <w:rPr>
                <w:rFonts w:ascii="宋体" w:hAnsi="宋体" w:cs="宋体"/>
                <w:szCs w:val="21"/>
              </w:rPr>
            </w:pPr>
            <w:r>
              <w:rPr>
                <w:rFonts w:hint="eastAsia" w:ascii="宋体" w:hAnsi="宋体"/>
                <w:szCs w:val="21"/>
              </w:rPr>
              <w:t>污水处理厂本期建设日处理</w:t>
            </w:r>
            <w:r>
              <w:rPr>
                <w:rFonts w:ascii="宋体" w:hAnsi="宋体"/>
                <w:szCs w:val="21"/>
              </w:rPr>
              <w:t>规模</w:t>
            </w:r>
          </w:p>
        </w:tc>
        <w:tc>
          <w:tcPr>
            <w:tcW w:w="1830" w:type="dxa"/>
            <w:vAlign w:val="center"/>
          </w:tcPr>
          <w:p>
            <w:pPr>
              <w:snapToGrid w:val="0"/>
              <w:jc w:val="center"/>
              <w:rPr>
                <w:rFonts w:ascii="宋体" w:hAnsi="宋体" w:cs="宋体"/>
                <w:szCs w:val="21"/>
              </w:rPr>
            </w:pPr>
            <w:r>
              <w:rPr>
                <w:rFonts w:hint="eastAsia" w:ascii="宋体" w:hAnsi="宋体" w:cs="宋体"/>
                <w:szCs w:val="21"/>
              </w:rPr>
              <w:t>合同买方</w:t>
            </w:r>
          </w:p>
        </w:tc>
        <w:tc>
          <w:tcPr>
            <w:tcW w:w="1480" w:type="dxa"/>
            <w:vAlign w:val="center"/>
          </w:tcPr>
          <w:p>
            <w:pPr>
              <w:snapToGrid w:val="0"/>
              <w:jc w:val="center"/>
              <w:rPr>
                <w:rFonts w:ascii="宋体" w:hAnsi="宋体" w:cs="宋体"/>
                <w:szCs w:val="21"/>
              </w:rPr>
            </w:pPr>
            <w:r>
              <w:rPr>
                <w:rFonts w:hint="eastAsia" w:ascii="宋体" w:hAnsi="宋体" w:cs="宋体"/>
                <w:szCs w:val="21"/>
              </w:rPr>
              <w:t>合同卖方</w:t>
            </w:r>
          </w:p>
        </w:tc>
        <w:tc>
          <w:tcPr>
            <w:tcW w:w="1603" w:type="dxa"/>
            <w:vAlign w:val="center"/>
          </w:tcPr>
          <w:p>
            <w:pPr>
              <w:snapToGrid w:val="0"/>
              <w:jc w:val="center"/>
              <w:rPr>
                <w:rFonts w:ascii="宋体" w:hAnsi="宋体" w:cs="宋体"/>
                <w:szCs w:val="21"/>
              </w:rPr>
            </w:pPr>
            <w:r>
              <w:rPr>
                <w:rFonts w:hint="eastAsia" w:ascii="宋体" w:hAnsi="宋体" w:cs="宋体"/>
                <w:szCs w:val="21"/>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382" w:type="dxa"/>
            <w:vAlign w:val="center"/>
          </w:tcPr>
          <w:p>
            <w:pPr>
              <w:snapToGrid w:val="0"/>
              <w:jc w:val="center"/>
              <w:rPr>
                <w:rFonts w:ascii="宋体" w:hAnsi="宋体" w:cs="宋体"/>
                <w:szCs w:val="21"/>
              </w:rPr>
            </w:pPr>
            <w:r>
              <w:rPr>
                <w:rFonts w:hint="eastAsia" w:ascii="宋体" w:hAnsi="宋体" w:cs="宋体"/>
                <w:szCs w:val="21"/>
              </w:rPr>
              <w:t>1</w:t>
            </w:r>
          </w:p>
        </w:tc>
        <w:tc>
          <w:tcPr>
            <w:tcW w:w="2660" w:type="dxa"/>
            <w:vAlign w:val="center"/>
          </w:tcPr>
          <w:p>
            <w:pPr>
              <w:snapToGrid w:val="0"/>
              <w:jc w:val="center"/>
              <w:rPr>
                <w:rFonts w:ascii="宋体" w:hAnsi="宋体" w:cs="宋体"/>
                <w:szCs w:val="21"/>
              </w:rPr>
            </w:pPr>
          </w:p>
        </w:tc>
        <w:tc>
          <w:tcPr>
            <w:tcW w:w="1484" w:type="dxa"/>
            <w:vAlign w:val="center"/>
          </w:tcPr>
          <w:p>
            <w:pPr>
              <w:snapToGrid w:val="0"/>
              <w:jc w:val="center"/>
              <w:rPr>
                <w:rFonts w:ascii="宋体" w:hAnsi="宋体" w:cs="宋体"/>
                <w:szCs w:val="21"/>
              </w:rPr>
            </w:pPr>
          </w:p>
        </w:tc>
        <w:tc>
          <w:tcPr>
            <w:tcW w:w="1830" w:type="dxa"/>
            <w:vAlign w:val="center"/>
          </w:tcPr>
          <w:p>
            <w:pPr>
              <w:snapToGrid w:val="0"/>
              <w:jc w:val="center"/>
              <w:rPr>
                <w:rFonts w:ascii="宋体" w:hAnsi="宋体" w:cs="宋体"/>
                <w:szCs w:val="21"/>
              </w:rPr>
            </w:pPr>
          </w:p>
        </w:tc>
        <w:tc>
          <w:tcPr>
            <w:tcW w:w="1480"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填写要求：</w:t>
      </w:r>
    </w:p>
    <w:p>
      <w:pPr>
        <w:spacing w:line="360" w:lineRule="auto"/>
        <w:ind w:left="609" w:leftChars="190" w:hanging="210" w:hangingChars="100"/>
        <w:jc w:val="left"/>
        <w:rPr>
          <w:rFonts w:ascii="宋体" w:hAnsi="宋体"/>
          <w:szCs w:val="21"/>
        </w:rPr>
      </w:pPr>
      <w:r>
        <w:rPr>
          <w:rFonts w:hint="eastAsia" w:ascii="宋体" w:hAnsi="宋体" w:cs="宋体"/>
          <w:szCs w:val="21"/>
        </w:rPr>
        <w:t>1.如</w:t>
      </w:r>
      <w:r>
        <w:rPr>
          <w:rFonts w:hint="eastAsia" w:ascii="宋体" w:hAnsi="宋体"/>
          <w:szCs w:val="21"/>
        </w:rPr>
        <w:t>招标文件第一章前附表第4</w:t>
      </w:r>
      <w:r>
        <w:rPr>
          <w:rFonts w:ascii="宋体" w:hAnsi="宋体"/>
          <w:szCs w:val="21"/>
        </w:rPr>
        <w:t>.1</w:t>
      </w:r>
      <w:r>
        <w:rPr>
          <w:rFonts w:hint="eastAsia" w:ascii="宋体" w:hAnsi="宋体"/>
          <w:szCs w:val="21"/>
        </w:rPr>
        <w:t>款的要求内采取“资格业绩”作为资格条件时，应填写并提交本表。</w:t>
      </w:r>
    </w:p>
    <w:p>
      <w:pPr>
        <w:spacing w:line="360" w:lineRule="auto"/>
        <w:ind w:firstLine="420" w:firstLineChars="200"/>
        <w:rPr>
          <w:rFonts w:ascii="宋体" w:hAnsi="宋体"/>
          <w:szCs w:val="21"/>
        </w:rPr>
      </w:pPr>
      <w:r>
        <w:rPr>
          <w:rFonts w:hint="eastAsia" w:ascii="宋体" w:hAnsi="宋体" w:cs="宋体"/>
          <w:szCs w:val="21"/>
        </w:rPr>
        <w:t>2.“投标人”名称据实填写。</w:t>
      </w:r>
    </w:p>
    <w:p>
      <w:pPr>
        <w:pStyle w:val="12"/>
        <w:spacing w:line="360" w:lineRule="auto"/>
        <w:ind w:left="630" w:leftChars="200" w:hanging="210" w:hangingChars="100"/>
        <w:rPr>
          <w:rFonts w:ascii="宋体" w:hAnsi="宋体" w:cs="宋体"/>
          <w:sz w:val="21"/>
          <w:szCs w:val="21"/>
        </w:rPr>
      </w:pPr>
      <w:r>
        <w:rPr>
          <w:rFonts w:hint="eastAsia" w:ascii="宋体" w:hAnsi="宋体" w:cs="宋体"/>
          <w:sz w:val="21"/>
          <w:szCs w:val="21"/>
        </w:rPr>
        <w:t>3.本表应与投标文件第一部分第十三节“资格业绩”中对应证明材料内容一致。</w:t>
      </w:r>
    </w:p>
    <w:p>
      <w:pPr>
        <w:snapToGrid w:val="0"/>
        <w:spacing w:line="360" w:lineRule="auto"/>
        <w:ind w:firstLine="420" w:firstLineChars="200"/>
        <w:rPr>
          <w:rFonts w:ascii="宋体" w:hAnsi="宋体"/>
          <w:szCs w:val="21"/>
        </w:rPr>
      </w:pPr>
      <w:r>
        <w:rPr>
          <w:rFonts w:hint="eastAsia" w:ascii="宋体" w:hAnsi="宋体" w:cs="宋体"/>
          <w:szCs w:val="21"/>
        </w:rPr>
        <w:t>4.由投标人使用投标人的企业数字证书电子签名。</w:t>
      </w:r>
    </w:p>
    <w:p>
      <w:pPr>
        <w:pStyle w:val="5"/>
        <w:ind w:firstLine="157"/>
        <w:jc w:val="center"/>
        <w:rPr>
          <w:rFonts w:ascii="宋体" w:hAnsi="宋体" w:cs="宋体"/>
          <w:sz w:val="24"/>
          <w:szCs w:val="24"/>
        </w:rPr>
      </w:pPr>
    </w:p>
    <w:p>
      <w:pPr>
        <w:pStyle w:val="5"/>
        <w:ind w:firstLine="157"/>
        <w:jc w:val="center"/>
        <w:rPr>
          <w:rFonts w:ascii="宋体" w:hAnsi="宋体" w:cs="宋体"/>
          <w:sz w:val="24"/>
          <w:szCs w:val="24"/>
        </w:rPr>
      </w:pPr>
    </w:p>
    <w:p>
      <w:pPr>
        <w:rPr>
          <w:rFonts w:ascii="宋体" w:hAnsi="宋体" w:cs="宋体"/>
          <w:sz w:val="24"/>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45"/>
        <w:rPr>
          <w:rFonts w:hAnsi="宋体"/>
          <w:color w:val="auto"/>
        </w:rPr>
      </w:pPr>
    </w:p>
    <w:p>
      <w:pPr>
        <w:pStyle w:val="5"/>
        <w:jc w:val="center"/>
        <w:rPr>
          <w:rFonts w:ascii="宋体" w:hAnsi="宋体"/>
          <w:sz w:val="24"/>
          <w:szCs w:val="24"/>
        </w:rPr>
      </w:pPr>
      <w:r>
        <w:rPr>
          <w:rFonts w:hint="eastAsia" w:ascii="宋体" w:hAnsi="宋体" w:cs="宋体"/>
          <w:sz w:val="24"/>
          <w:szCs w:val="24"/>
        </w:rPr>
        <w:t>2、2018年1月1日至今投标品牌的刮泥机系统成套设备在国内完成的供货业绩</w:t>
      </w:r>
      <w:r>
        <w:rPr>
          <w:rFonts w:hint="eastAsia" w:ascii="宋体" w:hAnsi="宋体"/>
          <w:sz w:val="24"/>
          <w:szCs w:val="24"/>
        </w:rPr>
        <w:t>表格（公示用）</w:t>
      </w:r>
    </w:p>
    <w:tbl>
      <w:tblPr>
        <w:tblStyle w:val="29"/>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商务部分评分业绩公示表（2018年1月1日至今投标品牌的刮泥机系统成套设备在国内完成的供货业绩）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rPr>
                <w:rFonts w:ascii="宋体" w:hAnsi="宋体" w:cs="宋体"/>
                <w:szCs w:val="21"/>
              </w:rPr>
            </w:pPr>
            <w:r>
              <w:rPr>
                <w:rFonts w:hint="eastAsia" w:ascii="宋体" w:hAnsi="宋体" w:cs="宋体"/>
                <w:szCs w:val="21"/>
              </w:rPr>
              <w:t>序号</w:t>
            </w:r>
          </w:p>
        </w:tc>
        <w:tc>
          <w:tcPr>
            <w:tcW w:w="2660" w:type="dxa"/>
            <w:vAlign w:val="center"/>
          </w:tcPr>
          <w:p>
            <w:pPr>
              <w:snapToGrid w:val="0"/>
              <w:jc w:val="center"/>
              <w:rPr>
                <w:rFonts w:ascii="宋体" w:hAnsi="宋体" w:cs="宋体"/>
                <w:szCs w:val="21"/>
              </w:rPr>
            </w:pPr>
            <w:r>
              <w:rPr>
                <w:rFonts w:hint="eastAsia" w:ascii="宋体" w:hAnsi="宋体" w:cs="宋体"/>
                <w:szCs w:val="21"/>
              </w:rPr>
              <w:t>业绩项目名称</w:t>
            </w:r>
          </w:p>
        </w:tc>
        <w:tc>
          <w:tcPr>
            <w:tcW w:w="1618" w:type="dxa"/>
            <w:vAlign w:val="center"/>
          </w:tcPr>
          <w:p>
            <w:pPr>
              <w:snapToGrid w:val="0"/>
              <w:jc w:val="center"/>
              <w:rPr>
                <w:rFonts w:ascii="宋体" w:hAnsi="宋体" w:cs="宋体"/>
                <w:szCs w:val="21"/>
              </w:rPr>
            </w:pPr>
            <w:r>
              <w:rPr>
                <w:rFonts w:hint="eastAsia" w:ascii="宋体" w:hAnsi="宋体"/>
                <w:szCs w:val="21"/>
              </w:rPr>
              <w:t>污水处理厂本期建设日处理</w:t>
            </w:r>
            <w:r>
              <w:rPr>
                <w:rFonts w:ascii="宋体" w:hAnsi="宋体"/>
                <w:szCs w:val="21"/>
              </w:rPr>
              <w:t>规模</w:t>
            </w:r>
          </w:p>
        </w:tc>
        <w:tc>
          <w:tcPr>
            <w:tcW w:w="1632" w:type="dxa"/>
            <w:vAlign w:val="center"/>
          </w:tcPr>
          <w:p>
            <w:pPr>
              <w:snapToGrid w:val="0"/>
              <w:jc w:val="center"/>
              <w:rPr>
                <w:rFonts w:ascii="宋体" w:hAnsi="宋体" w:cs="宋体"/>
                <w:szCs w:val="21"/>
              </w:rPr>
            </w:pPr>
            <w:r>
              <w:rPr>
                <w:rFonts w:hint="eastAsia" w:ascii="宋体" w:hAnsi="宋体" w:cs="宋体"/>
                <w:szCs w:val="21"/>
              </w:rPr>
              <w:t>合同买方</w:t>
            </w:r>
          </w:p>
        </w:tc>
        <w:tc>
          <w:tcPr>
            <w:tcW w:w="1544" w:type="dxa"/>
            <w:vAlign w:val="center"/>
          </w:tcPr>
          <w:p>
            <w:pPr>
              <w:snapToGrid w:val="0"/>
              <w:jc w:val="center"/>
              <w:rPr>
                <w:rFonts w:ascii="宋体" w:hAnsi="宋体" w:cs="宋体"/>
                <w:szCs w:val="21"/>
              </w:rPr>
            </w:pPr>
            <w:r>
              <w:rPr>
                <w:rFonts w:hint="eastAsia" w:ascii="宋体" w:hAnsi="宋体" w:cs="宋体"/>
                <w:szCs w:val="21"/>
              </w:rPr>
              <w:t>合同卖方</w:t>
            </w:r>
          </w:p>
        </w:tc>
        <w:tc>
          <w:tcPr>
            <w:tcW w:w="1603" w:type="dxa"/>
            <w:vAlign w:val="center"/>
          </w:tcPr>
          <w:p>
            <w:pPr>
              <w:snapToGrid w:val="0"/>
              <w:jc w:val="center"/>
              <w:rPr>
                <w:rFonts w:ascii="宋体" w:hAnsi="宋体" w:cs="宋体"/>
                <w:szCs w:val="21"/>
              </w:rPr>
            </w:pPr>
            <w:r>
              <w:rPr>
                <w:rFonts w:hint="eastAsia" w:ascii="宋体" w:hAnsi="宋体" w:cs="宋体"/>
                <w:szCs w:val="21"/>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ind w:leftChars="-1" w:hanging="2" w:hangingChars="1"/>
              <w:jc w:val="center"/>
              <w:rPr>
                <w:rFonts w:ascii="宋体" w:hAnsi="宋体" w:cs="宋体"/>
                <w:szCs w:val="21"/>
              </w:rPr>
            </w:pPr>
          </w:p>
        </w:tc>
        <w:tc>
          <w:tcPr>
            <w:tcW w:w="1618" w:type="dxa"/>
            <w:vAlign w:val="center"/>
          </w:tcPr>
          <w:p>
            <w:pPr>
              <w:snapToGrid w:val="0"/>
              <w:ind w:leftChars="-1" w:hanging="2" w:hangingChars="1"/>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填写要求：</w:t>
      </w:r>
    </w:p>
    <w:p>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w:t>
      </w:r>
      <w:r>
        <w:rPr>
          <w:rFonts w:ascii="宋体" w:hAnsi="宋体"/>
          <w:bCs/>
          <w:szCs w:val="21"/>
        </w:rPr>
        <w:t>投标文件商务标</w:t>
      </w:r>
      <w:r>
        <w:rPr>
          <w:rFonts w:hint="eastAsia" w:ascii="宋体" w:hAnsi="宋体"/>
          <w:bCs/>
          <w:szCs w:val="21"/>
        </w:rPr>
        <w:t>（不含价格）</w:t>
      </w:r>
      <w:r>
        <w:rPr>
          <w:rFonts w:hint="eastAsia" w:ascii="宋体" w:hAnsi="宋体"/>
          <w:szCs w:val="21"/>
        </w:rPr>
        <w:t>”》内采取“评分业绩”作为评审标准时，应填写并提交本表。</w:t>
      </w:r>
    </w:p>
    <w:p>
      <w:pPr>
        <w:spacing w:line="360" w:lineRule="auto"/>
        <w:ind w:firstLine="420" w:firstLineChars="200"/>
        <w:rPr>
          <w:rFonts w:ascii="宋体" w:hAnsi="宋体"/>
          <w:szCs w:val="21"/>
        </w:rPr>
      </w:pPr>
      <w:r>
        <w:rPr>
          <w:rFonts w:hint="eastAsia" w:ascii="宋体" w:hAnsi="宋体" w:cs="宋体"/>
          <w:szCs w:val="21"/>
        </w:rPr>
        <w:t>2.“投标人”名称据实填写。</w:t>
      </w:r>
    </w:p>
    <w:p>
      <w:pPr>
        <w:pStyle w:val="12"/>
        <w:spacing w:line="360" w:lineRule="auto"/>
        <w:ind w:left="630" w:leftChars="200" w:hanging="210" w:hangingChars="100"/>
        <w:rPr>
          <w:rFonts w:ascii="宋体" w:hAnsi="宋体" w:cs="宋体"/>
          <w:sz w:val="21"/>
          <w:szCs w:val="21"/>
        </w:rPr>
      </w:pPr>
      <w:r>
        <w:rPr>
          <w:rFonts w:hint="eastAsia" w:ascii="宋体" w:hAnsi="宋体" w:cs="宋体"/>
          <w:sz w:val="21"/>
          <w:szCs w:val="21"/>
        </w:rPr>
        <w:t>3.本表应与投标文件第一部分第十四节“2018年1月1日至今投标品牌的刮泥机系统成套设备在国内完成的供货业绩”中对应证明材料内容一致。</w:t>
      </w:r>
    </w:p>
    <w:p>
      <w:pPr>
        <w:snapToGrid w:val="0"/>
        <w:spacing w:line="360" w:lineRule="auto"/>
        <w:ind w:firstLine="420" w:firstLineChars="200"/>
        <w:rPr>
          <w:rFonts w:ascii="宋体" w:hAnsi="宋体"/>
          <w:szCs w:val="21"/>
        </w:rPr>
      </w:pPr>
      <w:r>
        <w:rPr>
          <w:rFonts w:hint="eastAsia" w:ascii="宋体" w:hAnsi="宋体" w:cs="宋体"/>
          <w:szCs w:val="21"/>
        </w:rPr>
        <w:t>4.由投标人使用投标人的企业数字证书电子签名。</w:t>
      </w:r>
    </w:p>
    <w:p/>
    <w:bookmarkEnd w:id="1024"/>
    <w:p>
      <w:pPr>
        <w:pStyle w:val="3"/>
        <w:keepNext w:val="0"/>
        <w:keepLines w:val="0"/>
        <w:pageBreakBefore/>
        <w:spacing w:before="156" w:beforeLines="50" w:after="156" w:afterLines="50"/>
        <w:jc w:val="center"/>
        <w:rPr>
          <w:rFonts w:asciiTheme="minorEastAsia" w:hAnsiTheme="minorEastAsia" w:eastAsiaTheme="minorEastAsia"/>
          <w:bCs w:val="0"/>
          <w:sz w:val="44"/>
        </w:rPr>
      </w:pPr>
      <w:bookmarkStart w:id="1033" w:name="_Hlt110313871"/>
      <w:bookmarkEnd w:id="1033"/>
      <w:bookmarkStart w:id="1034" w:name="_Toc31469"/>
      <w:bookmarkStart w:id="1035" w:name="_Toc132814854"/>
      <w:bookmarkStart w:id="1036" w:name="_Toc17358"/>
      <w:bookmarkStart w:id="1037" w:name="_Toc24373"/>
      <w:bookmarkStart w:id="1038" w:name="_Toc7752"/>
      <w:bookmarkStart w:id="1039" w:name="_Toc2373"/>
      <w:r>
        <w:rPr>
          <w:rFonts w:asciiTheme="minorEastAsia" w:hAnsiTheme="minorEastAsia" w:eastAsiaTheme="minorEastAsia"/>
          <w:bCs w:val="0"/>
          <w:sz w:val="44"/>
        </w:rPr>
        <w:t xml:space="preserve">第四章 </w:t>
      </w:r>
      <w:r>
        <w:rPr>
          <w:rFonts w:hint="eastAsia" w:asciiTheme="minorEastAsia" w:hAnsiTheme="minorEastAsia" w:eastAsiaTheme="minorEastAsia"/>
          <w:bCs w:val="0"/>
          <w:sz w:val="44"/>
        </w:rPr>
        <w:t>采购</w:t>
      </w:r>
      <w:r>
        <w:rPr>
          <w:rFonts w:asciiTheme="minorEastAsia" w:hAnsiTheme="minorEastAsia" w:eastAsiaTheme="minorEastAsia"/>
          <w:bCs w:val="0"/>
          <w:sz w:val="44"/>
        </w:rPr>
        <w:t>合同格式</w:t>
      </w:r>
      <w:bookmarkEnd w:id="1034"/>
      <w:bookmarkEnd w:id="1035"/>
      <w:bookmarkEnd w:id="1036"/>
      <w:bookmarkEnd w:id="1037"/>
      <w:bookmarkEnd w:id="1038"/>
      <w:bookmarkEnd w:id="1039"/>
    </w:p>
    <w:p>
      <w:pPr>
        <w:tabs>
          <w:tab w:val="left" w:pos="5940"/>
        </w:tabs>
        <w:rPr>
          <w:rFonts w:ascii="宋体" w:hAnsi="宋体"/>
        </w:rPr>
      </w:pPr>
      <w:r>
        <w:rPr>
          <w:rFonts w:hint="eastAsia" w:ascii="宋体" w:hAnsi="宋体"/>
        </w:rPr>
        <w:t>合同编号：</w:t>
      </w:r>
    </w:p>
    <w:p>
      <w:pPr>
        <w:spacing w:line="360" w:lineRule="auto"/>
        <w:jc w:val="center"/>
        <w:rPr>
          <w:rFonts w:ascii="宋体" w:hAnsi="宋体"/>
          <w:b/>
          <w:sz w:val="52"/>
          <w:szCs w:val="52"/>
          <w:u w:val="single"/>
        </w:rPr>
      </w:pPr>
    </w:p>
    <w:p>
      <w:pPr>
        <w:spacing w:line="360" w:lineRule="auto"/>
        <w:jc w:val="center"/>
        <w:rPr>
          <w:rFonts w:ascii="宋体" w:hAnsi="宋体"/>
          <w:b/>
          <w:sz w:val="52"/>
          <w:szCs w:val="52"/>
          <w:u w:val="single"/>
        </w:rPr>
      </w:pPr>
    </w:p>
    <w:p>
      <w:pPr>
        <w:spacing w:line="360" w:lineRule="auto"/>
        <w:jc w:val="center"/>
        <w:rPr>
          <w:rFonts w:ascii="宋体" w:hAnsi="宋体"/>
          <w:b/>
          <w:sz w:val="52"/>
          <w:szCs w:val="52"/>
          <w:u w:val="single"/>
        </w:rPr>
      </w:pPr>
      <w:r>
        <w:rPr>
          <w:rFonts w:hint="eastAsia" w:ascii="宋体" w:hAnsi="宋体"/>
          <w:b/>
          <w:sz w:val="52"/>
          <w:szCs w:val="52"/>
          <w:u w:val="single"/>
        </w:rPr>
        <w:t>*</w:t>
      </w:r>
      <w:r>
        <w:rPr>
          <w:rFonts w:ascii="宋体" w:hAnsi="宋体"/>
          <w:b/>
          <w:sz w:val="52"/>
          <w:szCs w:val="52"/>
          <w:u w:val="single"/>
        </w:rPr>
        <w:t>*</w:t>
      </w:r>
      <w:r>
        <w:rPr>
          <w:rFonts w:hint="eastAsia" w:ascii="宋体" w:hAnsi="宋体"/>
          <w:b/>
          <w:sz w:val="52"/>
          <w:szCs w:val="52"/>
          <w:u w:val="single"/>
        </w:rPr>
        <w:t>设备采购</w:t>
      </w:r>
    </w:p>
    <w:p>
      <w:pPr>
        <w:spacing w:line="360" w:lineRule="auto"/>
        <w:jc w:val="center"/>
        <w:rPr>
          <w:rFonts w:ascii="宋体" w:hAnsi="宋体"/>
          <w:b/>
          <w:sz w:val="52"/>
          <w:szCs w:val="52"/>
        </w:rPr>
      </w:pPr>
      <w:r>
        <w:rPr>
          <w:rFonts w:hint="eastAsia" w:ascii="宋体" w:hAnsi="宋体"/>
          <w:b/>
          <w:sz w:val="52"/>
          <w:szCs w:val="52"/>
        </w:rPr>
        <w:t>采购合同</w:t>
      </w: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ind w:firstLine="1920" w:firstLineChars="600"/>
        <w:rPr>
          <w:rFonts w:ascii="宋体" w:hAnsi="宋体"/>
          <w:sz w:val="32"/>
          <w:szCs w:val="32"/>
        </w:rPr>
      </w:pPr>
      <w:r>
        <w:rPr>
          <w:rFonts w:hint="eastAsia" w:ascii="宋体" w:hAnsi="宋体"/>
          <w:sz w:val="32"/>
          <w:szCs w:val="32"/>
          <w:lang w:eastAsia="zh-Hans"/>
        </w:rPr>
        <w:t>甲方</w:t>
      </w:r>
      <w:r>
        <w:rPr>
          <w:rFonts w:ascii="宋体" w:hAnsi="宋体"/>
          <w:sz w:val="32"/>
          <w:szCs w:val="32"/>
          <w:lang w:eastAsia="zh-Hans"/>
        </w:rPr>
        <w:t>（</w:t>
      </w:r>
      <w:r>
        <w:rPr>
          <w:rFonts w:hint="eastAsia" w:ascii="宋体" w:hAnsi="宋体"/>
          <w:sz w:val="32"/>
          <w:szCs w:val="32"/>
        </w:rPr>
        <w:t>买方</w:t>
      </w:r>
      <w:r>
        <w:rPr>
          <w:rFonts w:ascii="宋体" w:hAnsi="宋体"/>
          <w:sz w:val="32"/>
          <w:szCs w:val="32"/>
        </w:rPr>
        <w:t>）</w:t>
      </w:r>
      <w:r>
        <w:rPr>
          <w:rFonts w:hint="eastAsia" w:ascii="宋体" w:hAnsi="宋体"/>
          <w:sz w:val="32"/>
          <w:szCs w:val="32"/>
        </w:rPr>
        <w:t>：</w:t>
      </w:r>
      <w:r>
        <w:rPr>
          <w:rFonts w:hint="eastAsia" w:ascii="宋体" w:hAnsi="宋体"/>
          <w:sz w:val="32"/>
          <w:szCs w:val="32"/>
          <w:u w:val="single"/>
        </w:rPr>
        <w:t xml:space="preserve">                     </w:t>
      </w:r>
    </w:p>
    <w:p>
      <w:pPr>
        <w:spacing w:line="360" w:lineRule="auto"/>
        <w:ind w:firstLine="1920" w:firstLineChars="600"/>
        <w:rPr>
          <w:rFonts w:ascii="宋体" w:hAnsi="宋体"/>
        </w:rPr>
      </w:pPr>
      <w:r>
        <w:rPr>
          <w:rFonts w:hint="eastAsia" w:ascii="宋体" w:hAnsi="宋体"/>
          <w:sz w:val="32"/>
          <w:szCs w:val="32"/>
          <w:lang w:eastAsia="zh-Hans"/>
        </w:rPr>
        <w:t>乙方</w:t>
      </w:r>
      <w:r>
        <w:rPr>
          <w:rFonts w:ascii="宋体" w:hAnsi="宋体"/>
          <w:sz w:val="32"/>
          <w:szCs w:val="32"/>
          <w:lang w:eastAsia="zh-Hans"/>
        </w:rPr>
        <w:t>（</w:t>
      </w:r>
      <w:r>
        <w:rPr>
          <w:rFonts w:hint="eastAsia" w:ascii="宋体" w:hAnsi="宋体"/>
          <w:sz w:val="32"/>
          <w:szCs w:val="32"/>
        </w:rPr>
        <w:t>卖方</w:t>
      </w:r>
      <w:r>
        <w:rPr>
          <w:rFonts w:ascii="宋体" w:hAnsi="宋体"/>
          <w:sz w:val="32"/>
          <w:szCs w:val="32"/>
        </w:rPr>
        <w:t>）</w:t>
      </w:r>
      <w:r>
        <w:rPr>
          <w:rFonts w:hint="eastAsia" w:ascii="宋体" w:hAnsi="宋体"/>
          <w:sz w:val="32"/>
          <w:szCs w:val="32"/>
        </w:rPr>
        <w:t>：</w:t>
      </w:r>
      <w:r>
        <w:rPr>
          <w:rFonts w:hint="eastAsia" w:ascii="宋体" w:hAnsi="宋体"/>
          <w:sz w:val="32"/>
          <w:szCs w:val="32"/>
          <w:u w:val="single"/>
        </w:rPr>
        <w:t xml:space="preserve">                     </w:t>
      </w:r>
    </w:p>
    <w:p>
      <w:pP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 w:val="32"/>
          <w:szCs w:val="32"/>
        </w:rPr>
        <w:t>丙</w:t>
      </w:r>
      <w:r>
        <w:rPr>
          <w:rFonts w:hint="eastAsia" w:ascii="宋体" w:hAnsi="宋体"/>
          <w:sz w:val="32"/>
          <w:szCs w:val="32"/>
          <w:lang w:eastAsia="zh-Hans"/>
        </w:rPr>
        <w:t>方</w:t>
      </w:r>
      <w:r>
        <w:rPr>
          <w:rFonts w:ascii="宋体" w:hAnsi="宋体"/>
          <w:sz w:val="32"/>
          <w:szCs w:val="32"/>
          <w:lang w:eastAsia="zh-Hans"/>
        </w:rPr>
        <w:t>（</w:t>
      </w:r>
      <w:r>
        <w:rPr>
          <w:rFonts w:hint="eastAsia" w:ascii="宋体" w:hAnsi="宋体"/>
          <w:sz w:val="32"/>
          <w:szCs w:val="32"/>
        </w:rPr>
        <w:t>代建方</w:t>
      </w:r>
      <w:r>
        <w:rPr>
          <w:rFonts w:ascii="宋体" w:hAnsi="宋体"/>
          <w:sz w:val="32"/>
          <w:szCs w:val="32"/>
        </w:rPr>
        <w:t>）</w:t>
      </w:r>
      <w:r>
        <w:rPr>
          <w:rFonts w:hint="eastAsia" w:ascii="宋体" w:hAnsi="宋体"/>
          <w:sz w:val="32"/>
          <w:szCs w:val="32"/>
        </w:rPr>
        <w:t>：</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p>
    <w:p>
      <w:pPr>
        <w:spacing w:line="360" w:lineRule="auto"/>
        <w:ind w:firstLine="1920" w:firstLineChars="600"/>
        <w:rPr>
          <w:rFonts w:ascii="宋体" w:hAnsi="宋体"/>
          <w:sz w:val="32"/>
          <w:szCs w:val="32"/>
          <w:u w:val="single"/>
        </w:rPr>
      </w:pPr>
    </w:p>
    <w:p>
      <w:pPr>
        <w:spacing w:line="360" w:lineRule="auto"/>
        <w:ind w:firstLine="1920" w:firstLineChars="600"/>
        <w:rPr>
          <w:rFonts w:ascii="宋体" w:hAnsi="宋体"/>
        </w:rPr>
      </w:pPr>
      <w:r>
        <w:rPr>
          <w:rFonts w:hint="eastAsia" w:ascii="宋体" w:hAnsi="宋体"/>
          <w:sz w:val="32"/>
          <w:szCs w:val="32"/>
          <w:u w:val="single"/>
        </w:rPr>
        <w:t xml:space="preserve">                          </w:t>
      </w:r>
    </w:p>
    <w:p>
      <w:pPr>
        <w:adjustRightInd w:val="0"/>
        <w:snapToGrid w:val="0"/>
        <w:spacing w:line="360" w:lineRule="auto"/>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甲方（买方）：</w:t>
      </w:r>
      <w:r>
        <w:rPr>
          <w:rFonts w:hint="eastAsia" w:hAnsi="宋体"/>
          <w:szCs w:val="21"/>
        </w:rPr>
        <w:t xml:space="preserve">   </w:t>
      </w: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乙方（卖方）：  </w:t>
      </w:r>
    </w:p>
    <w:p>
      <w:pPr>
        <w:adjustRightInd w:val="0"/>
        <w:snapToGrid w:val="0"/>
        <w:spacing w:line="360" w:lineRule="auto"/>
        <w:ind w:firstLine="420" w:firstLineChars="200"/>
        <w:rPr>
          <w:rFonts w:ascii="宋体" w:hAnsi="宋体"/>
          <w:szCs w:val="21"/>
        </w:rPr>
      </w:pPr>
      <w:r>
        <w:rPr>
          <w:rFonts w:hint="eastAsia" w:ascii="宋体" w:hAnsi="宋体"/>
          <w:szCs w:val="21"/>
        </w:rPr>
        <w:t>丙方（代建方）：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360" w:lineRule="auto"/>
        <w:ind w:firstLine="371" w:firstLineChars="177"/>
        <w:rPr>
          <w:rFonts w:ascii="宋体" w:hAnsi="宋体"/>
          <w:szCs w:val="21"/>
        </w:rPr>
      </w:pPr>
      <w:r>
        <w:rPr>
          <w:rFonts w:hint="eastAsia" w:ascii="宋体" w:hAnsi="宋体"/>
          <w:szCs w:val="21"/>
        </w:rPr>
        <w:t>鉴于：</w:t>
      </w:r>
    </w:p>
    <w:p>
      <w:pPr>
        <w:adjustRightInd w:val="0"/>
        <w:snapToGrid w:val="0"/>
        <w:spacing w:line="360" w:lineRule="auto"/>
        <w:ind w:firstLine="371" w:firstLineChars="177"/>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（以下简称“乙方”）已明确知悉：</w:t>
      </w:r>
      <w:r>
        <w:rPr>
          <w:rFonts w:hint="eastAsia" w:ascii="宋体" w:hAnsi="宋体"/>
          <w:szCs w:val="21"/>
          <w:u w:val="single"/>
        </w:rPr>
        <w:t>东莞市石鼓污水处理有限公司</w:t>
      </w:r>
      <w:r>
        <w:rPr>
          <w:rFonts w:hint="eastAsia" w:ascii="宋体" w:hAnsi="宋体"/>
          <w:szCs w:val="21"/>
        </w:rPr>
        <w:t>（以下简称“甲方”）为</w:t>
      </w:r>
      <w:r>
        <w:rPr>
          <w:rFonts w:hint="eastAsia" w:ascii="宋体" w:hAnsi="宋体"/>
          <w:szCs w:val="21"/>
          <w:u w:val="single"/>
        </w:rPr>
        <w:t xml:space="preserve">          </w:t>
      </w:r>
      <w:r>
        <w:rPr>
          <w:rFonts w:hint="eastAsia" w:ascii="宋体" w:hAnsi="宋体"/>
          <w:szCs w:val="21"/>
        </w:rPr>
        <w:t>项目的项目业主，东莞市水务集团建设管理有限公司（以下简称“丙方”）为上述项目的代建单位。甲方已将</w:t>
      </w:r>
      <w:r>
        <w:rPr>
          <w:rFonts w:hint="eastAsia" w:ascii="宋体" w:hAnsi="宋体"/>
          <w:szCs w:val="21"/>
          <w:u w:val="single"/>
        </w:rPr>
        <w:t xml:space="preserve">            </w:t>
      </w:r>
      <w:r>
        <w:rPr>
          <w:rFonts w:hint="eastAsia" w:ascii="宋体" w:hAnsi="宋体"/>
          <w:szCs w:val="21"/>
        </w:rPr>
        <w:t>项目委托给丙方实施代建，并且乙方已认真查阅、理解丙方招标文件的全部内容，并对甲方授予丙方的权利义务无任何异议。</w:t>
      </w:r>
    </w:p>
    <w:p>
      <w:pPr>
        <w:adjustRightInd w:val="0"/>
        <w:snapToGrid w:val="0"/>
        <w:spacing w:line="360" w:lineRule="auto"/>
        <w:ind w:firstLine="371" w:firstLineChars="177"/>
        <w:rPr>
          <w:rFonts w:ascii="宋体" w:hAnsi="宋体"/>
          <w:szCs w:val="21"/>
        </w:rPr>
      </w:pPr>
      <w:r>
        <w:rPr>
          <w:rFonts w:hint="eastAsia" w:ascii="宋体" w:hAnsi="宋体"/>
          <w:szCs w:val="21"/>
        </w:rPr>
        <w:t>2.丙方履行本合同约定的除支付合同价款及应由甲方承担违约责任以外的全部责任义务。甲方按照合同约定的期限和方式支付合同价款且不承担除支付合同价款及承担合同约定应由甲方承担违约责任之外的任何责任义务。乙方因违反本合同约定应承担的违约责任中涉及的各类履约担保、押金及违约金、利息等款项及由此产生的孳息等，丙方有权自行处置、使用上述款项，甲方对此予以确认并不持异议。</w:t>
      </w:r>
    </w:p>
    <w:p>
      <w:pPr>
        <w:adjustRightInd w:val="0"/>
        <w:snapToGrid w:val="0"/>
        <w:spacing w:line="360" w:lineRule="auto"/>
        <w:ind w:firstLine="371" w:firstLineChars="177"/>
        <w:rPr>
          <w:rFonts w:ascii="宋体" w:hAnsi="宋体"/>
          <w:szCs w:val="21"/>
        </w:rPr>
      </w:pPr>
      <w:r>
        <w:rPr>
          <w:rFonts w:hint="eastAsia" w:ascii="宋体" w:hAnsi="宋体"/>
          <w:szCs w:val="21"/>
        </w:rPr>
        <w:t>根据《中华人民共和国民法典》及</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日公示的</w:t>
      </w:r>
      <w:r>
        <w:rPr>
          <w:rFonts w:hint="eastAsia" w:ascii="宋体" w:hAnsi="宋体"/>
          <w:szCs w:val="21"/>
          <w:u w:val="single"/>
        </w:rPr>
        <w:t xml:space="preserve">      </w:t>
      </w:r>
      <w:r>
        <w:rPr>
          <w:rFonts w:hint="eastAsia" w:ascii="宋体" w:hAnsi="宋体"/>
          <w:szCs w:val="21"/>
        </w:rPr>
        <w:t>项目中标结果（招标编号：</w:t>
      </w:r>
      <w:r>
        <w:rPr>
          <w:rFonts w:hint="eastAsia" w:ascii="宋体" w:hAnsi="宋体"/>
          <w:szCs w:val="21"/>
          <w:u w:val="single"/>
        </w:rPr>
        <w:t xml:space="preserve">      </w:t>
      </w:r>
      <w:r>
        <w:rPr>
          <w:rFonts w:hint="eastAsia" w:ascii="宋体" w:hAnsi="宋体"/>
          <w:szCs w:val="21"/>
        </w:rPr>
        <w:t>）和招标文件的要求，经三方协商一致，签订本合同。</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第一条 合同项目</w:t>
      </w:r>
    </w:p>
    <w:p>
      <w:pPr>
        <w:adjustRightInd w:val="0"/>
        <w:snapToGrid w:val="0"/>
        <w:spacing w:line="360" w:lineRule="auto"/>
        <w:ind w:firstLine="371" w:firstLineChars="177"/>
        <w:rPr>
          <w:rFonts w:ascii="宋体" w:hAnsi="宋体"/>
          <w:szCs w:val="21"/>
        </w:rPr>
      </w:pPr>
      <w:r>
        <w:rPr>
          <w:rFonts w:hint="eastAsia" w:ascii="宋体" w:hAnsi="宋体"/>
          <w:szCs w:val="21"/>
        </w:rPr>
        <w:t>合同货物清单：详见附件。</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第二条 合同价</w:t>
      </w:r>
    </w:p>
    <w:p>
      <w:pPr>
        <w:pStyle w:val="15"/>
        <w:tabs>
          <w:tab w:val="left" w:pos="0"/>
        </w:tabs>
        <w:adjustRightInd w:val="0"/>
        <w:snapToGrid w:val="0"/>
        <w:spacing w:line="360" w:lineRule="auto"/>
        <w:ind w:firstLine="420"/>
        <w:textAlignment w:val="baseline"/>
        <w:rPr>
          <w:rFonts w:hAnsi="宋体"/>
          <w:szCs w:val="21"/>
        </w:rPr>
      </w:pPr>
      <w:r>
        <w:rPr>
          <w:rFonts w:hint="eastAsia" w:hAnsi="宋体"/>
          <w:szCs w:val="21"/>
        </w:rPr>
        <w:t>1、本合同价（即销售额，不含销项税额）为</w:t>
      </w:r>
      <w:r>
        <w:rPr>
          <w:rFonts w:hint="eastAsia" w:hAnsi="宋体"/>
          <w:szCs w:val="21"/>
          <w:u w:val="single"/>
        </w:rPr>
        <w:t>¥         元</w:t>
      </w:r>
      <w:r>
        <w:rPr>
          <w:rFonts w:hint="eastAsia" w:hAnsi="宋体"/>
          <w:szCs w:val="21"/>
        </w:rPr>
        <w:t>（大写人民币</w:t>
      </w:r>
      <w:r>
        <w:rPr>
          <w:rFonts w:hint="eastAsia" w:hAnsi="宋体"/>
          <w:szCs w:val="21"/>
          <w:u w:val="single"/>
        </w:rPr>
        <w:t xml:space="preserve">                </w:t>
      </w:r>
      <w:r>
        <w:rPr>
          <w:rFonts w:hint="eastAsia" w:hAnsi="宋体"/>
          <w:szCs w:val="21"/>
        </w:rPr>
        <w:t>）。在本合同履行过程中，合同价（即销售额，不含乙方销项税额）不随法律法规政策、物价人工、工期调整而进行调整，未经甲方书面确认，乙方无权增加任何费用。</w:t>
      </w:r>
    </w:p>
    <w:p>
      <w:pPr>
        <w:pStyle w:val="15"/>
        <w:tabs>
          <w:tab w:val="left" w:pos="0"/>
        </w:tabs>
        <w:adjustRightInd w:val="0"/>
        <w:snapToGrid w:val="0"/>
        <w:spacing w:line="360" w:lineRule="auto"/>
        <w:ind w:firstLine="420"/>
        <w:textAlignment w:val="baseline"/>
        <w:rPr>
          <w:rFonts w:hAnsi="宋体"/>
          <w:szCs w:val="21"/>
        </w:rPr>
      </w:pPr>
      <w:r>
        <w:rPr>
          <w:rFonts w:hint="eastAsia" w:hAnsi="宋体"/>
          <w:szCs w:val="21"/>
        </w:rPr>
        <w:t xml:space="preserve">2、依法计得并根据本合同约定确定的销项税额由甲方承担。根据《中华人民共和国增值税暂行条例》（国务院令第691号修订版）及当前税务部门的相关规定，本合同项目的增值税税率为 </w:t>
      </w:r>
      <w:r>
        <w:rPr>
          <w:rFonts w:hint="eastAsia" w:hAnsi="宋体"/>
          <w:szCs w:val="21"/>
          <w:u w:val="single"/>
        </w:rPr>
        <w:t xml:space="preserve">       </w:t>
      </w:r>
      <w:r>
        <w:rPr>
          <w:rFonts w:hint="eastAsia" w:hAnsi="宋体"/>
          <w:szCs w:val="21"/>
        </w:rPr>
        <w:t>，对应的销项税额为</w:t>
      </w:r>
      <w:r>
        <w:rPr>
          <w:rFonts w:hint="eastAsia" w:hAnsi="宋体"/>
          <w:szCs w:val="21"/>
          <w:u w:val="single"/>
        </w:rPr>
        <w:t>¥         元</w:t>
      </w:r>
      <w:r>
        <w:rPr>
          <w:rFonts w:hint="eastAsia" w:hAnsi="宋体"/>
          <w:szCs w:val="21"/>
        </w:rPr>
        <w:t>（大写人民币</w:t>
      </w:r>
      <w:r>
        <w:rPr>
          <w:rFonts w:hint="eastAsia" w:hAnsi="宋体"/>
          <w:szCs w:val="21"/>
          <w:u w:val="single"/>
        </w:rPr>
        <w:t xml:space="preserve">                </w:t>
      </w:r>
      <w:r>
        <w:rPr>
          <w:rFonts w:hint="eastAsia" w:hAnsi="宋体"/>
          <w:szCs w:val="21"/>
        </w:rPr>
        <w:t>）。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pPr>
        <w:pStyle w:val="15"/>
        <w:tabs>
          <w:tab w:val="left" w:pos="0"/>
        </w:tabs>
        <w:adjustRightInd w:val="0"/>
        <w:snapToGrid w:val="0"/>
        <w:spacing w:line="360" w:lineRule="auto"/>
        <w:ind w:firstLine="420"/>
        <w:textAlignment w:val="baseline"/>
        <w:rPr>
          <w:rFonts w:hAnsi="宋体"/>
          <w:szCs w:val="21"/>
        </w:rPr>
      </w:pPr>
      <w:r>
        <w:rPr>
          <w:rFonts w:hint="eastAsia" w:hAnsi="宋体"/>
          <w:szCs w:val="21"/>
        </w:rPr>
        <w:t>因乙方未按法定税率计算税额或未根据本合同约定出具对应税额的增值税专用发票等乙方原因导致甲方多支付税额的，乙方必须退还甲方，给甲方造成损失的，乙方须向甲方赔偿相应损失。</w:t>
      </w:r>
    </w:p>
    <w:p>
      <w:pPr>
        <w:pStyle w:val="15"/>
        <w:tabs>
          <w:tab w:val="left" w:pos="0"/>
        </w:tabs>
        <w:adjustRightInd w:val="0"/>
        <w:snapToGrid w:val="0"/>
        <w:spacing w:line="360" w:lineRule="auto"/>
        <w:ind w:firstLine="420"/>
        <w:textAlignment w:val="baseline"/>
        <w:rPr>
          <w:rFonts w:hAnsi="宋体"/>
          <w:szCs w:val="21"/>
        </w:rPr>
      </w:pPr>
      <w:r>
        <w:rPr>
          <w:rFonts w:hint="eastAsia" w:hAnsi="宋体"/>
          <w:szCs w:val="21"/>
        </w:rPr>
        <w:t>3、合同价税合计为</w:t>
      </w:r>
      <w:r>
        <w:rPr>
          <w:rFonts w:hint="eastAsia" w:hAnsi="宋体"/>
          <w:szCs w:val="21"/>
          <w:u w:val="single"/>
        </w:rPr>
        <w:t>¥         元</w:t>
      </w:r>
      <w:r>
        <w:rPr>
          <w:rFonts w:hint="eastAsia" w:hAnsi="宋体"/>
          <w:szCs w:val="21"/>
        </w:rPr>
        <w:t>（大写人民币</w:t>
      </w:r>
      <w:r>
        <w:rPr>
          <w:rFonts w:hint="eastAsia" w:hAnsi="宋体"/>
          <w:szCs w:val="21"/>
          <w:u w:val="single"/>
        </w:rPr>
        <w:t xml:space="preserve">                </w:t>
      </w:r>
      <w:r>
        <w:rPr>
          <w:rFonts w:hint="eastAsia" w:hAnsi="宋体"/>
          <w:szCs w:val="21"/>
        </w:rPr>
        <w:t>）（以下简称“合同总价（含税）”），合同履行期间根据本条第2项规定调整销项税额的，结算合同价税合计对应调整。</w:t>
      </w:r>
    </w:p>
    <w:p>
      <w:pPr>
        <w:pStyle w:val="15"/>
        <w:tabs>
          <w:tab w:val="left" w:pos="0"/>
        </w:tabs>
        <w:adjustRightInd w:val="0"/>
        <w:snapToGrid w:val="0"/>
        <w:spacing w:line="360" w:lineRule="auto"/>
        <w:ind w:firstLine="420"/>
        <w:textAlignment w:val="baseline"/>
        <w:rPr>
          <w:rFonts w:hAnsi="宋体"/>
          <w:szCs w:val="21"/>
        </w:rPr>
      </w:pPr>
      <w:r>
        <w:rPr>
          <w:rFonts w:hint="eastAsia" w:hAnsi="宋体"/>
          <w:szCs w:val="21"/>
        </w:rPr>
        <w:t>4、合同价为乙方完成应承担合同义务的全部费用，包括但不限于：</w:t>
      </w:r>
    </w:p>
    <w:p>
      <w:pPr>
        <w:adjustRightInd w:val="0"/>
        <w:snapToGrid w:val="0"/>
        <w:spacing w:line="360" w:lineRule="auto"/>
        <w:ind w:firstLine="420" w:firstLineChars="200"/>
        <w:rPr>
          <w:rFonts w:ascii="宋体" w:hAnsi="宋体" w:cs="Arial"/>
          <w:szCs w:val="21"/>
        </w:rPr>
      </w:pPr>
      <w:r>
        <w:rPr>
          <w:rFonts w:hint="eastAsia" w:ascii="宋体" w:hAnsi="宋体"/>
          <w:szCs w:val="21"/>
        </w:rPr>
        <w:t>（1）</w:t>
      </w:r>
      <w:r>
        <w:rPr>
          <w:rFonts w:hint="eastAsia" w:ascii="宋体" w:hAnsi="宋体"/>
          <w:szCs w:val="21"/>
          <w:lang w:val="zh-CN"/>
        </w:rPr>
        <w:t>合同范围内所有货物及其附件（含PLC程序、触摸屏程序等软件）的设计</w:t>
      </w:r>
      <w:r>
        <w:rPr>
          <w:rFonts w:hint="eastAsia"/>
          <w:szCs w:val="21"/>
          <w:lang w:val="zh-CN"/>
        </w:rPr>
        <w:t>（</w:t>
      </w:r>
      <w:r>
        <w:rPr>
          <w:rFonts w:hint="eastAsia"/>
          <w:szCs w:val="21"/>
        </w:rPr>
        <w:t>含二次深化设计</w:t>
      </w:r>
      <w:r>
        <w:rPr>
          <w:rFonts w:hint="eastAsia"/>
          <w:szCs w:val="21"/>
          <w:lang w:val="zh-CN"/>
        </w:rPr>
        <w:t>）</w:t>
      </w:r>
      <w:r>
        <w:rPr>
          <w:rFonts w:hint="eastAsia" w:ascii="宋体" w:hAnsi="宋体"/>
          <w:szCs w:val="21"/>
          <w:lang w:val="zh-CN"/>
        </w:rPr>
        <w:t>、采购、制造及系统集成、测试、试验、运输（至各子项目工地现场丙方指定地点）、保险、装卸、安装（含安全防护、文明施工措施）、单机试运转、指导及配合联合试运转（含耗材）、验收、</w:t>
      </w:r>
      <w:r>
        <w:rPr>
          <w:rFonts w:hint="eastAsia" w:ascii="宋体" w:hAnsi="宋体"/>
          <w:b/>
          <w:szCs w:val="21"/>
          <w:lang w:val="zh-CN"/>
        </w:rPr>
        <w:t>BIM模型及技术服务</w:t>
      </w:r>
      <w:r>
        <w:rPr>
          <w:rFonts w:hint="eastAsia" w:ascii="宋体" w:hAnsi="宋体"/>
          <w:szCs w:val="21"/>
          <w:lang w:val="zh-CN"/>
        </w:rPr>
        <w:t>的费用；</w:t>
      </w:r>
    </w:p>
    <w:p>
      <w:pPr>
        <w:adjustRightInd w:val="0"/>
        <w:snapToGrid w:val="0"/>
        <w:spacing w:line="360" w:lineRule="auto"/>
        <w:ind w:firstLine="420" w:firstLineChars="200"/>
        <w:rPr>
          <w:rFonts w:ascii="宋体" w:hAnsi="宋体"/>
          <w:szCs w:val="21"/>
        </w:rPr>
      </w:pPr>
      <w:r>
        <w:rPr>
          <w:rFonts w:hint="eastAsia" w:ascii="宋体" w:hAnsi="宋体"/>
          <w:szCs w:val="21"/>
          <w:lang w:val="zh-CN"/>
        </w:rPr>
        <w:t>（2）按招标文件及合同要求提供各阶段的纸质和电子版技术资料（含图纸），包括货物及其工艺</w:t>
      </w:r>
      <w:r>
        <w:rPr>
          <w:rFonts w:hint="eastAsia" w:ascii="宋体" w:hAnsi="宋体"/>
          <w:szCs w:val="21"/>
        </w:rPr>
        <w:t>所有制造方、使用方应支付的对商标权、专利权和版权、设计或其他知识产权而需要向其他方支付的版税及其他相关费用；</w:t>
      </w:r>
    </w:p>
    <w:p>
      <w:pPr>
        <w:adjustRightInd w:val="0"/>
        <w:snapToGrid w:val="0"/>
        <w:spacing w:line="360" w:lineRule="auto"/>
        <w:ind w:firstLine="420" w:firstLineChars="200"/>
        <w:rPr>
          <w:rFonts w:ascii="宋体" w:hAnsi="宋体" w:cs="Arial"/>
          <w:szCs w:val="21"/>
        </w:rPr>
      </w:pPr>
      <w:r>
        <w:rPr>
          <w:rFonts w:hint="eastAsia" w:ascii="宋体" w:hAnsi="宋体"/>
          <w:szCs w:val="21"/>
          <w:lang w:val="zh-CN"/>
        </w:rPr>
        <w:t>（3）</w:t>
      </w:r>
      <w:r>
        <w:rPr>
          <w:rFonts w:hint="eastAsia" w:ascii="宋体" w:hAnsi="宋体" w:cs="Arial"/>
          <w:szCs w:val="21"/>
        </w:rPr>
        <w:t>验收时为达到相关标准而可能增加的、不合格货物更换、零配件更换等</w:t>
      </w:r>
      <w:r>
        <w:rPr>
          <w:rFonts w:hint="eastAsia" w:ascii="宋体" w:hAnsi="宋体"/>
          <w:szCs w:val="21"/>
        </w:rPr>
        <w:t>费用</w:t>
      </w:r>
      <w:r>
        <w:rPr>
          <w:rFonts w:hint="eastAsia" w:ascii="宋体" w:hAnsi="宋体" w:cs="Arial"/>
          <w:szCs w:val="21"/>
        </w:rPr>
        <w:t>；</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（4）丙方所在地及工地现场</w:t>
      </w:r>
      <w:r>
        <w:rPr>
          <w:rFonts w:hint="eastAsia" w:ascii="宋体" w:hAnsi="宋体"/>
          <w:szCs w:val="21"/>
          <w:lang w:val="zh-CN"/>
        </w:rPr>
        <w:t>培训全过程费用（含会务、资料、培训方及非中文培训师的翻译、甲方、乙方、</w:t>
      </w:r>
      <w:r>
        <w:rPr>
          <w:rFonts w:hint="eastAsia" w:ascii="宋体" w:hAnsi="宋体"/>
          <w:szCs w:val="21"/>
        </w:rPr>
        <w:t>丙方</w:t>
      </w:r>
      <w:r>
        <w:rPr>
          <w:rFonts w:hint="eastAsia" w:ascii="宋体" w:hAnsi="宋体"/>
          <w:szCs w:val="21"/>
          <w:lang w:val="zh-CN"/>
        </w:rPr>
        <w:t>涉及的所有费用），但招标文件中明确不包含在本次合同价范围的乙方所在地培训除外；</w:t>
      </w:r>
    </w:p>
    <w:p>
      <w:pPr>
        <w:adjustRightInd w:val="0"/>
        <w:snapToGrid w:val="0"/>
        <w:spacing w:line="360" w:lineRule="auto"/>
        <w:ind w:firstLine="420" w:firstLineChars="200"/>
        <w:rPr>
          <w:rFonts w:ascii="宋体" w:hAnsi="宋体"/>
          <w:szCs w:val="21"/>
        </w:rPr>
      </w:pPr>
      <w:r>
        <w:rPr>
          <w:rFonts w:hint="eastAsia" w:ascii="宋体" w:hAnsi="宋体"/>
          <w:szCs w:val="21"/>
        </w:rPr>
        <w:t>（5）设备备品备件（含零配件）、设备拆装维修所需特殊专用工具购置费，但本用户需求书中明确不包含在本次合同价范围的设备维修、检测所需仪器仪表除外；</w:t>
      </w:r>
    </w:p>
    <w:p>
      <w:pPr>
        <w:adjustRightInd w:val="0"/>
        <w:snapToGrid w:val="0"/>
        <w:spacing w:line="360" w:lineRule="auto"/>
        <w:ind w:firstLine="420" w:firstLineChars="200"/>
        <w:rPr>
          <w:rFonts w:ascii="宋体" w:hAnsi="宋体"/>
          <w:szCs w:val="21"/>
        </w:rPr>
      </w:pPr>
      <w:r>
        <w:rPr>
          <w:rFonts w:hint="eastAsia" w:ascii="宋体" w:hAnsi="宋体"/>
          <w:szCs w:val="21"/>
        </w:rPr>
        <w:t>（6）日常技术指导，免费的质保期保修服务，包括但不限于对设备的运行指导，免费维修、保修或更换配件，在设备出现严重故障、影响正常运行、修复有困难的情况下，对设备进行免费更换的费用；</w:t>
      </w:r>
    </w:p>
    <w:p>
      <w:pPr>
        <w:adjustRightInd w:val="0"/>
        <w:snapToGrid w:val="0"/>
        <w:spacing w:line="360" w:lineRule="auto"/>
        <w:ind w:firstLine="420" w:firstLineChars="200"/>
        <w:rPr>
          <w:rFonts w:ascii="宋体" w:hAnsi="宋体"/>
          <w:szCs w:val="21"/>
        </w:rPr>
      </w:pPr>
      <w:r>
        <w:rPr>
          <w:rFonts w:hint="eastAsia" w:ascii="宋体" w:hAnsi="宋体"/>
          <w:szCs w:val="21"/>
        </w:rPr>
        <w:t>（7）设计</w:t>
      </w:r>
      <w:r>
        <w:rPr>
          <w:rFonts w:hint="eastAsia" w:ascii="宋体" w:hAnsi="宋体"/>
          <w:szCs w:val="21"/>
          <w:lang w:val="zh-CN"/>
        </w:rPr>
        <w:t>联络，</w:t>
      </w:r>
      <w:r>
        <w:rPr>
          <w:rFonts w:hint="eastAsia" w:ascii="宋体" w:hAnsi="宋体"/>
          <w:szCs w:val="21"/>
        </w:rPr>
        <w:t>在施工图设计阶段，乙方有义务根据实际情况派遣技术人员到东莞市参加设计联络会议进行技术交流，包括参加设计会签及校核和审查会议，合同价已包含完成施工图设计过程中的一切费用；</w:t>
      </w:r>
    </w:p>
    <w:p>
      <w:pPr>
        <w:adjustRightInd w:val="0"/>
        <w:snapToGrid w:val="0"/>
        <w:spacing w:line="360" w:lineRule="auto"/>
        <w:ind w:firstLine="420" w:firstLineChars="200"/>
        <w:rPr>
          <w:rFonts w:ascii="宋体" w:hAnsi="宋体"/>
          <w:szCs w:val="21"/>
        </w:rPr>
      </w:pPr>
      <w:r>
        <w:rPr>
          <w:rFonts w:hint="eastAsia" w:ascii="宋体" w:hAnsi="宋体"/>
          <w:szCs w:val="21"/>
        </w:rPr>
        <w:t>（8）招标设备清单虽未列出，但根据设计图纸或为满足设计功能所必需的设备材料购置费；</w:t>
      </w:r>
    </w:p>
    <w:p>
      <w:pPr>
        <w:adjustRightInd w:val="0"/>
        <w:snapToGrid w:val="0"/>
        <w:spacing w:line="360" w:lineRule="auto"/>
        <w:ind w:firstLine="420" w:firstLineChars="200"/>
        <w:rPr>
          <w:rFonts w:ascii="宋体" w:hAnsi="宋体"/>
          <w:szCs w:val="21"/>
        </w:rPr>
      </w:pPr>
      <w:r>
        <w:rPr>
          <w:rFonts w:hint="eastAsia" w:ascii="宋体" w:hAnsi="宋体"/>
          <w:szCs w:val="21"/>
        </w:rPr>
        <w:t>（9）合理利润、</w:t>
      </w:r>
      <w:r>
        <w:rPr>
          <w:rFonts w:hint="eastAsia" w:hAnsi="宋体"/>
          <w:szCs w:val="21"/>
          <w:lang w:val="zh-CN"/>
        </w:rPr>
        <w:t>乙方销项税额以外的税费</w:t>
      </w:r>
      <w:r>
        <w:rPr>
          <w:rFonts w:hint="eastAsia" w:ascii="宋体" w:hAnsi="宋体"/>
          <w:szCs w:val="21"/>
        </w:rPr>
        <w:t>等；</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（10）法律法规、</w:t>
      </w:r>
      <w:r>
        <w:rPr>
          <w:rFonts w:hint="eastAsia" w:ascii="宋体" w:hAnsi="宋体"/>
          <w:szCs w:val="21"/>
          <w:lang w:val="zh-CN"/>
        </w:rPr>
        <w:t>商业公认、招标文件规定由乙方承担的其他费用。</w:t>
      </w:r>
    </w:p>
    <w:p>
      <w:pPr>
        <w:pStyle w:val="15"/>
        <w:tabs>
          <w:tab w:val="left" w:pos="0"/>
        </w:tabs>
        <w:adjustRightInd w:val="0"/>
        <w:snapToGrid w:val="0"/>
        <w:spacing w:line="360" w:lineRule="auto"/>
        <w:ind w:firstLine="420"/>
        <w:textAlignment w:val="baseline"/>
        <w:rPr>
          <w:rFonts w:hAnsi="宋体"/>
          <w:szCs w:val="21"/>
        </w:rPr>
      </w:pPr>
      <w:r>
        <w:rPr>
          <w:rFonts w:hint="eastAsia" w:hAnsi="宋体"/>
          <w:szCs w:val="21"/>
        </w:rPr>
        <w:t>在执行合同过程中如发现有任何货物（含配件、技术资料等）漏项或短缺，虽然在乙方的投标报价表中并未列入，但为保证合同设备的性能、满足招标文件要求功能的正常运行要求所必须的，均应由乙方负责将所缺的货物补齐，其费用包括在合同价中。需补齐的货物，乙方应在接到丙方通知之日起</w:t>
      </w:r>
      <w:r>
        <w:rPr>
          <w:rFonts w:hAnsi="宋体"/>
          <w:szCs w:val="21"/>
        </w:rPr>
        <w:t>10</w:t>
      </w:r>
      <w:r>
        <w:rPr>
          <w:rFonts w:hint="eastAsia" w:hAnsi="宋体"/>
          <w:szCs w:val="21"/>
        </w:rPr>
        <w:t>日内交齐，否则将视为逾期交货。</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第三条 合同组成</w:t>
      </w:r>
    </w:p>
    <w:p>
      <w:pPr>
        <w:adjustRightInd w:val="0"/>
        <w:snapToGrid w:val="0"/>
        <w:spacing w:line="360" w:lineRule="auto"/>
        <w:ind w:firstLine="371" w:firstLineChars="177"/>
        <w:rPr>
          <w:rFonts w:ascii="宋体" w:hAnsi="宋体"/>
          <w:szCs w:val="21"/>
        </w:rPr>
      </w:pPr>
      <w:r>
        <w:rPr>
          <w:rFonts w:hint="eastAsia" w:ascii="宋体" w:hAnsi="宋体"/>
          <w:szCs w:val="21"/>
        </w:rPr>
        <w:t>详细价格组成、技术说明及其它有关合同货物的特定信息可由合同附件说明。所有附件及本项目的招标文件、答疑文件、投标文件及相关承诺、协议等均为本合同不可分割之一部分，与本合同同具法律效力，该等文件与本合同正文约定不一致的，以合同正文约定为准。</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第四条 技术要求</w:t>
      </w:r>
    </w:p>
    <w:p>
      <w:pPr>
        <w:adjustRightInd w:val="0"/>
        <w:snapToGrid w:val="0"/>
        <w:spacing w:line="360" w:lineRule="auto"/>
        <w:ind w:firstLine="371" w:firstLineChars="177"/>
        <w:rPr>
          <w:rFonts w:ascii="宋体" w:hAnsi="宋体"/>
          <w:szCs w:val="21"/>
        </w:rPr>
      </w:pPr>
      <w:r>
        <w:rPr>
          <w:rFonts w:hint="eastAsia" w:ascii="宋体" w:hAnsi="宋体"/>
          <w:szCs w:val="21"/>
        </w:rPr>
        <w:t>乙方保证所提供货物均为采用合格材料和工艺制成的全新一手的未使用过的制造商原装产品，并完全符合丙方招标文件要求及乙方投标文件承诺的质量、规格标准；同时乙方所提供货物，必须符合国家有关法律法规和环保、主管部门要求及甲方的技术要求，不存在侵犯第三人知识产权及其他合法权益的情况，</w:t>
      </w:r>
      <w:r>
        <w:rPr>
          <w:rFonts w:hint="eastAsia" w:hAnsi="宋体"/>
          <w:szCs w:val="21"/>
        </w:rPr>
        <w:t>否则</w:t>
      </w:r>
      <w:r>
        <w:rPr>
          <w:rFonts w:hint="eastAsia" w:hAnsi="宋体"/>
          <w:szCs w:val="21"/>
          <w:lang w:eastAsia="zh-Hans"/>
        </w:rPr>
        <w:t>甲方</w:t>
      </w:r>
      <w:r>
        <w:rPr>
          <w:rFonts w:hint="eastAsia" w:hAnsi="宋体"/>
          <w:szCs w:val="21"/>
        </w:rPr>
        <w:t>或丙方</w:t>
      </w:r>
      <w:r>
        <w:rPr>
          <w:rFonts w:hint="eastAsia" w:hAnsi="宋体"/>
          <w:szCs w:val="21"/>
          <w:lang w:eastAsia="zh-Hans"/>
        </w:rPr>
        <w:t>有权单方解除本合同</w:t>
      </w:r>
      <w:r>
        <w:rPr>
          <w:rFonts w:hAnsi="宋体"/>
          <w:szCs w:val="21"/>
          <w:lang w:eastAsia="zh-Hans"/>
        </w:rPr>
        <w:t>、</w:t>
      </w:r>
      <w:r>
        <w:rPr>
          <w:rFonts w:hint="eastAsia" w:hAnsi="宋体"/>
          <w:szCs w:val="21"/>
          <w:lang w:eastAsia="zh-Hans"/>
        </w:rPr>
        <w:t>不予返还履约担保且要求乙方按合同总价（含税）的</w:t>
      </w:r>
      <w:r>
        <w:rPr>
          <w:rFonts w:hAnsi="宋体"/>
          <w:szCs w:val="21"/>
          <w:lang w:eastAsia="zh-Hans"/>
        </w:rPr>
        <w:t>【30】%</w:t>
      </w:r>
      <w:r>
        <w:rPr>
          <w:rFonts w:hint="eastAsia" w:hAnsi="宋体"/>
          <w:szCs w:val="21"/>
          <w:lang w:eastAsia="zh-Hans"/>
        </w:rPr>
        <w:t>承担违约责任</w:t>
      </w:r>
      <w:r>
        <w:rPr>
          <w:rFonts w:hint="eastAsia" w:ascii="宋体" w:hAnsi="宋体"/>
          <w:szCs w:val="21"/>
        </w:rPr>
        <w:t>。乙方应当提供货物的质量检验单位出具的检验报告原件（检验报告合格）、出厂合格证明材料、产品性能使用说明书，并具备主管部门的质量认证文件等。</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第五条 质量保证、工厂监造和出厂试验</w:t>
      </w:r>
    </w:p>
    <w:p>
      <w:pPr>
        <w:adjustRightInd w:val="0"/>
        <w:snapToGrid w:val="0"/>
        <w:spacing w:line="360" w:lineRule="auto"/>
        <w:ind w:firstLine="424" w:firstLineChars="202"/>
        <w:rPr>
          <w:rFonts w:ascii="宋体" w:hAnsi="宋体"/>
          <w:szCs w:val="21"/>
        </w:rPr>
      </w:pPr>
      <w:r>
        <w:rPr>
          <w:rFonts w:hint="eastAsia" w:ascii="宋体" w:hAnsi="宋体"/>
          <w:szCs w:val="21"/>
        </w:rPr>
        <w:t>1、质量保证计划</w:t>
      </w:r>
    </w:p>
    <w:p>
      <w:pPr>
        <w:adjustRightInd w:val="0"/>
        <w:snapToGrid w:val="0"/>
        <w:spacing w:line="360" w:lineRule="auto"/>
        <w:ind w:firstLine="424" w:firstLineChars="202"/>
        <w:rPr>
          <w:rFonts w:ascii="宋体" w:hAnsi="宋体"/>
          <w:szCs w:val="21"/>
        </w:rPr>
      </w:pPr>
      <w:r>
        <w:rPr>
          <w:rFonts w:hint="eastAsia" w:ascii="宋体" w:hAnsi="宋体"/>
          <w:szCs w:val="21"/>
        </w:rPr>
        <w:t>乙方应在设备开始制造之前对本合同提供的设备制造、运输、安装、试运转建立质量保证计划，并在本合同签订之日起一个月内提供书面质量保证计划给丙方，质量保证计划为合同的组成部分，乙方和分包供应商必须共同遵守，并严格按照本合同及招标文件和ISO、ICE、GB标准进行。</w:t>
      </w:r>
    </w:p>
    <w:p>
      <w:pPr>
        <w:adjustRightInd w:val="0"/>
        <w:snapToGrid w:val="0"/>
        <w:spacing w:line="360" w:lineRule="auto"/>
        <w:ind w:firstLine="422" w:firstLineChars="201"/>
        <w:rPr>
          <w:rFonts w:ascii="宋体" w:hAnsi="宋体"/>
          <w:szCs w:val="21"/>
        </w:rPr>
      </w:pPr>
      <w:r>
        <w:rPr>
          <w:rFonts w:hint="eastAsia" w:ascii="宋体" w:hAnsi="宋体"/>
          <w:szCs w:val="21"/>
        </w:rPr>
        <w:t>2、由乙方供应的所有合同设备部件（包括外购），在生产过程中都须进行严格的测试和试验。所有测试、试验和总装（装配）必须有正式的记录文件。</w:t>
      </w:r>
    </w:p>
    <w:p>
      <w:pPr>
        <w:adjustRightInd w:val="0"/>
        <w:snapToGrid w:val="0"/>
        <w:spacing w:line="360" w:lineRule="auto"/>
        <w:ind w:firstLine="422" w:firstLineChars="201"/>
        <w:rPr>
          <w:rFonts w:ascii="宋体" w:hAnsi="宋体"/>
          <w:szCs w:val="21"/>
        </w:rPr>
      </w:pPr>
      <w:r>
        <w:rPr>
          <w:rFonts w:hint="eastAsia" w:ascii="宋体" w:hAnsi="宋体"/>
          <w:szCs w:val="21"/>
        </w:rPr>
        <w:t>3、为掌握制造进度和协调工作，乙方保证丙方可随时进入设备制造现场检查设备制造进度，乙方需配合并提供便利条件。丙方有权派代表到设备制造所在地对设备制造、检验、测试及运行实地考察或监造，也可指派专人到制造厂进行逐台或抽样检验。乙方负责根据需要为丙方在产地的考察、监造或参与设备的检测工作提供便利，对于进口设备，乙方应替丙方办妥入境签证手续并获得进入现场检查、检测和实验的许可证件。前述所需费用不包含在合同价中，由丙方自行承担。</w:t>
      </w:r>
    </w:p>
    <w:p>
      <w:pPr>
        <w:adjustRightInd w:val="0"/>
        <w:snapToGrid w:val="0"/>
        <w:spacing w:line="360" w:lineRule="auto"/>
        <w:ind w:firstLine="422" w:firstLineChars="201"/>
        <w:rPr>
          <w:rFonts w:ascii="宋体" w:hAnsi="宋体"/>
          <w:szCs w:val="21"/>
        </w:rPr>
      </w:pPr>
      <w:r>
        <w:rPr>
          <w:rFonts w:hint="eastAsia" w:ascii="宋体" w:hAnsi="宋体"/>
          <w:szCs w:val="21"/>
        </w:rPr>
        <w:t>4、设备产地进行的检验和测试不是设备的最后验收。乙方在设备生产测试前应向丙方提供检查和测试计划，当设备检查、测试的准备工作就绪，应在测试日的二十五个工作日前书面通知丙方测试日期，当设备需在国外进行测试时乙方应于60日前发出书面通知，丙方在设备的成功测试后，得在所有产品合格证的背后盖上“符合规格”（Conforms with the Specification）印章。如果在规定时间内丙方代表不能到场，乙方在事先书面通知丙方并经丙方书面同意后方可自行完成检查和测试工作；未经丙方书面同意，乙方不得擅自</w:t>
      </w:r>
      <w:r>
        <w:rPr>
          <w:rFonts w:hint="eastAsia" w:ascii="宋体" w:hAnsi="宋体"/>
          <w:szCs w:val="21"/>
          <w:lang w:eastAsia="zh-Hans"/>
        </w:rPr>
        <w:t>进行</w:t>
      </w:r>
      <w:r>
        <w:rPr>
          <w:rFonts w:hint="eastAsia" w:ascii="宋体" w:hAnsi="宋体"/>
          <w:szCs w:val="21"/>
        </w:rPr>
        <w:t>测试工作，否则丙方有权拒绝承认乙方的测试结果。上述程序完成后，乙方应于3日内给丙方邮寄5份附有具体测试结果的合格证书，并保证丙方于7日内收到该报告，乙方应保证前述文件的合法性、真实性、准确性。如果尚无技术条件完成测试工作的，乙方应将相应工作安排到具有测试条件和相应资质的单位进行，相关费用由乙方承担。第三方单位出具的检验结论和记录的原件应提交丙方书面确认，如检验、检测不符本技术要求而引起的时间延误，不得作为工期延误的免责理由，乙方应自行承担相关责任。</w:t>
      </w:r>
    </w:p>
    <w:p>
      <w:pPr>
        <w:adjustRightInd w:val="0"/>
        <w:snapToGrid w:val="0"/>
        <w:spacing w:line="360" w:lineRule="auto"/>
        <w:ind w:firstLine="422" w:firstLineChars="201"/>
        <w:rPr>
          <w:rFonts w:ascii="宋体" w:hAnsi="宋体"/>
          <w:szCs w:val="21"/>
        </w:rPr>
      </w:pPr>
      <w:r>
        <w:rPr>
          <w:rFonts w:hint="eastAsia" w:ascii="宋体" w:hAnsi="宋体"/>
          <w:szCs w:val="21"/>
        </w:rPr>
        <w:t>5、货物出厂后，丙方有权对任何材料（或设备）在任何时间和地点进行检验和测试，由此产生的费用由乙方先行支付。如果所检验和测试的材料（或设备）符合本合同（含附件）约定的质量规定，则检验和测试费用最终由丙方承担，反之则此费用由乙方承担。</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第六条 包装与运输</w:t>
      </w:r>
    </w:p>
    <w:p>
      <w:pPr>
        <w:adjustRightInd w:val="0"/>
        <w:snapToGrid w:val="0"/>
        <w:spacing w:line="360" w:lineRule="auto"/>
        <w:ind w:firstLine="422" w:firstLineChars="201"/>
        <w:rPr>
          <w:rFonts w:ascii="宋体" w:hAnsi="宋体"/>
          <w:szCs w:val="21"/>
        </w:rPr>
      </w:pPr>
      <w:r>
        <w:rPr>
          <w:rFonts w:hint="eastAsia" w:ascii="宋体" w:hAnsi="宋体"/>
          <w:szCs w:val="21"/>
        </w:rPr>
        <w:t>1、本合同项下货物的包装均应有良好的防湿、防锈、防潮、防雨、防腐及防碰撞的措施，且货物的包装、运输方式均应符合国家及行业相关标准的规定。</w:t>
      </w:r>
    </w:p>
    <w:p>
      <w:pPr>
        <w:adjustRightInd w:val="0"/>
        <w:snapToGrid w:val="0"/>
        <w:spacing w:line="360" w:lineRule="auto"/>
        <w:ind w:firstLine="422" w:firstLineChars="201"/>
        <w:rPr>
          <w:rFonts w:ascii="宋体" w:hAnsi="宋体"/>
          <w:szCs w:val="21"/>
        </w:rPr>
      </w:pPr>
      <w:r>
        <w:rPr>
          <w:rFonts w:hint="eastAsia" w:ascii="宋体" w:hAnsi="宋体"/>
          <w:szCs w:val="21"/>
        </w:rPr>
        <w:t>2、乙方运输的所有货物要符合有关标准规定的具有适合长途运输、多次搬运和装卸的坚固包装。包装应按设备特点，按需要分别采取对应的保护措施，以保证货物在没有任何损坏和腐蚀的情况下安全运抵丙方指定收货地点。</w:t>
      </w:r>
    </w:p>
    <w:p>
      <w:pPr>
        <w:adjustRightInd w:val="0"/>
        <w:snapToGrid w:val="0"/>
        <w:spacing w:line="360" w:lineRule="auto"/>
        <w:ind w:firstLine="422" w:firstLineChars="201"/>
        <w:rPr>
          <w:rFonts w:ascii="宋体" w:hAnsi="宋体"/>
          <w:szCs w:val="21"/>
        </w:rPr>
      </w:pPr>
      <w:r>
        <w:rPr>
          <w:rFonts w:hint="eastAsia" w:ascii="宋体" w:hAnsi="宋体"/>
          <w:szCs w:val="21"/>
        </w:rPr>
        <w:t>3、每件包装箱内，应附有装箱单、合格证、产品出厂质量合格证明书、技术说明以及丙方要求的其他合格证明文件或资料。</w:t>
      </w:r>
    </w:p>
    <w:p>
      <w:pPr>
        <w:adjustRightInd w:val="0"/>
        <w:snapToGrid w:val="0"/>
        <w:spacing w:line="360" w:lineRule="auto"/>
        <w:ind w:firstLine="422" w:firstLineChars="201"/>
        <w:rPr>
          <w:rFonts w:ascii="宋体" w:hAnsi="宋体"/>
          <w:szCs w:val="21"/>
        </w:rPr>
      </w:pPr>
      <w:r>
        <w:rPr>
          <w:rFonts w:hint="eastAsia" w:ascii="宋体" w:hAnsi="宋体"/>
          <w:szCs w:val="21"/>
        </w:rPr>
        <w:t>4、各种设备的松散零星部件应采用可靠安全的包装方式，装入尺寸适当的箱内，并尽可能整车发运。栅格式箱子或类似的包装，只能用于盛装不至于被偷窃或被其他物品或雨水造成损坏的设备及零部件。</w:t>
      </w:r>
    </w:p>
    <w:p>
      <w:pPr>
        <w:adjustRightInd w:val="0"/>
        <w:snapToGrid w:val="0"/>
        <w:spacing w:line="360" w:lineRule="auto"/>
        <w:ind w:firstLine="422" w:firstLineChars="201"/>
        <w:rPr>
          <w:rFonts w:ascii="宋体" w:hAnsi="宋体"/>
          <w:szCs w:val="21"/>
        </w:rPr>
      </w:pPr>
      <w:r>
        <w:rPr>
          <w:rFonts w:hint="eastAsia" w:ascii="宋体" w:hAnsi="宋体"/>
          <w:szCs w:val="21"/>
        </w:rPr>
        <w:t>5、凡由于包装不良、运输方式不当或非法运输造成的事故、损失、行政处罚和由此产生的其他全部费用均由乙方全部承担。</w:t>
      </w:r>
    </w:p>
    <w:p>
      <w:pPr>
        <w:adjustRightInd w:val="0"/>
        <w:snapToGrid w:val="0"/>
        <w:spacing w:line="360" w:lineRule="auto"/>
        <w:ind w:firstLine="422" w:firstLineChars="201"/>
        <w:rPr>
          <w:rFonts w:ascii="宋体" w:hAnsi="宋体"/>
          <w:szCs w:val="21"/>
        </w:rPr>
      </w:pPr>
      <w:r>
        <w:rPr>
          <w:rFonts w:hint="eastAsia" w:ascii="宋体" w:hAnsi="宋体"/>
          <w:szCs w:val="21"/>
        </w:rPr>
        <w:t>6、运输过程中发生的货物毁损、灭失等所有相关风险由乙方自行承担，并承担因此导致甲方、丙方工期延误，以及物价、人工上涨等所有增加的费用。</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第七条 保险</w:t>
      </w:r>
    </w:p>
    <w:p>
      <w:pPr>
        <w:adjustRightInd w:val="0"/>
        <w:snapToGrid w:val="0"/>
        <w:spacing w:line="360" w:lineRule="auto"/>
        <w:ind w:firstLine="371" w:firstLineChars="177"/>
        <w:rPr>
          <w:rFonts w:ascii="宋体" w:hAnsi="宋体"/>
          <w:szCs w:val="21"/>
        </w:rPr>
      </w:pPr>
      <w:r>
        <w:rPr>
          <w:rFonts w:hint="eastAsia" w:ascii="宋体" w:hAnsi="宋体"/>
          <w:szCs w:val="21"/>
        </w:rPr>
        <w:t>乙方应负责为本合同项下所有货物购买相应的商业保险，投保保险金额应不低于相应设备发票金额的110%，保险费已包含在合同价中。如因乙方未能投保或保险人不予承担相应责任而货物在经甲方、丙方验收合格前的运输、装卸等过程中发生毁损、灭失的风险由乙方自行承担。</w:t>
      </w:r>
    </w:p>
    <w:p>
      <w:pPr>
        <w:adjustRightInd w:val="0"/>
        <w:snapToGrid w:val="0"/>
        <w:spacing w:line="360" w:lineRule="auto"/>
        <w:ind w:firstLine="371" w:firstLineChars="177"/>
        <w:rPr>
          <w:rFonts w:ascii="宋体" w:hAnsi="宋体"/>
          <w:szCs w:val="21"/>
        </w:rPr>
      </w:pPr>
      <w:r>
        <w:rPr>
          <w:rFonts w:hint="eastAsia" w:ascii="宋体" w:hAnsi="宋体"/>
          <w:szCs w:val="21"/>
        </w:rPr>
        <w:t>一旦上述货物发生保险事故，乙方除依法向保险人请求赔偿保险金外，应继续依约向甲方提供满足项目要求的货物，由此造成交货期延误的，乙方应按合同第二十条第1款约定承担违约责任。</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第八条 货物的交付</w:t>
      </w:r>
    </w:p>
    <w:p>
      <w:pPr>
        <w:adjustRightInd w:val="0"/>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b/>
          <w:szCs w:val="21"/>
        </w:rPr>
        <w:t>乙方应在丙方（或丙方委托的第三方）发出书面供货通知之日起 75日内将所有货物运至交货地点，并按合同约定完成交接验收合格。乙方在交货前应提前7日书面通知丙方，经丙方书面同意后方能送货。如有违反，由此造成的仓储与保管费用以及货物毁损灭失的风险由乙方全部承担</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乙方应自行将货物运至交货地点交货，由于使用第三方送货服务导致货物未能经过甲、乙、丙三方共同验收、未送到指定地点仓库的，甲方或丙方有权拒绝收货。未经丙方同意，乙方或乙方委托的第三方送货服务仅将货物放置在门口/门卫室，而没有送货至丙方指定的地点的，视为乙方未履行送货义务，丙方有权拒绝接受货物且甲方不予支付货款。上述情况下甲方和丙方不负保管责任，货物未按照丙方要求放置而造成的损毁、灭失风险概由乙方承担。</w:t>
      </w:r>
    </w:p>
    <w:p>
      <w:pPr>
        <w:adjustRightInd w:val="0"/>
        <w:snapToGrid w:val="0"/>
        <w:spacing w:line="360" w:lineRule="auto"/>
        <w:ind w:firstLine="420" w:firstLineChars="200"/>
        <w:rPr>
          <w:rFonts w:ascii="宋体" w:hAnsi="宋体"/>
          <w:szCs w:val="21"/>
        </w:rPr>
      </w:pPr>
      <w:r>
        <w:rPr>
          <w:rFonts w:hint="eastAsia" w:ascii="宋体" w:hAnsi="宋体"/>
          <w:szCs w:val="21"/>
        </w:rPr>
        <w:t>3、甲方或丙方根据整体项目进度的情况，有权提出对部分或全部货物提前或延迟交货，但应不迟于交货期限届满前7日告知乙方，甲方和丙方无需另行支付任何费用。</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、乙方有义务配合丙方整体项目进度，对整体项目提供协助及配合。</w:t>
      </w:r>
    </w:p>
    <w:p>
      <w:pPr>
        <w:adjustRightInd w:val="0"/>
        <w:snapToGrid w:val="0"/>
        <w:spacing w:line="360" w:lineRule="auto"/>
        <w:ind w:firstLine="422" w:firstLineChars="200"/>
        <w:rPr>
          <w:rFonts w:ascii="宋体" w:hAnsi="宋体"/>
          <w:b/>
          <w:szCs w:val="21"/>
        </w:rPr>
      </w:pPr>
      <w:r>
        <w:rPr>
          <w:rFonts w:ascii="宋体" w:hAnsi="宋体"/>
          <w:b/>
          <w:szCs w:val="21"/>
        </w:rPr>
        <w:t>5</w:t>
      </w:r>
      <w:r>
        <w:rPr>
          <w:rFonts w:hint="eastAsia" w:ascii="宋体" w:hAnsi="宋体"/>
          <w:b/>
          <w:szCs w:val="21"/>
        </w:rPr>
        <w:t>、交货地点：</w:t>
      </w:r>
      <w:r>
        <w:rPr>
          <w:rFonts w:hint="eastAsia" w:ascii="宋体" w:hAnsi="宋体"/>
          <w:b/>
          <w:szCs w:val="21"/>
          <w:u w:val="single"/>
        </w:rPr>
        <w:t xml:space="preserve">                                    </w:t>
      </w:r>
      <w:r>
        <w:rPr>
          <w:rFonts w:ascii="宋体" w:hAnsi="宋体"/>
          <w:b/>
          <w:szCs w:val="21"/>
          <w:u w:val="single"/>
        </w:rPr>
        <w:t>工程</w:t>
      </w:r>
      <w:r>
        <w:rPr>
          <w:rFonts w:hint="eastAsia" w:ascii="宋体" w:hAnsi="宋体"/>
          <w:b/>
          <w:szCs w:val="21"/>
          <w:u w:val="single"/>
        </w:rPr>
        <w:t>工地现场</w:t>
      </w:r>
      <w:r>
        <w:rPr>
          <w:rFonts w:hint="eastAsia"/>
          <w:b/>
          <w:bCs/>
        </w:rPr>
        <w:t>丙方指定地点</w:t>
      </w:r>
      <w:r>
        <w:rPr>
          <w:rFonts w:hint="eastAsia" w:ascii="宋体" w:hAnsi="宋体"/>
          <w:b/>
          <w:szCs w:val="21"/>
        </w:rPr>
        <w:t>。</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、运输方式：</w:t>
      </w:r>
      <w:r>
        <w:rPr>
          <w:rFonts w:hint="eastAsia" w:ascii="宋体" w:hAnsi="宋体"/>
          <w:szCs w:val="21"/>
          <w:u w:val="single"/>
        </w:rPr>
        <w:t xml:space="preserve"> 由乙方自行选择适当的运输方式，并承担全部费用 </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、在交货地点的卸货责任及费用，由乙方承担。                                                         </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第九条 安装、调试</w:t>
      </w:r>
    </w:p>
    <w:p>
      <w:pPr>
        <w:adjustRightInd w:val="0"/>
        <w:snapToGrid w:val="0"/>
        <w:spacing w:line="360" w:lineRule="auto"/>
        <w:ind w:firstLine="420" w:firstLineChars="200"/>
        <w:rPr>
          <w:rFonts w:ascii="宋体" w:hAnsi="宋体"/>
          <w:szCs w:val="21"/>
        </w:rPr>
      </w:pPr>
      <w:r>
        <w:rPr>
          <w:rFonts w:hint="eastAsia" w:ascii="宋体" w:hAnsi="宋体"/>
          <w:szCs w:val="21"/>
        </w:rPr>
        <w:t>1、乙方应于交货后派专业技术人员，在本合同第八条规定的时间内完成供货，</w:t>
      </w:r>
      <w:r>
        <w:rPr>
          <w:rFonts w:ascii="宋体" w:hAnsi="宋体"/>
          <w:szCs w:val="21"/>
        </w:rPr>
        <w:t>并在交接验收</w:t>
      </w:r>
      <w:r>
        <w:rPr>
          <w:rFonts w:hint="eastAsia" w:ascii="宋体" w:hAnsi="宋体"/>
          <w:szCs w:val="21"/>
        </w:rPr>
        <w:t>合格</w:t>
      </w:r>
      <w:r>
        <w:rPr>
          <w:rFonts w:ascii="宋体" w:hAnsi="宋体"/>
          <w:szCs w:val="21"/>
        </w:rPr>
        <w:t>后</w:t>
      </w:r>
      <w:r>
        <w:rPr>
          <w:rFonts w:ascii="宋体" w:hAnsi="宋体"/>
          <w:szCs w:val="21"/>
          <w:u w:val="single"/>
        </w:rPr>
        <w:t xml:space="preserve">   </w:t>
      </w:r>
      <w:r>
        <w:rPr>
          <w:rFonts w:hint="eastAsia" w:ascii="宋体" w:hAnsi="宋体"/>
          <w:szCs w:val="21"/>
        </w:rPr>
        <w:t>日</w:t>
      </w:r>
      <w:r>
        <w:rPr>
          <w:rFonts w:ascii="宋体" w:hAnsi="宋体"/>
          <w:szCs w:val="21"/>
        </w:rPr>
        <w:t>内</w:t>
      </w:r>
      <w:r>
        <w:rPr>
          <w:rFonts w:hint="eastAsia" w:ascii="宋体" w:hAnsi="宋体"/>
          <w:szCs w:val="21"/>
        </w:rPr>
        <w:t>完成全部设备的安装，且经甲方和丙方初步验收合格。乙方负责在丙方要求的时间内完成单机试运转、指导及配合联合试运转，以及性能考核的技术指导工作。</w:t>
      </w:r>
    </w:p>
    <w:p>
      <w:pPr>
        <w:adjustRightInd w:val="0"/>
        <w:snapToGrid w:val="0"/>
        <w:spacing w:line="360" w:lineRule="auto"/>
        <w:ind w:firstLine="371" w:firstLineChars="177"/>
        <w:rPr>
          <w:rFonts w:ascii="宋体" w:hAnsi="宋体"/>
          <w:szCs w:val="21"/>
        </w:rPr>
      </w:pPr>
      <w:r>
        <w:rPr>
          <w:rFonts w:hint="eastAsia" w:ascii="宋体" w:hAnsi="宋体"/>
          <w:szCs w:val="21"/>
        </w:rPr>
        <w:t>2、在货物安装、调试过程中，乙方应遵守甲方和丙方现场的管理规定，并遵守工程施工、安全生产、消防安全的有关管理规定，采取必要的安全防范措施，消除事故隐患，并随时接受丙方（或丙方委托的第三方）安全检查人员的监督检查。在乙方搬运、拆卸、安装、调试、验收过程中所产生的安全责任（包括但不限于对协助人员、施工人员、第三方所造成的财物毁损、人员损伤，以及防火、防电、防盗责任等），乙方应承担全部赔偿责任及相关法律责任，与甲方和丙方无关；如因此造成甲方或丙方损失的，乙方应按甲方或丙方实际损失款项的【</w:t>
      </w:r>
      <w:r>
        <w:rPr>
          <w:rFonts w:ascii="宋体" w:hAnsi="宋体"/>
          <w:szCs w:val="21"/>
        </w:rPr>
        <w:t>2</w:t>
      </w:r>
      <w:r>
        <w:rPr>
          <w:rFonts w:hint="eastAsia" w:ascii="宋体" w:hAnsi="宋体"/>
          <w:szCs w:val="21"/>
        </w:rPr>
        <w:t>】倍标准进行赔偿。</w:t>
      </w:r>
    </w:p>
    <w:p>
      <w:pPr>
        <w:adjustRightInd w:val="0"/>
        <w:snapToGrid w:val="0"/>
        <w:spacing w:line="360" w:lineRule="auto"/>
        <w:ind w:firstLine="371" w:firstLineChars="177"/>
        <w:rPr>
          <w:rFonts w:ascii="宋体" w:hAnsi="宋体"/>
          <w:szCs w:val="21"/>
        </w:rPr>
      </w:pPr>
      <w:r>
        <w:rPr>
          <w:rFonts w:hint="eastAsia" w:ascii="宋体" w:hAnsi="宋体"/>
          <w:szCs w:val="21"/>
        </w:rPr>
        <w:t>3、乙方负责安装、调试，并及时解决安装、调试、试运行中出现的由乙方供货设备导致的问题，相关问题的解决时长以不影响工期为原则，否则将视为乙方逾期交货，且丙方有权追究乙方逾期交货的责任，即每逾期一日，乙方应按合同总价（含税）的5‰向丙方支付违约金。乙方逾期超过30日的，丙方可单方解除本合同，无论丙方是否解除本合同，乙方除支付前述逾期违约金外，还应按合同总价（含税）的5%向丙方支付赔偿金。</w:t>
      </w:r>
      <w:r>
        <w:rPr>
          <w:rFonts w:hint="eastAsia" w:hAnsi="宋体"/>
          <w:szCs w:val="21"/>
        </w:rPr>
        <w:t>该部分金额不足以弥补甲方</w:t>
      </w:r>
      <w:r>
        <w:rPr>
          <w:rFonts w:hint="eastAsia" w:ascii="宋体" w:hAnsi="宋体"/>
          <w:szCs w:val="21"/>
        </w:rPr>
        <w:t>和丙方</w:t>
      </w:r>
      <w:r>
        <w:rPr>
          <w:rFonts w:hint="eastAsia" w:hAnsi="宋体"/>
          <w:szCs w:val="21"/>
        </w:rPr>
        <w:t>损失的，</w:t>
      </w:r>
      <w:r>
        <w:rPr>
          <w:rFonts w:hint="eastAsia" w:ascii="宋体" w:hAnsi="宋体"/>
          <w:szCs w:val="21"/>
        </w:rPr>
        <w:t>丙方</w:t>
      </w:r>
      <w:r>
        <w:rPr>
          <w:rFonts w:hint="eastAsia" w:hAnsi="宋体"/>
          <w:szCs w:val="21"/>
        </w:rPr>
        <w:t>还有权另行追偿。</w:t>
      </w:r>
    </w:p>
    <w:p>
      <w:pPr>
        <w:snapToGrid w:val="0"/>
        <w:spacing w:line="360" w:lineRule="auto"/>
        <w:ind w:firstLine="371" w:firstLineChars="177"/>
        <w:rPr>
          <w:rFonts w:ascii="宋体" w:hAnsi="宋体"/>
          <w:szCs w:val="21"/>
        </w:rPr>
      </w:pPr>
      <w:r>
        <w:rPr>
          <w:rFonts w:hint="eastAsia" w:ascii="宋体" w:hAnsi="宋体"/>
          <w:szCs w:val="21"/>
        </w:rPr>
        <w:t>4、乙方现场施工需服从、配合施工总承包单位（由甲方或丙方另行委托）的安全文明施工管理，并与施工总承包单位签订安全生产协议。由于乙方原因造成施工总承包单位或其他第三方参建单位人员伤亡、财物损失或者被监督部门行政处罚，乙方须承担相应赔偿责任。</w:t>
      </w:r>
    </w:p>
    <w:p>
      <w:pPr>
        <w:snapToGrid w:val="0"/>
        <w:spacing w:line="360" w:lineRule="auto"/>
        <w:ind w:firstLine="371" w:firstLineChars="177"/>
        <w:rPr>
          <w:rFonts w:ascii="宋体" w:hAnsi="宋体" w:cs="宋体"/>
          <w:kern w:val="0"/>
          <w:szCs w:val="21"/>
          <w:lang w:val="zh-CN"/>
        </w:rPr>
      </w:pPr>
      <w:r>
        <w:rPr>
          <w:rFonts w:ascii="宋体" w:hAnsi="宋体" w:cs="宋体"/>
          <w:kern w:val="0"/>
          <w:szCs w:val="21"/>
          <w:lang w:val="zh-CN"/>
        </w:rPr>
        <w:t>5</w:t>
      </w:r>
      <w:r>
        <w:rPr>
          <w:rFonts w:hint="eastAsia" w:ascii="宋体" w:hAnsi="宋体" w:cs="宋体"/>
          <w:kern w:val="0"/>
          <w:szCs w:val="21"/>
          <w:lang w:val="zh-CN"/>
        </w:rPr>
        <w:t>、</w:t>
      </w:r>
      <w:r>
        <w:rPr>
          <w:rFonts w:hint="eastAsia" w:ascii="宋体" w:hAnsi="宋体"/>
          <w:szCs w:val="21"/>
        </w:rPr>
        <w:t>乙方</w:t>
      </w:r>
      <w:r>
        <w:rPr>
          <w:rFonts w:hint="eastAsia" w:ascii="宋体" w:hAnsi="宋体" w:cs="宋体"/>
          <w:kern w:val="0"/>
          <w:szCs w:val="21"/>
          <w:lang w:val="zh-CN"/>
        </w:rPr>
        <w:t>应严格按照国家有关安全文明施工的标准与规范制定安全文明施工操作规程，配备必要的安全生产和劳动保护设施，加强对施工作业人员的施工安全教育培训，对他们的安全负责。</w:t>
      </w:r>
    </w:p>
    <w:p>
      <w:pPr>
        <w:snapToGrid w:val="0"/>
        <w:spacing w:line="360" w:lineRule="auto"/>
        <w:ind w:firstLine="371" w:firstLineChars="177"/>
        <w:rPr>
          <w:rFonts w:ascii="宋体" w:hAnsi="宋体"/>
          <w:szCs w:val="21"/>
        </w:rPr>
      </w:pPr>
      <w:r>
        <w:rPr>
          <w:rFonts w:ascii="宋体" w:hAnsi="宋体" w:cs="宋体"/>
          <w:kern w:val="0"/>
          <w:szCs w:val="21"/>
          <w:lang w:val="zh-CN"/>
        </w:rPr>
        <w:t>6</w:t>
      </w:r>
      <w:r>
        <w:rPr>
          <w:rFonts w:hint="eastAsia" w:ascii="宋体" w:hAnsi="宋体" w:cs="宋体"/>
          <w:kern w:val="0"/>
          <w:szCs w:val="21"/>
          <w:lang w:val="zh-CN"/>
        </w:rPr>
        <w:t>、</w:t>
      </w:r>
      <w:r>
        <w:rPr>
          <w:rFonts w:hint="eastAsia" w:ascii="宋体" w:hAnsi="宋体"/>
          <w:szCs w:val="21"/>
        </w:rPr>
        <w:t>乙方</w:t>
      </w:r>
      <w:r>
        <w:rPr>
          <w:rFonts w:hint="eastAsia" w:ascii="宋体" w:hAnsi="宋体" w:cs="宋体"/>
          <w:kern w:val="0"/>
          <w:szCs w:val="21"/>
          <w:lang w:val="zh-CN"/>
        </w:rPr>
        <w:t>应对合同工程的安全文明施工负责，采取有效的安全措施消除安全事故隐患，并接受和配合依法实施的监督检查。</w:t>
      </w:r>
    </w:p>
    <w:p>
      <w:pPr>
        <w:snapToGrid w:val="0"/>
        <w:spacing w:line="360" w:lineRule="auto"/>
        <w:ind w:firstLine="371" w:firstLineChars="177"/>
        <w:rPr>
          <w:rFonts w:ascii="宋体" w:hAnsi="宋体"/>
          <w:szCs w:val="21"/>
        </w:rPr>
      </w:pPr>
      <w:r>
        <w:rPr>
          <w:rFonts w:hint="eastAsia" w:ascii="宋体" w:hAnsi="宋体"/>
          <w:szCs w:val="21"/>
        </w:rPr>
        <w:t>7、乙方应遵守国家有关环境保护、卫生监督的法律法规，采取有效措施，保证施工场地达到环境保护、卫生部门的管理要求，为现场自有人员（含委派人员）提供并维护干净卫生的生活设施，保持施工场地的清洁整齐。</w:t>
      </w:r>
    </w:p>
    <w:p>
      <w:pPr>
        <w:snapToGrid w:val="0"/>
        <w:spacing w:line="360" w:lineRule="auto"/>
        <w:ind w:firstLine="371" w:firstLineChars="177"/>
        <w:rPr>
          <w:rFonts w:ascii="宋体" w:hAnsi="宋体"/>
          <w:szCs w:val="21"/>
        </w:rPr>
      </w:pPr>
      <w:r>
        <w:rPr>
          <w:rFonts w:hint="eastAsia" w:ascii="宋体" w:hAnsi="宋体"/>
          <w:szCs w:val="21"/>
        </w:rPr>
        <w:t>8、为保证合同设备的性能、满足招标文件要求功能且长期、稳定、正常运行要求所需要的，除施工图纸设计的预留洞口、预埋件、回填外，需要另行发生的开（补）洞口、增加预埋件、填缝、回填材料、水管、电路接驳、安全装置等，均由乙方自行负责，其费用包括在合同价中。</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第十条 验收</w:t>
      </w:r>
    </w:p>
    <w:p>
      <w:pPr>
        <w:adjustRightInd w:val="0"/>
        <w:snapToGrid w:val="0"/>
        <w:spacing w:line="360" w:lineRule="auto"/>
        <w:ind w:firstLine="371" w:firstLineChars="177"/>
        <w:rPr>
          <w:rFonts w:ascii="宋体" w:hAnsi="宋体"/>
          <w:szCs w:val="21"/>
        </w:rPr>
      </w:pPr>
      <w:r>
        <w:rPr>
          <w:rFonts w:hint="eastAsia" w:ascii="宋体" w:hAnsi="宋体"/>
          <w:szCs w:val="21"/>
        </w:rPr>
        <w:t>1、验收分为货到交货地点的交接验收，货物完成安装、单机试运转的初步验收，和联合试运转的最终验收，并符合《城镇污水处理厂工程质量验收规范》（</w:t>
      </w:r>
      <w:r>
        <w:rPr>
          <w:rFonts w:ascii="宋体" w:hAnsi="宋体"/>
          <w:szCs w:val="21"/>
        </w:rPr>
        <w:t>GB50334-2017</w:t>
      </w:r>
      <w:r>
        <w:rPr>
          <w:rFonts w:hint="eastAsia" w:ascii="宋体" w:hAnsi="宋体"/>
          <w:szCs w:val="21"/>
        </w:rPr>
        <w:t>）、《城乡排水工程项目规范》（GB 55027-2022）等规范的规定。</w:t>
      </w:r>
    </w:p>
    <w:p>
      <w:pPr>
        <w:pStyle w:val="15"/>
        <w:tabs>
          <w:tab w:val="left" w:pos="0"/>
        </w:tabs>
        <w:adjustRightInd w:val="0"/>
        <w:snapToGrid w:val="0"/>
        <w:spacing w:line="360" w:lineRule="auto"/>
        <w:ind w:firstLine="422"/>
        <w:textAlignment w:val="baseline"/>
        <w:rPr>
          <w:rFonts w:hAnsi="宋体"/>
          <w:szCs w:val="21"/>
        </w:rPr>
      </w:pPr>
      <w:r>
        <w:rPr>
          <w:rFonts w:hint="eastAsia" w:hAnsi="宋体"/>
          <w:szCs w:val="21"/>
        </w:rPr>
        <w:t>2、</w:t>
      </w:r>
      <w:r>
        <w:rPr>
          <w:rFonts w:hint="eastAsia" w:hAnsi="宋体"/>
          <w:b/>
          <w:szCs w:val="21"/>
          <w:u w:val="single"/>
        </w:rPr>
        <w:t>交接验收</w:t>
      </w:r>
      <w:r>
        <w:rPr>
          <w:rFonts w:hint="eastAsia" w:hAnsi="宋体"/>
          <w:szCs w:val="21"/>
        </w:rPr>
        <w:t>：</w:t>
      </w:r>
    </w:p>
    <w:p>
      <w:pPr>
        <w:pStyle w:val="15"/>
        <w:tabs>
          <w:tab w:val="left" w:pos="0"/>
        </w:tabs>
        <w:adjustRightInd w:val="0"/>
        <w:snapToGrid w:val="0"/>
        <w:spacing w:line="360" w:lineRule="auto"/>
        <w:ind w:firstLine="422"/>
        <w:textAlignment w:val="baseline"/>
        <w:rPr>
          <w:rFonts w:hAnsi="宋体"/>
          <w:szCs w:val="21"/>
          <w:lang w:val="zh-CN"/>
        </w:rPr>
      </w:pPr>
      <w:r>
        <w:rPr>
          <w:rFonts w:hint="eastAsia" w:hAnsi="宋体"/>
          <w:szCs w:val="21"/>
        </w:rPr>
        <w:t>（1）</w:t>
      </w:r>
      <w:r>
        <w:rPr>
          <w:rFonts w:hint="eastAsia" w:hAnsi="宋体"/>
          <w:szCs w:val="21"/>
          <w:lang w:val="zh-CN"/>
        </w:rPr>
        <w:t>货物运抵交货地点现场后</w:t>
      </w:r>
      <w:r>
        <w:rPr>
          <w:rFonts w:hint="eastAsia" w:hAnsi="宋体"/>
          <w:szCs w:val="21"/>
          <w:u w:val="single"/>
        </w:rPr>
        <w:t xml:space="preserve"> 7 </w:t>
      </w:r>
      <w:r>
        <w:rPr>
          <w:rFonts w:hint="eastAsia" w:hAnsi="宋体"/>
          <w:szCs w:val="21"/>
        </w:rPr>
        <w:t>日内</w:t>
      </w:r>
      <w:r>
        <w:rPr>
          <w:rFonts w:hint="eastAsia" w:hAnsi="宋体"/>
          <w:szCs w:val="21"/>
          <w:lang w:val="zh-CN"/>
        </w:rPr>
        <w:t>，</w:t>
      </w:r>
      <w:r>
        <w:rPr>
          <w:rFonts w:hint="eastAsia" w:hAnsi="宋体"/>
          <w:szCs w:val="21"/>
        </w:rPr>
        <w:t>甲方（或甲方委托的第三方）、丙方（或丙方委托的第三方）、乙方代表共同开箱验货。</w:t>
      </w:r>
      <w:r>
        <w:rPr>
          <w:rFonts w:hint="eastAsia" w:hAnsi="宋体"/>
          <w:szCs w:val="21"/>
          <w:lang w:val="zh-CN"/>
        </w:rPr>
        <w:t>丙方按照本合同及招标文件、投标文件、制造图纸、</w:t>
      </w:r>
      <w:r>
        <w:rPr>
          <w:rFonts w:hint="eastAsia" w:hAnsi="宋体"/>
          <w:szCs w:val="21"/>
        </w:rPr>
        <w:t>国家相关法律法规以及规范的要求</w:t>
      </w:r>
      <w:r>
        <w:rPr>
          <w:rFonts w:hint="eastAsia" w:hAnsi="宋体"/>
          <w:szCs w:val="21"/>
          <w:lang w:val="zh-CN"/>
        </w:rPr>
        <w:t>等相关的规定，对货物的品种、品牌、产地、型号规格、数量、外观质量、资料等进行清点和检查，并根据清点和检查情况作详细的记录。</w:t>
      </w:r>
    </w:p>
    <w:p>
      <w:pPr>
        <w:pStyle w:val="15"/>
        <w:tabs>
          <w:tab w:val="left" w:pos="0"/>
        </w:tabs>
        <w:adjustRightInd w:val="0"/>
        <w:snapToGrid w:val="0"/>
        <w:spacing w:line="360" w:lineRule="auto"/>
        <w:ind w:firstLine="422"/>
        <w:textAlignment w:val="baseline"/>
        <w:rPr>
          <w:rFonts w:hAnsi="宋体"/>
          <w:szCs w:val="21"/>
        </w:rPr>
      </w:pPr>
      <w:r>
        <w:rPr>
          <w:rFonts w:hint="eastAsia" w:hAnsi="宋体"/>
          <w:szCs w:val="21"/>
        </w:rPr>
        <w:t>（2）若乙方所提供的设备或部件为国外制造，除提供本合同第</w:t>
      </w:r>
      <w:r>
        <w:rPr>
          <w:rFonts w:hint="eastAsia" w:hAnsi="宋体"/>
          <w:szCs w:val="21"/>
          <w:u w:val="single"/>
        </w:rPr>
        <w:t>十六</w:t>
      </w:r>
      <w:r>
        <w:rPr>
          <w:rFonts w:hint="eastAsia" w:hAnsi="宋体"/>
          <w:szCs w:val="21"/>
        </w:rPr>
        <w:t>条规定的资料外，还应提供原产地证书、报关资料及检验检疫证明、完税证明。</w:t>
      </w:r>
    </w:p>
    <w:p>
      <w:pPr>
        <w:pStyle w:val="15"/>
        <w:tabs>
          <w:tab w:val="left" w:pos="0"/>
        </w:tabs>
        <w:adjustRightInd w:val="0"/>
        <w:snapToGrid w:val="0"/>
        <w:spacing w:line="360" w:lineRule="auto"/>
        <w:ind w:firstLine="420" w:firstLineChars="200"/>
        <w:textAlignment w:val="baseline"/>
        <w:rPr>
          <w:rFonts w:hAnsi="宋体"/>
          <w:szCs w:val="21"/>
        </w:rPr>
      </w:pPr>
      <w:r>
        <w:rPr>
          <w:rFonts w:hint="eastAsia" w:hAnsi="宋体"/>
          <w:szCs w:val="21"/>
        </w:rPr>
        <w:t>（3）</w:t>
      </w:r>
      <w:r>
        <w:rPr>
          <w:rFonts w:hint="eastAsia" w:hAnsi="宋体"/>
          <w:szCs w:val="21"/>
          <w:lang w:val="zh-CN"/>
        </w:rPr>
        <w:t>如发现货物的品种、品牌、产地、型号规格、数量、外观质量、资料与合同约定或招标文件规定不符，</w:t>
      </w:r>
      <w:r>
        <w:rPr>
          <w:rFonts w:hint="eastAsia" w:hAnsi="宋体"/>
          <w:szCs w:val="21"/>
        </w:rPr>
        <w:t>或货物短缺、质次、损坏等问题，丙方应作详细纪录，甲方或</w:t>
      </w:r>
      <w:r>
        <w:rPr>
          <w:rFonts w:hint="eastAsia" w:hAnsi="宋体"/>
          <w:szCs w:val="21"/>
          <w:lang w:val="zh-CN"/>
        </w:rPr>
        <w:t>丙</w:t>
      </w:r>
      <w:r>
        <w:rPr>
          <w:rFonts w:hint="eastAsia" w:hAnsi="宋体"/>
          <w:szCs w:val="21"/>
        </w:rPr>
        <w:t>方有权拒绝收货，如甲方和</w:t>
      </w:r>
      <w:r>
        <w:rPr>
          <w:rFonts w:hint="eastAsia" w:hAnsi="宋体"/>
          <w:szCs w:val="21"/>
          <w:lang w:val="zh-CN"/>
        </w:rPr>
        <w:t>丙</w:t>
      </w:r>
      <w:r>
        <w:rPr>
          <w:rFonts w:hint="eastAsia" w:hAnsi="宋体"/>
          <w:szCs w:val="21"/>
        </w:rPr>
        <w:t>方同意收货的，乙方在丙方规定的时间内立即、无条件进行调换或补齐。由此产生的制造、修理和运费及保险费均应由乙方负担，与甲方和丙方无关。以上调换、更换、补齐货物的时间包含在本合同约定的交货时间内。</w:t>
      </w:r>
    </w:p>
    <w:p>
      <w:pPr>
        <w:pStyle w:val="15"/>
        <w:tabs>
          <w:tab w:val="left" w:pos="0"/>
        </w:tabs>
        <w:adjustRightInd w:val="0"/>
        <w:snapToGrid w:val="0"/>
        <w:spacing w:line="360" w:lineRule="auto"/>
        <w:ind w:firstLine="420" w:firstLineChars="200"/>
        <w:textAlignment w:val="baseline"/>
        <w:rPr>
          <w:rFonts w:hAnsi="宋体"/>
          <w:szCs w:val="21"/>
          <w:lang w:val="zh-CN"/>
        </w:rPr>
      </w:pPr>
      <w:r>
        <w:rPr>
          <w:rFonts w:hint="eastAsia" w:hAnsi="宋体"/>
          <w:szCs w:val="21"/>
        </w:rPr>
        <w:t>（4）由于非甲方或丙方原因而引起的设备或部件的修理或更换的时间，如不影响工程建设进度，则不视为逾期交货，否则将视为乙方逾期交货，且丙方有权追究乙方逾期交货的责任，即每逾期一日，乙方应按合同总价（含税）的5‰向丙方支付违约金。乙方逾期超过30日的，丙方可单方解除本合同，无论丙方是否解除本合同，乙方除支付前述逾期违约金外，还应按合同总价（含税）的5%向丙方支付赔偿金。该部分金额不足以弥补甲方和丙方损失的，丙方还有权另行追偿。</w:t>
      </w:r>
    </w:p>
    <w:p>
      <w:pPr>
        <w:pStyle w:val="15"/>
        <w:tabs>
          <w:tab w:val="left" w:pos="0"/>
        </w:tabs>
        <w:adjustRightInd w:val="0"/>
        <w:snapToGrid w:val="0"/>
        <w:spacing w:line="360" w:lineRule="auto"/>
        <w:ind w:firstLine="420" w:firstLineChars="200"/>
        <w:textAlignment w:val="baseline"/>
        <w:rPr>
          <w:rFonts w:hAnsi="宋体"/>
          <w:szCs w:val="21"/>
        </w:rPr>
      </w:pPr>
      <w:r>
        <w:rPr>
          <w:rFonts w:hint="eastAsia" w:hAnsi="宋体"/>
          <w:szCs w:val="21"/>
        </w:rPr>
        <w:t>（5）交接验收合格后，丙方</w:t>
      </w:r>
      <w:r>
        <w:rPr>
          <w:rFonts w:hint="eastAsia" w:hAnsi="宋体"/>
          <w:szCs w:val="21"/>
          <w:lang w:val="zh-CN"/>
        </w:rPr>
        <w:t>出具相关签收手续。</w:t>
      </w:r>
    </w:p>
    <w:p>
      <w:pPr>
        <w:pStyle w:val="15"/>
        <w:tabs>
          <w:tab w:val="left" w:pos="0"/>
        </w:tabs>
        <w:adjustRightInd w:val="0"/>
        <w:snapToGrid w:val="0"/>
        <w:spacing w:line="360" w:lineRule="auto"/>
        <w:ind w:firstLine="420" w:firstLineChars="200"/>
        <w:textAlignment w:val="baseline"/>
        <w:rPr>
          <w:rFonts w:hAnsi="宋体"/>
          <w:b/>
          <w:szCs w:val="21"/>
        </w:rPr>
      </w:pPr>
      <w:r>
        <w:rPr>
          <w:rFonts w:hAnsi="宋体"/>
          <w:szCs w:val="21"/>
        </w:rPr>
        <w:t>3</w:t>
      </w:r>
      <w:r>
        <w:rPr>
          <w:rFonts w:hint="eastAsia" w:hAnsi="宋体"/>
          <w:szCs w:val="21"/>
        </w:rPr>
        <w:t>、</w:t>
      </w:r>
      <w:r>
        <w:rPr>
          <w:rFonts w:hint="eastAsia" w:hAnsi="宋体"/>
          <w:b/>
          <w:szCs w:val="21"/>
          <w:u w:val="single"/>
        </w:rPr>
        <w:t>初步验收</w:t>
      </w:r>
      <w:r>
        <w:rPr>
          <w:rFonts w:hint="eastAsia" w:hAnsi="宋体"/>
          <w:b/>
          <w:szCs w:val="21"/>
        </w:rPr>
        <w:t>：</w:t>
      </w:r>
    </w:p>
    <w:p>
      <w:pPr>
        <w:pStyle w:val="15"/>
        <w:tabs>
          <w:tab w:val="left" w:pos="0"/>
        </w:tabs>
        <w:adjustRightInd w:val="0"/>
        <w:snapToGrid w:val="0"/>
        <w:spacing w:line="360" w:lineRule="auto"/>
        <w:ind w:firstLine="420" w:firstLineChars="200"/>
        <w:textAlignment w:val="baseline"/>
        <w:rPr>
          <w:rFonts w:hAnsi="宋体"/>
          <w:szCs w:val="21"/>
        </w:rPr>
      </w:pPr>
      <w:r>
        <w:rPr>
          <w:rFonts w:hint="eastAsia" w:hAnsi="宋体"/>
          <w:szCs w:val="21"/>
        </w:rPr>
        <w:t>（1）合同下货物在完成安装、单机试运转、性能测试合格后，甲方（或甲方委托的第三方）、丙方（或丙方委托的第三方）、乙方一起对设备的</w:t>
      </w:r>
      <w:r>
        <w:rPr>
          <w:rFonts w:hint="eastAsia" w:hAnsi="宋体"/>
          <w:szCs w:val="21"/>
          <w:lang w:val="zh-CN"/>
        </w:rPr>
        <w:t>完整性</w:t>
      </w:r>
      <w:r>
        <w:rPr>
          <w:rFonts w:hint="eastAsia" w:hAnsi="宋体"/>
          <w:szCs w:val="21"/>
        </w:rPr>
        <w:t>，安装与设计图纸符合性和合理性、单机试运转的测试结果进行初步检验。</w:t>
      </w:r>
    </w:p>
    <w:p>
      <w:pPr>
        <w:pStyle w:val="15"/>
        <w:tabs>
          <w:tab w:val="left" w:pos="0"/>
        </w:tabs>
        <w:adjustRightInd w:val="0"/>
        <w:snapToGrid w:val="0"/>
        <w:spacing w:line="360" w:lineRule="auto"/>
        <w:ind w:firstLine="420" w:firstLineChars="200"/>
        <w:textAlignment w:val="baseline"/>
        <w:rPr>
          <w:rFonts w:hAnsi="宋体"/>
          <w:szCs w:val="21"/>
        </w:rPr>
      </w:pPr>
      <w:r>
        <w:rPr>
          <w:rFonts w:hint="eastAsia" w:hAnsi="宋体"/>
          <w:szCs w:val="21"/>
        </w:rPr>
        <w:t>（2）乙方在货物安装、单机试运转过程中，应做好详细的检验、测试记录和试验结果，检验结果应符合</w:t>
      </w:r>
      <w:r>
        <w:rPr>
          <w:rFonts w:hint="eastAsia" w:hAnsi="宋体"/>
          <w:szCs w:val="21"/>
          <w:lang w:val="zh-CN"/>
        </w:rPr>
        <w:t>本合同及招标文件、投标文件、制造图纸、</w:t>
      </w:r>
      <w:r>
        <w:rPr>
          <w:rFonts w:hint="eastAsia" w:hAnsi="宋体"/>
          <w:szCs w:val="21"/>
        </w:rPr>
        <w:t>国家相关法律法规以及规范的</w:t>
      </w:r>
      <w:r>
        <w:rPr>
          <w:rFonts w:hint="eastAsia" w:hAnsi="宋体"/>
          <w:szCs w:val="21"/>
          <w:lang w:val="zh-CN"/>
        </w:rPr>
        <w:t>规定标准。（当多个标准不一致时，以最高标准作为验收标准）。</w:t>
      </w:r>
      <w:r>
        <w:rPr>
          <w:rFonts w:hint="eastAsia" w:hAnsi="宋体"/>
          <w:szCs w:val="21"/>
        </w:rPr>
        <w:t xml:space="preserve"> </w:t>
      </w:r>
    </w:p>
    <w:p>
      <w:pPr>
        <w:pStyle w:val="15"/>
        <w:tabs>
          <w:tab w:val="left" w:pos="0"/>
        </w:tabs>
        <w:adjustRightInd w:val="0"/>
        <w:snapToGrid w:val="0"/>
        <w:spacing w:line="360" w:lineRule="auto"/>
        <w:ind w:firstLine="420" w:firstLineChars="200"/>
        <w:textAlignment w:val="baseline"/>
        <w:rPr>
          <w:rFonts w:hAnsi="宋体"/>
          <w:szCs w:val="21"/>
        </w:rPr>
      </w:pPr>
      <w:r>
        <w:rPr>
          <w:rFonts w:hint="eastAsia" w:hAnsi="宋体"/>
          <w:szCs w:val="21"/>
        </w:rPr>
        <w:t xml:space="preserve">（3）达到验收标准，甲、乙、丙三方及相关单位共同签署初步验收记录。乙方同时提供单机试运转报告、测试报告等资料。 </w:t>
      </w:r>
    </w:p>
    <w:p>
      <w:pPr>
        <w:pStyle w:val="15"/>
        <w:tabs>
          <w:tab w:val="left" w:pos="0"/>
        </w:tabs>
        <w:adjustRightInd w:val="0"/>
        <w:snapToGrid w:val="0"/>
        <w:spacing w:line="360" w:lineRule="auto"/>
        <w:ind w:firstLine="422"/>
        <w:textAlignment w:val="baseline"/>
        <w:rPr>
          <w:rFonts w:hAnsi="宋体"/>
          <w:szCs w:val="21"/>
        </w:rPr>
      </w:pPr>
      <w:r>
        <w:rPr>
          <w:rFonts w:hAnsi="宋体"/>
          <w:szCs w:val="21"/>
        </w:rPr>
        <w:t>4</w:t>
      </w:r>
      <w:r>
        <w:rPr>
          <w:rFonts w:hint="eastAsia" w:hAnsi="宋体"/>
          <w:szCs w:val="21"/>
        </w:rPr>
        <w:t>、</w:t>
      </w:r>
      <w:r>
        <w:rPr>
          <w:rFonts w:hint="eastAsia" w:hAnsi="宋体"/>
          <w:b/>
          <w:szCs w:val="21"/>
          <w:u w:val="single"/>
        </w:rPr>
        <w:t>最终验收</w:t>
      </w:r>
      <w:r>
        <w:rPr>
          <w:rFonts w:hint="eastAsia" w:hAnsi="宋体"/>
          <w:szCs w:val="21"/>
        </w:rPr>
        <w:t>：</w:t>
      </w:r>
    </w:p>
    <w:p>
      <w:pPr>
        <w:pStyle w:val="15"/>
        <w:tabs>
          <w:tab w:val="left" w:pos="0"/>
        </w:tabs>
        <w:adjustRightInd w:val="0"/>
        <w:snapToGrid w:val="0"/>
        <w:spacing w:line="360" w:lineRule="auto"/>
        <w:ind w:firstLine="422"/>
        <w:textAlignment w:val="baseline"/>
        <w:rPr>
          <w:rFonts w:hAnsi="宋体"/>
          <w:szCs w:val="21"/>
        </w:rPr>
      </w:pPr>
      <w:r>
        <w:rPr>
          <w:rFonts w:hint="eastAsia" w:hAnsi="宋体"/>
          <w:szCs w:val="21"/>
        </w:rPr>
        <w:t>（1）当污水处理厂的土建及配套工程、全部工艺设备等完成安装，具备通水条件后，进行联合试运转。联合试运转验收以全厂连续48小时出水水质100%达到国家有关出水水质标准为合格标准。</w:t>
      </w:r>
    </w:p>
    <w:p>
      <w:pPr>
        <w:pStyle w:val="15"/>
        <w:tabs>
          <w:tab w:val="left" w:pos="0"/>
        </w:tabs>
        <w:adjustRightInd w:val="0"/>
        <w:snapToGrid w:val="0"/>
        <w:spacing w:line="360" w:lineRule="auto"/>
        <w:ind w:firstLine="422"/>
        <w:textAlignment w:val="baseline"/>
        <w:rPr>
          <w:rFonts w:hAnsi="宋体"/>
          <w:szCs w:val="21"/>
        </w:rPr>
      </w:pPr>
      <w:r>
        <w:rPr>
          <w:rFonts w:hint="eastAsia" w:hAnsi="宋体"/>
          <w:szCs w:val="21"/>
        </w:rPr>
        <w:t>（2）货物按上述程序验收合格的，乙方移交完所有资料文档后，丙方向乙方出具书面的验收合格报告。</w:t>
      </w:r>
    </w:p>
    <w:p>
      <w:pPr>
        <w:pStyle w:val="15"/>
        <w:tabs>
          <w:tab w:val="left" w:pos="0"/>
        </w:tabs>
        <w:adjustRightInd w:val="0"/>
        <w:snapToGrid w:val="0"/>
        <w:spacing w:line="360" w:lineRule="auto"/>
        <w:ind w:firstLine="422"/>
        <w:textAlignment w:val="baseline"/>
        <w:rPr>
          <w:rFonts w:hAnsi="宋体"/>
          <w:szCs w:val="21"/>
        </w:rPr>
      </w:pPr>
      <w:r>
        <w:rPr>
          <w:rFonts w:hint="eastAsia" w:hAnsi="宋体"/>
          <w:szCs w:val="21"/>
        </w:rPr>
        <w:t>（3）当乙方取得丙方出具的联合试运转书面验收合格报告，或因非乙方原因导致本合同项下货物不能进行最终验收的，自合同下全部货物初步验收合格满9个月后（以先到期为准）视为最终验收合格。</w:t>
      </w:r>
    </w:p>
    <w:p>
      <w:pPr>
        <w:adjustRightInd w:val="0"/>
        <w:snapToGrid w:val="0"/>
        <w:spacing w:line="360" w:lineRule="auto"/>
        <w:ind w:firstLine="371" w:firstLineChars="177"/>
        <w:rPr>
          <w:rFonts w:ascii="宋体" w:hAnsi="宋体"/>
          <w:szCs w:val="21"/>
        </w:rPr>
      </w:pPr>
      <w:r>
        <w:rPr>
          <w:rFonts w:hint="eastAsia" w:ascii="宋体" w:hAnsi="宋体"/>
          <w:szCs w:val="21"/>
        </w:rPr>
        <w:t>（4）甲方</w:t>
      </w:r>
      <w:r>
        <w:rPr>
          <w:rFonts w:hint="eastAsia" w:hAnsi="宋体"/>
          <w:szCs w:val="21"/>
        </w:rPr>
        <w:t>和丙方</w:t>
      </w:r>
      <w:r>
        <w:rPr>
          <w:rFonts w:hint="eastAsia" w:ascii="宋体" w:hAnsi="宋体"/>
          <w:szCs w:val="21"/>
        </w:rPr>
        <w:t>在进行任何一次验收时发现货物不符合相关要求的，可拒绝收货或要求乙方承担免费更换或退货责任，乙方应将该等产品在3日内自行拆除及运回，甲方</w:t>
      </w:r>
      <w:r>
        <w:rPr>
          <w:rFonts w:hint="eastAsia" w:hAnsi="宋体"/>
          <w:szCs w:val="21"/>
        </w:rPr>
        <w:t>和丙方</w:t>
      </w:r>
      <w:r>
        <w:rPr>
          <w:rFonts w:hint="eastAsia" w:ascii="宋体" w:hAnsi="宋体"/>
          <w:szCs w:val="21"/>
        </w:rPr>
        <w:t>不承担因验收造成的产品损耗且不对产品承担保管责任，因此产生的一切费用及风险由乙方承担。</w:t>
      </w:r>
    </w:p>
    <w:p>
      <w:pPr>
        <w:adjustRightInd w:val="0"/>
        <w:snapToGrid w:val="0"/>
        <w:spacing w:line="360" w:lineRule="auto"/>
        <w:ind w:firstLine="371" w:firstLineChars="177"/>
        <w:rPr>
          <w:rFonts w:ascii="宋体" w:hAnsi="宋体"/>
          <w:szCs w:val="21"/>
        </w:rPr>
      </w:pPr>
      <w:r>
        <w:rPr>
          <w:rFonts w:hint="eastAsia" w:ascii="宋体" w:hAnsi="宋体"/>
          <w:szCs w:val="21"/>
        </w:rPr>
        <w:t>（5）甲方</w:t>
      </w:r>
      <w:r>
        <w:rPr>
          <w:rFonts w:hint="eastAsia" w:hAnsi="宋体"/>
          <w:szCs w:val="21"/>
        </w:rPr>
        <w:t>和丙方</w:t>
      </w:r>
      <w:r>
        <w:rPr>
          <w:rFonts w:hint="eastAsia" w:ascii="宋体" w:hAnsi="宋体"/>
          <w:szCs w:val="21"/>
        </w:rPr>
        <w:t>根据本条规定对货物所做出的验收，仅作为起算付款及质保期之用，不视为双方对于货物质量的最终认可，乙方仍应在质保期内对产品质量承担保证责任。</w:t>
      </w:r>
    </w:p>
    <w:p>
      <w:pPr>
        <w:adjustRightInd w:val="0"/>
        <w:snapToGrid w:val="0"/>
        <w:spacing w:line="360" w:lineRule="auto"/>
        <w:ind w:firstLine="371" w:firstLineChars="177"/>
        <w:rPr>
          <w:rFonts w:ascii="宋体" w:hAnsi="宋体"/>
          <w:szCs w:val="21"/>
        </w:rPr>
      </w:pPr>
      <w:r>
        <w:rPr>
          <w:rFonts w:hint="eastAsia" w:ascii="宋体" w:hAnsi="宋体"/>
          <w:szCs w:val="21"/>
        </w:rPr>
        <w:t>（6）货物在最终验收合格前，其损耗、毁损、灭失等风险及责任由乙方承担，如因发生前述情形，导致乙方所供应的货物不能通过甲方</w:t>
      </w:r>
      <w:r>
        <w:rPr>
          <w:rFonts w:hint="eastAsia" w:hAnsi="宋体"/>
          <w:szCs w:val="21"/>
        </w:rPr>
        <w:t>和丙方</w:t>
      </w:r>
      <w:r>
        <w:rPr>
          <w:rFonts w:hint="eastAsia" w:ascii="宋体" w:hAnsi="宋体"/>
          <w:szCs w:val="21"/>
        </w:rPr>
        <w:t>验收的，乙方应按甲方和</w:t>
      </w:r>
      <w:r>
        <w:rPr>
          <w:rFonts w:hint="eastAsia" w:hAnsi="宋体"/>
          <w:szCs w:val="21"/>
        </w:rPr>
        <w:t>丙方</w:t>
      </w:r>
      <w:r>
        <w:rPr>
          <w:rFonts w:hint="eastAsia" w:ascii="宋体" w:hAnsi="宋体"/>
          <w:szCs w:val="21"/>
        </w:rPr>
        <w:t>要求予以免费更换或退货。</w:t>
      </w:r>
    </w:p>
    <w:p>
      <w:pPr>
        <w:pStyle w:val="15"/>
        <w:tabs>
          <w:tab w:val="left" w:pos="0"/>
        </w:tabs>
        <w:adjustRightInd w:val="0"/>
        <w:snapToGrid w:val="0"/>
        <w:spacing w:line="360" w:lineRule="auto"/>
        <w:ind w:firstLine="422"/>
        <w:textAlignment w:val="baseline"/>
        <w:rPr>
          <w:rFonts w:hAnsi="宋体"/>
          <w:szCs w:val="21"/>
        </w:rPr>
      </w:pPr>
      <w:r>
        <w:rPr>
          <w:rFonts w:hint="eastAsia" w:hAnsi="宋体"/>
          <w:bCs/>
          <w:szCs w:val="21"/>
        </w:rPr>
        <w:t>（7）验收过程中，</w:t>
      </w:r>
      <w:r>
        <w:rPr>
          <w:rFonts w:hint="eastAsia" w:hAnsi="宋体"/>
          <w:szCs w:val="21"/>
        </w:rPr>
        <w:t>如对检验记录不能取得一致意见时，可委托工程所在地具有资质的权威的第三方检验机构联合进行检验。检验结果具有约束力，检验费用由</w:t>
      </w:r>
      <w:r>
        <w:rPr>
          <w:rFonts w:hAnsi="宋体"/>
          <w:szCs w:val="21"/>
        </w:rPr>
        <w:t>责任方</w:t>
      </w:r>
      <w:r>
        <w:rPr>
          <w:rFonts w:hint="eastAsia" w:hAnsi="宋体"/>
          <w:szCs w:val="21"/>
        </w:rPr>
        <w:t>负担。</w:t>
      </w:r>
    </w:p>
    <w:p>
      <w:pPr>
        <w:pStyle w:val="15"/>
        <w:numPr>
          <w:ilvl w:val="0"/>
          <w:numId w:val="16"/>
        </w:numPr>
        <w:tabs>
          <w:tab w:val="left" w:pos="0"/>
        </w:tabs>
        <w:adjustRightInd w:val="0"/>
        <w:snapToGrid w:val="0"/>
        <w:spacing w:line="360" w:lineRule="auto"/>
        <w:ind w:firstLine="422"/>
        <w:textAlignment w:val="baseline"/>
        <w:rPr>
          <w:rFonts w:hAnsi="宋体"/>
          <w:b/>
          <w:szCs w:val="21"/>
        </w:rPr>
      </w:pPr>
      <w:r>
        <w:rPr>
          <w:rFonts w:hint="eastAsia" w:hAnsi="宋体"/>
          <w:b/>
          <w:szCs w:val="21"/>
        </w:rPr>
        <w:t>设备变更条款</w:t>
      </w:r>
    </w:p>
    <w:p>
      <w:pPr>
        <w:adjustRightInd w:val="0"/>
        <w:snapToGrid w:val="0"/>
        <w:spacing w:line="360" w:lineRule="auto"/>
        <w:ind w:firstLine="371" w:firstLineChars="177"/>
        <w:rPr>
          <w:rFonts w:ascii="宋体" w:hAnsi="宋体"/>
          <w:szCs w:val="21"/>
        </w:rPr>
      </w:pPr>
      <w:r>
        <w:rPr>
          <w:rFonts w:hint="eastAsia" w:ascii="宋体" w:hAnsi="宋体"/>
          <w:szCs w:val="21"/>
        </w:rPr>
        <w:t>1、合同履行期间，如发生下列情形之一，应按规定进行变更。</w:t>
      </w:r>
    </w:p>
    <w:p>
      <w:pPr>
        <w:adjustRightInd w:val="0"/>
        <w:snapToGrid w:val="0"/>
        <w:spacing w:line="360" w:lineRule="auto"/>
        <w:ind w:firstLine="371" w:firstLineChars="177"/>
        <w:rPr>
          <w:rFonts w:ascii="宋体" w:hAnsi="宋体"/>
          <w:szCs w:val="21"/>
        </w:rPr>
      </w:pPr>
      <w:r>
        <w:rPr>
          <w:rFonts w:hint="eastAsia" w:ascii="宋体" w:hAnsi="宋体"/>
          <w:szCs w:val="21"/>
        </w:rPr>
        <w:t>（1）设备及备品备件清单发生增减的，经监理单位、设计单位、甲方及丙方确认同意使用在该工程项目上的。</w:t>
      </w:r>
    </w:p>
    <w:p>
      <w:pPr>
        <w:adjustRightInd w:val="0"/>
        <w:snapToGrid w:val="0"/>
        <w:spacing w:line="360" w:lineRule="auto"/>
        <w:ind w:firstLine="371" w:firstLineChars="177"/>
        <w:rPr>
          <w:rFonts w:ascii="宋体" w:hAnsi="宋体"/>
          <w:szCs w:val="21"/>
        </w:rPr>
      </w:pPr>
      <w:r>
        <w:rPr>
          <w:rFonts w:hint="eastAsia" w:ascii="宋体" w:hAnsi="宋体"/>
          <w:szCs w:val="21"/>
        </w:rPr>
        <w:t>（2）设备及备品备件与招标文件及本合同规定的材质、型号、规格，参数、产地等特征发生变化的，经监理单位、设计单位、甲方及丙方确认同意的。</w:t>
      </w:r>
    </w:p>
    <w:p>
      <w:pPr>
        <w:adjustRightInd w:val="0"/>
        <w:snapToGrid w:val="0"/>
        <w:spacing w:line="360" w:lineRule="auto"/>
        <w:ind w:firstLine="371" w:firstLineChars="177"/>
        <w:rPr>
          <w:rFonts w:ascii="宋体" w:hAnsi="宋体"/>
          <w:szCs w:val="21"/>
        </w:rPr>
      </w:pPr>
      <w:r>
        <w:rPr>
          <w:rFonts w:hint="eastAsia" w:ascii="宋体" w:hAnsi="宋体"/>
          <w:szCs w:val="21"/>
        </w:rPr>
        <w:t>（3）设备及备品备件因设计图纸发生变化的而需要变更，经监理单位、设计单位、甲方及丙方确认同意的。</w:t>
      </w:r>
    </w:p>
    <w:p>
      <w:pPr>
        <w:adjustRightInd w:val="0"/>
        <w:snapToGrid w:val="0"/>
        <w:spacing w:line="360" w:lineRule="auto"/>
        <w:ind w:firstLine="371" w:firstLineChars="177"/>
        <w:rPr>
          <w:rFonts w:ascii="宋体" w:hAnsi="宋体"/>
          <w:szCs w:val="21"/>
        </w:rPr>
      </w:pPr>
      <w:r>
        <w:rPr>
          <w:rFonts w:hint="eastAsia" w:ascii="宋体" w:hAnsi="宋体"/>
          <w:szCs w:val="21"/>
        </w:rPr>
        <w:t>（4）以上设备变更不含招标文件中明确约定的主要设备。</w:t>
      </w:r>
    </w:p>
    <w:p>
      <w:pPr>
        <w:adjustRightInd w:val="0"/>
        <w:snapToGrid w:val="0"/>
        <w:spacing w:line="360" w:lineRule="auto"/>
        <w:ind w:firstLine="371" w:firstLineChars="177"/>
        <w:rPr>
          <w:rFonts w:ascii="宋体" w:hAnsi="宋体"/>
          <w:szCs w:val="21"/>
        </w:rPr>
      </w:pPr>
      <w:r>
        <w:rPr>
          <w:rFonts w:hint="eastAsia" w:ascii="宋体" w:hAnsi="宋体"/>
          <w:szCs w:val="21"/>
        </w:rPr>
        <w:t>2、因本条第一款导致设备及备品备件变更的，价格按以下规定调整：</w:t>
      </w:r>
    </w:p>
    <w:p>
      <w:pPr>
        <w:adjustRightInd w:val="0"/>
        <w:snapToGrid w:val="0"/>
        <w:spacing w:line="360" w:lineRule="auto"/>
        <w:ind w:firstLine="371" w:firstLineChars="177"/>
        <w:rPr>
          <w:rFonts w:ascii="宋体" w:hAnsi="宋体"/>
          <w:szCs w:val="21"/>
        </w:rPr>
      </w:pPr>
      <w:r>
        <w:rPr>
          <w:rFonts w:hint="eastAsia" w:ascii="宋体" w:hAnsi="宋体"/>
          <w:szCs w:val="21"/>
        </w:rPr>
        <w:t>（1）合同中有适用于变更工程项目的，按照该项目的单价或总价调整。</w:t>
      </w:r>
    </w:p>
    <w:p>
      <w:pPr>
        <w:adjustRightInd w:val="0"/>
        <w:snapToGrid w:val="0"/>
        <w:spacing w:line="360" w:lineRule="auto"/>
        <w:ind w:firstLine="371" w:firstLineChars="177"/>
        <w:rPr>
          <w:rFonts w:ascii="宋体" w:hAnsi="宋体"/>
          <w:szCs w:val="21"/>
        </w:rPr>
      </w:pPr>
      <w:r>
        <w:rPr>
          <w:rFonts w:hint="eastAsia" w:ascii="宋体" w:hAnsi="宋体"/>
          <w:szCs w:val="21"/>
        </w:rPr>
        <w:t>（2）合同中没有适用于变更项目的，由乙方提交价格组成或证明文件经丙方审核后协商，调整变更项目的单价或总价。</w:t>
      </w:r>
    </w:p>
    <w:p>
      <w:pPr>
        <w:adjustRightInd w:val="0"/>
        <w:snapToGrid w:val="0"/>
        <w:spacing w:line="360" w:lineRule="auto"/>
        <w:ind w:firstLine="371" w:firstLineChars="177"/>
        <w:rPr>
          <w:rFonts w:ascii="宋体" w:hAnsi="宋体"/>
          <w:szCs w:val="21"/>
        </w:rPr>
      </w:pPr>
      <w:r>
        <w:rPr>
          <w:rFonts w:hint="eastAsia" w:ascii="宋体" w:hAnsi="宋体"/>
          <w:szCs w:val="21"/>
        </w:rPr>
        <w:t>3、因本条第一款导致设备及备品备件变更的，合同金额按以下规定调整：</w:t>
      </w:r>
    </w:p>
    <w:p>
      <w:pPr>
        <w:adjustRightInd w:val="0"/>
        <w:snapToGrid w:val="0"/>
        <w:spacing w:line="360" w:lineRule="auto"/>
        <w:ind w:firstLine="371" w:firstLineChars="177"/>
        <w:rPr>
          <w:rFonts w:ascii="宋体" w:hAnsi="宋体"/>
          <w:szCs w:val="21"/>
        </w:rPr>
      </w:pPr>
      <w:r>
        <w:rPr>
          <w:rFonts w:hint="eastAsia" w:ascii="宋体" w:hAnsi="宋体"/>
          <w:szCs w:val="21"/>
        </w:rPr>
        <w:t>（1）非甲方或丙方原因引起的设备变更，导致合同金额增加部分合同价不作调整。导致合同金额减少部分按本款第（3）项规定调整。</w:t>
      </w:r>
    </w:p>
    <w:p>
      <w:pPr>
        <w:adjustRightInd w:val="0"/>
        <w:snapToGrid w:val="0"/>
        <w:spacing w:line="360" w:lineRule="auto"/>
        <w:ind w:firstLine="371" w:firstLineChars="177"/>
        <w:rPr>
          <w:rFonts w:ascii="宋体" w:hAnsi="宋体"/>
          <w:szCs w:val="21"/>
        </w:rPr>
      </w:pPr>
      <w:r>
        <w:rPr>
          <w:rFonts w:hint="eastAsia" w:ascii="宋体" w:hAnsi="宋体"/>
          <w:szCs w:val="21"/>
        </w:rPr>
        <w:t>（2）因甲方或丙方原因引起的设备变更，导致合同金额增减部分按本款第（3）项规定调整。</w:t>
      </w:r>
    </w:p>
    <w:p>
      <w:pPr>
        <w:adjustRightInd w:val="0"/>
        <w:snapToGrid w:val="0"/>
        <w:spacing w:line="360" w:lineRule="auto"/>
        <w:ind w:firstLine="371" w:firstLineChars="177"/>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）当发生设备变更，丙方审定后出具审核意见书，并由乙方对审核意见书进行确认，确认后作为结算参考依据。</w:t>
      </w:r>
    </w:p>
    <w:p>
      <w:pPr>
        <w:pStyle w:val="15"/>
        <w:tabs>
          <w:tab w:val="left" w:pos="0"/>
        </w:tabs>
        <w:adjustRightInd w:val="0"/>
        <w:snapToGrid w:val="0"/>
        <w:spacing w:line="360" w:lineRule="auto"/>
        <w:ind w:firstLine="422"/>
        <w:textAlignment w:val="baseline"/>
        <w:rPr>
          <w:rFonts w:hAnsi="宋体"/>
          <w:b/>
          <w:szCs w:val="21"/>
        </w:rPr>
      </w:pPr>
      <w:r>
        <w:rPr>
          <w:rFonts w:hint="eastAsia" w:hAnsi="宋体"/>
          <w:szCs w:val="21"/>
        </w:rPr>
        <w:t>（4）关于变更引起合同金额调整部分金额支付，在完成变更审批程序并在设备到达现场交接合格后，支付至相应变更价款的70%及对应税额（包含变更前对应已支付的预付款部分）。</w:t>
      </w:r>
    </w:p>
    <w:p>
      <w:pPr>
        <w:pStyle w:val="15"/>
        <w:tabs>
          <w:tab w:val="left" w:pos="0"/>
        </w:tabs>
        <w:adjustRightInd w:val="0"/>
        <w:snapToGrid w:val="0"/>
        <w:spacing w:line="360" w:lineRule="auto"/>
        <w:ind w:firstLine="422"/>
        <w:textAlignment w:val="baseline"/>
        <w:rPr>
          <w:rFonts w:hAnsi="宋体"/>
          <w:b/>
          <w:szCs w:val="21"/>
        </w:rPr>
      </w:pPr>
      <w:r>
        <w:rPr>
          <w:rFonts w:hint="eastAsia" w:hAnsi="宋体"/>
          <w:b/>
          <w:szCs w:val="21"/>
        </w:rPr>
        <w:t>第十二条 技术服务、设计联络和培训</w:t>
      </w:r>
    </w:p>
    <w:p>
      <w:pPr>
        <w:adjustRightInd w:val="0"/>
        <w:snapToGrid w:val="0"/>
        <w:spacing w:line="360" w:lineRule="auto"/>
        <w:ind w:firstLine="371" w:firstLineChars="177"/>
        <w:rPr>
          <w:rFonts w:ascii="宋体" w:hAnsi="宋体"/>
          <w:szCs w:val="21"/>
        </w:rPr>
      </w:pPr>
      <w:r>
        <w:rPr>
          <w:rFonts w:hint="eastAsia" w:ascii="宋体" w:hAnsi="宋体"/>
          <w:szCs w:val="21"/>
        </w:rPr>
        <w:t>1、技术服务</w:t>
      </w:r>
    </w:p>
    <w:p>
      <w:pPr>
        <w:adjustRightInd w:val="0"/>
        <w:snapToGrid w:val="0"/>
        <w:spacing w:line="360" w:lineRule="auto"/>
        <w:ind w:firstLine="371" w:firstLineChars="177"/>
        <w:rPr>
          <w:rFonts w:ascii="宋体" w:hAnsi="宋体"/>
          <w:szCs w:val="21"/>
        </w:rPr>
      </w:pPr>
      <w:r>
        <w:rPr>
          <w:rFonts w:hint="eastAsia" w:ascii="宋体" w:hAnsi="宋体"/>
          <w:szCs w:val="21"/>
        </w:rPr>
        <w:t>（1）乙方应及时提供与本合同设备有关的工程设计、监理、检验、土建、安装、调试、验收、试验、运行、检修等相应的技术指导、技术配合、技术培训等全过程的服务。</w:t>
      </w:r>
    </w:p>
    <w:p>
      <w:pPr>
        <w:adjustRightInd w:val="0"/>
        <w:snapToGrid w:val="0"/>
        <w:spacing w:line="360" w:lineRule="auto"/>
        <w:ind w:firstLine="371" w:firstLineChars="177"/>
        <w:rPr>
          <w:rFonts w:ascii="宋体" w:hAnsi="宋体"/>
          <w:szCs w:val="21"/>
        </w:rPr>
      </w:pPr>
      <w:r>
        <w:rPr>
          <w:rFonts w:hint="eastAsia" w:ascii="宋体" w:hAnsi="宋体"/>
          <w:szCs w:val="21"/>
        </w:rPr>
        <w:t>（2） 在施工图设计阶段，乙方有义务根据实际情况派遣</w:t>
      </w:r>
      <w:r>
        <w:rPr>
          <w:rFonts w:ascii="宋体" w:hAnsi="宋体"/>
          <w:szCs w:val="21"/>
        </w:rPr>
        <w:t>具有丰富经验的</w:t>
      </w:r>
      <w:r>
        <w:rPr>
          <w:rFonts w:hint="eastAsia" w:ascii="宋体" w:hAnsi="宋体"/>
          <w:szCs w:val="21"/>
        </w:rPr>
        <w:t>专业技术人员到东莞市参加设计联络会议进行技术交流，包括参加设计会签及校核和审查会议，以完成施工图设计。</w:t>
      </w:r>
      <w:r>
        <w:rPr>
          <w:rFonts w:ascii="宋体" w:hAnsi="宋体"/>
          <w:szCs w:val="21"/>
        </w:rPr>
        <w:t>所需的费用均由</w:t>
      </w:r>
      <w:r>
        <w:rPr>
          <w:rFonts w:hint="eastAsia" w:ascii="宋体" w:hAnsi="宋体"/>
          <w:szCs w:val="21"/>
        </w:rPr>
        <w:t>乙方</w:t>
      </w:r>
      <w:r>
        <w:rPr>
          <w:rFonts w:ascii="宋体" w:hAnsi="宋体"/>
          <w:szCs w:val="21"/>
        </w:rPr>
        <w:t>负责。设计联络的确切日期由</w:t>
      </w:r>
      <w:r>
        <w:rPr>
          <w:rFonts w:hint="eastAsia" w:ascii="宋体" w:hAnsi="宋体"/>
          <w:szCs w:val="21"/>
        </w:rPr>
        <w:t>丙方</w:t>
      </w:r>
      <w:r>
        <w:rPr>
          <w:rFonts w:ascii="宋体" w:hAnsi="宋体"/>
          <w:szCs w:val="21"/>
        </w:rPr>
        <w:t>确定。</w:t>
      </w:r>
    </w:p>
    <w:p>
      <w:pPr>
        <w:adjustRightInd w:val="0"/>
        <w:snapToGrid w:val="0"/>
        <w:spacing w:line="360" w:lineRule="auto"/>
        <w:ind w:firstLine="371" w:firstLineChars="177"/>
        <w:rPr>
          <w:rFonts w:ascii="宋体" w:hAnsi="宋体"/>
          <w:szCs w:val="21"/>
        </w:rPr>
      </w:pPr>
      <w:r>
        <w:rPr>
          <w:rFonts w:hint="eastAsia" w:ascii="宋体" w:hAnsi="宋体"/>
          <w:szCs w:val="21"/>
        </w:rPr>
        <w:t>（3）甲方或丙方有权将乙方所提供的一切与本合同设备有关的资料分发给与本项目有关的各方，并不由此而构成任何侵权，亦无需事先取得乙方的同意，但三方不得向任何与本项目无关的第三方提供。</w:t>
      </w:r>
    </w:p>
    <w:p>
      <w:pPr>
        <w:adjustRightInd w:val="0"/>
        <w:snapToGrid w:val="0"/>
        <w:spacing w:line="360" w:lineRule="auto"/>
        <w:ind w:firstLine="371" w:firstLineChars="177"/>
        <w:rPr>
          <w:rFonts w:ascii="宋体" w:hAnsi="宋体"/>
          <w:szCs w:val="21"/>
        </w:rPr>
      </w:pPr>
      <w:r>
        <w:rPr>
          <w:rFonts w:hint="eastAsia" w:ascii="宋体" w:hAnsi="宋体"/>
          <w:szCs w:val="21"/>
        </w:rPr>
        <w:t>（4）乙方（包括外购）须对一切与本合同有关的供货、设备及技术接口、技术服务等问题负全部责任。凡与本合同设备相连接的其它设备装置，乙方有提供接口和技术配合的义务，并不由此而向甲方或丙方主张发生合同价格以外的任何费用。</w:t>
      </w:r>
    </w:p>
    <w:p>
      <w:pPr>
        <w:adjustRightInd w:val="0"/>
        <w:snapToGrid w:val="0"/>
        <w:spacing w:line="360" w:lineRule="auto"/>
        <w:ind w:firstLine="420" w:firstLineChars="200"/>
        <w:rPr>
          <w:rFonts w:ascii="宋体" w:hAnsi="宋体"/>
          <w:szCs w:val="21"/>
        </w:rPr>
      </w:pPr>
      <w:r>
        <w:rPr>
          <w:rFonts w:hint="eastAsia" w:ascii="宋体" w:hAnsi="宋体"/>
          <w:szCs w:val="21"/>
        </w:rPr>
        <w:t>（5）由于乙方（含制造商）技术服务人员对安装的疏忽和错误以及乙方未按要求派人指导而造成的直接损失应由乙方负责。造成甲方或丙方损失的，乙方需足额赔偿。</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、人员培训</w:t>
      </w:r>
    </w:p>
    <w:p>
      <w:pPr>
        <w:adjustRightInd w:val="0"/>
        <w:snapToGrid w:val="0"/>
        <w:spacing w:line="360" w:lineRule="auto"/>
        <w:ind w:firstLine="420" w:firstLineChars="200"/>
        <w:rPr>
          <w:rFonts w:ascii="宋体" w:hAnsi="宋体"/>
          <w:szCs w:val="21"/>
        </w:rPr>
      </w:pPr>
      <w:r>
        <w:rPr>
          <w:rFonts w:hint="eastAsia" w:ascii="宋体" w:hAnsi="宋体"/>
          <w:szCs w:val="21"/>
        </w:rPr>
        <w:t>（1）现场培训：指在安装、调试和检测期间，乙方派专人对操作工人进行培训，务必使这些受训人员能胜任这些设备的运行和维护工作。</w:t>
      </w:r>
    </w:p>
    <w:p>
      <w:pPr>
        <w:adjustRightInd w:val="0"/>
        <w:snapToGrid w:val="0"/>
        <w:spacing w:line="360" w:lineRule="auto"/>
        <w:ind w:firstLine="420" w:firstLineChars="200"/>
        <w:rPr>
          <w:rFonts w:ascii="宋体" w:hAnsi="宋体"/>
          <w:szCs w:val="21"/>
        </w:rPr>
      </w:pPr>
      <w:r>
        <w:rPr>
          <w:rFonts w:hint="eastAsia" w:ascii="宋体" w:hAnsi="宋体"/>
          <w:szCs w:val="21"/>
        </w:rPr>
        <w:t>（2）培训地点规模及时间：由丙方指定，乙方应提前 15 日提供完整的书面培训计划和方案，列明提供培训的技术人员名单及资质，以及培训完成后甲方和丙方人员可达到的水平等。</w:t>
      </w:r>
    </w:p>
    <w:p>
      <w:pPr>
        <w:adjustRightInd w:val="0"/>
        <w:snapToGrid w:val="0"/>
        <w:spacing w:line="360" w:lineRule="auto"/>
        <w:ind w:firstLine="420" w:firstLineChars="200"/>
        <w:rPr>
          <w:rFonts w:ascii="宋体" w:hAnsi="宋体"/>
          <w:szCs w:val="21"/>
        </w:rPr>
      </w:pPr>
      <w:r>
        <w:rPr>
          <w:rFonts w:hint="eastAsia" w:ascii="宋体" w:hAnsi="宋体"/>
          <w:szCs w:val="21"/>
        </w:rPr>
        <w:t>（3）培训内容：乙方为甲方免费提供操作及维护培训，主要内容为货物的基本结构、性能、主要部件的构造及原理，日常使用操作、保养与管理，常见故障的排除，紧急情况的处理等。进口设备由外籍技术人员给甲方和丙方技术人员进行培训时，乙方必须聘请专业的翻译人员，并提供相关的中英文资料。</w:t>
      </w:r>
    </w:p>
    <w:p>
      <w:pPr>
        <w:adjustRightInd w:val="0"/>
        <w:snapToGrid w:val="0"/>
        <w:spacing w:line="360" w:lineRule="auto"/>
        <w:ind w:firstLine="420" w:firstLineChars="200"/>
        <w:rPr>
          <w:rFonts w:ascii="宋体" w:hAnsi="宋体"/>
          <w:b/>
          <w:szCs w:val="21"/>
        </w:rPr>
      </w:pPr>
      <w:r>
        <w:rPr>
          <w:rFonts w:hint="eastAsia" w:ascii="宋体" w:hAnsi="宋体"/>
          <w:szCs w:val="21"/>
        </w:rPr>
        <w:t>（4）培训费用：培训费用由乙方承担（在乙方所在地培训的除外），该费用已包含在合同价中。</w:t>
      </w:r>
    </w:p>
    <w:p>
      <w:pPr>
        <w:adjustRightInd w:val="0"/>
        <w:snapToGrid w:val="0"/>
        <w:spacing w:line="360" w:lineRule="auto"/>
        <w:ind w:firstLine="373" w:firstLineChars="177"/>
        <w:rPr>
          <w:rFonts w:ascii="宋体" w:hAnsi="宋体"/>
          <w:b/>
          <w:szCs w:val="21"/>
        </w:rPr>
      </w:pPr>
      <w:r>
        <w:rPr>
          <w:rFonts w:hint="eastAsia" w:ascii="宋体" w:hAnsi="宋体"/>
          <w:b/>
          <w:szCs w:val="21"/>
        </w:rPr>
        <w:t>第十三条 质保期及售后服务</w:t>
      </w:r>
    </w:p>
    <w:p>
      <w:pPr>
        <w:pStyle w:val="2"/>
        <w:adjustRightInd w:val="0"/>
        <w:snapToGrid w:val="0"/>
        <w:spacing w:after="0" w:line="360" w:lineRule="auto"/>
        <w:ind w:firstLine="420" w:firstLineChars="200"/>
        <w:jc w:val="left"/>
        <w:rPr>
          <w:rFonts w:ascii="宋体" w:hAnsi="宋体"/>
          <w:b/>
          <w:szCs w:val="21"/>
        </w:rPr>
      </w:pPr>
      <w:r>
        <w:rPr>
          <w:rFonts w:hint="eastAsia" w:ascii="宋体" w:hAnsi="宋体"/>
          <w:szCs w:val="21"/>
        </w:rPr>
        <w:t>1、乙方应以书面形式提供货物原厂家的质量保障承诺，该等承诺不应低于本合同约定的标准。当由制造商直接负责售后服务时，不免除乙方对货物的质量及售后服务责任，乙方与制造商就货物质量及售后服务向甲方和丙方承担连带责任。</w:t>
      </w:r>
    </w:p>
    <w:p>
      <w:pPr>
        <w:adjustRightInd w:val="0"/>
        <w:snapToGrid w:val="0"/>
        <w:spacing w:line="360" w:lineRule="auto"/>
        <w:ind w:firstLine="373" w:firstLineChars="177"/>
        <w:rPr>
          <w:rFonts w:ascii="宋体" w:hAnsi="宋体"/>
          <w:szCs w:val="21"/>
        </w:rPr>
      </w:pPr>
      <w:r>
        <w:rPr>
          <w:rFonts w:hint="eastAsia" w:ascii="宋体" w:hAnsi="宋体"/>
          <w:b/>
          <w:szCs w:val="21"/>
        </w:rPr>
        <w:t>2、本合同项下货物的质保期为</w:t>
      </w:r>
      <w:r>
        <w:rPr>
          <w:rFonts w:hint="eastAsia" w:ascii="宋体" w:hAnsi="宋体"/>
          <w:b/>
          <w:szCs w:val="21"/>
          <w:u w:val="single"/>
        </w:rPr>
        <w:t xml:space="preserve">   个月</w:t>
      </w:r>
      <w:r>
        <w:rPr>
          <w:rFonts w:hint="eastAsia" w:ascii="宋体" w:hAnsi="宋体"/>
          <w:b/>
          <w:szCs w:val="21"/>
        </w:rPr>
        <w:t>，质保期自本合同项下全部货物最终验收合格之日起计算（以设备整体验收报告日期为准）。</w:t>
      </w:r>
      <w:r>
        <w:rPr>
          <w:rFonts w:hint="eastAsia" w:ascii="宋体" w:hAnsi="宋体"/>
          <w:szCs w:val="21"/>
        </w:rPr>
        <w:t>质保期内，乙方对所投设备供货、安装质量进行免费保修，免费保修包括但不限于由乙方承担完成质保期的工作而产生的运费、购置费、测试费、人工费等各项费用。</w:t>
      </w:r>
    </w:p>
    <w:p>
      <w:pPr>
        <w:adjustRightInd w:val="0"/>
        <w:snapToGrid w:val="0"/>
        <w:spacing w:line="360" w:lineRule="auto"/>
        <w:ind w:firstLine="371" w:firstLineChars="177"/>
        <w:rPr>
          <w:rFonts w:ascii="宋体" w:hAnsi="宋体"/>
          <w:szCs w:val="21"/>
        </w:rPr>
      </w:pPr>
      <w:r>
        <w:rPr>
          <w:rFonts w:hint="eastAsia" w:ascii="宋体" w:hAnsi="宋体"/>
          <w:szCs w:val="21"/>
        </w:rPr>
        <w:t>3、质保期内乙方应提供免费上门维修、保养及其他售后服务，对设备出现的不符合合同要求的或有瑕疵之处提供免费维修或更换配件服务，经维修、更换配件后的设备质保期从维修或更换并经甲方和</w:t>
      </w:r>
      <w:r>
        <w:rPr>
          <w:rFonts w:hint="eastAsia" w:hAnsi="宋体"/>
          <w:szCs w:val="21"/>
        </w:rPr>
        <w:t>丙方</w:t>
      </w:r>
      <w:r>
        <w:rPr>
          <w:rFonts w:hint="eastAsia" w:ascii="宋体" w:hAnsi="宋体"/>
          <w:szCs w:val="21"/>
        </w:rPr>
        <w:t>验收合格后重新计算。</w:t>
      </w:r>
    </w:p>
    <w:p>
      <w:pPr>
        <w:adjustRightInd w:val="0"/>
        <w:snapToGrid w:val="0"/>
        <w:spacing w:line="360" w:lineRule="auto"/>
        <w:ind w:firstLine="420" w:firstLineChars="200"/>
        <w:rPr>
          <w:rFonts w:ascii="宋体" w:hAnsi="宋体"/>
          <w:szCs w:val="21"/>
          <w:u w:val="single"/>
        </w:rPr>
      </w:pPr>
      <w:r>
        <w:rPr>
          <w:rFonts w:hint="eastAsia" w:ascii="宋体" w:hAnsi="宋体"/>
          <w:szCs w:val="21"/>
        </w:rPr>
        <w:t>4、在质保期内乙方应负责设备的保养，并实施每年至少两次（至少半年为一周期）的整体检查，并在每次检查后【</w:t>
      </w:r>
      <w:r>
        <w:rPr>
          <w:rFonts w:ascii="宋体" w:hAnsi="宋体"/>
          <w:szCs w:val="21"/>
        </w:rPr>
        <w:t>15</w:t>
      </w:r>
      <w:r>
        <w:rPr>
          <w:rFonts w:hint="eastAsia" w:ascii="宋体" w:hAnsi="宋体"/>
          <w:szCs w:val="21"/>
        </w:rPr>
        <w:t>】日内向甲方和</w:t>
      </w:r>
      <w:r>
        <w:rPr>
          <w:rFonts w:hint="eastAsia" w:hAnsi="宋体"/>
          <w:szCs w:val="21"/>
        </w:rPr>
        <w:t>丙方</w:t>
      </w:r>
      <w:r>
        <w:rPr>
          <w:rFonts w:hint="eastAsia" w:ascii="宋体" w:hAnsi="宋体"/>
          <w:szCs w:val="21"/>
        </w:rPr>
        <w:t>提供书面的检查报告。质保期间如在正常操作情况下，任何机件因设计不当、材质缺陷或制造欠佳等因素而发生故障，乙方应在接到报修通知后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小时内予以响应，</w:t>
      </w:r>
      <w:r>
        <w:rPr>
          <w:rFonts w:ascii="宋体" w:hAnsi="宋体"/>
          <w:szCs w:val="21"/>
          <w:u w:val="single"/>
        </w:rPr>
        <w:t xml:space="preserve">        </w:t>
      </w:r>
      <w:r>
        <w:rPr>
          <w:rFonts w:hint="eastAsia" w:ascii="宋体" w:hAnsi="宋体"/>
          <w:szCs w:val="21"/>
        </w:rPr>
        <w:t>小时内到场修复故障，</w:t>
      </w:r>
      <w:r>
        <w:rPr>
          <w:rFonts w:ascii="宋体" w:hAnsi="宋体"/>
          <w:szCs w:val="21"/>
          <w:u w:val="single"/>
        </w:rPr>
        <w:t xml:space="preserve">      </w:t>
      </w:r>
      <w:r>
        <w:rPr>
          <w:rFonts w:hint="eastAsia" w:ascii="宋体" w:hAnsi="宋体"/>
          <w:szCs w:val="21"/>
        </w:rPr>
        <w:t>小时内不能维修的，应提供替代设备供甲方临时使用。如乙方未在规定的期限内修复，丙方有权</w:t>
      </w:r>
      <w:r>
        <w:rPr>
          <w:rFonts w:ascii="宋体" w:hAnsi="宋体"/>
          <w:szCs w:val="21"/>
        </w:rPr>
        <w:t>采取必要措施</w:t>
      </w:r>
      <w:r>
        <w:rPr>
          <w:rFonts w:hint="eastAsia" w:ascii="宋体" w:hAnsi="宋体"/>
          <w:szCs w:val="21"/>
          <w:lang w:eastAsia="zh-Hans"/>
        </w:rPr>
        <w:t>如</w:t>
      </w:r>
      <w:r>
        <w:rPr>
          <w:rFonts w:hint="eastAsia" w:ascii="宋体" w:hAnsi="宋体"/>
          <w:szCs w:val="21"/>
        </w:rPr>
        <w:t>另行委托第三方对设备进行维护，由此产生的风险和费用由乙方承担，且甲方有权从质保金中直接予以扣除或丙方</w:t>
      </w:r>
      <w:r>
        <w:t>有权从</w:t>
      </w:r>
      <w:r>
        <w:rPr>
          <w:rFonts w:hint="eastAsia"/>
        </w:rPr>
        <w:t>质量保函</w:t>
      </w:r>
      <w:r>
        <w:t>中</w:t>
      </w:r>
      <w:r>
        <w:rPr>
          <w:rFonts w:hint="eastAsia"/>
        </w:rPr>
        <w:t>提取质保金</w:t>
      </w:r>
      <w:r>
        <w:t>予以</w:t>
      </w:r>
      <w:r>
        <w:rPr>
          <w:rFonts w:hint="eastAsia"/>
        </w:rPr>
        <w:t>支付</w:t>
      </w:r>
      <w:r>
        <w:rPr>
          <w:rFonts w:hint="eastAsia" w:ascii="宋体" w:hAnsi="宋体"/>
          <w:szCs w:val="21"/>
        </w:rPr>
        <w:t>维护、修复等费用</w:t>
      </w:r>
      <w:r>
        <w:rPr>
          <w:rFonts w:hint="eastAsia"/>
        </w:rPr>
        <w:t>。</w:t>
      </w:r>
      <w:r>
        <w:rPr>
          <w:rFonts w:hint="eastAsia" w:ascii="宋体" w:hAnsi="宋体"/>
          <w:szCs w:val="21"/>
        </w:rPr>
        <w:t>质保金不足以支付的，</w:t>
      </w:r>
      <w:r>
        <w:rPr>
          <w:rFonts w:hint="eastAsia"/>
        </w:rPr>
        <w:t>不足部分由乙方承担，如造成其他损失的，乙方还应承担赔偿责任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5、在质保期内，甲方和丙方有权拒绝使用带有缺陷的或与合同要求不符的设备或零件，这些设备或零件由乙方负责免费修好或更换，甲方和丙方不负担所增加费用。甲方或丙方如发现产品的质量、规格、性能、数量等与本招标文件规定不符，或发现产品无论由于任何原因存在隐藏缺陷、瑕疵、工艺问题或使用不良的材料的，或产品出现质量问题的，乙方应根据甲方和丙方指示承担免费更换或退货责任。</w:t>
      </w:r>
    </w:p>
    <w:p>
      <w:pPr>
        <w:adjustRightInd w:val="0"/>
        <w:snapToGrid w:val="0"/>
        <w:spacing w:line="360" w:lineRule="auto"/>
        <w:ind w:firstLine="371" w:firstLineChars="177"/>
        <w:rPr>
          <w:rFonts w:ascii="宋体" w:hAnsi="宋体"/>
          <w:szCs w:val="21"/>
        </w:rPr>
      </w:pPr>
      <w:r>
        <w:rPr>
          <w:rFonts w:hint="eastAsia" w:ascii="宋体" w:hAnsi="宋体"/>
          <w:szCs w:val="21"/>
        </w:rPr>
        <w:t>6、在质保期内，如设备出现故障（7日内）无法修复，或一个故障累计出现超过两次（含两次），或货物累计经三次维修后仍无法正常运行的，乙方应无条件根据甲方和丙方要求承担免费更换或退货责任，由此产生的费用由乙方承担，包括但不限于运输费用、搬运费用、采购费用等全部费用。</w:t>
      </w:r>
    </w:p>
    <w:p>
      <w:pPr>
        <w:adjustRightInd w:val="0"/>
        <w:snapToGrid w:val="0"/>
        <w:spacing w:line="360" w:lineRule="auto"/>
        <w:ind w:firstLine="371" w:firstLineChars="177"/>
        <w:rPr>
          <w:rFonts w:ascii="宋体" w:hAnsi="宋体"/>
          <w:szCs w:val="21"/>
        </w:rPr>
      </w:pPr>
      <w:r>
        <w:rPr>
          <w:rFonts w:hint="eastAsia" w:ascii="宋体" w:hAnsi="宋体"/>
          <w:szCs w:val="21"/>
        </w:rPr>
        <w:t>7、质保期内全部服务费（含更换零部件，达到招标文件及合同约定条件的更换货物或退货）和维修费用及乙方技术服务人员的一切费用由乙方全部自理，甲方和丙方保留索赔在质保期内设备缺陷导致的损失的权利。质保期满后的维修，乙方同意只收取合理的零件成本费用。</w:t>
      </w:r>
    </w:p>
    <w:p>
      <w:pPr>
        <w:adjustRightInd w:val="0"/>
        <w:snapToGrid w:val="0"/>
        <w:spacing w:line="360" w:lineRule="auto"/>
        <w:ind w:firstLine="424" w:firstLineChars="202"/>
        <w:rPr>
          <w:rFonts w:ascii="宋体" w:hAnsi="宋体"/>
          <w:szCs w:val="21"/>
        </w:rPr>
      </w:pPr>
      <w:r>
        <w:rPr>
          <w:rFonts w:ascii="宋体" w:hAnsi="宋体"/>
          <w:szCs w:val="21"/>
        </w:rPr>
        <w:t>8</w:t>
      </w:r>
      <w:r>
        <w:rPr>
          <w:rFonts w:hint="eastAsia" w:ascii="宋体" w:hAnsi="宋体"/>
          <w:szCs w:val="21"/>
        </w:rPr>
        <w:t>、乙方应建立质量跟踪档案，对甲方和丙方进行每月一次的定期回访（电话或现场），以保证货物的正常运行。</w:t>
      </w:r>
    </w:p>
    <w:p>
      <w:pPr>
        <w:adjustRightInd w:val="0"/>
        <w:snapToGrid w:val="0"/>
        <w:spacing w:line="360" w:lineRule="auto"/>
        <w:ind w:firstLine="371" w:firstLineChars="177"/>
        <w:rPr>
          <w:rFonts w:ascii="宋体" w:hAnsi="宋体"/>
          <w:szCs w:val="21"/>
        </w:rPr>
      </w:pPr>
      <w:r>
        <w:rPr>
          <w:rFonts w:ascii="宋体" w:hAnsi="宋体"/>
          <w:szCs w:val="21"/>
        </w:rPr>
        <w:t>9</w:t>
      </w:r>
      <w:r>
        <w:rPr>
          <w:rFonts w:hint="eastAsia" w:ascii="宋体" w:hAnsi="宋体"/>
          <w:szCs w:val="21"/>
        </w:rPr>
        <w:t>、乙方未按上述要求提供售后服务的，甲方或丙方有权要求其他第三方提供相关服务，因此产生的费用（</w:t>
      </w:r>
      <w:r>
        <w:rPr>
          <w:rFonts w:hint="eastAsia" w:hAnsi="宋体"/>
          <w:szCs w:val="21"/>
          <w:lang w:eastAsia="zh-Hans"/>
        </w:rPr>
        <w:t>包括但不限于本合同所约定的总价款</w:t>
      </w:r>
      <w:r>
        <w:rPr>
          <w:rFonts w:hAnsi="宋体"/>
          <w:szCs w:val="21"/>
          <w:lang w:eastAsia="zh-Hans"/>
        </w:rPr>
        <w:t>、</w:t>
      </w:r>
      <w:r>
        <w:rPr>
          <w:rFonts w:hint="eastAsia" w:hAnsi="宋体"/>
          <w:szCs w:val="21"/>
          <w:lang w:eastAsia="zh-Hans"/>
        </w:rPr>
        <w:t>甲方</w:t>
      </w:r>
      <w:r>
        <w:rPr>
          <w:rFonts w:hint="eastAsia" w:ascii="宋体" w:hAnsi="宋体"/>
          <w:szCs w:val="21"/>
        </w:rPr>
        <w:t>或丙方</w:t>
      </w:r>
      <w:r>
        <w:rPr>
          <w:rFonts w:hint="eastAsia" w:hAnsi="宋体"/>
          <w:szCs w:val="21"/>
          <w:lang w:eastAsia="zh-Hans"/>
        </w:rPr>
        <w:t>为维护自身权益所支付的律师费</w:t>
      </w:r>
      <w:r>
        <w:rPr>
          <w:rFonts w:hAnsi="宋体"/>
          <w:szCs w:val="21"/>
          <w:lang w:eastAsia="zh-Hans"/>
        </w:rPr>
        <w:t>、</w:t>
      </w:r>
      <w:r>
        <w:rPr>
          <w:rFonts w:hint="eastAsia" w:hAnsi="宋体"/>
          <w:szCs w:val="21"/>
          <w:lang w:eastAsia="zh-Hans"/>
        </w:rPr>
        <w:t>诉讼费</w:t>
      </w:r>
      <w:r>
        <w:rPr>
          <w:rFonts w:hAnsi="宋体"/>
          <w:szCs w:val="21"/>
          <w:lang w:eastAsia="zh-Hans"/>
        </w:rPr>
        <w:t>、</w:t>
      </w:r>
      <w:r>
        <w:rPr>
          <w:rFonts w:hint="eastAsia" w:hAnsi="宋体"/>
          <w:szCs w:val="21"/>
          <w:lang w:eastAsia="zh-Hans"/>
        </w:rPr>
        <w:t>鉴定费</w:t>
      </w:r>
      <w:r>
        <w:rPr>
          <w:rFonts w:hAnsi="宋体"/>
          <w:szCs w:val="21"/>
          <w:lang w:eastAsia="zh-Hans"/>
        </w:rPr>
        <w:t>、</w:t>
      </w:r>
      <w:r>
        <w:rPr>
          <w:rFonts w:hint="eastAsia" w:hAnsi="宋体"/>
          <w:szCs w:val="21"/>
          <w:lang w:eastAsia="zh-Hans"/>
        </w:rPr>
        <w:t>差旅费等</w:t>
      </w:r>
      <w:r>
        <w:rPr>
          <w:rFonts w:hint="eastAsia" w:ascii="宋体" w:hAnsi="宋体"/>
          <w:szCs w:val="21"/>
        </w:rPr>
        <w:t>）全部由乙方承担。</w:t>
      </w:r>
    </w:p>
    <w:p>
      <w:pPr>
        <w:adjustRightInd w:val="0"/>
        <w:snapToGrid w:val="0"/>
        <w:spacing w:line="360" w:lineRule="auto"/>
        <w:ind w:firstLine="371" w:firstLineChars="177"/>
        <w:rPr>
          <w:rFonts w:ascii="宋体" w:hAnsi="宋体"/>
          <w:szCs w:val="21"/>
        </w:rPr>
      </w:pPr>
      <w:r>
        <w:rPr>
          <w:rFonts w:hint="eastAsia"/>
        </w:rPr>
        <w:t>10、乙方</w:t>
      </w:r>
      <w:r>
        <w:t>需提供“</w:t>
      </w:r>
      <w:r>
        <w:rPr>
          <w:rFonts w:hint="eastAsia"/>
        </w:rPr>
        <w:t>设备故障率控制方式</w:t>
      </w:r>
      <w:r>
        <w:t>”的运维说明书，指导</w:t>
      </w:r>
      <w:r>
        <w:rPr>
          <w:rFonts w:hint="eastAsia"/>
        </w:rPr>
        <w:t>甲方</w:t>
      </w:r>
      <w:r>
        <w:t>对设备的运维管理，尽可能减少设备的故障率。</w:t>
      </w:r>
    </w:p>
    <w:p>
      <w:pPr>
        <w:adjustRightInd w:val="0"/>
        <w:snapToGrid w:val="0"/>
        <w:spacing w:line="360" w:lineRule="auto"/>
        <w:ind w:firstLine="373" w:firstLineChars="177"/>
        <w:rPr>
          <w:rFonts w:ascii="宋体" w:hAnsi="宋体"/>
          <w:b/>
          <w:szCs w:val="21"/>
        </w:rPr>
      </w:pPr>
      <w:r>
        <w:rPr>
          <w:rFonts w:hint="eastAsia" w:ascii="宋体" w:hAnsi="宋体"/>
          <w:b/>
          <w:szCs w:val="21"/>
        </w:rPr>
        <w:t>第十四条 履约担保</w:t>
      </w:r>
    </w:p>
    <w:p>
      <w:pPr>
        <w:adjustRightInd w:val="0"/>
        <w:snapToGrid w:val="0"/>
        <w:spacing w:line="360" w:lineRule="auto"/>
        <w:ind w:firstLine="371" w:firstLineChars="177"/>
        <w:rPr>
          <w:rFonts w:ascii="宋体" w:hAnsi="宋体"/>
          <w:szCs w:val="21"/>
        </w:rPr>
      </w:pPr>
      <w:r>
        <w:rPr>
          <w:rFonts w:hint="eastAsia" w:ascii="宋体" w:hAnsi="宋体"/>
          <w:szCs w:val="21"/>
        </w:rPr>
        <w:t>1、乙方应当根据招标文件的规定在签订本合同前向丙方提供履约担保，履约担保形式及金额由乙方从以下方式中任选一种：</w:t>
      </w:r>
    </w:p>
    <w:p>
      <w:pPr>
        <w:adjustRightInd w:val="0"/>
        <w:snapToGrid w:val="0"/>
        <w:spacing w:line="360" w:lineRule="auto"/>
        <w:ind w:firstLine="371" w:firstLineChars="177"/>
        <w:rPr>
          <w:rFonts w:ascii="宋体" w:hAnsi="宋体"/>
          <w:szCs w:val="21"/>
        </w:rPr>
      </w:pPr>
      <w:r>
        <w:rPr>
          <w:rFonts w:hint="eastAsia" w:ascii="宋体" w:hAnsi="宋体"/>
          <w:szCs w:val="21"/>
        </w:rPr>
        <w:t xml:space="preserve">□ </w:t>
      </w:r>
      <w:r>
        <w:rPr>
          <w:rFonts w:hint="eastAsia" w:ascii="宋体" w:hAnsi="宋体"/>
          <w:szCs w:val="21"/>
          <w:u w:val="single"/>
        </w:rPr>
        <w:t>履约保证金（银行转账形式）金额为</w:t>
      </w:r>
      <w:r>
        <w:rPr>
          <w:rFonts w:hint="eastAsia" w:ascii="宋体" w:hAnsi="宋体"/>
          <w:szCs w:val="21"/>
        </w:rPr>
        <w:t>合同总价（含税）</w:t>
      </w:r>
      <w:r>
        <w:rPr>
          <w:rFonts w:hint="eastAsia" w:ascii="宋体" w:hAnsi="宋体"/>
          <w:szCs w:val="21"/>
          <w:u w:val="single"/>
        </w:rPr>
        <w:t>的5</w:t>
      </w:r>
      <w:r>
        <w:rPr>
          <w:rFonts w:ascii="宋体" w:hAnsi="宋体"/>
          <w:szCs w:val="21"/>
          <w:u w:val="single"/>
        </w:rPr>
        <w:t>%</w:t>
      </w:r>
      <w:r>
        <w:rPr>
          <w:rFonts w:hint="eastAsia" w:hAnsi="宋体"/>
          <w:szCs w:val="21"/>
          <w:u w:val="single"/>
        </w:rPr>
        <w:t>为¥     元（大写人民币</w:t>
      </w:r>
      <w:r>
        <w:rPr>
          <w:rFonts w:hAnsi="宋体"/>
          <w:szCs w:val="21"/>
          <w:u w:val="single"/>
        </w:rPr>
        <w:t xml:space="preserve">      </w:t>
      </w:r>
      <w:r>
        <w:rPr>
          <w:rFonts w:hint="eastAsia" w:hAnsi="宋体"/>
          <w:szCs w:val="21"/>
          <w:u w:val="single"/>
        </w:rPr>
        <w:t>）</w:t>
      </w:r>
      <w:r>
        <w:rPr>
          <w:rFonts w:hint="eastAsia" w:ascii="宋体" w:hAnsi="宋体"/>
          <w:szCs w:val="21"/>
          <w:u w:val="single"/>
        </w:rPr>
        <w:t>；</w:t>
      </w:r>
    </w:p>
    <w:p>
      <w:pPr>
        <w:adjustRightInd w:val="0"/>
        <w:snapToGrid w:val="0"/>
        <w:spacing w:line="360" w:lineRule="auto"/>
        <w:ind w:firstLine="371" w:firstLineChars="177"/>
        <w:rPr>
          <w:rFonts w:ascii="宋体" w:hAnsi="宋体"/>
          <w:szCs w:val="21"/>
          <w:u w:val="single"/>
        </w:rPr>
      </w:pPr>
      <w:r>
        <w:rPr>
          <w:rFonts w:hint="eastAsia" w:ascii="宋体" w:hAnsi="宋体"/>
          <w:szCs w:val="21"/>
        </w:rPr>
        <w:t xml:space="preserve">□ </w:t>
      </w:r>
      <w:r>
        <w:rPr>
          <w:rFonts w:hint="eastAsia" w:ascii="宋体" w:hAnsi="宋体"/>
          <w:szCs w:val="21"/>
          <w:u w:val="single"/>
        </w:rPr>
        <w:t>不可撤销银行履约保函金额为</w:t>
      </w:r>
      <w:r>
        <w:rPr>
          <w:rFonts w:hint="eastAsia" w:ascii="宋体" w:hAnsi="宋体"/>
          <w:szCs w:val="21"/>
        </w:rPr>
        <w:t>合同总价（含税）</w:t>
      </w:r>
      <w:r>
        <w:rPr>
          <w:rFonts w:hint="eastAsia" w:ascii="宋体" w:hAnsi="宋体"/>
          <w:szCs w:val="21"/>
          <w:u w:val="single"/>
        </w:rPr>
        <w:t>的</w:t>
      </w:r>
      <w:r>
        <w:rPr>
          <w:rFonts w:ascii="宋体" w:hAnsi="宋体"/>
          <w:szCs w:val="21"/>
          <w:u w:val="single"/>
        </w:rPr>
        <w:t>8%</w:t>
      </w:r>
      <w:r>
        <w:rPr>
          <w:rFonts w:hint="eastAsia" w:hAnsi="宋体"/>
          <w:szCs w:val="21"/>
          <w:u w:val="single"/>
        </w:rPr>
        <w:t>为¥     元（大写人民币</w:t>
      </w:r>
      <w:r>
        <w:rPr>
          <w:rFonts w:hAnsi="宋体"/>
          <w:szCs w:val="21"/>
          <w:u w:val="single"/>
        </w:rPr>
        <w:t xml:space="preserve">      </w:t>
      </w:r>
      <w:r>
        <w:rPr>
          <w:rFonts w:hint="eastAsia" w:hAnsi="宋体"/>
          <w:szCs w:val="21"/>
          <w:u w:val="single"/>
        </w:rPr>
        <w:t>）</w:t>
      </w:r>
      <w:r>
        <w:rPr>
          <w:rFonts w:hint="eastAsia" w:ascii="宋体" w:hAnsi="宋体"/>
          <w:szCs w:val="21"/>
          <w:u w:val="single"/>
        </w:rPr>
        <w:t>；</w:t>
      </w:r>
    </w:p>
    <w:p>
      <w:pPr>
        <w:adjustRightInd w:val="0"/>
        <w:snapToGrid w:val="0"/>
        <w:spacing w:line="360" w:lineRule="auto"/>
        <w:ind w:firstLine="371" w:firstLineChars="177"/>
        <w:rPr>
          <w:rFonts w:ascii="宋体" w:hAnsi="宋体"/>
          <w:szCs w:val="21"/>
        </w:rPr>
      </w:pPr>
      <w:r>
        <w:rPr>
          <w:rFonts w:hint="eastAsia" w:ascii="宋体" w:hAnsi="宋体"/>
          <w:szCs w:val="21"/>
        </w:rPr>
        <w:t xml:space="preserve">□ </w:t>
      </w:r>
      <w:r>
        <w:rPr>
          <w:rFonts w:hint="eastAsia" w:ascii="宋体" w:hAnsi="宋体"/>
          <w:szCs w:val="21"/>
          <w:u w:val="single"/>
        </w:rPr>
        <w:t>担保公司履约担保书金额为</w:t>
      </w:r>
      <w:r>
        <w:rPr>
          <w:rFonts w:hint="eastAsia" w:ascii="宋体" w:hAnsi="宋体"/>
          <w:szCs w:val="21"/>
        </w:rPr>
        <w:t>合同总价（含税）</w:t>
      </w:r>
      <w:r>
        <w:rPr>
          <w:rFonts w:hint="eastAsia" w:ascii="宋体" w:hAnsi="宋体"/>
          <w:szCs w:val="21"/>
          <w:u w:val="single"/>
        </w:rPr>
        <w:t>的10%</w:t>
      </w:r>
      <w:r>
        <w:rPr>
          <w:rFonts w:hint="eastAsia" w:hAnsi="宋体"/>
          <w:szCs w:val="21"/>
          <w:u w:val="single"/>
        </w:rPr>
        <w:t>为¥     元（大写人民币</w:t>
      </w:r>
      <w:r>
        <w:rPr>
          <w:rFonts w:hAnsi="宋体"/>
          <w:szCs w:val="21"/>
          <w:u w:val="single"/>
        </w:rPr>
        <w:t xml:space="preserve">      </w:t>
      </w:r>
      <w:r>
        <w:rPr>
          <w:rFonts w:hint="eastAsia" w:hAnsi="宋体"/>
          <w:szCs w:val="21"/>
          <w:u w:val="single"/>
        </w:rPr>
        <w:t>）</w:t>
      </w:r>
      <w:r>
        <w:rPr>
          <w:rFonts w:hint="eastAsia" w:ascii="宋体" w:hAnsi="宋体"/>
          <w:szCs w:val="21"/>
          <w:u w:val="single"/>
        </w:rPr>
        <w:t>。</w:t>
      </w:r>
    </w:p>
    <w:p>
      <w:pPr>
        <w:adjustRightInd w:val="0"/>
        <w:snapToGrid w:val="0"/>
        <w:spacing w:line="360" w:lineRule="auto"/>
        <w:ind w:firstLine="371" w:firstLineChars="177"/>
        <w:rPr>
          <w:rFonts w:ascii="宋体" w:hAnsi="宋体"/>
          <w:szCs w:val="21"/>
        </w:rPr>
      </w:pPr>
      <w:r>
        <w:rPr>
          <w:rFonts w:hint="eastAsia" w:ascii="宋体" w:hAnsi="宋体"/>
          <w:szCs w:val="21"/>
        </w:rPr>
        <w:t>2、履约担保用于赔偿丙方因乙方不能完成其合同义务而蒙受的损失，如发生下列任一情况时，丙方除有权依合同追究违约责任外，还有权启动履约担保进行相应处理：</w:t>
      </w:r>
    </w:p>
    <w:p>
      <w:pPr>
        <w:adjustRightInd w:val="0"/>
        <w:snapToGrid w:val="0"/>
        <w:spacing w:line="360" w:lineRule="auto"/>
        <w:ind w:firstLine="371" w:firstLineChars="177"/>
        <w:rPr>
          <w:rFonts w:ascii="宋体" w:hAnsi="宋体"/>
          <w:szCs w:val="21"/>
        </w:rPr>
      </w:pPr>
      <w:r>
        <w:rPr>
          <w:rFonts w:hint="eastAsia" w:ascii="宋体" w:hAnsi="宋体"/>
          <w:szCs w:val="21"/>
        </w:rPr>
        <w:t>（1）</w:t>
      </w:r>
      <w:r>
        <w:rPr>
          <w:rFonts w:hint="eastAsia" w:hAnsi="宋体"/>
          <w:szCs w:val="21"/>
        </w:rPr>
        <w:t>乙方将合同项下的权利义务全部转让给第三方，或未经甲方或丙方书面同意将部分权利义务转让给第三方的，</w:t>
      </w:r>
      <w:r>
        <w:rPr>
          <w:rFonts w:hint="eastAsia" w:ascii="宋体" w:hAnsi="宋体"/>
          <w:szCs w:val="21"/>
        </w:rPr>
        <w:t>丙</w:t>
      </w:r>
      <w:r>
        <w:rPr>
          <w:rFonts w:hint="eastAsia" w:hAnsi="宋体"/>
          <w:szCs w:val="21"/>
        </w:rPr>
        <w:t>方有权没收其履约担保</w:t>
      </w:r>
      <w:r>
        <w:rPr>
          <w:rFonts w:hint="eastAsia" w:ascii="宋体" w:hAnsi="宋体"/>
          <w:szCs w:val="21"/>
        </w:rPr>
        <w:t>。</w:t>
      </w:r>
    </w:p>
    <w:p>
      <w:pPr>
        <w:adjustRightInd w:val="0"/>
        <w:snapToGrid w:val="0"/>
        <w:spacing w:line="360" w:lineRule="auto"/>
        <w:ind w:firstLine="371" w:firstLineChars="177"/>
        <w:rPr>
          <w:rFonts w:ascii="宋体" w:hAnsi="宋体"/>
          <w:szCs w:val="21"/>
        </w:rPr>
      </w:pPr>
      <w:r>
        <w:rPr>
          <w:rFonts w:hint="eastAsia" w:ascii="宋体" w:hAnsi="宋体"/>
          <w:szCs w:val="21"/>
        </w:rPr>
        <w:t>（2）在合同履行期间，乙方怠于履行合同义务，经丙方通知或予以承担违约金后仍拒不改正的，丙方可依法没收或适当扣除其履约担保。</w:t>
      </w:r>
    </w:p>
    <w:p>
      <w:pPr>
        <w:adjustRightInd w:val="0"/>
        <w:snapToGrid w:val="0"/>
        <w:spacing w:line="360" w:lineRule="auto"/>
        <w:ind w:firstLine="371" w:firstLineChars="177"/>
        <w:rPr>
          <w:rFonts w:ascii="宋体" w:hAnsi="宋体"/>
          <w:szCs w:val="21"/>
        </w:rPr>
      </w:pPr>
      <w:r>
        <w:rPr>
          <w:rFonts w:hint="eastAsia" w:ascii="宋体" w:hAnsi="宋体"/>
          <w:szCs w:val="21"/>
        </w:rPr>
        <w:t>（3）在合同履行期间，因乙方货物质量或安装或运行等问题造成损害、侵权损失（包括但不限于甲方或丙方经济损失、第三人人身财产损失等）或所雇用员工发生劳资纠纷、人身损害事故需予以赔偿时，乙方未及时处理事故的赔偿、救援等情况的，丙方有权使用履约担保予以支付或赔偿相应损失。</w:t>
      </w:r>
    </w:p>
    <w:p>
      <w:pPr>
        <w:adjustRightInd w:val="0"/>
        <w:snapToGrid w:val="0"/>
        <w:spacing w:line="360" w:lineRule="auto"/>
        <w:ind w:firstLine="371" w:firstLineChars="177"/>
        <w:rPr>
          <w:rFonts w:ascii="宋体" w:hAnsi="宋体"/>
          <w:szCs w:val="21"/>
        </w:rPr>
      </w:pPr>
      <w:r>
        <w:rPr>
          <w:rFonts w:hint="eastAsia" w:ascii="宋体" w:hAnsi="宋体"/>
          <w:szCs w:val="21"/>
        </w:rPr>
        <w:t>（4）在合同履行期间，若出现乙方</w:t>
      </w:r>
      <w:r>
        <w:rPr>
          <w:rFonts w:ascii="宋体" w:hAnsi="宋体"/>
          <w:szCs w:val="21"/>
        </w:rPr>
        <w:t>拖欠</w:t>
      </w:r>
      <w:r>
        <w:rPr>
          <w:rFonts w:hint="eastAsia" w:ascii="宋体" w:hAnsi="宋体"/>
          <w:szCs w:val="21"/>
        </w:rPr>
        <w:t>设备供应商货款（含第三方劳务费用等）或与</w:t>
      </w:r>
      <w:r>
        <w:rPr>
          <w:rFonts w:ascii="宋体" w:hAnsi="宋体"/>
          <w:szCs w:val="21"/>
        </w:rPr>
        <w:t>所雇用员工发生劳资纠纷</w:t>
      </w:r>
      <w:r>
        <w:rPr>
          <w:rFonts w:hint="eastAsia" w:ascii="宋体" w:hAnsi="宋体"/>
          <w:szCs w:val="21"/>
        </w:rPr>
        <w:t>、上访、闹事或其他影响甲方或丙方生产经营等情况而其未及时妥善处理的，丙方有权使用履约担保予以支付或作出相应处理，由此产生的一切法律后果由乙方承担。</w:t>
      </w:r>
    </w:p>
    <w:p>
      <w:pPr>
        <w:adjustRightInd w:val="0"/>
        <w:snapToGrid w:val="0"/>
        <w:spacing w:line="360" w:lineRule="auto"/>
        <w:ind w:firstLine="371" w:firstLineChars="177"/>
        <w:rPr>
          <w:rFonts w:ascii="宋体" w:hAnsi="宋体"/>
          <w:szCs w:val="21"/>
        </w:rPr>
      </w:pPr>
      <w:r>
        <w:rPr>
          <w:rFonts w:hint="eastAsia" w:ascii="宋体" w:hAnsi="宋体"/>
          <w:szCs w:val="21"/>
        </w:rPr>
        <w:t>（5）在合同履行期间，乙方违约产生的违约金、赔偿、罚款或其他应付费用等款项，甲方有权直接从应付而未付货物款项中扣除或丙方使用履约担保予以支付。</w:t>
      </w:r>
    </w:p>
    <w:p>
      <w:pPr>
        <w:adjustRightInd w:val="0"/>
        <w:snapToGrid w:val="0"/>
        <w:spacing w:line="360" w:lineRule="auto"/>
        <w:ind w:firstLine="371" w:firstLineChars="177"/>
        <w:rPr>
          <w:rFonts w:ascii="宋体" w:hAnsi="宋体"/>
          <w:szCs w:val="21"/>
        </w:rPr>
      </w:pPr>
      <w:r>
        <w:rPr>
          <w:rFonts w:hint="eastAsia" w:ascii="宋体" w:hAnsi="宋体"/>
          <w:szCs w:val="21"/>
        </w:rPr>
        <w:t>（6）合同期内，乙方不能及时完成某项合同义务的，丙方有权使用履约担保用于处理该项工作。</w:t>
      </w:r>
    </w:p>
    <w:p>
      <w:pPr>
        <w:adjustRightInd w:val="0"/>
        <w:snapToGrid w:val="0"/>
        <w:spacing w:line="360" w:lineRule="auto"/>
        <w:ind w:firstLine="371" w:firstLineChars="177"/>
        <w:rPr>
          <w:rFonts w:ascii="宋体" w:hAnsi="宋体"/>
          <w:szCs w:val="21"/>
        </w:rPr>
      </w:pPr>
      <w:r>
        <w:rPr>
          <w:rFonts w:hint="eastAsia" w:ascii="宋体" w:hAnsi="宋体"/>
          <w:szCs w:val="21"/>
        </w:rPr>
        <w:t>（7）其他根据本合同约定或法律规定，丙方可使用履约担保的情形。</w:t>
      </w:r>
    </w:p>
    <w:p>
      <w:pPr>
        <w:adjustRightInd w:val="0"/>
        <w:snapToGrid w:val="0"/>
        <w:spacing w:line="360" w:lineRule="auto"/>
        <w:ind w:firstLine="371" w:firstLineChars="177"/>
        <w:rPr>
          <w:rFonts w:ascii="宋体" w:hAnsi="宋体"/>
          <w:szCs w:val="21"/>
        </w:rPr>
      </w:pPr>
      <w:r>
        <w:rPr>
          <w:rFonts w:hint="eastAsia" w:ascii="宋体" w:hAnsi="宋体"/>
          <w:szCs w:val="21"/>
        </w:rPr>
        <w:t>3、在乙方完成本合同项下全部货物的供货、安装、调试及相关服务，经甲方和丙方最终验收合格，甲方向乙方支付全部货款（除质保金）后二十八（28）日后，丙方将履约保证金余额不计算利息退还乙方。</w:t>
      </w:r>
    </w:p>
    <w:p>
      <w:pPr>
        <w:adjustRightInd w:val="0"/>
        <w:snapToGrid w:val="0"/>
        <w:spacing w:line="360" w:lineRule="auto"/>
        <w:ind w:firstLine="371" w:firstLineChars="177"/>
        <w:rPr>
          <w:rFonts w:ascii="宋体" w:hAnsi="宋体"/>
          <w:szCs w:val="21"/>
        </w:rPr>
      </w:pPr>
      <w:r>
        <w:rPr>
          <w:rFonts w:hint="eastAsia" w:ascii="宋体" w:hAnsi="宋体"/>
          <w:szCs w:val="21"/>
        </w:rPr>
        <w:t>4、如乙方提供不可撤销银行履约保函或担保公司履约担保书作为履约担保的，不可撤销银行履约保函或担保公司履约担保书期限应从合同签订之日起到本合同项下全部货物经最终验收合格，甲方向乙方支付全部货款（除质保金）之后28日内保持有效。如不可撤销银行履约保函或担保公司履约担保书在规定有效期届满时而货物尚未全部最终验收合格</w:t>
      </w:r>
      <w:r>
        <w:rPr>
          <w:rFonts w:hint="eastAsia" w:ascii="宋体" w:hAnsi="宋体"/>
          <w:kern w:val="0"/>
          <w:szCs w:val="21"/>
        </w:rPr>
        <w:t>或甲方未支付完全部货款（除质保金）</w:t>
      </w:r>
      <w:r>
        <w:rPr>
          <w:rFonts w:hint="eastAsia" w:ascii="宋体" w:hAnsi="宋体"/>
          <w:szCs w:val="21"/>
        </w:rPr>
        <w:t>的，乙方必须在不可撤销银行履约保函或担保公司履约担保书到期15日前无条件办理办妥符合丙方要求的延期手续或重新提供不可撤销银行履约保函或担保公司履约担保书；否则视为乙方违约，丙</w:t>
      </w:r>
      <w:r>
        <w:rPr>
          <w:rFonts w:hint="eastAsia" w:ascii="宋体" w:hAnsi="宋体" w:cs="宋体"/>
          <w:szCs w:val="21"/>
        </w:rPr>
        <w:t>方有权在</w:t>
      </w:r>
      <w:r>
        <w:rPr>
          <w:rFonts w:hint="eastAsia" w:ascii="宋体" w:hAnsi="宋体"/>
          <w:szCs w:val="21"/>
        </w:rPr>
        <w:t>不可撤销银行履约保函或担保公司履约担保书</w:t>
      </w:r>
      <w:r>
        <w:rPr>
          <w:rFonts w:hint="eastAsia" w:ascii="宋体" w:hAnsi="宋体" w:cs="宋体"/>
          <w:szCs w:val="21"/>
        </w:rPr>
        <w:t>到期前向出具履约担保的机构提取履约担保金。</w:t>
      </w:r>
      <w:r>
        <w:rPr>
          <w:rFonts w:hint="eastAsia" w:ascii="宋体" w:hAnsi="宋体"/>
          <w:szCs w:val="21"/>
        </w:rPr>
        <w:t>在不可撤销银行履约保函或担保公司履约担保书到期后乙方未按丙方要求重新提供的，丙方有权要求乙方以履约担保金额为限承担违约金，违约金可直接从应付而未付合同款中扣除。</w:t>
      </w:r>
    </w:p>
    <w:p>
      <w:pPr>
        <w:adjustRightInd w:val="0"/>
        <w:snapToGrid w:val="0"/>
        <w:spacing w:line="360" w:lineRule="auto"/>
        <w:ind w:firstLine="371" w:firstLineChars="177"/>
        <w:rPr>
          <w:rFonts w:ascii="宋体" w:hAnsi="宋体"/>
          <w:szCs w:val="21"/>
        </w:rPr>
      </w:pPr>
      <w:r>
        <w:rPr>
          <w:rFonts w:hint="eastAsia" w:ascii="宋体" w:hAnsi="宋体"/>
          <w:szCs w:val="21"/>
        </w:rPr>
        <w:t>5、在合同履行期间应保证履约担保有效及金额符合招标文件要求，因合同内容变更、保证金使用等原因导致履约担保金额不满足招标文件要求的，乙方应当在履约担保金额不足之日起15日内予以补足；如违反的，丙方有权按所不足部分金额为限要求乙方承担违约金，违约金可直接从应付而未付合同款中扣除。</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szCs w:val="21"/>
        </w:rPr>
      </w:pPr>
      <w:r>
        <w:rPr>
          <w:rFonts w:hint="eastAsia" w:ascii="宋体" w:hAnsi="宋体"/>
          <w:b/>
          <w:szCs w:val="21"/>
        </w:rPr>
        <w:t>第十五条 付款方式</w:t>
      </w:r>
    </w:p>
    <w:p>
      <w:pPr>
        <w:adjustRightInd w:val="0"/>
        <w:snapToGrid w:val="0"/>
        <w:spacing w:line="360" w:lineRule="auto"/>
        <w:ind w:firstLine="371" w:firstLineChars="177"/>
        <w:rPr>
          <w:rFonts w:ascii="宋体" w:hAnsi="宋体"/>
          <w:szCs w:val="21"/>
        </w:rPr>
      </w:pPr>
      <w:r>
        <w:rPr>
          <w:rFonts w:hint="eastAsia" w:ascii="宋体" w:hAnsi="宋体"/>
          <w:szCs w:val="21"/>
        </w:rPr>
        <w:t>1、双方一致同意，在达到以下付款条件时，甲方通过以下方式以人民币支付合同款项给乙方：</w:t>
      </w:r>
    </w:p>
    <w:p>
      <w:pPr>
        <w:adjustRightInd w:val="0"/>
        <w:snapToGrid w:val="0"/>
        <w:spacing w:line="360" w:lineRule="auto"/>
        <w:ind w:firstLine="371" w:firstLineChars="177"/>
        <w:rPr>
          <w:rFonts w:ascii="宋体" w:hAnsi="宋体"/>
          <w:szCs w:val="21"/>
        </w:rPr>
      </w:pPr>
      <w:r>
        <w:rPr>
          <w:rFonts w:hint="eastAsia" w:ascii="宋体" w:hAnsi="宋体"/>
          <w:szCs w:val="21"/>
        </w:rPr>
        <w:t>（1）乙方已根据本合同第十四条的约定向丙方提供了履约担保，且本合同已生效方可办理相关付款手续；</w:t>
      </w:r>
    </w:p>
    <w:p>
      <w:pPr>
        <w:adjustRightInd w:val="0"/>
        <w:snapToGrid w:val="0"/>
        <w:spacing w:line="360" w:lineRule="auto"/>
        <w:ind w:firstLine="371" w:firstLineChars="177"/>
        <w:jc w:val="left"/>
        <w:rPr>
          <w:rFonts w:ascii="宋体" w:hAnsi="宋体"/>
          <w:szCs w:val="21"/>
        </w:rPr>
      </w:pPr>
      <w:r>
        <w:rPr>
          <w:rFonts w:hint="eastAsia" w:ascii="宋体" w:hAnsi="宋体"/>
          <w:szCs w:val="21"/>
        </w:rPr>
        <w:t>（2）如需支付预付款，乙方向丙方提供等额预付款银行保函，乙方提交请款资料经丙方确认无误后十五个工作日内，甲方向乙方支付本合同价的30%及对应税额作为预付款；如果提交的是国内非东莞市的银行支行及以上的银行机构出具的预付款银行保函，要附上当地公证机构的公证书；如果提交是国外银行出具的预付款银行保函，则要同时提供中国银行东莞市分行的相关证明</w:t>
      </w:r>
      <w:r>
        <w:rPr>
          <w:rFonts w:hint="eastAsia" w:ascii="宋体" w:hAnsi="宋体"/>
          <w:szCs w:val="21"/>
          <w:lang w:val="zh-CN"/>
        </w:rPr>
        <w:t>；</w:t>
      </w:r>
    </w:p>
    <w:p>
      <w:pPr>
        <w:adjustRightInd w:val="0"/>
        <w:snapToGrid w:val="0"/>
        <w:spacing w:line="360" w:lineRule="auto"/>
        <w:ind w:firstLine="371" w:firstLineChars="177"/>
        <w:rPr>
          <w:rFonts w:ascii="宋体" w:hAnsi="宋体"/>
          <w:szCs w:val="21"/>
        </w:rPr>
      </w:pPr>
      <w:r>
        <w:rPr>
          <w:rFonts w:hint="eastAsia" w:ascii="宋体" w:hAnsi="宋体"/>
          <w:szCs w:val="21"/>
        </w:rPr>
        <w:t>（3）本合同单个项目全部货物到达现场并交接验收合格（设备变更除外），乙方分别向单个项目提交请款资料经丙方确认无误后十五个工作日内，甲方向乙方支付至单个项目合同价的70%及对应的税额(包含已支付的预付款)；</w:t>
      </w:r>
    </w:p>
    <w:p>
      <w:pPr>
        <w:adjustRightInd w:val="0"/>
        <w:snapToGrid w:val="0"/>
        <w:spacing w:line="360" w:lineRule="auto"/>
        <w:ind w:firstLine="371" w:firstLineChars="177"/>
        <w:rPr>
          <w:rFonts w:ascii="宋体" w:hAnsi="宋体"/>
          <w:szCs w:val="21"/>
        </w:rPr>
      </w:pPr>
      <w:r>
        <w:rPr>
          <w:rFonts w:hint="eastAsia" w:ascii="宋体" w:hAnsi="宋体"/>
          <w:szCs w:val="21"/>
        </w:rPr>
        <w:t>（4）剩余货款，甲方以下列方式</w:t>
      </w:r>
      <w:r>
        <w:rPr>
          <w:rFonts w:hint="eastAsia" w:ascii="宋体" w:hAnsi="宋体"/>
          <w:szCs w:val="21"/>
          <w:u w:val="single"/>
        </w:rPr>
        <w:t xml:space="preserve">    </w:t>
      </w:r>
      <w:r>
        <w:rPr>
          <w:rFonts w:hint="eastAsia" w:ascii="宋体" w:hAnsi="宋体"/>
          <w:szCs w:val="21"/>
        </w:rPr>
        <w:t>向乙方支付：</w:t>
      </w:r>
    </w:p>
    <w:p>
      <w:pPr>
        <w:adjustRightInd w:val="0"/>
        <w:snapToGrid w:val="0"/>
        <w:spacing w:line="360" w:lineRule="auto"/>
        <w:ind w:firstLine="371" w:firstLineChars="177"/>
        <w:rPr>
          <w:rFonts w:ascii="宋体" w:hAnsi="宋体"/>
          <w:szCs w:val="21"/>
        </w:rPr>
      </w:pPr>
      <w:r>
        <w:rPr>
          <w:rFonts w:hint="eastAsia" w:ascii="宋体" w:hAnsi="宋体"/>
          <w:szCs w:val="21"/>
        </w:rPr>
        <w:t>方式一：单个项目货物最终验收合格后，乙方按合同要求提交符合现行工程验收规范的竣工资料及按丙方要求的结算资料清单要求提交结算资料，在项目结算完成后，提交单个项目请款资料经丙方确认无误后十五个工作日内，甲方向乙方支付至单个项目合同结算价（含税）的97%；剩余单个项目合同结算价（含税）的3%在质保期届满后根据乙方提供货物质量情况及乙方履行质保期义务的情况，由乙丙双方进行结算，且在乙方提交请款资料经丙方确认无误后十五个工作日内，甲方向乙方支付剩余货款。</w:t>
      </w:r>
    </w:p>
    <w:p>
      <w:pPr>
        <w:adjustRightInd w:val="0"/>
        <w:snapToGrid w:val="0"/>
        <w:spacing w:line="360" w:lineRule="auto"/>
        <w:ind w:firstLine="371" w:firstLineChars="177"/>
        <w:rPr>
          <w:rFonts w:ascii="宋体" w:hAnsi="宋体"/>
          <w:szCs w:val="21"/>
        </w:rPr>
      </w:pPr>
      <w:r>
        <w:rPr>
          <w:rFonts w:hint="eastAsia" w:ascii="宋体" w:hAnsi="宋体"/>
          <w:szCs w:val="21"/>
        </w:rPr>
        <w:t>方式二：单个项目货物最终验收合格，乙方按合同要求提交符合现行工程验收规范的竣工资料及按丙方要求的结算资料清单要求提交结算资料，在项目结算完成后，提交单个项目请款资料和丙方认可接收的银行出具的质量保函（保函金额为单个项目合同结算价（含税）的3%，保函有效期自全部货物最终验收合格之日起   个月）（注：保函有效期与乙方承诺的质保期时间保持一致）并经丙方确认无误后十五个工作日内，甲方向乙方支付剩余货款。如果乙方提交国内非东莞市银行支行及以上银行机构出具的质量保函，需附上当地公证机构的公证书</w:t>
      </w:r>
      <w:r>
        <w:rPr>
          <w:rFonts w:hint="eastAsia" w:ascii="宋体" w:hAnsi="宋体"/>
          <w:szCs w:val="21"/>
          <w:lang w:val="zh-CN"/>
        </w:rPr>
        <w:t>。</w:t>
      </w:r>
    </w:p>
    <w:p>
      <w:pPr>
        <w:adjustRightInd w:val="0"/>
        <w:snapToGrid w:val="0"/>
        <w:spacing w:line="360" w:lineRule="auto"/>
        <w:ind w:firstLine="420" w:firstLineChars="200"/>
        <w:rPr>
          <w:rFonts w:ascii="宋体" w:hAnsi="宋体" w:cs="楷体"/>
          <w:szCs w:val="21"/>
        </w:rPr>
      </w:pPr>
      <w:r>
        <w:rPr>
          <w:rFonts w:hint="eastAsia" w:ascii="宋体" w:hAnsi="宋体"/>
          <w:szCs w:val="21"/>
        </w:rPr>
        <w:t>2、乙方收取每笔款项前，在提交请款资料的同时一并提供</w:t>
      </w:r>
      <w:r>
        <w:rPr>
          <w:rFonts w:hint="eastAsia"/>
        </w:rPr>
        <w:t>发票抬头为甲方的</w:t>
      </w:r>
      <w:r>
        <w:rPr>
          <w:rFonts w:hint="eastAsia" w:ascii="宋体" w:hAnsi="宋体"/>
          <w:szCs w:val="21"/>
        </w:rPr>
        <w:t>等额合法有效的增值税专用发票；请款资料及发票的金额应当由乙丙双方确认，若因丙方未确认请款金额而乙方自行开具请款资料及发票的，乙方应按照丙方要求重新开具，由此导致的乙方迟延提供发票或提供的发票不合格的责任由乙方自行承担，甲方的付款时间可相应顺延，且不视为违约。因支付产生的相关银行手续费用，根据有关银行规定执行，如不能明确的，由甲乙双方各承担50%。由于乙方提供的发票不符合税法规定，给甲方造成的损失由乙方承担赔偿责任。</w:t>
      </w:r>
    </w:p>
    <w:p>
      <w:pPr>
        <w:adjustRightInd w:val="0"/>
        <w:snapToGrid w:val="0"/>
        <w:spacing w:line="360" w:lineRule="auto"/>
        <w:ind w:firstLine="371" w:firstLineChars="177"/>
        <w:rPr>
          <w:rFonts w:ascii="宋体" w:hAnsi="宋体"/>
          <w:szCs w:val="21"/>
        </w:rPr>
      </w:pPr>
      <w:r>
        <w:rPr>
          <w:rFonts w:hint="eastAsia" w:ascii="宋体" w:hAnsi="宋体"/>
          <w:szCs w:val="21"/>
        </w:rPr>
        <w:t>3、合同在履约过程中，乙方根据本合同约定需向丙方支付违约金、赔偿金、其他应付费用等款项的，丙方有权要求乙方向丙方支付完前述款项后，甲方才根据本合同向乙方支付合同价和税额，由此造成逾期付款的，甲方、丙方不构成违约；或者，丙方有权从履约担保中扣除前述款项，且乙方必须按照扣除前述款项前的合同价（销售额）开具增值税专用发票，保证增值税税额符合法律规定。</w:t>
      </w:r>
    </w:p>
    <w:p>
      <w:pPr>
        <w:adjustRightInd w:val="0"/>
        <w:spacing w:line="360" w:lineRule="auto"/>
        <w:ind w:firstLine="373" w:firstLineChars="177"/>
        <w:rPr>
          <w:rFonts w:ascii="宋体" w:hAnsi="宋体"/>
          <w:b/>
          <w:szCs w:val="21"/>
        </w:rPr>
      </w:pPr>
      <w:r>
        <w:rPr>
          <w:rFonts w:hint="eastAsia" w:ascii="宋体" w:hAnsi="宋体"/>
          <w:b/>
          <w:szCs w:val="21"/>
        </w:rPr>
        <w:t>4、甲方每次付款前，需经过丙方委托的第三方造价公司及丙方内部流程审核。乙方确认对甲方付款前需经过丙方委托的第三方造价公司及丙方内部流程审核已知悉，并保证不因丙方履行前述审核事项而向甲方、丙方主张任何违约责任。因乙方付款申请文件或资料不全、不正确、不及时等引起的付款延误，由乙方承担责任，并不得影响任何工程进展及货品质量。</w:t>
      </w:r>
    </w:p>
    <w:p>
      <w:pPr>
        <w:pStyle w:val="5"/>
        <w:ind w:firstLine="373"/>
        <w:rPr>
          <w:b w:val="0"/>
        </w:rPr>
      </w:pP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第十六条 技术资料</w:t>
      </w:r>
    </w:p>
    <w:p>
      <w:pPr>
        <w:adjustRightInd w:val="0"/>
        <w:snapToGrid w:val="0"/>
        <w:spacing w:line="360" w:lineRule="auto"/>
        <w:ind w:firstLine="371" w:firstLineChars="177"/>
        <w:rPr>
          <w:rFonts w:ascii="宋体" w:hAnsi="宋体"/>
          <w:szCs w:val="21"/>
        </w:rPr>
      </w:pPr>
      <w:r>
        <w:rPr>
          <w:rFonts w:hint="eastAsia" w:ascii="宋体" w:hAnsi="宋体"/>
          <w:szCs w:val="21"/>
        </w:rPr>
        <w:t>1、乙方应在收到中标通知书后5个工作日内向甲方、丙方和设计人提供完整的所有供货设备的必要技术资料,以便设计人进行详细施工图设计。乙方必须保证技术资料符合工程安装需求，如因乙方提供的技术资料错误导致设备无法安装的，由此造成的一切损失由乙方承担。具体技术资料要求按照招标文件用户需求书第四节的规定执行。</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2、乙方在设备交货的同时应提供最终设备的全套（简体中文，如是外文应附中文译本）资料（含纸质和电子文件）给甲方和丙方，包括但不限于：  </w:t>
      </w:r>
    </w:p>
    <w:p>
      <w:pPr>
        <w:adjustRightInd w:val="0"/>
        <w:snapToGrid w:val="0"/>
        <w:spacing w:line="360" w:lineRule="auto"/>
        <w:ind w:firstLine="371" w:firstLineChars="177"/>
        <w:rPr>
          <w:rFonts w:ascii="宋体" w:hAnsi="宋体"/>
          <w:szCs w:val="21"/>
        </w:rPr>
      </w:pPr>
      <w:r>
        <w:rPr>
          <w:rFonts w:hint="eastAsia" w:ascii="宋体" w:hAnsi="宋体"/>
          <w:szCs w:val="21"/>
        </w:rPr>
        <w:t>（1）完整的装箱单、产品出厂检验合格证书（含主要元器件的出厂合格证）、出厂试验报告、检验报告（或测试性能、测试报告）；</w:t>
      </w:r>
    </w:p>
    <w:p>
      <w:pPr>
        <w:adjustRightInd w:val="0"/>
        <w:snapToGrid w:val="0"/>
        <w:spacing w:line="360" w:lineRule="auto"/>
        <w:ind w:firstLine="371" w:firstLineChars="177"/>
        <w:rPr>
          <w:rFonts w:ascii="宋体" w:hAnsi="宋体"/>
          <w:szCs w:val="21"/>
        </w:rPr>
      </w:pPr>
      <w:r>
        <w:rPr>
          <w:rFonts w:hint="eastAsia" w:ascii="宋体" w:hAnsi="宋体"/>
          <w:szCs w:val="21"/>
        </w:rPr>
        <w:t>（2）产品说明书；</w:t>
      </w:r>
    </w:p>
    <w:p>
      <w:pPr>
        <w:adjustRightInd w:val="0"/>
        <w:snapToGrid w:val="0"/>
        <w:spacing w:line="360" w:lineRule="auto"/>
        <w:ind w:firstLine="371" w:firstLineChars="177"/>
        <w:rPr>
          <w:rFonts w:ascii="宋体" w:hAnsi="宋体"/>
          <w:szCs w:val="21"/>
        </w:rPr>
      </w:pPr>
      <w:r>
        <w:rPr>
          <w:rFonts w:hint="eastAsia" w:ascii="宋体" w:hAnsi="宋体"/>
          <w:szCs w:val="21"/>
        </w:rPr>
        <w:t>（3）质量保证书、保修保证书；</w:t>
      </w:r>
    </w:p>
    <w:p>
      <w:pPr>
        <w:adjustRightInd w:val="0"/>
        <w:snapToGrid w:val="0"/>
        <w:spacing w:line="360" w:lineRule="auto"/>
        <w:ind w:firstLine="371" w:firstLineChars="177"/>
        <w:rPr>
          <w:rFonts w:ascii="宋体" w:hAnsi="宋体"/>
          <w:szCs w:val="21"/>
        </w:rPr>
      </w:pPr>
      <w:r>
        <w:rPr>
          <w:rFonts w:hint="eastAsia" w:ascii="宋体" w:hAnsi="宋体"/>
          <w:szCs w:val="21"/>
        </w:rPr>
        <w:t>（4）各单体设备技术规格及说明；</w:t>
      </w:r>
    </w:p>
    <w:p>
      <w:pPr>
        <w:adjustRightInd w:val="0"/>
        <w:snapToGrid w:val="0"/>
        <w:spacing w:line="360" w:lineRule="auto"/>
        <w:ind w:firstLine="371" w:firstLineChars="177"/>
        <w:rPr>
          <w:rFonts w:ascii="宋体" w:hAnsi="宋体"/>
          <w:szCs w:val="21"/>
        </w:rPr>
      </w:pPr>
      <w:r>
        <w:rPr>
          <w:rFonts w:hint="eastAsia" w:ascii="宋体" w:hAnsi="宋体"/>
          <w:szCs w:val="21"/>
        </w:rPr>
        <w:t>（5）安装调试、维修、保养手册等招标文件用户需求书第四节规定数量和类型的技术资料；</w:t>
      </w:r>
    </w:p>
    <w:p>
      <w:pPr>
        <w:adjustRightInd w:val="0"/>
        <w:snapToGrid w:val="0"/>
        <w:spacing w:line="360" w:lineRule="auto"/>
        <w:ind w:firstLine="371" w:firstLineChars="177"/>
        <w:rPr>
          <w:rFonts w:ascii="宋体" w:hAnsi="宋体"/>
          <w:szCs w:val="21"/>
        </w:rPr>
      </w:pPr>
      <w:r>
        <w:rPr>
          <w:rFonts w:hint="eastAsia" w:ascii="宋体" w:hAnsi="宋体"/>
          <w:szCs w:val="21"/>
        </w:rPr>
        <w:t>（6）与货物使用、维护或检验等所需的相关其他文件；</w:t>
      </w:r>
    </w:p>
    <w:p>
      <w:pPr>
        <w:adjustRightInd w:val="0"/>
        <w:snapToGrid w:val="0"/>
        <w:spacing w:line="360" w:lineRule="auto"/>
        <w:ind w:firstLine="371" w:firstLineChars="177"/>
        <w:rPr>
          <w:rFonts w:ascii="宋体" w:hAnsi="宋体"/>
          <w:szCs w:val="21"/>
        </w:rPr>
      </w:pPr>
      <w:r>
        <w:rPr>
          <w:rFonts w:hint="eastAsia" w:ascii="宋体" w:hAnsi="宋体"/>
          <w:szCs w:val="21"/>
        </w:rPr>
        <w:t>（7）符合国家规定的验收标准、厂方标准及验收手册；</w:t>
      </w:r>
    </w:p>
    <w:p>
      <w:pPr>
        <w:adjustRightInd w:val="0"/>
        <w:snapToGrid w:val="0"/>
        <w:spacing w:line="360" w:lineRule="auto"/>
        <w:ind w:firstLine="371" w:firstLineChars="177"/>
        <w:rPr>
          <w:rFonts w:ascii="宋体" w:hAnsi="宋体"/>
          <w:szCs w:val="21"/>
        </w:rPr>
      </w:pPr>
      <w:r>
        <w:rPr>
          <w:rFonts w:hint="eastAsia" w:ascii="宋体" w:hAnsi="宋体"/>
          <w:szCs w:val="21"/>
        </w:rPr>
        <w:t>（8）甲方或丙方要求提供的其他检验检测报告等。</w:t>
      </w:r>
    </w:p>
    <w:p>
      <w:pPr>
        <w:adjustRightInd w:val="0"/>
        <w:snapToGrid w:val="0"/>
        <w:spacing w:line="360" w:lineRule="auto"/>
        <w:ind w:firstLine="424" w:firstLineChars="202"/>
        <w:rPr>
          <w:rFonts w:ascii="宋体" w:hAnsi="宋体"/>
          <w:szCs w:val="21"/>
        </w:rPr>
      </w:pPr>
      <w:r>
        <w:rPr>
          <w:rFonts w:hint="eastAsia" w:ascii="宋体" w:hAnsi="宋体" w:cs="宋体"/>
          <w:kern w:val="0"/>
          <w:szCs w:val="21"/>
        </w:rPr>
        <w:t>3、乙方</w:t>
      </w:r>
      <w:r>
        <w:rPr>
          <w:rFonts w:hint="eastAsia" w:ascii="宋体" w:hAnsi="宋体"/>
          <w:szCs w:val="21"/>
        </w:rPr>
        <w:t>必须保证在设备使用寿命内，甲方无偿获得使用相应终端设备调阅数据采集、监控元器件数据的应用软件，特殊连接线缆以及连接方式方法，甲方无偿获得PLC控制程序、触摸屏程序等软件的知识产权，相关程序均不得设置密码（或免费向甲方提供密码）、随机附带的软件程序等不得设置妨碍设备正常工作的后门程序。涉及设备正常使用、维护的一切软件在设备竣工验收时也应一并交付甲方。</w:t>
      </w:r>
    </w:p>
    <w:p>
      <w:pPr>
        <w:snapToGrid w:val="0"/>
        <w:spacing w:line="360" w:lineRule="auto"/>
        <w:ind w:firstLine="420" w:firstLineChars="200"/>
        <w:rPr>
          <w:rFonts w:ascii="宋体" w:hAnsi="宋体"/>
          <w:szCs w:val="21"/>
        </w:rPr>
      </w:pPr>
      <w:r>
        <w:rPr>
          <w:rFonts w:hint="eastAsia" w:ascii="宋体" w:hAnsi="宋体"/>
          <w:szCs w:val="21"/>
        </w:rPr>
        <w:t>4、乙方</w:t>
      </w:r>
      <w:r>
        <w:rPr>
          <w:rFonts w:ascii="宋体" w:hAnsi="宋体"/>
          <w:szCs w:val="21"/>
        </w:rPr>
        <w:t>在完成联合试运转</w:t>
      </w:r>
      <w:r>
        <w:rPr>
          <w:rFonts w:hint="eastAsia" w:ascii="宋体" w:hAnsi="宋体"/>
          <w:szCs w:val="21"/>
        </w:rPr>
        <w:t>验收合格</w:t>
      </w:r>
      <w:r>
        <w:rPr>
          <w:rFonts w:ascii="宋体" w:hAnsi="宋体"/>
          <w:szCs w:val="21"/>
        </w:rPr>
        <w:t>后1个月内，向</w:t>
      </w:r>
      <w:r>
        <w:rPr>
          <w:rFonts w:hint="eastAsia" w:ascii="宋体" w:hAnsi="宋体"/>
          <w:szCs w:val="21"/>
        </w:rPr>
        <w:t>甲方、丙方（或</w:t>
      </w:r>
      <w:r>
        <w:rPr>
          <w:rFonts w:ascii="宋体" w:hAnsi="宋体"/>
          <w:szCs w:val="21"/>
        </w:rPr>
        <w:t>监理单位</w:t>
      </w:r>
      <w:r>
        <w:rPr>
          <w:rFonts w:hint="eastAsia" w:ascii="宋体" w:hAnsi="宋体"/>
          <w:szCs w:val="21"/>
        </w:rPr>
        <w:t>）</w:t>
      </w:r>
      <w:r>
        <w:rPr>
          <w:rFonts w:ascii="宋体" w:hAnsi="宋体"/>
          <w:szCs w:val="21"/>
        </w:rPr>
        <w:t>移交四套符合现行工程验收规范的竣工资料和一套电子档扫描件</w:t>
      </w:r>
      <w:r>
        <w:rPr>
          <w:rFonts w:hint="eastAsia" w:ascii="宋体" w:hAnsi="宋体"/>
          <w:szCs w:val="21"/>
        </w:rPr>
        <w:t>（以</w:t>
      </w:r>
      <w:r>
        <w:rPr>
          <w:rFonts w:ascii="宋体" w:hAnsi="宋体"/>
          <w:szCs w:val="21"/>
        </w:rPr>
        <w:t>光盘</w:t>
      </w:r>
      <w:r>
        <w:rPr>
          <w:rFonts w:hint="eastAsia" w:ascii="宋体" w:hAnsi="宋体"/>
          <w:szCs w:val="21"/>
        </w:rPr>
        <w:t>或U盘作为存储介质交付</w:t>
      </w:r>
      <w:r>
        <w:rPr>
          <w:rFonts w:ascii="宋体" w:hAnsi="宋体"/>
          <w:szCs w:val="21"/>
        </w:rPr>
        <w:t xml:space="preserve">）。 </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第十七条 权利保证</w:t>
      </w:r>
    </w:p>
    <w:p>
      <w:pPr>
        <w:adjustRightInd w:val="0"/>
        <w:snapToGrid w:val="0"/>
        <w:spacing w:line="360" w:lineRule="auto"/>
        <w:ind w:firstLine="371" w:firstLineChars="177"/>
        <w:rPr>
          <w:rFonts w:ascii="宋体" w:hAnsi="宋体"/>
          <w:szCs w:val="21"/>
        </w:rPr>
      </w:pPr>
      <w:r>
        <w:rPr>
          <w:rFonts w:hint="eastAsia" w:ascii="宋体" w:hAnsi="宋体"/>
          <w:szCs w:val="21"/>
        </w:rPr>
        <w:t>乙方应保证合同项下提供的货物或货物的任何一部分不侵犯任何第三方的专利、商标、版权以及其它知识产权，否则，乙方须承担因此产生的全部责任及费用，如因此造成甲方或丙方损失的，乙方应予以足额赔偿。如果任何第三方提出侵权主张，乙方须与第三方交涉并承担由此发生的一切责任、费用和经济赔偿（包括但不限于甲方或丙方聘请的律师费、调查取证费、诉讼费、交通费等全部费用）。</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第十八条 不可抗力</w:t>
      </w:r>
    </w:p>
    <w:p>
      <w:pPr>
        <w:adjustRightInd w:val="0"/>
        <w:snapToGrid w:val="0"/>
        <w:spacing w:line="360" w:lineRule="auto"/>
        <w:ind w:firstLine="371" w:firstLineChars="177"/>
        <w:rPr>
          <w:rFonts w:ascii="宋体" w:hAnsi="宋体"/>
          <w:szCs w:val="21"/>
        </w:rPr>
      </w:pPr>
      <w:r>
        <w:rPr>
          <w:rFonts w:hint="eastAsia" w:ascii="宋体" w:hAnsi="宋体"/>
          <w:szCs w:val="21"/>
        </w:rPr>
        <w:t>任何一方因不可抗力（指战争、动乱、瘟疫、洪水、地震或其他灾害，以及其他不可预见、不可防止并不能避免或克服的事件）引起的履行延迟或履行不能的，不需承担违约责任。但受不可抗力影响的一方应于不可抗力发生后</w:t>
      </w:r>
      <w:r>
        <w:rPr>
          <w:rFonts w:ascii="宋体" w:hAnsi="宋体"/>
          <w:szCs w:val="21"/>
          <w:u w:val="single"/>
        </w:rPr>
        <w:t>7</w:t>
      </w:r>
      <w:r>
        <w:rPr>
          <w:rFonts w:hint="eastAsia" w:ascii="宋体" w:hAnsi="宋体"/>
          <w:szCs w:val="21"/>
        </w:rPr>
        <w:t>日内书面通知另一方，并在不可抗力事件发生后 7 日内，提供政府相关部门出具的证明文件，并应采取措施防止对方损失进一步扩大，如未采取相应措施导致另一方损失扩大的，受不可抗力影响一方应就扩大损失部分承担赔偿责任。如果不可抗力事件发生后，乙方不能按甲方或丙方的最迟交货期交货，则甲方或丙方有权单方解除本合同并不承担任何责任。</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第十九条 索赔</w:t>
      </w:r>
    </w:p>
    <w:p>
      <w:pPr>
        <w:adjustRightInd w:val="0"/>
        <w:snapToGrid w:val="0"/>
        <w:spacing w:line="360" w:lineRule="auto"/>
        <w:ind w:firstLine="371" w:firstLineChars="177"/>
        <w:rPr>
          <w:rFonts w:ascii="宋体" w:hAnsi="宋体"/>
          <w:szCs w:val="21"/>
        </w:rPr>
      </w:pPr>
      <w:r>
        <w:rPr>
          <w:rFonts w:hint="eastAsia" w:ascii="宋体" w:hAnsi="宋体"/>
          <w:szCs w:val="21"/>
        </w:rPr>
        <w:t>1、在货物验收、使用过程中，甲方或丙方如对货物（包括但不限于其规格、数量、质量等）有异议的，有权向乙方提出索赔，乙方应在甲方或丙方发出索赔通知后</w:t>
      </w:r>
      <w:r>
        <w:rPr>
          <w:rFonts w:ascii="宋体" w:hAnsi="宋体"/>
          <w:szCs w:val="21"/>
        </w:rPr>
        <w:t>7</w:t>
      </w:r>
      <w:r>
        <w:rPr>
          <w:rFonts w:hint="eastAsia" w:ascii="宋体" w:hAnsi="宋体"/>
          <w:szCs w:val="21"/>
        </w:rPr>
        <w:t>日内作出答复，并与甲方或丙方现场确认货物的质量问题后进行理赔；乙方未在7日内作出答复的，视为乙方同意甲方或丙方的索赔通知及按通知所确定的款项向甲方或丙方理赔。乙方根据合同约定应承担更换或退货责任的，乙方应立即根据本合同的约定承担免费更换或退货责任。</w:t>
      </w:r>
    </w:p>
    <w:p>
      <w:pPr>
        <w:adjustRightInd w:val="0"/>
        <w:snapToGrid w:val="0"/>
        <w:spacing w:line="360" w:lineRule="auto"/>
        <w:ind w:firstLine="371" w:firstLineChars="177"/>
        <w:rPr>
          <w:rFonts w:ascii="宋体" w:hAnsi="宋体"/>
          <w:szCs w:val="21"/>
        </w:rPr>
      </w:pPr>
      <w:r>
        <w:rPr>
          <w:rFonts w:hint="eastAsia" w:ascii="宋体" w:hAnsi="宋体"/>
          <w:szCs w:val="21"/>
        </w:rPr>
        <w:t>2、如三方对货物的质量问题存在争议的，三方同意在质量问题发生后 7 日内提交东莞市质检部门或有资质及鉴定能力的鉴定机构进行质量鉴定后确认，鉴定费由乙方先行垫付，鉴定结果确定后，质量符合合同（含附件）约定的，鉴定费由甲方或丙方承担，否则由乙方承担。</w:t>
      </w:r>
    </w:p>
    <w:p>
      <w:pPr>
        <w:adjustRightInd w:val="0"/>
        <w:snapToGrid w:val="0"/>
        <w:spacing w:line="360" w:lineRule="auto"/>
        <w:ind w:firstLine="371" w:firstLineChars="177"/>
        <w:rPr>
          <w:rFonts w:ascii="宋体" w:hAnsi="宋体"/>
          <w:szCs w:val="21"/>
        </w:rPr>
      </w:pPr>
      <w:r>
        <w:rPr>
          <w:rFonts w:hint="eastAsia" w:ascii="宋体" w:hAnsi="宋体"/>
          <w:szCs w:val="21"/>
        </w:rPr>
        <w:t>3、如果乙方对甲方或丙方提出的异议及索赔负有责任，乙方应按照甲方或丙方同意的下列一种或多种方式解决索赔事宜：</w:t>
      </w:r>
    </w:p>
    <w:p>
      <w:pPr>
        <w:adjustRightInd w:val="0"/>
        <w:snapToGrid w:val="0"/>
        <w:spacing w:line="360" w:lineRule="auto"/>
        <w:ind w:firstLine="371" w:firstLineChars="177"/>
        <w:rPr>
          <w:rFonts w:ascii="宋体" w:hAnsi="宋体"/>
          <w:szCs w:val="21"/>
        </w:rPr>
      </w:pPr>
      <w:r>
        <w:rPr>
          <w:rFonts w:hint="eastAsia" w:ascii="宋体" w:hAnsi="宋体"/>
          <w:szCs w:val="21"/>
        </w:rPr>
        <w:t>（1）根据甲方或丙方要求予以退货，在甲方或丙方发出退货通知后 7 日内将退货货物运回，返还甲方已支付的全部货款，并承担因此产生的全部费用，以及赔偿因此给甲方或丙方造成的损失。</w:t>
      </w:r>
    </w:p>
    <w:p>
      <w:pPr>
        <w:adjustRightInd w:val="0"/>
        <w:snapToGrid w:val="0"/>
        <w:spacing w:line="360" w:lineRule="auto"/>
        <w:ind w:firstLine="371" w:firstLineChars="177"/>
        <w:rPr>
          <w:rFonts w:ascii="宋体" w:hAnsi="宋体"/>
          <w:szCs w:val="21"/>
        </w:rPr>
      </w:pPr>
      <w:r>
        <w:rPr>
          <w:rFonts w:hint="eastAsia" w:ascii="宋体" w:hAnsi="宋体"/>
          <w:szCs w:val="21"/>
        </w:rPr>
        <w:t>（2）根据甲方或丙方要求承担货物的更换责任，乙方应于甲方或丙方发出更换通知后 7 日内更换全新并符合本合同的规定的货物，乙方应承担因此产生的全部费用并赔偿甲方或丙方因此遭受的损失，更换货物的质保期应按本合同的相关规定重新计算。</w:t>
      </w:r>
    </w:p>
    <w:p>
      <w:pPr>
        <w:adjustRightInd w:val="0"/>
        <w:snapToGrid w:val="0"/>
        <w:spacing w:line="360" w:lineRule="auto"/>
        <w:ind w:firstLine="371" w:firstLineChars="177"/>
        <w:rPr>
          <w:rFonts w:ascii="宋体" w:hAnsi="宋体"/>
          <w:szCs w:val="21"/>
        </w:rPr>
      </w:pPr>
      <w:r>
        <w:rPr>
          <w:rFonts w:hint="eastAsia" w:ascii="宋体" w:hAnsi="宋体"/>
          <w:szCs w:val="21"/>
        </w:rPr>
        <w:t>（3）当甲方或丙方损失无法计算时，乙方同意按合同总价（含税）的</w:t>
      </w:r>
      <w:r>
        <w:rPr>
          <w:rFonts w:ascii="宋体" w:hAnsi="宋体"/>
          <w:szCs w:val="21"/>
        </w:rPr>
        <w:t>20</w:t>
      </w:r>
      <w:r>
        <w:rPr>
          <w:rFonts w:hint="eastAsia" w:ascii="宋体" w:hAnsi="宋体"/>
          <w:szCs w:val="21"/>
        </w:rPr>
        <w:t>%计算赔偿金。</w:t>
      </w:r>
    </w:p>
    <w:p>
      <w:pPr>
        <w:adjustRightInd w:val="0"/>
        <w:snapToGrid w:val="0"/>
        <w:spacing w:line="360" w:lineRule="auto"/>
        <w:ind w:firstLine="371" w:firstLineChars="177"/>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如果在甲方或丙方发出索赔通知后30日内，乙方未作书面答复，上述索赔应视为已被乙方接受。甲方或丙方将启动履约担保支付或从未付货款中扣除索赔金额。如果该等款项不足以补偿索赔金额，甲方或丙方有权向乙方提出不足部分的补偿。</w:t>
      </w:r>
    </w:p>
    <w:p>
      <w:pPr>
        <w:adjustRightInd w:val="0"/>
        <w:snapToGrid w:val="0"/>
        <w:spacing w:line="360" w:lineRule="auto"/>
        <w:ind w:firstLine="371" w:firstLineChars="177"/>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）索赔金额、甲方或丙方损失以及因索赔所发生的费用，甲方或丙方有权启动履约担保支付或从未付货款或质保金中直接扣除。</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szCs w:val="21"/>
        </w:rPr>
      </w:pPr>
      <w:r>
        <w:rPr>
          <w:rFonts w:hint="eastAsia" w:ascii="宋体" w:hAnsi="宋体"/>
          <w:b/>
          <w:szCs w:val="21"/>
        </w:rPr>
        <w:t>第二十条 违约责任</w:t>
      </w:r>
    </w:p>
    <w:p>
      <w:pPr>
        <w:adjustRightInd w:val="0"/>
        <w:snapToGrid w:val="0"/>
        <w:spacing w:line="360" w:lineRule="auto"/>
        <w:ind w:firstLine="371" w:firstLineChars="177"/>
        <w:rPr>
          <w:rFonts w:ascii="宋体" w:hAnsi="宋体"/>
          <w:szCs w:val="21"/>
        </w:rPr>
      </w:pPr>
      <w:r>
        <w:rPr>
          <w:rFonts w:ascii="宋体" w:hAnsi="宋体"/>
          <w:szCs w:val="21"/>
        </w:rPr>
        <w:t>1</w:t>
      </w:r>
      <w:r>
        <w:rPr>
          <w:rFonts w:hint="eastAsia" w:ascii="宋体" w:hAnsi="宋体"/>
          <w:szCs w:val="21"/>
        </w:rPr>
        <w:t>、乙方未在约定的时间内完成交货（部分交货视为未完成交货），或未按时完成安装、调试并经甲方和丙方最终验收合格的，或未在规定的时间内承担相应的更换、退货责任的，每逾期一日，应按合同总价（含税）的5‰向丙方支付违约金。乙方逾期超过_</w:t>
      </w:r>
      <w:r>
        <w:rPr>
          <w:rFonts w:hint="eastAsia" w:ascii="宋体" w:hAnsi="宋体"/>
          <w:szCs w:val="21"/>
          <w:u w:val="single"/>
        </w:rPr>
        <w:t>30</w:t>
      </w:r>
      <w:r>
        <w:rPr>
          <w:rFonts w:hint="eastAsia" w:ascii="宋体" w:hAnsi="宋体"/>
          <w:szCs w:val="21"/>
        </w:rPr>
        <w:t>_日的，丙方可单方解除本合同，无论丙方是否解除本合同，乙方除支付前述逾期违约金外，还应按合同总价（含税）的5%向丙方支付赔偿金。</w:t>
      </w:r>
      <w:r>
        <w:rPr>
          <w:rFonts w:hint="eastAsia" w:hAnsi="宋体"/>
          <w:szCs w:val="21"/>
        </w:rPr>
        <w:t>该部分金额不足以弥补甲方</w:t>
      </w:r>
      <w:r>
        <w:rPr>
          <w:rFonts w:hint="eastAsia" w:ascii="宋体" w:hAnsi="宋体"/>
          <w:szCs w:val="21"/>
        </w:rPr>
        <w:t>和丙方</w:t>
      </w:r>
      <w:r>
        <w:rPr>
          <w:rFonts w:hint="eastAsia" w:hAnsi="宋体"/>
          <w:szCs w:val="21"/>
        </w:rPr>
        <w:t>损失的，</w:t>
      </w:r>
      <w:r>
        <w:rPr>
          <w:rFonts w:hint="eastAsia" w:ascii="宋体" w:hAnsi="宋体"/>
          <w:szCs w:val="21"/>
        </w:rPr>
        <w:t>丙方</w:t>
      </w:r>
      <w:r>
        <w:rPr>
          <w:rFonts w:hint="eastAsia" w:hAnsi="宋体"/>
          <w:szCs w:val="21"/>
        </w:rPr>
        <w:t>还有权另行追偿。</w:t>
      </w:r>
    </w:p>
    <w:p>
      <w:pPr>
        <w:adjustRightInd w:val="0"/>
        <w:snapToGrid w:val="0"/>
        <w:spacing w:line="360" w:lineRule="auto"/>
        <w:ind w:firstLine="371" w:firstLineChars="177"/>
        <w:rPr>
          <w:rFonts w:ascii="宋体" w:hAnsi="宋体"/>
          <w:szCs w:val="21"/>
        </w:rPr>
      </w:pPr>
      <w:r>
        <w:rPr>
          <w:rFonts w:ascii="宋体" w:hAnsi="宋体"/>
          <w:szCs w:val="21"/>
        </w:rPr>
        <w:t>2</w:t>
      </w:r>
      <w:r>
        <w:rPr>
          <w:rFonts w:hint="eastAsia" w:ascii="宋体" w:hAnsi="宋体"/>
          <w:szCs w:val="21"/>
        </w:rPr>
        <w:t>、乙方所交货物（包括但不限于品种、型号、规格、质量、性能）不符合合同规定的，甲方或丙方有权拒收，并要求乙方免费予以更换或退货，同时乙方应向丙方支付该批货款金额（含税）的5%的违约金。若因乙方原因导致乙方无法按照本合同约定供货的，丙方有权单方解除合同，且有权要求乙方支付合同总价（含税）</w:t>
      </w:r>
      <w:r>
        <w:rPr>
          <w:rFonts w:hint="eastAsia" w:hAnsi="宋体"/>
          <w:szCs w:val="21"/>
        </w:rPr>
        <w:t>【</w:t>
      </w:r>
      <w:r>
        <w:rPr>
          <w:rFonts w:hAnsi="宋体"/>
          <w:szCs w:val="21"/>
        </w:rPr>
        <w:t>20</w:t>
      </w:r>
      <w:r>
        <w:rPr>
          <w:rFonts w:hint="eastAsia" w:hAnsi="宋体"/>
          <w:szCs w:val="21"/>
        </w:rPr>
        <w:t>%】</w:t>
      </w:r>
      <w:r>
        <w:rPr>
          <w:rFonts w:hint="eastAsia" w:ascii="宋体" w:hAnsi="宋体"/>
          <w:szCs w:val="21"/>
        </w:rPr>
        <w:t>的违约金。</w:t>
      </w:r>
    </w:p>
    <w:p>
      <w:pPr>
        <w:adjustRightInd w:val="0"/>
        <w:snapToGrid w:val="0"/>
        <w:spacing w:line="360" w:lineRule="auto"/>
        <w:ind w:firstLine="371" w:firstLineChars="177"/>
        <w:rPr>
          <w:rFonts w:ascii="宋体" w:hAnsi="宋体"/>
          <w:szCs w:val="21"/>
        </w:rPr>
      </w:pPr>
      <w:r>
        <w:rPr>
          <w:rFonts w:ascii="宋体" w:hAnsi="宋体"/>
          <w:szCs w:val="21"/>
        </w:rPr>
        <w:t>3</w:t>
      </w:r>
      <w:r>
        <w:rPr>
          <w:rFonts w:hint="eastAsia" w:ascii="宋体" w:hAnsi="宋体"/>
          <w:szCs w:val="21"/>
        </w:rPr>
        <w:t>、乙方未按约定履行培训或售后服务义务的，甲方或丙方有权要求限期改正，如逾期仍未改正的，丙方有权单方解除合同，且剩余款项无需再支付，同时甲方有权没收质保金，丙方有权没收履约担保。</w:t>
      </w:r>
    </w:p>
    <w:p>
      <w:pPr>
        <w:adjustRightInd w:val="0"/>
        <w:snapToGrid w:val="0"/>
        <w:spacing w:line="360" w:lineRule="auto"/>
        <w:ind w:firstLine="371" w:firstLineChars="177"/>
        <w:rPr>
          <w:rFonts w:ascii="宋体" w:hAnsi="宋体"/>
          <w:szCs w:val="21"/>
        </w:rPr>
      </w:pPr>
      <w:r>
        <w:rPr>
          <w:rFonts w:ascii="宋体" w:hAnsi="宋体"/>
          <w:szCs w:val="21"/>
        </w:rPr>
        <w:t>4</w:t>
      </w:r>
      <w:r>
        <w:rPr>
          <w:rFonts w:hint="eastAsia" w:ascii="宋体" w:hAnsi="宋体"/>
          <w:szCs w:val="21"/>
        </w:rPr>
        <w:t>、无论是否在质保期内，因货物质量问题发生安全事故或引起其他损失、造成不良后果的，乙方应承担全部责任及损失赔偿。</w:t>
      </w:r>
    </w:p>
    <w:p>
      <w:pPr>
        <w:snapToGrid w:val="0"/>
        <w:spacing w:line="360" w:lineRule="auto"/>
        <w:ind w:firstLine="371" w:firstLineChars="177"/>
        <w:rPr>
          <w:rFonts w:ascii="宋体" w:hAnsi="宋体"/>
          <w:szCs w:val="21"/>
        </w:rPr>
      </w:pPr>
      <w:r>
        <w:rPr>
          <w:rFonts w:ascii="宋体" w:hAnsi="宋体"/>
          <w:szCs w:val="21"/>
        </w:rPr>
        <w:t>5</w:t>
      </w:r>
      <w:r>
        <w:rPr>
          <w:rFonts w:hint="eastAsia" w:ascii="宋体" w:hAnsi="宋体"/>
          <w:szCs w:val="21"/>
        </w:rPr>
        <w:t>、乙方不得拖欠第三方任何款项，否则，甲方有权从合同应付款中或丙方启动履约担保直接支付给第三方。若造成甲方或丙方参加诉讼，相关费用（包括但不限于诉讼费、律师费、鉴定费、公证费、交通住宿费等全部）及损失全部由乙方承担，甲方有权在合同价款中直接扣除或丙方启动履约担保予以支付。</w:t>
      </w:r>
    </w:p>
    <w:p>
      <w:pPr>
        <w:snapToGrid w:val="0"/>
        <w:spacing w:line="360" w:lineRule="auto"/>
        <w:ind w:firstLine="371" w:firstLineChars="177"/>
        <w:rPr>
          <w:rFonts w:hAnsi="宋体"/>
          <w:szCs w:val="21"/>
          <w:lang w:eastAsia="zh-Hans"/>
        </w:rPr>
      </w:pPr>
      <w:r>
        <w:rPr>
          <w:rFonts w:hAnsi="宋体"/>
          <w:szCs w:val="21"/>
        </w:rPr>
        <w:t>6、</w:t>
      </w:r>
      <w:r>
        <w:rPr>
          <w:rFonts w:hint="eastAsia" w:hAnsi="宋体"/>
          <w:szCs w:val="21"/>
          <w:lang w:eastAsia="zh-Hans"/>
        </w:rPr>
        <w:t>在本合同履行期限内</w:t>
      </w:r>
      <w:r>
        <w:rPr>
          <w:rFonts w:hAnsi="宋体"/>
          <w:szCs w:val="21"/>
          <w:lang w:eastAsia="zh-Hans"/>
        </w:rPr>
        <w:t>，</w:t>
      </w:r>
      <w:r>
        <w:rPr>
          <w:rFonts w:hint="eastAsia" w:hAnsi="宋体"/>
          <w:szCs w:val="21"/>
          <w:lang w:eastAsia="zh-Hans"/>
        </w:rPr>
        <w:t>乙方未经甲方</w:t>
      </w:r>
      <w:r>
        <w:rPr>
          <w:rFonts w:hint="eastAsia" w:ascii="宋体" w:hAnsi="宋体"/>
          <w:szCs w:val="21"/>
        </w:rPr>
        <w:t>或丙方</w:t>
      </w:r>
      <w:r>
        <w:rPr>
          <w:rFonts w:hint="eastAsia" w:hAnsi="宋体"/>
          <w:szCs w:val="21"/>
          <w:lang w:eastAsia="zh-Hans"/>
        </w:rPr>
        <w:t>书面同意即将本合同约定项下的全部项目或部分项目转包给第三方的</w:t>
      </w:r>
      <w:r>
        <w:rPr>
          <w:rFonts w:hAnsi="宋体"/>
          <w:szCs w:val="21"/>
          <w:lang w:eastAsia="zh-Hans"/>
        </w:rPr>
        <w:t>，</w:t>
      </w:r>
      <w:r>
        <w:rPr>
          <w:rFonts w:hint="eastAsia" w:ascii="宋体" w:hAnsi="宋体"/>
          <w:szCs w:val="21"/>
        </w:rPr>
        <w:t>丙方</w:t>
      </w:r>
      <w:r>
        <w:rPr>
          <w:rFonts w:hint="eastAsia" w:hAnsi="宋体"/>
          <w:szCs w:val="21"/>
          <w:lang w:eastAsia="zh-Hans"/>
        </w:rPr>
        <w:t>有权单方解除本合同</w:t>
      </w:r>
      <w:r>
        <w:rPr>
          <w:rFonts w:hint="eastAsia" w:hAnsi="宋体"/>
          <w:szCs w:val="21"/>
        </w:rPr>
        <w:t>，</w:t>
      </w:r>
      <w:r>
        <w:rPr>
          <w:rFonts w:hint="eastAsia" w:hAnsi="宋体"/>
          <w:szCs w:val="21"/>
          <w:lang w:eastAsia="zh-Hans"/>
        </w:rPr>
        <w:t>且</w:t>
      </w:r>
      <w:r>
        <w:rPr>
          <w:rFonts w:hint="eastAsia" w:hAnsi="宋体"/>
          <w:szCs w:val="21"/>
        </w:rPr>
        <w:t>丙方</w:t>
      </w:r>
      <w:r>
        <w:rPr>
          <w:rFonts w:hint="eastAsia" w:hAnsi="宋体"/>
          <w:szCs w:val="21"/>
          <w:lang w:eastAsia="zh-Hans"/>
        </w:rPr>
        <w:t>有权要求乙方按</w:t>
      </w:r>
      <w:r>
        <w:rPr>
          <w:rFonts w:hint="eastAsia" w:ascii="宋体" w:hAnsi="宋体"/>
          <w:szCs w:val="21"/>
        </w:rPr>
        <w:t>合同总价（含税）</w:t>
      </w:r>
      <w:r>
        <w:rPr>
          <w:rFonts w:hint="eastAsia" w:hAnsi="宋体"/>
          <w:szCs w:val="21"/>
          <w:lang w:eastAsia="zh-Hans"/>
        </w:rPr>
        <w:t>的</w:t>
      </w:r>
      <w:r>
        <w:rPr>
          <w:rFonts w:hAnsi="宋体"/>
          <w:szCs w:val="21"/>
          <w:lang w:eastAsia="zh-Hans"/>
        </w:rPr>
        <w:t>【20】%</w:t>
      </w:r>
      <w:r>
        <w:rPr>
          <w:rFonts w:hint="eastAsia" w:hAnsi="宋体"/>
          <w:szCs w:val="21"/>
          <w:lang w:eastAsia="zh-Hans"/>
        </w:rPr>
        <w:t>承担违约责任</w:t>
      </w:r>
      <w:r>
        <w:rPr>
          <w:rFonts w:hAnsi="宋体"/>
          <w:szCs w:val="21"/>
          <w:lang w:eastAsia="zh-Hans"/>
        </w:rPr>
        <w:t>。</w:t>
      </w:r>
    </w:p>
    <w:p>
      <w:pPr>
        <w:snapToGrid w:val="0"/>
        <w:spacing w:line="360" w:lineRule="auto"/>
        <w:ind w:firstLine="371" w:firstLineChars="177"/>
        <w:rPr>
          <w:rFonts w:hAnsi="宋体"/>
          <w:szCs w:val="21"/>
          <w:lang w:eastAsia="zh-Hans"/>
        </w:rPr>
      </w:pPr>
      <w:r>
        <w:rPr>
          <w:rFonts w:hAnsi="宋体"/>
          <w:szCs w:val="21"/>
        </w:rPr>
        <w:t>7</w:t>
      </w:r>
      <w:r>
        <w:rPr>
          <w:rFonts w:hint="eastAsia" w:hAnsi="宋体"/>
          <w:szCs w:val="21"/>
        </w:rPr>
        <w:t>、</w:t>
      </w:r>
      <w:r>
        <w:rPr>
          <w:rFonts w:hint="eastAsia" w:hAnsi="宋体"/>
          <w:szCs w:val="21"/>
          <w:lang w:eastAsia="zh-Hans"/>
        </w:rPr>
        <w:t>乙方违反本合同任意一项约定</w:t>
      </w:r>
      <w:r>
        <w:rPr>
          <w:rFonts w:hAnsi="宋体"/>
          <w:szCs w:val="21"/>
          <w:lang w:eastAsia="zh-Hans"/>
        </w:rPr>
        <w:t>，</w:t>
      </w:r>
      <w:r>
        <w:rPr>
          <w:rFonts w:hint="eastAsia" w:hAnsi="宋体"/>
          <w:szCs w:val="21"/>
          <w:lang w:eastAsia="zh-Hans"/>
        </w:rPr>
        <w:t>均视为乙方严重违约</w:t>
      </w:r>
      <w:r>
        <w:rPr>
          <w:rFonts w:hAnsi="宋体"/>
          <w:szCs w:val="21"/>
          <w:lang w:eastAsia="zh-Hans"/>
        </w:rPr>
        <w:t>。</w:t>
      </w:r>
      <w:r>
        <w:rPr>
          <w:rFonts w:hint="eastAsia" w:hAnsi="宋体"/>
          <w:szCs w:val="21"/>
        </w:rPr>
        <w:t>丙方</w:t>
      </w:r>
      <w:r>
        <w:rPr>
          <w:rFonts w:hint="eastAsia" w:hAnsi="宋体"/>
          <w:szCs w:val="21"/>
          <w:lang w:eastAsia="zh-Hans"/>
        </w:rPr>
        <w:t>有权单方解除本合同</w:t>
      </w:r>
      <w:r>
        <w:rPr>
          <w:rFonts w:hAnsi="宋体"/>
          <w:szCs w:val="21"/>
          <w:lang w:eastAsia="zh-Hans"/>
        </w:rPr>
        <w:t>、</w:t>
      </w:r>
      <w:r>
        <w:rPr>
          <w:rFonts w:hint="eastAsia" w:hAnsi="宋体"/>
          <w:szCs w:val="21"/>
        </w:rPr>
        <w:t>丙方有权没收</w:t>
      </w:r>
      <w:r>
        <w:rPr>
          <w:rFonts w:hint="eastAsia" w:hAnsi="宋体"/>
          <w:szCs w:val="21"/>
          <w:lang w:eastAsia="zh-Hans"/>
        </w:rPr>
        <w:t>履约</w:t>
      </w:r>
      <w:r>
        <w:rPr>
          <w:rFonts w:hint="eastAsia" w:hAnsi="宋体"/>
          <w:szCs w:val="21"/>
        </w:rPr>
        <w:t>担保</w:t>
      </w:r>
      <w:r>
        <w:rPr>
          <w:rFonts w:hint="eastAsia" w:hAnsi="宋体"/>
          <w:szCs w:val="21"/>
          <w:lang w:eastAsia="zh-Hans"/>
        </w:rPr>
        <w:t>且要求乙方按</w:t>
      </w:r>
      <w:r>
        <w:rPr>
          <w:rFonts w:hint="eastAsia" w:ascii="宋体" w:hAnsi="宋体"/>
          <w:szCs w:val="21"/>
        </w:rPr>
        <w:t>合同总价（含税）</w:t>
      </w:r>
      <w:r>
        <w:rPr>
          <w:rFonts w:hAnsi="宋体"/>
          <w:szCs w:val="21"/>
          <w:lang w:eastAsia="zh-Hans"/>
        </w:rPr>
        <w:t>【20】%</w:t>
      </w:r>
      <w:r>
        <w:rPr>
          <w:rFonts w:hint="eastAsia" w:hAnsi="宋体"/>
          <w:szCs w:val="21"/>
          <w:lang w:eastAsia="zh-Hans"/>
        </w:rPr>
        <w:t>承担违约责任</w:t>
      </w:r>
      <w:r>
        <w:rPr>
          <w:rFonts w:hAnsi="宋体"/>
          <w:szCs w:val="21"/>
          <w:lang w:eastAsia="zh-Hans"/>
        </w:rPr>
        <w:t>。</w:t>
      </w:r>
    </w:p>
    <w:p>
      <w:pPr>
        <w:snapToGrid w:val="0"/>
        <w:spacing w:line="360" w:lineRule="auto"/>
        <w:ind w:firstLine="371" w:firstLineChars="177"/>
        <w:rPr>
          <w:rFonts w:hAnsi="宋体"/>
          <w:szCs w:val="21"/>
          <w:lang w:eastAsia="zh-Hans"/>
        </w:rPr>
      </w:pPr>
      <w:r>
        <w:rPr>
          <w:rFonts w:hAnsi="宋体"/>
          <w:szCs w:val="21"/>
        </w:rPr>
        <w:t>8</w:t>
      </w:r>
      <w:r>
        <w:rPr>
          <w:rFonts w:hint="eastAsia" w:hAnsi="宋体"/>
          <w:szCs w:val="21"/>
        </w:rPr>
        <w:t>、</w:t>
      </w:r>
      <w:r>
        <w:rPr>
          <w:rFonts w:hint="eastAsia" w:hAnsi="宋体"/>
          <w:szCs w:val="21"/>
          <w:lang w:eastAsia="zh-Hans"/>
        </w:rPr>
        <w:t>因乙方违反本合同约定导致甲方</w:t>
      </w:r>
      <w:r>
        <w:rPr>
          <w:rFonts w:hint="eastAsia" w:hAnsi="宋体"/>
          <w:szCs w:val="21"/>
        </w:rPr>
        <w:t>或丙方</w:t>
      </w:r>
      <w:r>
        <w:rPr>
          <w:rFonts w:hint="eastAsia" w:hAnsi="宋体"/>
          <w:szCs w:val="21"/>
          <w:lang w:eastAsia="zh-Hans"/>
        </w:rPr>
        <w:t>权益受损的</w:t>
      </w:r>
      <w:r>
        <w:rPr>
          <w:rFonts w:hAnsi="宋体"/>
          <w:szCs w:val="21"/>
          <w:lang w:eastAsia="zh-Hans"/>
        </w:rPr>
        <w:t>，</w:t>
      </w:r>
      <w:r>
        <w:rPr>
          <w:rFonts w:hint="eastAsia" w:hAnsi="宋体"/>
          <w:szCs w:val="21"/>
          <w:lang w:eastAsia="zh-Hans"/>
        </w:rPr>
        <w:t>甲方</w:t>
      </w:r>
      <w:r>
        <w:rPr>
          <w:rFonts w:hint="eastAsia" w:hAnsi="宋体"/>
          <w:szCs w:val="21"/>
        </w:rPr>
        <w:t>或丙方</w:t>
      </w:r>
      <w:r>
        <w:rPr>
          <w:rFonts w:hint="eastAsia" w:hAnsi="宋体"/>
          <w:szCs w:val="21"/>
          <w:lang w:eastAsia="zh-Hans"/>
        </w:rPr>
        <w:t>为维护自身权益所支付的所有费用均由乙方承担</w:t>
      </w:r>
      <w:r>
        <w:rPr>
          <w:rFonts w:hAnsi="宋体"/>
          <w:szCs w:val="21"/>
          <w:lang w:eastAsia="zh-Hans"/>
        </w:rPr>
        <w:t>，</w:t>
      </w:r>
      <w:r>
        <w:rPr>
          <w:rFonts w:hint="eastAsia" w:hAnsi="宋体"/>
          <w:szCs w:val="21"/>
          <w:lang w:eastAsia="zh-Hans"/>
        </w:rPr>
        <w:t>包括但不限于甲方</w:t>
      </w:r>
      <w:r>
        <w:rPr>
          <w:rFonts w:hint="eastAsia" w:hAnsi="宋体"/>
          <w:szCs w:val="21"/>
        </w:rPr>
        <w:t>或丙方</w:t>
      </w:r>
      <w:r>
        <w:rPr>
          <w:rFonts w:hint="eastAsia" w:hAnsi="宋体"/>
          <w:szCs w:val="21"/>
          <w:lang w:eastAsia="zh-Hans"/>
        </w:rPr>
        <w:t>为此支付的</w:t>
      </w:r>
      <w:r>
        <w:rPr>
          <w:rFonts w:hint="eastAsia" w:hAnsi="宋体"/>
          <w:szCs w:val="21"/>
        </w:rPr>
        <w:t>诉讼费、律师费、鉴定费、公证费、交通住宿费等全部</w:t>
      </w:r>
      <w:r>
        <w:rPr>
          <w:rFonts w:hint="eastAsia" w:hAnsi="宋体"/>
          <w:szCs w:val="21"/>
          <w:lang w:eastAsia="zh-Hans"/>
        </w:rPr>
        <w:t>费用</w:t>
      </w:r>
      <w:r>
        <w:rPr>
          <w:rFonts w:hAnsi="宋体"/>
          <w:szCs w:val="21"/>
          <w:lang w:eastAsia="zh-Hans"/>
        </w:rPr>
        <w:t>。</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第二十一条 争议解决</w:t>
      </w:r>
    </w:p>
    <w:p>
      <w:pPr>
        <w:adjustRightInd w:val="0"/>
        <w:snapToGrid w:val="0"/>
        <w:spacing w:line="360" w:lineRule="auto"/>
        <w:ind w:firstLine="371" w:firstLineChars="177"/>
        <w:rPr>
          <w:rFonts w:ascii="宋体" w:hAnsi="宋体"/>
          <w:szCs w:val="21"/>
        </w:rPr>
      </w:pPr>
      <w:r>
        <w:rPr>
          <w:rFonts w:hint="eastAsia" w:ascii="宋体" w:hAnsi="宋体"/>
          <w:szCs w:val="21"/>
        </w:rPr>
        <w:t>三方在履约中发生争执和分歧，三方应通过友好协商解决，如不能通过友好协商解决的，三方同意由丙方住所地有管辖权的人民法院提起诉讼解决。</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r>
        <w:rPr>
          <w:rFonts w:hint="eastAsia" w:ascii="宋体" w:hAnsi="宋体"/>
          <w:b/>
          <w:szCs w:val="21"/>
        </w:rPr>
        <w:t>第二十二条 其他</w:t>
      </w:r>
    </w:p>
    <w:p>
      <w:pPr>
        <w:adjustRightInd w:val="0"/>
        <w:snapToGrid w:val="0"/>
        <w:spacing w:line="360" w:lineRule="auto"/>
        <w:ind w:firstLine="371" w:firstLineChars="177"/>
        <w:rPr>
          <w:rFonts w:ascii="宋体" w:hAnsi="宋体"/>
          <w:szCs w:val="21"/>
        </w:rPr>
      </w:pPr>
      <w:r>
        <w:rPr>
          <w:rFonts w:hint="eastAsia" w:ascii="宋体" w:hAnsi="宋体"/>
          <w:szCs w:val="21"/>
        </w:rPr>
        <w:t>1、在本合同履行过程中，乙方不得消极怠工或拒不履行合同义务（包括但不限于交货、安装、调试、培训、技术支持、售后、现场配合等等），否则将视为乙方违约，除按本合同第二十条第7款追究违约责任外，甲方或丙方仍有权就违约事宜向乙方提出改正的通知，如在甲方或丙方限期内乙方仍拒不改正的，甲方或丙方有权单方解除合同，丙方有权要求其按合同总价（含税）的20%支付违约金，并有权依法委托有资质的第三方继续履行本合同义务，由此造成的一切损失（包括但不限于再行采购的费用、委托第三人继续履行时超出本合同费用部分等）由乙方全部承担。</w:t>
      </w:r>
    </w:p>
    <w:p>
      <w:pPr>
        <w:adjustRightInd w:val="0"/>
        <w:snapToGrid w:val="0"/>
        <w:spacing w:line="360" w:lineRule="auto"/>
        <w:ind w:firstLine="371" w:firstLineChars="177"/>
        <w:rPr>
          <w:rFonts w:ascii="宋体" w:hAnsi="宋体"/>
          <w:szCs w:val="21"/>
        </w:rPr>
      </w:pPr>
      <w:r>
        <w:rPr>
          <w:rFonts w:hint="eastAsia" w:ascii="宋体" w:hAnsi="宋体"/>
          <w:szCs w:val="21"/>
        </w:rPr>
        <w:t>2、三方一致确认，乙方知悉本合同项目为</w:t>
      </w:r>
      <w:r>
        <w:rPr>
          <w:rFonts w:hint="eastAsia" w:ascii="宋体" w:hAnsi="宋体"/>
          <w:szCs w:val="21"/>
          <w:u w:val="single"/>
        </w:rPr>
        <w:t xml:space="preserve">                      </w:t>
      </w:r>
      <w:r>
        <w:rPr>
          <w:rFonts w:hint="eastAsia" w:ascii="宋体" w:hAnsi="宋体"/>
          <w:szCs w:val="21"/>
        </w:rPr>
        <w:t>工程的分部分项工程之一，在本合同的履行期间，乙方有义务积极配合工程的其他项目开展，保证工程统一、协调开展。如有违反的，视为乙方违约，甲方或丙方有权依合同追究违约责任。</w:t>
      </w:r>
    </w:p>
    <w:p>
      <w:pPr>
        <w:adjustRightInd w:val="0"/>
        <w:snapToGrid w:val="0"/>
        <w:spacing w:line="360" w:lineRule="auto"/>
        <w:ind w:firstLine="371" w:firstLineChars="177"/>
        <w:rPr>
          <w:rFonts w:ascii="宋体" w:hAnsi="宋体"/>
          <w:szCs w:val="21"/>
        </w:rPr>
      </w:pPr>
      <w:r>
        <w:rPr>
          <w:rFonts w:hint="eastAsia" w:ascii="宋体" w:hAnsi="宋体"/>
          <w:szCs w:val="21"/>
        </w:rPr>
        <w:t>3、在合同期内，乙方在进入甲方场地前应签订《安全生产管理协议》。乙方须做好安全防护措施，合同履行过程中出现的安全事故由乙方自行承担。乙方人员在甲方场所必须遵守甲方或丙方的一切规章制度和安全条例，服从甲方或丙方的监督。乙方在提供本合同项下所有服务的过程中，如因违反甲方或丙方相关规章制度、安全条例，或因不服从甲方或丙方监督而发生安全事故的，其结果与责任均由乙方负责，甲方或丙方无须承担任何结果与责任。</w:t>
      </w:r>
    </w:p>
    <w:p>
      <w:pPr>
        <w:adjustRightInd w:val="0"/>
        <w:snapToGrid w:val="0"/>
        <w:spacing w:line="360" w:lineRule="auto"/>
        <w:ind w:firstLine="371" w:firstLineChars="177"/>
        <w:rPr>
          <w:rFonts w:ascii="宋体" w:hAnsi="宋体"/>
          <w:szCs w:val="21"/>
        </w:rPr>
      </w:pPr>
      <w:r>
        <w:rPr>
          <w:rFonts w:hint="eastAsia" w:ascii="宋体" w:hAnsi="宋体"/>
          <w:szCs w:val="21"/>
        </w:rPr>
        <w:t>4、合同履约过程中，若发现</w:t>
      </w:r>
      <w:r>
        <w:rPr>
          <w:rFonts w:hint="eastAsia" w:ascii="宋体" w:hAnsi="宋体"/>
          <w:szCs w:val="21"/>
          <w:lang w:val="zh-CN"/>
        </w:rPr>
        <w:t>同一种货物存在有选择性的报价或不是固定的报价的，或存在</w:t>
      </w:r>
      <w:r>
        <w:rPr>
          <w:rFonts w:hint="eastAsia" w:ascii="宋体" w:hAnsi="宋体"/>
          <w:szCs w:val="21"/>
        </w:rPr>
        <w:t>多种理解方式的情况发生时，按最有利甲方的方式解释。</w:t>
      </w:r>
    </w:p>
    <w:p>
      <w:pPr>
        <w:adjustRightInd w:val="0"/>
        <w:snapToGrid w:val="0"/>
        <w:spacing w:line="360" w:lineRule="auto"/>
        <w:ind w:firstLine="371" w:firstLineChars="177"/>
        <w:rPr>
          <w:rFonts w:ascii="宋体" w:hAnsi="宋体"/>
          <w:szCs w:val="21"/>
        </w:rPr>
      </w:pPr>
      <w:r>
        <w:rPr>
          <w:rFonts w:hint="eastAsia" w:ascii="宋体" w:hAnsi="宋体"/>
          <w:szCs w:val="21"/>
        </w:rPr>
        <w:t>5、在合同履行期间，若发现乙方投标文件更改或删除了招标文件用户需求书招标设备清单内的项目或数量等情况时，并不能免除乙方按照图纸、标准与规范实施合同的任何责任，并将视为该项费用已包括在合同价款内，甲方不另行向乙方支付费用。</w:t>
      </w:r>
    </w:p>
    <w:p>
      <w:pPr>
        <w:adjustRightInd w:val="0"/>
        <w:snapToGrid w:val="0"/>
        <w:spacing w:line="360" w:lineRule="auto"/>
        <w:ind w:firstLine="371" w:firstLineChars="177"/>
        <w:rPr>
          <w:rFonts w:ascii="宋体" w:hAnsi="宋体"/>
          <w:szCs w:val="21"/>
        </w:rPr>
      </w:pPr>
      <w:r>
        <w:rPr>
          <w:rFonts w:hint="eastAsia" w:ascii="宋体" w:hAnsi="宋体"/>
          <w:szCs w:val="21"/>
        </w:rPr>
        <w:t>6、本合同壹式</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份，乙方执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份，丙方执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份，行政主管部门</w:t>
      </w:r>
      <w:r>
        <w:rPr>
          <w:rFonts w:hint="eastAsia" w:ascii="宋体" w:hAnsi="宋体"/>
          <w:szCs w:val="21"/>
          <w:u w:val="single"/>
        </w:rPr>
        <w:t xml:space="preserve"> 壹 </w:t>
      </w:r>
      <w:r>
        <w:rPr>
          <w:rFonts w:hint="eastAsia" w:ascii="宋体" w:hAnsi="宋体"/>
          <w:szCs w:val="21"/>
        </w:rPr>
        <w:t>份，招标代理机构</w:t>
      </w:r>
      <w:r>
        <w:rPr>
          <w:rFonts w:hint="eastAsia" w:ascii="宋体" w:hAnsi="宋体"/>
          <w:szCs w:val="21"/>
          <w:u w:val="single"/>
        </w:rPr>
        <w:t xml:space="preserve"> 壹 </w:t>
      </w:r>
      <w:r>
        <w:rPr>
          <w:rFonts w:hint="eastAsia" w:ascii="宋体" w:hAnsi="宋体"/>
          <w:szCs w:val="21"/>
        </w:rPr>
        <w:t>份，东莞市公共资源交易中心</w:t>
      </w:r>
      <w:r>
        <w:rPr>
          <w:rFonts w:hint="eastAsia" w:ascii="宋体" w:hAnsi="宋体"/>
          <w:szCs w:val="21"/>
          <w:u w:val="single"/>
        </w:rPr>
        <w:t xml:space="preserve"> 壹 </w:t>
      </w:r>
      <w:r>
        <w:rPr>
          <w:rFonts w:hint="eastAsia" w:ascii="宋体" w:hAnsi="宋体"/>
          <w:szCs w:val="21"/>
        </w:rPr>
        <w:t>份，均具有同等法律效力。</w:t>
      </w:r>
    </w:p>
    <w:p>
      <w:pPr>
        <w:adjustRightInd w:val="0"/>
        <w:snapToGrid w:val="0"/>
        <w:spacing w:line="360" w:lineRule="auto"/>
        <w:ind w:firstLine="371" w:firstLineChars="177"/>
        <w:rPr>
          <w:rFonts w:ascii="宋体" w:hAnsi="宋体"/>
          <w:szCs w:val="21"/>
        </w:rPr>
      </w:pPr>
      <w:r>
        <w:rPr>
          <w:rFonts w:hint="eastAsia" w:ascii="宋体" w:hAnsi="宋体"/>
          <w:szCs w:val="21"/>
        </w:rPr>
        <w:t>7、本合同自甲乙丙三方</w:t>
      </w:r>
      <w:r>
        <w:rPr>
          <w:rFonts w:hint="eastAsia" w:hAnsi="宋体"/>
          <w:szCs w:val="21"/>
        </w:rPr>
        <w:t>法定代表人或负责人</w:t>
      </w:r>
      <w:r>
        <w:rPr>
          <w:rFonts w:hint="eastAsia" w:ascii="宋体" w:hAnsi="宋体"/>
          <w:szCs w:val="21"/>
        </w:rPr>
        <w:t>签字并盖章之日起生效，至全部合同义务履行完毕时终止。</w:t>
      </w:r>
    </w:p>
    <w:p>
      <w:pPr>
        <w:adjustRightInd w:val="0"/>
        <w:snapToGrid w:val="0"/>
        <w:spacing w:line="360" w:lineRule="auto"/>
        <w:ind w:firstLine="371" w:firstLineChars="177"/>
        <w:rPr>
          <w:rFonts w:ascii="宋体" w:hAnsi="宋体"/>
          <w:szCs w:val="21"/>
        </w:rPr>
      </w:pPr>
      <w:r>
        <w:rPr>
          <w:rFonts w:hint="eastAsia" w:ascii="宋体" w:hAnsi="宋体"/>
          <w:szCs w:val="21"/>
        </w:rPr>
        <w:t>8、本合同所有附件及本项目的招标文件、答疑文件、投标文件、补充通知及相关承诺、协议等均为本合同有效组成部分，与本合同同具法律效力，该等文件与本合同正文约定不一致的，以有利于甲方的约定为准。</w:t>
      </w:r>
    </w:p>
    <w:p>
      <w:pPr>
        <w:adjustRightInd w:val="0"/>
        <w:snapToGrid w:val="0"/>
        <w:spacing w:line="360" w:lineRule="auto"/>
        <w:ind w:firstLine="315" w:firstLineChars="150"/>
        <w:rPr>
          <w:rFonts w:ascii="宋体" w:hAnsi="宋体"/>
          <w:szCs w:val="21"/>
        </w:rPr>
      </w:pPr>
      <w:r>
        <w:rPr>
          <w:rFonts w:hint="eastAsia"/>
        </w:rPr>
        <w:t xml:space="preserve"> </w:t>
      </w:r>
      <w:r>
        <w:rPr>
          <w:rFonts w:hint="eastAsia" w:ascii="宋体" w:hAnsi="宋体"/>
          <w:szCs w:val="21"/>
        </w:rPr>
        <w:t>9、丙方依据本合同条款对乙方处以违约金、赔偿金、扣款、其他应付费用等款项的，乙方应在收到违约（赔偿、扣款或其他应付费用等款项）处理通知书之日起的五个工作日内书面授权乙方相关工作人员将款项交至丙方指定账户（须备注本单个项目名称），丙方向乙方提供收据。如乙方未按上述要求交纳违约金、赔偿、扣款等款项的，丙方不予审批乙方当期的请款。</w:t>
      </w:r>
    </w:p>
    <w:p>
      <w:pPr>
        <w:adjustRightInd w:val="0"/>
        <w:snapToGrid w:val="0"/>
        <w:spacing w:line="360" w:lineRule="auto"/>
        <w:ind w:firstLine="371" w:firstLineChars="177"/>
        <w:rPr>
          <w:rFonts w:ascii="宋体" w:hAnsi="宋体"/>
          <w:szCs w:val="21"/>
        </w:rPr>
      </w:pPr>
      <w:r>
        <w:rPr>
          <w:rFonts w:hint="eastAsia" w:ascii="宋体" w:hAnsi="宋体"/>
          <w:szCs w:val="21"/>
        </w:rPr>
        <w:t>开户名称：东莞市水务集团建设管理有限公司</w:t>
      </w:r>
    </w:p>
    <w:p>
      <w:pPr>
        <w:adjustRightInd w:val="0"/>
        <w:snapToGrid w:val="0"/>
        <w:spacing w:line="360" w:lineRule="auto"/>
        <w:ind w:firstLine="371" w:firstLineChars="177"/>
        <w:rPr>
          <w:rFonts w:ascii="宋体" w:hAnsi="宋体"/>
          <w:szCs w:val="21"/>
        </w:rPr>
      </w:pPr>
      <w:r>
        <w:rPr>
          <w:rFonts w:hint="eastAsia" w:ascii="宋体" w:hAnsi="宋体"/>
          <w:szCs w:val="21"/>
        </w:rPr>
        <w:t>开户银行：中国工商银行股份有限公司东莞分行</w:t>
      </w:r>
    </w:p>
    <w:p>
      <w:pPr>
        <w:adjustRightInd w:val="0"/>
        <w:snapToGrid w:val="0"/>
        <w:spacing w:line="360" w:lineRule="auto"/>
        <w:ind w:firstLine="371" w:firstLineChars="177"/>
        <w:rPr>
          <w:rFonts w:ascii="宋体" w:hAnsi="宋体"/>
          <w:szCs w:val="21"/>
        </w:rPr>
      </w:pPr>
      <w:r>
        <w:rPr>
          <w:rFonts w:hint="eastAsia" w:ascii="宋体" w:hAnsi="宋体"/>
          <w:szCs w:val="21"/>
        </w:rPr>
        <w:t>银行账号：2010021309200628330</w:t>
      </w:r>
    </w:p>
    <w:p>
      <w:pPr>
        <w:pStyle w:val="5"/>
      </w:pPr>
    </w:p>
    <w:p>
      <w:pPr>
        <w:adjustRightInd w:val="0"/>
        <w:snapToGrid w:val="0"/>
        <w:spacing w:line="360" w:lineRule="auto"/>
        <w:ind w:firstLine="371" w:firstLineChars="177"/>
        <w:rPr>
          <w:rFonts w:ascii="宋体" w:hAnsi="宋体"/>
          <w:szCs w:val="21"/>
        </w:rPr>
      </w:pPr>
      <w:r>
        <w:rPr>
          <w:rFonts w:hint="eastAsia" w:ascii="宋体" w:hAnsi="宋体"/>
          <w:szCs w:val="21"/>
        </w:rPr>
        <w:t>10</w:t>
      </w:r>
      <w:r>
        <w:rPr>
          <w:rFonts w:ascii="宋体" w:hAnsi="宋体"/>
          <w:szCs w:val="21"/>
        </w:rPr>
        <w:t>、本合同未尽事宜，由</w:t>
      </w:r>
      <w:r>
        <w:rPr>
          <w:rFonts w:hint="eastAsia" w:ascii="宋体" w:hAnsi="宋体"/>
          <w:szCs w:val="21"/>
        </w:rPr>
        <w:t>三</w:t>
      </w:r>
      <w:r>
        <w:rPr>
          <w:rFonts w:ascii="宋体" w:hAnsi="宋体"/>
          <w:szCs w:val="21"/>
        </w:rPr>
        <w:t>方协商处理。</w:t>
      </w:r>
    </w:p>
    <w:p>
      <w:pPr>
        <w:adjustRightInd w:val="0"/>
        <w:snapToGrid w:val="0"/>
        <w:spacing w:line="360" w:lineRule="auto"/>
        <w:ind w:firstLine="371" w:firstLineChars="177"/>
        <w:rPr>
          <w:rFonts w:ascii="宋体" w:hAnsi="宋体"/>
          <w:szCs w:val="21"/>
        </w:rPr>
      </w:pPr>
    </w:p>
    <w:p>
      <w:pPr>
        <w:adjustRightInd w:val="0"/>
        <w:snapToGrid w:val="0"/>
        <w:spacing w:line="360" w:lineRule="auto"/>
        <w:ind w:firstLine="371" w:firstLineChars="177"/>
        <w:rPr>
          <w:rFonts w:ascii="宋体" w:hAnsi="宋体"/>
          <w:szCs w:val="21"/>
        </w:rPr>
      </w:pPr>
      <w:r>
        <w:rPr>
          <w:rFonts w:hint="eastAsia" w:ascii="宋体" w:hAnsi="宋体"/>
          <w:szCs w:val="21"/>
        </w:rPr>
        <w:t>附件：1.用户需求书；2.分项报价明细表；3.安全生产管理协议；4.廉洁协议书；5.验收报告格式；6.安装时间、质保期、维修响应时间承诺表；7.诚信履约承诺书。</w:t>
      </w: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b/>
          <w:szCs w:val="21"/>
        </w:rPr>
      </w:pPr>
    </w:p>
    <w:p>
      <w:pPr>
        <w:adjustRightInd w:val="0"/>
        <w:snapToGrid w:val="0"/>
        <w:spacing w:line="360" w:lineRule="auto"/>
        <w:ind w:firstLine="373" w:firstLineChars="177"/>
        <w:rPr>
          <w:rFonts w:ascii="宋体" w:hAnsi="宋体"/>
          <w:szCs w:val="21"/>
        </w:rPr>
      </w:pPr>
      <w:r>
        <w:rPr>
          <w:rFonts w:hint="eastAsia" w:ascii="宋体" w:hAnsi="宋体"/>
          <w:b/>
          <w:szCs w:val="21"/>
        </w:rPr>
        <w:t>甲方：</w:t>
      </w:r>
      <w:r>
        <w:rPr>
          <w:rFonts w:hint="eastAsia" w:ascii="宋体" w:hAnsi="宋体"/>
          <w:szCs w:val="21"/>
        </w:rPr>
        <w:t xml:space="preserve">                           </w:t>
      </w:r>
      <w:r>
        <w:rPr>
          <w:rFonts w:hint="eastAsia" w:ascii="宋体" w:hAnsi="宋体"/>
          <w:b/>
          <w:szCs w:val="21"/>
        </w:rPr>
        <w:t xml:space="preserve">       乙方：</w:t>
      </w:r>
    </w:p>
    <w:p>
      <w:pPr>
        <w:adjustRightInd w:val="0"/>
        <w:snapToGrid w:val="0"/>
        <w:spacing w:line="360" w:lineRule="auto"/>
        <w:ind w:firstLine="371" w:firstLineChars="177"/>
        <w:rPr>
          <w:rFonts w:ascii="宋体" w:hAnsi="宋体"/>
          <w:szCs w:val="21"/>
        </w:rPr>
      </w:pPr>
      <w:r>
        <w:rPr>
          <w:rFonts w:hint="eastAsia" w:ascii="宋体" w:hAnsi="宋体"/>
          <w:szCs w:val="21"/>
        </w:rPr>
        <w:t>法定代表人</w:t>
      </w:r>
      <w:r>
        <w:rPr>
          <w:rFonts w:hint="eastAsia" w:ascii="宋体" w:hAnsi="宋体"/>
          <w:szCs w:val="21"/>
          <w:lang w:eastAsia="zh-Hans"/>
        </w:rPr>
        <w:t>或负责人</w:t>
      </w:r>
      <w:r>
        <w:rPr>
          <w:rFonts w:hint="eastAsia" w:ascii="宋体" w:hAnsi="宋体"/>
          <w:szCs w:val="21"/>
        </w:rPr>
        <w:t>：                    法定代表人</w:t>
      </w:r>
      <w:r>
        <w:rPr>
          <w:rFonts w:hint="eastAsia" w:ascii="宋体" w:hAnsi="宋体"/>
          <w:szCs w:val="21"/>
          <w:lang w:eastAsia="zh-Hans"/>
        </w:rPr>
        <w:t>或负责人</w:t>
      </w:r>
      <w:r>
        <w:rPr>
          <w:rFonts w:hint="eastAsia" w:ascii="宋体" w:hAnsi="宋体"/>
          <w:szCs w:val="21"/>
        </w:rPr>
        <w:t>：</w:t>
      </w:r>
    </w:p>
    <w:p>
      <w:pPr>
        <w:adjustRightInd w:val="0"/>
        <w:snapToGrid w:val="0"/>
        <w:spacing w:line="360" w:lineRule="auto"/>
        <w:ind w:firstLine="371" w:firstLineChars="177"/>
        <w:rPr>
          <w:rFonts w:ascii="宋体" w:hAnsi="宋体"/>
          <w:szCs w:val="21"/>
        </w:rPr>
      </w:pPr>
      <w:r>
        <w:rPr>
          <w:rFonts w:hint="eastAsia" w:ascii="宋体" w:hAnsi="宋体"/>
          <w:szCs w:val="21"/>
        </w:rPr>
        <w:t>地址：                                  地址：</w:t>
      </w:r>
    </w:p>
    <w:p>
      <w:pPr>
        <w:adjustRightInd w:val="0"/>
        <w:snapToGrid w:val="0"/>
        <w:spacing w:line="360" w:lineRule="auto"/>
        <w:ind w:firstLine="371" w:firstLineChars="177"/>
        <w:rPr>
          <w:rFonts w:ascii="宋体" w:hAnsi="宋体"/>
          <w:szCs w:val="21"/>
        </w:rPr>
      </w:pPr>
      <w:r>
        <w:rPr>
          <w:rFonts w:hint="eastAsia" w:ascii="宋体" w:hAnsi="宋体"/>
          <w:szCs w:val="21"/>
        </w:rPr>
        <w:t>电话：                                  电话：</w:t>
      </w:r>
    </w:p>
    <w:p>
      <w:pPr>
        <w:adjustRightInd w:val="0"/>
        <w:snapToGrid w:val="0"/>
        <w:spacing w:line="360" w:lineRule="auto"/>
        <w:ind w:firstLine="371" w:firstLineChars="177"/>
        <w:rPr>
          <w:rFonts w:ascii="宋体" w:hAnsi="宋体"/>
          <w:szCs w:val="21"/>
        </w:rPr>
      </w:pPr>
      <w:r>
        <w:rPr>
          <w:rFonts w:hint="eastAsia" w:ascii="宋体" w:hAnsi="宋体"/>
          <w:szCs w:val="21"/>
        </w:rPr>
        <w:t>传真：                                  传真：</w:t>
      </w:r>
    </w:p>
    <w:p>
      <w:pPr>
        <w:adjustRightInd w:val="0"/>
        <w:snapToGrid w:val="0"/>
        <w:spacing w:line="360" w:lineRule="auto"/>
        <w:ind w:firstLine="371" w:firstLineChars="177"/>
        <w:rPr>
          <w:rFonts w:ascii="宋体" w:hAnsi="宋体"/>
          <w:szCs w:val="21"/>
        </w:rPr>
      </w:pPr>
      <w:r>
        <w:rPr>
          <w:rFonts w:hint="eastAsia" w:ascii="宋体" w:hAnsi="宋体"/>
          <w:szCs w:val="21"/>
        </w:rPr>
        <w:t>开户银行：                              开户银行：</w:t>
      </w:r>
    </w:p>
    <w:p>
      <w:pPr>
        <w:adjustRightInd w:val="0"/>
        <w:snapToGrid w:val="0"/>
        <w:spacing w:line="360" w:lineRule="auto"/>
        <w:ind w:firstLine="371" w:firstLineChars="177"/>
        <w:rPr>
          <w:rFonts w:ascii="宋体" w:hAnsi="宋体"/>
          <w:szCs w:val="21"/>
        </w:rPr>
      </w:pPr>
      <w:r>
        <w:rPr>
          <w:rFonts w:hint="eastAsia" w:ascii="宋体" w:hAnsi="宋体"/>
          <w:szCs w:val="21"/>
        </w:rPr>
        <w:t>银行账户：                              银行账户：</w:t>
      </w:r>
    </w:p>
    <w:p>
      <w:pPr>
        <w:adjustRightInd w:val="0"/>
        <w:snapToGrid w:val="0"/>
        <w:spacing w:line="360" w:lineRule="auto"/>
        <w:ind w:firstLine="371" w:firstLineChars="177"/>
        <w:rPr>
          <w:rFonts w:ascii="宋体" w:hAnsi="宋体"/>
          <w:szCs w:val="21"/>
        </w:rPr>
      </w:pPr>
      <w:r>
        <w:rPr>
          <w:rFonts w:hint="eastAsia" w:ascii="宋体" w:hAnsi="宋体"/>
          <w:szCs w:val="21"/>
        </w:rPr>
        <w:t>银行账号：                              银行账号：</w:t>
      </w:r>
    </w:p>
    <w:p>
      <w:pPr>
        <w:pStyle w:val="5"/>
      </w:pPr>
    </w:p>
    <w:p>
      <w:pPr>
        <w:adjustRightInd w:val="0"/>
        <w:snapToGrid w:val="0"/>
        <w:spacing w:line="360" w:lineRule="auto"/>
        <w:ind w:firstLine="373" w:firstLineChars="177"/>
        <w:rPr>
          <w:rFonts w:ascii="宋体" w:hAnsi="宋体"/>
          <w:b/>
          <w:szCs w:val="21"/>
        </w:rPr>
      </w:pPr>
      <w:r>
        <w:rPr>
          <w:rFonts w:hint="eastAsia" w:ascii="宋体" w:hAnsi="宋体"/>
          <w:b/>
          <w:szCs w:val="21"/>
        </w:rPr>
        <w:t>丙方：</w:t>
      </w:r>
    </w:p>
    <w:p>
      <w:pPr>
        <w:adjustRightInd w:val="0"/>
        <w:snapToGrid w:val="0"/>
        <w:spacing w:line="360" w:lineRule="auto"/>
        <w:ind w:firstLine="371" w:firstLineChars="177"/>
        <w:rPr>
          <w:rFonts w:ascii="宋体" w:hAnsi="宋体"/>
          <w:szCs w:val="21"/>
        </w:rPr>
      </w:pPr>
      <w:r>
        <w:rPr>
          <w:rFonts w:hint="eastAsia" w:ascii="宋体" w:hAnsi="宋体"/>
          <w:szCs w:val="21"/>
        </w:rPr>
        <w:t>法定代表人</w:t>
      </w:r>
      <w:r>
        <w:rPr>
          <w:rFonts w:hint="eastAsia" w:ascii="宋体" w:hAnsi="宋体"/>
          <w:szCs w:val="21"/>
          <w:lang w:eastAsia="zh-Hans"/>
        </w:rPr>
        <w:t>或负责人</w:t>
      </w:r>
      <w:r>
        <w:rPr>
          <w:rFonts w:hint="eastAsia" w:ascii="宋体" w:hAnsi="宋体"/>
          <w:szCs w:val="21"/>
        </w:rPr>
        <w:t>：</w:t>
      </w:r>
    </w:p>
    <w:p>
      <w:pPr>
        <w:adjustRightInd w:val="0"/>
        <w:snapToGrid w:val="0"/>
        <w:spacing w:line="360" w:lineRule="auto"/>
        <w:ind w:firstLine="371" w:firstLineChars="177"/>
        <w:rPr>
          <w:rFonts w:ascii="宋体" w:hAnsi="宋体"/>
          <w:szCs w:val="21"/>
        </w:rPr>
      </w:pPr>
      <w:r>
        <w:rPr>
          <w:rFonts w:hint="eastAsia" w:ascii="宋体" w:hAnsi="宋体"/>
          <w:szCs w:val="21"/>
        </w:rPr>
        <w:t>地址：</w:t>
      </w:r>
    </w:p>
    <w:p>
      <w:pPr>
        <w:adjustRightInd w:val="0"/>
        <w:snapToGrid w:val="0"/>
        <w:spacing w:line="360" w:lineRule="auto"/>
        <w:ind w:firstLine="371" w:firstLineChars="177"/>
        <w:rPr>
          <w:rFonts w:ascii="宋体" w:hAnsi="宋体"/>
          <w:szCs w:val="21"/>
        </w:rPr>
      </w:pPr>
      <w:r>
        <w:rPr>
          <w:rFonts w:hint="eastAsia" w:ascii="宋体" w:hAnsi="宋体"/>
          <w:szCs w:val="21"/>
        </w:rPr>
        <w:t>电话：</w:t>
      </w:r>
    </w:p>
    <w:p>
      <w:pPr>
        <w:adjustRightInd w:val="0"/>
        <w:snapToGrid w:val="0"/>
        <w:spacing w:line="360" w:lineRule="auto"/>
        <w:ind w:firstLine="371" w:firstLineChars="177"/>
        <w:rPr>
          <w:rFonts w:ascii="宋体" w:hAnsi="宋体"/>
          <w:szCs w:val="21"/>
        </w:rPr>
      </w:pPr>
      <w:r>
        <w:rPr>
          <w:rFonts w:hint="eastAsia" w:ascii="宋体" w:hAnsi="宋体"/>
          <w:szCs w:val="21"/>
        </w:rPr>
        <w:t>传真：</w:t>
      </w:r>
    </w:p>
    <w:p>
      <w:pPr>
        <w:adjustRightInd w:val="0"/>
        <w:snapToGrid w:val="0"/>
        <w:spacing w:line="360" w:lineRule="auto"/>
        <w:ind w:firstLine="371" w:firstLineChars="177"/>
        <w:rPr>
          <w:rFonts w:ascii="宋体" w:hAnsi="宋体"/>
          <w:szCs w:val="21"/>
        </w:rPr>
      </w:pPr>
      <w:r>
        <w:rPr>
          <w:rFonts w:hint="eastAsia" w:ascii="宋体" w:hAnsi="宋体"/>
          <w:szCs w:val="21"/>
        </w:rPr>
        <w:t>开户银行：</w:t>
      </w:r>
    </w:p>
    <w:p>
      <w:pPr>
        <w:adjustRightInd w:val="0"/>
        <w:snapToGrid w:val="0"/>
        <w:spacing w:line="360" w:lineRule="auto"/>
        <w:ind w:firstLine="371" w:firstLineChars="177"/>
        <w:rPr>
          <w:rFonts w:ascii="宋体" w:hAnsi="宋体"/>
          <w:szCs w:val="21"/>
        </w:rPr>
      </w:pPr>
      <w:r>
        <w:rPr>
          <w:rFonts w:hint="eastAsia" w:ascii="宋体" w:hAnsi="宋体"/>
          <w:szCs w:val="21"/>
        </w:rPr>
        <w:t>银行账户：</w:t>
      </w:r>
    </w:p>
    <w:p>
      <w:pPr>
        <w:adjustRightInd w:val="0"/>
        <w:snapToGrid w:val="0"/>
        <w:spacing w:line="360" w:lineRule="auto"/>
        <w:ind w:firstLine="371" w:firstLineChars="177"/>
        <w:rPr>
          <w:rFonts w:ascii="宋体" w:hAnsi="宋体"/>
          <w:szCs w:val="21"/>
        </w:rPr>
      </w:pPr>
      <w:r>
        <w:rPr>
          <w:rFonts w:hint="eastAsia" w:ascii="宋体" w:hAnsi="宋体"/>
          <w:szCs w:val="21"/>
        </w:rPr>
        <w:t>银行账号：</w:t>
      </w:r>
    </w:p>
    <w:p>
      <w:pPr>
        <w:pStyle w:val="5"/>
      </w:pPr>
    </w:p>
    <w:p/>
    <w:p>
      <w:pPr>
        <w:adjustRightInd w:val="0"/>
        <w:snapToGrid w:val="0"/>
        <w:spacing w:line="360" w:lineRule="auto"/>
        <w:ind w:firstLine="371" w:firstLineChars="177"/>
        <w:rPr>
          <w:rFonts w:ascii="宋体" w:hAnsi="宋体"/>
          <w:szCs w:val="21"/>
        </w:rPr>
      </w:pPr>
      <w:r>
        <w:rPr>
          <w:rFonts w:hint="eastAsia" w:ascii="宋体" w:hAnsi="宋体"/>
          <w:szCs w:val="21"/>
        </w:rPr>
        <w:t>签约日期：     年  月  日</w:t>
      </w:r>
    </w:p>
    <w:p>
      <w:pPr>
        <w:pStyle w:val="4"/>
        <w:pageBreakBefore/>
        <w:rPr>
          <w:rFonts w:ascii="黑体" w:hAnsi="黑体" w:cs="黑体"/>
          <w:b w:val="0"/>
          <w:bCs w:val="0"/>
          <w:sz w:val="28"/>
          <w:szCs w:val="28"/>
        </w:rPr>
      </w:pPr>
      <w:bookmarkStart w:id="1040" w:name="_Toc132814855"/>
      <w:bookmarkStart w:id="1041" w:name="_Toc188"/>
      <w:r>
        <w:rPr>
          <w:rFonts w:hint="eastAsia" w:ascii="黑体" w:hAnsi="黑体" w:cs="黑体"/>
          <w:sz w:val="28"/>
          <w:szCs w:val="28"/>
        </w:rPr>
        <w:t>附件</w:t>
      </w:r>
      <w:r>
        <w:rPr>
          <w:rFonts w:ascii="黑体" w:hAnsi="黑体" w:cs="黑体"/>
          <w:sz w:val="28"/>
          <w:szCs w:val="28"/>
        </w:rPr>
        <w:t xml:space="preserve">1 </w:t>
      </w:r>
      <w:r>
        <w:rPr>
          <w:rFonts w:hint="eastAsia" w:ascii="黑体" w:hAnsi="黑体" w:cs="黑体"/>
          <w:sz w:val="28"/>
          <w:szCs w:val="28"/>
        </w:rPr>
        <w:t>安全生产管理协议格式</w:t>
      </w:r>
      <w:bookmarkEnd w:id="1040"/>
      <w:bookmarkEnd w:id="1041"/>
    </w:p>
    <w:p>
      <w:pPr>
        <w:ind w:left="372" w:leftChars="177" w:right="370" w:rightChars="176"/>
        <w:jc w:val="center"/>
        <w:rPr>
          <w:rFonts w:ascii="仿宋" w:hAnsi="仿宋" w:eastAsia="仿宋" w:cs="仿宋"/>
          <w:b/>
          <w:bCs/>
          <w:sz w:val="36"/>
          <w:szCs w:val="36"/>
        </w:rPr>
      </w:pPr>
    </w:p>
    <w:p>
      <w:pPr>
        <w:ind w:left="372" w:leftChars="177" w:right="370" w:rightChars="176"/>
        <w:jc w:val="center"/>
        <w:rPr>
          <w:rFonts w:ascii="仿宋" w:hAnsi="仿宋" w:eastAsia="仿宋" w:cs="仿宋"/>
          <w:b/>
          <w:bCs/>
          <w:sz w:val="36"/>
          <w:szCs w:val="36"/>
        </w:rPr>
      </w:pPr>
      <w:r>
        <w:rPr>
          <w:rFonts w:hint="eastAsia" w:ascii="仿宋" w:hAnsi="仿宋" w:eastAsia="仿宋" w:cs="仿宋"/>
          <w:b/>
          <w:bCs/>
          <w:sz w:val="36"/>
          <w:szCs w:val="36"/>
        </w:rPr>
        <w:t>安全生产管理协议</w:t>
      </w:r>
    </w:p>
    <w:p>
      <w:pPr>
        <w:ind w:left="372" w:leftChars="177" w:right="370" w:rightChars="176"/>
        <w:jc w:val="center"/>
        <w:rPr>
          <w:rFonts w:ascii="仿宋" w:hAnsi="仿宋" w:eastAsia="仿宋" w:cs="仿宋"/>
          <w:bCs/>
          <w:sz w:val="28"/>
          <w:szCs w:val="28"/>
        </w:rPr>
      </w:pPr>
      <w:r>
        <w:rPr>
          <w:rFonts w:hint="eastAsia" w:ascii="仿宋" w:hAnsi="仿宋" w:eastAsia="仿宋" w:cs="仿宋"/>
          <w:b/>
          <w:bCs/>
          <w:sz w:val="28"/>
          <w:szCs w:val="28"/>
        </w:rPr>
        <w:t xml:space="preserve">         </w:t>
      </w:r>
      <w:r>
        <w:rPr>
          <w:rFonts w:hint="eastAsia" w:ascii="仿宋" w:hAnsi="仿宋" w:eastAsia="仿宋" w:cs="仿宋"/>
          <w:bCs/>
          <w:sz w:val="28"/>
          <w:szCs w:val="28"/>
        </w:rPr>
        <w:t xml:space="preserve">                                         </w:t>
      </w:r>
    </w:p>
    <w:p>
      <w:pPr>
        <w:snapToGrid w:val="0"/>
        <w:spacing w:line="360" w:lineRule="auto"/>
        <w:ind w:firstLine="420" w:firstLineChars="200"/>
        <w:rPr>
          <w:rFonts w:ascii="宋体" w:hAnsi="宋体" w:cs="仿宋_GB2312"/>
          <w:szCs w:val="21"/>
        </w:rPr>
      </w:pPr>
      <w:r>
        <w:rPr>
          <w:rFonts w:hint="eastAsia" w:ascii="宋体" w:hAnsi="宋体" w:cs="仿宋_GB2312"/>
          <w:szCs w:val="21"/>
        </w:rPr>
        <w:t>甲方：</w:t>
      </w:r>
      <w:r>
        <w:rPr>
          <w:rFonts w:ascii="宋体" w:hAnsi="宋体" w:cs="仿宋_GB2312"/>
          <w:szCs w:val="21"/>
        </w:rPr>
        <w:t xml:space="preserve"> </w:t>
      </w: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地址: </w:t>
      </w: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电话:                </w:t>
      </w:r>
    </w:p>
    <w:p>
      <w:pPr>
        <w:snapToGrid w:val="0"/>
        <w:spacing w:line="360" w:lineRule="auto"/>
        <w:ind w:firstLine="420" w:firstLineChars="200"/>
        <w:rPr>
          <w:rFonts w:ascii="宋体" w:hAnsi="宋体" w:cs="仿宋_GB2312"/>
          <w:szCs w:val="21"/>
        </w:rPr>
      </w:pPr>
      <w:r>
        <w:rPr>
          <w:rFonts w:hint="eastAsia" w:ascii="宋体" w:hAnsi="宋体" w:cs="仿宋_GB2312"/>
          <w:szCs w:val="21"/>
        </w:rPr>
        <w:t>传真</w:t>
      </w:r>
    </w:p>
    <w:p>
      <w:pPr>
        <w:snapToGrid w:val="0"/>
        <w:spacing w:line="360" w:lineRule="auto"/>
        <w:ind w:firstLine="420" w:firstLineChars="200"/>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乙方： </w:t>
      </w: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地址:  </w:t>
      </w:r>
    </w:p>
    <w:p>
      <w:pPr>
        <w:snapToGrid w:val="0"/>
        <w:spacing w:line="360" w:lineRule="auto"/>
        <w:ind w:firstLine="420" w:firstLineChars="200"/>
        <w:rPr>
          <w:rFonts w:ascii="宋体" w:hAnsi="宋体" w:cs="仿宋_GB2312"/>
          <w:szCs w:val="21"/>
        </w:rPr>
      </w:pPr>
      <w:r>
        <w:rPr>
          <w:rFonts w:hint="eastAsia" w:ascii="宋体" w:hAnsi="宋体" w:cs="仿宋_GB2312"/>
          <w:szCs w:val="21"/>
        </w:rPr>
        <w:t>电话:</w:t>
      </w:r>
    </w:p>
    <w:p>
      <w:pPr>
        <w:snapToGrid w:val="0"/>
        <w:spacing w:line="360" w:lineRule="auto"/>
        <w:ind w:firstLine="420" w:firstLineChars="200"/>
        <w:rPr>
          <w:rFonts w:ascii="宋体" w:hAnsi="宋体" w:cs="仿宋_GB2312"/>
          <w:szCs w:val="21"/>
        </w:rPr>
      </w:pPr>
      <w:r>
        <w:rPr>
          <w:rFonts w:hint="eastAsia" w:ascii="宋体" w:hAnsi="宋体" w:cs="仿宋_GB2312"/>
          <w:szCs w:val="21"/>
        </w:rPr>
        <w:t>传真</w:t>
      </w:r>
    </w:p>
    <w:p>
      <w:pPr>
        <w:pStyle w:val="5"/>
      </w:pP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丙方： </w:t>
      </w: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地址:  </w:t>
      </w:r>
    </w:p>
    <w:p>
      <w:pPr>
        <w:snapToGrid w:val="0"/>
        <w:spacing w:line="360" w:lineRule="auto"/>
        <w:ind w:firstLine="420" w:firstLineChars="200"/>
        <w:rPr>
          <w:rFonts w:ascii="宋体" w:hAnsi="宋体" w:cs="仿宋_GB2312"/>
          <w:szCs w:val="21"/>
        </w:rPr>
      </w:pPr>
      <w:r>
        <w:rPr>
          <w:rFonts w:hint="eastAsia" w:ascii="宋体" w:hAnsi="宋体" w:cs="仿宋_GB2312"/>
          <w:szCs w:val="21"/>
        </w:rPr>
        <w:t>电话:</w:t>
      </w:r>
    </w:p>
    <w:p>
      <w:pPr>
        <w:snapToGrid w:val="0"/>
        <w:spacing w:line="360" w:lineRule="auto"/>
        <w:ind w:firstLine="420" w:firstLineChars="200"/>
        <w:rPr>
          <w:rFonts w:ascii="宋体" w:hAnsi="宋体" w:cs="仿宋_GB2312"/>
          <w:szCs w:val="21"/>
        </w:rPr>
      </w:pPr>
      <w:r>
        <w:rPr>
          <w:rFonts w:hint="eastAsia" w:ascii="宋体" w:hAnsi="宋体" w:cs="仿宋_GB2312"/>
          <w:szCs w:val="21"/>
        </w:rPr>
        <w:t>传真</w:t>
      </w:r>
    </w:p>
    <w:p>
      <w:pPr>
        <w:snapToGrid w:val="0"/>
        <w:spacing w:line="360" w:lineRule="auto"/>
        <w:ind w:firstLine="420" w:firstLineChars="200"/>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丙三方的财产和员工的人身安全不受侵害，经甲乙丙三方协商一致，签订协议如下：</w:t>
      </w:r>
    </w:p>
    <w:p>
      <w:pPr>
        <w:snapToGrid w:val="0"/>
        <w:spacing w:line="360" w:lineRule="auto"/>
        <w:ind w:firstLine="420" w:firstLineChars="200"/>
        <w:rPr>
          <w:rFonts w:ascii="宋体" w:hAnsi="宋体" w:cs="仿宋_GB2312"/>
          <w:szCs w:val="21"/>
        </w:rPr>
      </w:pPr>
      <w:r>
        <w:rPr>
          <w:rFonts w:ascii="宋体" w:hAnsi="宋体" w:cs="仿宋_GB2312"/>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r>
        <w:rPr>
          <w:rFonts w:hint="eastAsia"/>
        </w:rPr>
        <w:t>进场前，乙方必须严格遵守甲方及项目所在地的相关防疫要求。</w:t>
      </w:r>
    </w:p>
    <w:p>
      <w:pPr>
        <w:snapToGrid w:val="0"/>
        <w:spacing w:line="360" w:lineRule="auto"/>
        <w:ind w:firstLine="420" w:firstLineChars="200"/>
        <w:rPr>
          <w:rFonts w:ascii="宋体" w:hAnsi="宋体" w:cs="仿宋_GB2312"/>
          <w:szCs w:val="21"/>
        </w:rPr>
      </w:pPr>
      <w:r>
        <w:rPr>
          <w:rFonts w:ascii="宋体" w:hAnsi="宋体" w:cs="仿宋_GB2312"/>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napToGrid w:val="0"/>
        <w:spacing w:line="360" w:lineRule="auto"/>
        <w:ind w:firstLine="420" w:firstLineChars="200"/>
        <w:rPr>
          <w:rFonts w:ascii="宋体" w:hAnsi="宋体" w:cs="仿宋_GB2312"/>
          <w:szCs w:val="21"/>
        </w:rPr>
      </w:pPr>
      <w:r>
        <w:rPr>
          <w:rFonts w:ascii="宋体" w:hAnsi="宋体" w:cs="仿宋_GB2312"/>
          <w:szCs w:val="21"/>
        </w:rPr>
        <w:t>3、乙方使用被派遣劳动者的，应当将被派遣劳动者纳入本单位从业人员统一管理，对被派遣劳动者进行岗位安全操作规程和安全操作技能的教育和培训。</w:t>
      </w:r>
    </w:p>
    <w:p>
      <w:pPr>
        <w:snapToGrid w:val="0"/>
        <w:spacing w:line="360" w:lineRule="auto"/>
        <w:ind w:firstLine="420" w:firstLineChars="200"/>
        <w:rPr>
          <w:rFonts w:ascii="宋体" w:hAnsi="宋体" w:cs="仿宋_GB2312"/>
          <w:szCs w:val="21"/>
        </w:rPr>
      </w:pPr>
      <w:r>
        <w:rPr>
          <w:rFonts w:ascii="宋体" w:hAnsi="宋体" w:cs="仿宋_GB2312"/>
          <w:szCs w:val="21"/>
        </w:rPr>
        <w:t>4、乙方应当在有较大危险因素的</w:t>
      </w:r>
      <w:r>
        <w:rPr>
          <w:rFonts w:hint="eastAsia" w:ascii="宋体" w:hAnsi="宋体" w:cs="仿宋_GB2312"/>
          <w:szCs w:val="21"/>
        </w:rPr>
        <w:t>施工</w:t>
      </w:r>
      <w:r>
        <w:rPr>
          <w:rFonts w:ascii="宋体" w:hAnsi="宋体" w:cs="仿宋_GB2312"/>
          <w:szCs w:val="21"/>
        </w:rPr>
        <w:t>场所和有关设施、设备上，设置明显的安全警示标志。</w:t>
      </w:r>
      <w:r>
        <w:rPr>
          <w:rFonts w:hint="eastAsia" w:ascii="宋体" w:hAnsi="宋体" w:cs="仿宋_GB2312"/>
          <w:szCs w:val="21"/>
        </w:rPr>
        <w:t>乙方应当</w:t>
      </w:r>
      <w:r>
        <w:rPr>
          <w:rFonts w:ascii="宋体" w:hAnsi="宋体" w:cs="仿宋_GB2312"/>
          <w:szCs w:val="21"/>
        </w:rPr>
        <w:t>对安全设备进行经常性维护、保养，并定期检测，保证正常运转。维护、保养、检测应当</w:t>
      </w:r>
      <w:r>
        <w:rPr>
          <w:rFonts w:hint="eastAsia" w:ascii="宋体" w:hAnsi="宋体" w:cs="仿宋_GB2312"/>
          <w:szCs w:val="21"/>
        </w:rPr>
        <w:t>做</w:t>
      </w:r>
      <w:r>
        <w:rPr>
          <w:rFonts w:ascii="宋体" w:hAnsi="宋体" w:cs="仿宋_GB2312"/>
          <w:szCs w:val="21"/>
        </w:rPr>
        <w:t>好记录，并由</w:t>
      </w:r>
      <w:r>
        <w:rPr>
          <w:rFonts w:hint="eastAsia" w:ascii="宋体" w:hAnsi="宋体" w:cs="仿宋_GB2312"/>
          <w:szCs w:val="21"/>
        </w:rPr>
        <w:t>乙方安全员或代表</w:t>
      </w:r>
      <w:r>
        <w:rPr>
          <w:rFonts w:ascii="宋体" w:hAnsi="宋体" w:cs="仿宋_GB2312"/>
          <w:szCs w:val="21"/>
        </w:rPr>
        <w:t>签字</w:t>
      </w:r>
      <w:r>
        <w:rPr>
          <w:rFonts w:hint="eastAsia" w:ascii="宋体" w:hAnsi="宋体" w:cs="仿宋_GB2312"/>
          <w:szCs w:val="21"/>
        </w:rPr>
        <w:t>。</w:t>
      </w:r>
    </w:p>
    <w:p>
      <w:pPr>
        <w:snapToGrid w:val="0"/>
        <w:spacing w:line="360" w:lineRule="auto"/>
        <w:ind w:firstLine="420" w:firstLineChars="200"/>
        <w:rPr>
          <w:rFonts w:ascii="宋体" w:hAnsi="宋体" w:cs="仿宋_GB2312"/>
          <w:szCs w:val="21"/>
        </w:rPr>
      </w:pPr>
      <w:r>
        <w:rPr>
          <w:rFonts w:ascii="宋体" w:hAnsi="宋体" w:cs="仿宋_GB2312"/>
          <w:szCs w:val="21"/>
        </w:rPr>
        <w:t>5、乙方应当教育和督促从业人员严格执行本单位的安全生产规章制度和安全操作规程；并向从业人员如实告知作业场所和工作岗位存在的危险因素、防范措施以及事故应急措施。</w:t>
      </w:r>
    </w:p>
    <w:p>
      <w:pPr>
        <w:snapToGrid w:val="0"/>
        <w:spacing w:line="360" w:lineRule="auto"/>
        <w:ind w:firstLine="420" w:firstLineChars="200"/>
        <w:rPr>
          <w:rFonts w:ascii="宋体" w:hAnsi="宋体" w:cs="仿宋_GB2312"/>
          <w:szCs w:val="21"/>
        </w:rPr>
      </w:pPr>
      <w:r>
        <w:rPr>
          <w:rFonts w:ascii="宋体" w:hAnsi="宋体" w:cs="仿宋_GB2312"/>
          <w:szCs w:val="21"/>
        </w:rPr>
        <w:t>6、乙方应严格遵守国家、地方政府有关安全生产及劳动保护的法律法规、标准、规定，贯彻执行甲方的各项安全管理规章制度。</w:t>
      </w:r>
    </w:p>
    <w:p>
      <w:pPr>
        <w:snapToGrid w:val="0"/>
        <w:spacing w:line="360" w:lineRule="auto"/>
        <w:ind w:firstLine="420" w:firstLineChars="200"/>
        <w:rPr>
          <w:rFonts w:ascii="宋体" w:hAnsi="宋体" w:cs="仿宋_GB2312"/>
          <w:szCs w:val="21"/>
        </w:rPr>
      </w:pPr>
      <w:r>
        <w:rPr>
          <w:rFonts w:ascii="宋体" w:hAnsi="宋体" w:cs="仿宋_GB2312"/>
          <w:szCs w:val="21"/>
        </w:rPr>
        <w:t>7、乙方依法参加工伤保险，为从业人员缴纳保险费</w:t>
      </w:r>
      <w:r>
        <w:rPr>
          <w:rFonts w:hint="eastAsia" w:ascii="宋体" w:hAnsi="宋体" w:cs="仿宋_GB2312"/>
          <w:szCs w:val="21"/>
        </w:rPr>
        <w:t>，并应当为从事危险作业的人员办理意外伤害保险</w:t>
      </w:r>
      <w:r>
        <w:rPr>
          <w:rFonts w:ascii="宋体" w:hAnsi="宋体" w:cs="仿宋_GB2312"/>
          <w:szCs w:val="21"/>
        </w:rPr>
        <w:t>。</w:t>
      </w:r>
    </w:p>
    <w:p>
      <w:pPr>
        <w:snapToGrid w:val="0"/>
        <w:spacing w:line="360" w:lineRule="auto"/>
        <w:ind w:firstLine="420" w:firstLineChars="200"/>
        <w:rPr>
          <w:rFonts w:ascii="宋体" w:hAnsi="宋体" w:cs="仿宋_GB2312"/>
          <w:szCs w:val="21"/>
        </w:rPr>
      </w:pPr>
      <w:r>
        <w:rPr>
          <w:rFonts w:ascii="宋体" w:hAnsi="宋体" w:cs="仿宋_GB2312"/>
          <w:szCs w:val="21"/>
        </w:rPr>
        <w:t>8、乙方应当服从甲方</w:t>
      </w:r>
      <w:r>
        <w:rPr>
          <w:rFonts w:hint="eastAsia" w:ascii="宋体" w:hAnsi="宋体" w:cs="仿宋_GB2312"/>
          <w:szCs w:val="21"/>
        </w:rPr>
        <w:t>和丙方</w:t>
      </w:r>
      <w:r>
        <w:rPr>
          <w:rFonts w:ascii="宋体" w:hAnsi="宋体" w:cs="仿宋_GB2312"/>
          <w:szCs w:val="21"/>
        </w:rPr>
        <w:t>的安全管理，保证施工区域的现场文明安全管理达标，现场临时用电、机器设备、安全防护齐全、完好。接受和配合甲方</w:t>
      </w:r>
      <w:r>
        <w:rPr>
          <w:rFonts w:hint="eastAsia" w:ascii="宋体" w:hAnsi="宋体" w:cs="仿宋_GB2312"/>
          <w:szCs w:val="21"/>
        </w:rPr>
        <w:t>和丙方</w:t>
      </w:r>
      <w:r>
        <w:rPr>
          <w:rFonts w:ascii="宋体" w:hAnsi="宋体" w:cs="仿宋_GB2312"/>
          <w:szCs w:val="21"/>
        </w:rPr>
        <w:t>的安全监督检查，乙方现场的所有安全装置、防护设施必须依据经甲方</w:t>
      </w:r>
      <w:r>
        <w:rPr>
          <w:rFonts w:hint="eastAsia" w:ascii="宋体" w:hAnsi="宋体" w:cs="仿宋_GB2312"/>
          <w:szCs w:val="21"/>
        </w:rPr>
        <w:t>和丙方</w:t>
      </w:r>
      <w:r>
        <w:rPr>
          <w:rFonts w:ascii="宋体" w:hAnsi="宋体" w:cs="仿宋_GB2312"/>
          <w:szCs w:val="21"/>
        </w:rPr>
        <w:t>审批后的安全技术施工方案进行搭设、安装，乙方必须无条件保证安全防护设施使用的搭设材料的质量，在用于安全防护的物资进场前将有关物资的材质证明报甲方</w:t>
      </w:r>
      <w:r>
        <w:rPr>
          <w:rFonts w:hint="eastAsia" w:ascii="宋体" w:hAnsi="宋体" w:cs="仿宋_GB2312"/>
          <w:szCs w:val="21"/>
        </w:rPr>
        <w:t>和丙方</w:t>
      </w:r>
      <w:r>
        <w:rPr>
          <w:rFonts w:ascii="宋体" w:hAnsi="宋体" w:cs="仿宋_GB2312"/>
          <w:szCs w:val="21"/>
        </w:rPr>
        <w:t>，经甲方确认后方可使用。</w:t>
      </w:r>
    </w:p>
    <w:p>
      <w:pPr>
        <w:snapToGrid w:val="0"/>
        <w:spacing w:line="360" w:lineRule="auto"/>
        <w:ind w:firstLine="420" w:firstLineChars="200"/>
        <w:rPr>
          <w:rFonts w:ascii="宋体" w:hAnsi="宋体" w:cs="仿宋_GB2312"/>
          <w:szCs w:val="21"/>
        </w:rPr>
      </w:pPr>
      <w:r>
        <w:rPr>
          <w:rFonts w:ascii="宋体" w:hAnsi="宋体" w:cs="仿宋_GB2312"/>
          <w:szCs w:val="21"/>
        </w:rPr>
        <w:t>9、乙方携带进场的机器设备、机具必须是合格产品，乙方须对携带进场的机器设备、机具安全负责管理、维护及检查，对甲方</w:t>
      </w:r>
      <w:r>
        <w:rPr>
          <w:rFonts w:hint="eastAsia" w:ascii="宋体" w:hAnsi="宋体" w:cs="仿宋_GB2312"/>
          <w:szCs w:val="21"/>
        </w:rPr>
        <w:t>或丙方</w:t>
      </w:r>
      <w:r>
        <w:rPr>
          <w:rFonts w:ascii="宋体" w:hAnsi="宋体" w:cs="仿宋_GB2312"/>
          <w:szCs w:val="21"/>
        </w:rPr>
        <w:t>和自查发现的安全隐患落实整改措施。对由于乙方使用不合格机器设备、机具造成事故的，由乙方自行承担责任。</w:t>
      </w:r>
    </w:p>
    <w:p>
      <w:pPr>
        <w:snapToGrid w:val="0"/>
        <w:spacing w:line="360" w:lineRule="auto"/>
        <w:ind w:firstLine="420" w:firstLineChars="200"/>
        <w:rPr>
          <w:rFonts w:ascii="宋体" w:hAnsi="宋体" w:cs="仿宋_GB2312"/>
          <w:szCs w:val="21"/>
        </w:rPr>
      </w:pPr>
      <w:r>
        <w:rPr>
          <w:rFonts w:ascii="宋体" w:hAnsi="宋体" w:cs="仿宋_GB2312"/>
          <w:szCs w:val="21"/>
        </w:rPr>
        <w:t>10、甲方</w:t>
      </w:r>
      <w:r>
        <w:rPr>
          <w:rFonts w:hint="eastAsia" w:ascii="宋体" w:hAnsi="宋体" w:cs="仿宋_GB2312"/>
          <w:szCs w:val="21"/>
        </w:rPr>
        <w:t>或丙方</w:t>
      </w:r>
      <w:r>
        <w:rPr>
          <w:rFonts w:ascii="宋体" w:hAnsi="宋体" w:cs="仿宋_GB2312"/>
          <w:szCs w:val="21"/>
        </w:rPr>
        <w:t>有权对整个施工现场的安全管理工作进行协调和监督管理。指导、监督、检查乙方的执业健康安全管理工作，对乙方施工中的违章指挥、违章作业</w:t>
      </w:r>
      <w:r>
        <w:rPr>
          <w:rFonts w:hint="eastAsia" w:ascii="宋体" w:hAnsi="宋体" w:cs="仿宋_GB2312"/>
          <w:szCs w:val="21"/>
        </w:rPr>
        <w:t>和安全隐患提出整改意见，督促、检查乙方的隐患整改落实情况。</w:t>
      </w:r>
    </w:p>
    <w:p>
      <w:pPr>
        <w:snapToGrid w:val="0"/>
        <w:spacing w:line="360" w:lineRule="auto"/>
        <w:ind w:firstLine="420" w:firstLineChars="200"/>
        <w:rPr>
          <w:rFonts w:ascii="宋体" w:hAnsi="宋体" w:cs="仿宋_GB2312"/>
          <w:szCs w:val="21"/>
        </w:rPr>
      </w:pPr>
      <w:r>
        <w:rPr>
          <w:rFonts w:ascii="宋体" w:hAnsi="宋体" w:cs="仿宋_GB2312"/>
          <w:szCs w:val="21"/>
        </w:rPr>
        <w:t>11、乙方在施工过程中违反有关安全管理规定、有违章现象发生、安全问题整改不到位或拒不接受甲方的正常安全管理的，依据有关法律法规规定进行处理。乙方施工中存在重大隐患或险情时，甲方</w:t>
      </w:r>
      <w:r>
        <w:rPr>
          <w:rFonts w:hint="eastAsia" w:ascii="宋体" w:hAnsi="宋体" w:cs="仿宋_GB2312"/>
          <w:szCs w:val="21"/>
        </w:rPr>
        <w:t>或丙方</w:t>
      </w:r>
      <w:r>
        <w:rPr>
          <w:rFonts w:ascii="宋体" w:hAnsi="宋体" w:cs="仿宋_GB2312"/>
          <w:szCs w:val="21"/>
        </w:rPr>
        <w:t>有权要求乙方立即整改直至隐患消除，若乙方整改后仍达不到甲方</w:t>
      </w:r>
      <w:r>
        <w:rPr>
          <w:rFonts w:hint="eastAsia" w:ascii="宋体" w:hAnsi="宋体" w:cs="仿宋_GB2312"/>
          <w:szCs w:val="21"/>
        </w:rPr>
        <w:t>或丙方</w:t>
      </w:r>
      <w:r>
        <w:rPr>
          <w:rFonts w:ascii="宋体" w:hAnsi="宋体" w:cs="仿宋_GB2312"/>
          <w:szCs w:val="21"/>
        </w:rPr>
        <w:t>要求的，甲方</w:t>
      </w:r>
      <w:r>
        <w:rPr>
          <w:rFonts w:hint="eastAsia" w:ascii="宋体" w:hAnsi="宋体" w:cs="仿宋_GB2312"/>
          <w:szCs w:val="21"/>
        </w:rPr>
        <w:t>或丙方</w:t>
      </w:r>
      <w:r>
        <w:rPr>
          <w:rFonts w:ascii="宋体" w:hAnsi="宋体" w:cs="仿宋_GB2312"/>
          <w:szCs w:val="21"/>
        </w:rPr>
        <w:t>有权要求与乙方</w:t>
      </w:r>
      <w:r>
        <w:rPr>
          <w:rFonts w:hint="eastAsia" w:ascii="宋体" w:hAnsi="宋体" w:cs="仿宋_GB2312"/>
          <w:szCs w:val="21"/>
        </w:rPr>
        <w:t>单方</w:t>
      </w:r>
      <w:r>
        <w:rPr>
          <w:rFonts w:ascii="宋体" w:hAnsi="宋体" w:cs="仿宋_GB2312"/>
          <w:szCs w:val="21"/>
        </w:rPr>
        <w:t>解除合同，并要求乙方清退出场。</w:t>
      </w:r>
    </w:p>
    <w:p>
      <w:pPr>
        <w:snapToGrid w:val="0"/>
        <w:spacing w:line="360" w:lineRule="auto"/>
        <w:ind w:firstLine="420" w:firstLineChars="200"/>
        <w:rPr>
          <w:rFonts w:ascii="宋体" w:hAnsi="宋体" w:cs="仿宋_GB2312"/>
          <w:szCs w:val="21"/>
        </w:rPr>
      </w:pPr>
      <w:r>
        <w:rPr>
          <w:rFonts w:ascii="宋体" w:hAnsi="宋体" w:cs="仿宋_GB2312"/>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w:t>
      </w:r>
      <w:r>
        <w:rPr>
          <w:rFonts w:hint="eastAsia" w:ascii="宋体" w:hAnsi="宋体" w:cs="仿宋_GB2312"/>
          <w:szCs w:val="21"/>
        </w:rPr>
        <w:t>或丙方</w:t>
      </w:r>
      <w:r>
        <w:rPr>
          <w:rFonts w:ascii="宋体" w:hAnsi="宋体" w:cs="仿宋_GB2312"/>
          <w:szCs w:val="21"/>
        </w:rPr>
        <w:t>所属设备、电器、管线及其他设施等，必须事先征得甲方</w:t>
      </w:r>
      <w:r>
        <w:rPr>
          <w:rFonts w:hint="eastAsia" w:ascii="宋体" w:hAnsi="宋体" w:cs="仿宋_GB2312"/>
          <w:szCs w:val="21"/>
        </w:rPr>
        <w:t>或丙方</w:t>
      </w:r>
      <w:r>
        <w:rPr>
          <w:rFonts w:ascii="宋体" w:hAnsi="宋体" w:cs="仿宋_GB2312"/>
          <w:szCs w:val="21"/>
        </w:rPr>
        <w:t>代表的同意，并采取安全防护措施。</w:t>
      </w:r>
    </w:p>
    <w:p>
      <w:pPr>
        <w:snapToGrid w:val="0"/>
        <w:spacing w:line="360" w:lineRule="auto"/>
        <w:ind w:firstLine="420" w:firstLineChars="200"/>
        <w:rPr>
          <w:rFonts w:ascii="宋体" w:hAnsi="宋体" w:cs="仿宋_GB2312"/>
          <w:szCs w:val="21"/>
        </w:rPr>
      </w:pPr>
      <w:r>
        <w:rPr>
          <w:rFonts w:hint="eastAsia" w:ascii="宋体" w:hAnsi="宋体" w:cs="仿宋_GB2312"/>
          <w:szCs w:val="21"/>
        </w:rPr>
        <w:t>13、在施工过程中，需要进行动土、动火、登高、吊装、断路、进入限制性空间等危险性较高的作业时，乙方的施工负责人、专职或兼职安全员必须现场确认，确保安全后，方可开始施工。</w:t>
      </w:r>
    </w:p>
    <w:p>
      <w:pPr>
        <w:snapToGrid w:val="0"/>
        <w:spacing w:line="360" w:lineRule="auto"/>
        <w:ind w:firstLine="420" w:firstLineChars="200"/>
        <w:rPr>
          <w:rFonts w:ascii="宋体" w:hAnsi="宋体" w:cs="仿宋_GB2312"/>
          <w:szCs w:val="21"/>
        </w:rPr>
      </w:pPr>
      <w:r>
        <w:rPr>
          <w:rFonts w:hint="eastAsia" w:ascii="宋体" w:hAnsi="宋体" w:cs="仿宋_GB2312"/>
          <w:szCs w:val="21"/>
        </w:rPr>
        <w:t>14、因乙方原因，造成乙方损失，由乙方自负，给甲方或丙方造成财产损失和人员伤害，乙方要负全部责任，并全额赔偿甲方或丙方。</w:t>
      </w:r>
    </w:p>
    <w:p>
      <w:pPr>
        <w:snapToGrid w:val="0"/>
        <w:spacing w:line="360" w:lineRule="auto"/>
        <w:ind w:firstLine="420" w:firstLineChars="200"/>
        <w:rPr>
          <w:rFonts w:ascii="宋体" w:hAnsi="宋体" w:cs="仿宋_GB2312"/>
          <w:szCs w:val="21"/>
        </w:rPr>
      </w:pPr>
      <w:r>
        <w:rPr>
          <w:rFonts w:hint="eastAsia" w:ascii="宋体" w:hAnsi="宋体" w:cs="仿宋_GB2312"/>
          <w:szCs w:val="21"/>
        </w:rPr>
        <w:t>15、非因甲方或丙方原因，造成乙方损失的，甲方或丙方不承担任何责任，由乙方自行承担全部责任。</w:t>
      </w:r>
    </w:p>
    <w:p>
      <w:pPr>
        <w:snapToGrid w:val="0"/>
        <w:spacing w:line="360" w:lineRule="auto"/>
        <w:ind w:firstLine="420" w:firstLineChars="200"/>
        <w:rPr>
          <w:rFonts w:ascii="宋体" w:hAnsi="宋体" w:cs="仿宋_GB2312"/>
          <w:szCs w:val="21"/>
        </w:rPr>
      </w:pPr>
      <w:r>
        <w:rPr>
          <w:rFonts w:hint="eastAsia" w:ascii="宋体" w:hAnsi="宋体" w:cs="仿宋_GB2312"/>
          <w:szCs w:val="21"/>
        </w:rPr>
        <w:t>16、乙方应严格遵守法律法规以及甲方或丙方的安全管理要求，并接受甲方或丙方的安全生产工作协调和监督，积极消除安全隐患。安全管理的基本要求包括但不限于以下条款：</w:t>
      </w:r>
    </w:p>
    <w:p>
      <w:pPr>
        <w:snapToGrid w:val="0"/>
        <w:spacing w:line="360" w:lineRule="auto"/>
        <w:ind w:firstLine="420" w:firstLineChars="200"/>
        <w:rPr>
          <w:rFonts w:ascii="宋体" w:hAnsi="宋体" w:cs="仿宋_GB2312"/>
          <w:szCs w:val="21"/>
        </w:rPr>
      </w:pPr>
      <w:r>
        <w:rPr>
          <w:rFonts w:hint="eastAsia" w:ascii="宋体" w:hAnsi="宋体" w:cs="仿宋_GB2312"/>
          <w:szCs w:val="21"/>
        </w:rPr>
        <w:t>①禁火区内严禁吸烟、动火。有火灾危险的作业区域，乙方必须配置足够的灭火设施。</w:t>
      </w:r>
    </w:p>
    <w:p>
      <w:pPr>
        <w:snapToGrid w:val="0"/>
        <w:spacing w:line="360" w:lineRule="auto"/>
        <w:ind w:firstLine="420" w:firstLineChars="200"/>
        <w:rPr>
          <w:rFonts w:ascii="宋体" w:hAnsi="宋体" w:cs="仿宋_GB2312"/>
          <w:szCs w:val="21"/>
        </w:rPr>
      </w:pPr>
      <w:r>
        <w:rPr>
          <w:rFonts w:hint="eastAsia" w:ascii="宋体" w:hAnsi="宋体" w:cs="仿宋_GB2312"/>
          <w:szCs w:val="21"/>
        </w:rPr>
        <w:t>②焊接、气割作业时两瓶距离必须达到5M及以上，气瓶距可能产生火花的电器、设备和其它火源的间距必须达到10M及以上。</w:t>
      </w:r>
    </w:p>
    <w:p>
      <w:pPr>
        <w:snapToGrid w:val="0"/>
        <w:spacing w:line="360" w:lineRule="auto"/>
        <w:ind w:firstLine="420" w:firstLineChars="200"/>
        <w:rPr>
          <w:rFonts w:ascii="宋体" w:hAnsi="宋体" w:cs="仿宋_GB2312"/>
          <w:szCs w:val="21"/>
        </w:rPr>
      </w:pPr>
      <w:r>
        <w:rPr>
          <w:rFonts w:hint="eastAsia" w:ascii="宋体" w:hAnsi="宋体" w:cs="仿宋_GB2312"/>
          <w:szCs w:val="21"/>
        </w:rPr>
        <w:t>③严禁在厂内道路、消防通道内搭建临时建筑或堆放物资。</w:t>
      </w:r>
    </w:p>
    <w:p>
      <w:pPr>
        <w:snapToGrid w:val="0"/>
        <w:spacing w:line="360" w:lineRule="auto"/>
        <w:ind w:firstLine="420" w:firstLineChars="200"/>
        <w:rPr>
          <w:rFonts w:ascii="宋体" w:hAnsi="宋体" w:cs="仿宋_GB2312"/>
          <w:szCs w:val="21"/>
        </w:rPr>
      </w:pPr>
      <w:r>
        <w:rPr>
          <w:rFonts w:hint="eastAsia" w:ascii="宋体" w:hAnsi="宋体" w:cs="仿宋_GB2312"/>
          <w:szCs w:val="21"/>
        </w:rPr>
        <w:t>④施工场所的电动工具、电焊机等须有漏电保护器和相应的安全防护装置。</w:t>
      </w:r>
    </w:p>
    <w:p>
      <w:pPr>
        <w:snapToGrid w:val="0"/>
        <w:spacing w:line="360" w:lineRule="auto"/>
        <w:ind w:firstLine="420" w:firstLineChars="200"/>
        <w:rPr>
          <w:rFonts w:ascii="宋体" w:hAnsi="宋体" w:cs="仿宋_GB2312"/>
          <w:szCs w:val="21"/>
        </w:rPr>
      </w:pPr>
      <w:r>
        <w:rPr>
          <w:rFonts w:hint="eastAsia" w:ascii="宋体" w:hAnsi="宋体" w:cs="仿宋_GB2312"/>
          <w:szCs w:val="21"/>
        </w:rPr>
        <w:t>⑤施工现场及居住室、办公室内的用电设施必须符合要求，严禁电线乱接、乱拉，刀闸和开关无盖，在电器设施上堆放物品。</w:t>
      </w:r>
    </w:p>
    <w:p>
      <w:pPr>
        <w:snapToGrid w:val="0"/>
        <w:spacing w:line="360" w:lineRule="auto"/>
        <w:ind w:firstLine="420" w:firstLineChars="200"/>
        <w:rPr>
          <w:rFonts w:ascii="宋体" w:hAnsi="宋体" w:cs="仿宋_GB2312"/>
          <w:szCs w:val="21"/>
        </w:rPr>
      </w:pPr>
      <w:r>
        <w:rPr>
          <w:rFonts w:hint="eastAsia" w:ascii="宋体" w:hAnsi="宋体" w:cs="仿宋_GB2312"/>
          <w:szCs w:val="21"/>
        </w:rPr>
        <w:t>⑥防雷、防静电设施及用电设施要有良好接地。</w:t>
      </w:r>
    </w:p>
    <w:p>
      <w:pPr>
        <w:snapToGrid w:val="0"/>
        <w:spacing w:line="360" w:lineRule="auto"/>
        <w:ind w:firstLine="420" w:firstLineChars="200"/>
        <w:rPr>
          <w:rFonts w:ascii="宋体" w:hAnsi="宋体" w:cs="仿宋_GB2312"/>
          <w:szCs w:val="21"/>
        </w:rPr>
      </w:pPr>
      <w:r>
        <w:rPr>
          <w:rFonts w:hint="eastAsia" w:ascii="宋体" w:hAnsi="宋体" w:cs="仿宋_GB2312"/>
          <w:szCs w:val="21"/>
        </w:rPr>
        <w:t>⑦施工现场的危险区域，如临边、深坑、土方堆填区等，必须设置围栏和危险标志，夜间要设信号灯。</w:t>
      </w:r>
    </w:p>
    <w:p>
      <w:pPr>
        <w:snapToGrid w:val="0"/>
        <w:spacing w:line="360" w:lineRule="auto"/>
        <w:ind w:firstLine="420" w:firstLineChars="200"/>
        <w:rPr>
          <w:rFonts w:ascii="宋体" w:hAnsi="宋体" w:cs="仿宋_GB2312"/>
          <w:szCs w:val="21"/>
        </w:rPr>
      </w:pPr>
      <w:r>
        <w:rPr>
          <w:rFonts w:hint="eastAsia" w:ascii="宋体" w:hAnsi="宋体" w:cs="仿宋_GB2312"/>
          <w:szCs w:val="21"/>
        </w:rPr>
        <w:t>⑧乙方应当</w:t>
      </w:r>
      <w:r>
        <w:rPr>
          <w:rFonts w:ascii="宋体" w:hAnsi="宋体" w:cs="仿宋_GB2312"/>
          <w:szCs w:val="21"/>
        </w:rPr>
        <w:t>为从业人员提供符合国家标准或者行业标准的劳动防护用品，并监督、教育从业人员按照使用规则佩戴、使用</w:t>
      </w:r>
      <w:r>
        <w:rPr>
          <w:rFonts w:hint="eastAsia" w:ascii="宋体" w:hAnsi="宋体" w:cs="仿宋_GB2312"/>
          <w:szCs w:val="21"/>
        </w:rPr>
        <w:t>，防止工伤事故的发生。乙方发生各类工伤事故，严禁隐瞒不报。发生重伤及重伤以上事故，应及时组织抢救、保护好现场，并立即报告丙方主管领导。</w:t>
      </w:r>
    </w:p>
    <w:p>
      <w:pPr>
        <w:snapToGrid w:val="0"/>
        <w:spacing w:line="360" w:lineRule="auto"/>
        <w:ind w:firstLine="420" w:firstLineChars="200"/>
        <w:rPr>
          <w:rFonts w:ascii="宋体" w:hAnsi="宋体" w:cs="仿宋_GB2312"/>
          <w:szCs w:val="21"/>
        </w:rPr>
      </w:pPr>
      <w:r>
        <w:rPr>
          <w:rFonts w:hint="eastAsia" w:ascii="宋体" w:hAnsi="宋体" w:cs="仿宋_GB2312"/>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丙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snapToGrid w:val="0"/>
        <w:spacing w:line="360" w:lineRule="auto"/>
        <w:ind w:firstLine="420" w:firstLineChars="200"/>
        <w:rPr>
          <w:rFonts w:ascii="宋体" w:hAnsi="宋体" w:cs="仿宋_GB2312"/>
          <w:szCs w:val="21"/>
        </w:rPr>
      </w:pPr>
      <w:r>
        <w:rPr>
          <w:rFonts w:hint="eastAsia" w:ascii="宋体" w:hAnsi="宋体" w:cs="仿宋_GB2312"/>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napToGrid w:val="0"/>
        <w:spacing w:line="360" w:lineRule="auto"/>
        <w:ind w:firstLine="420" w:firstLineChars="200"/>
        <w:rPr>
          <w:rFonts w:ascii="宋体" w:hAnsi="宋体" w:cs="仿宋_GB2312"/>
          <w:szCs w:val="21"/>
        </w:rPr>
      </w:pPr>
      <w:r>
        <w:rPr>
          <w:rFonts w:hint="eastAsia" w:ascii="宋体" w:hAnsi="宋体" w:cs="仿宋_GB2312"/>
          <w:szCs w:val="21"/>
        </w:rPr>
        <w:t>17、乙方必须接受甲方或丙方的检查与监督，并应主动配合，做好安全工作，凡有违反上述协议的即视为乙方违约，甲方有权视情况从工程结算款(含税)/服务价款(含税)中扣除（1000-2000）元/次作为违约金。</w:t>
      </w:r>
    </w:p>
    <w:p>
      <w:pPr>
        <w:spacing w:line="360" w:lineRule="auto"/>
        <w:ind w:firstLine="420" w:firstLineChars="200"/>
        <w:rPr>
          <w:rFonts w:ascii="宋体" w:hAnsi="宋体" w:cs="仿宋_GB2312"/>
          <w:szCs w:val="21"/>
        </w:rPr>
      </w:pPr>
      <w:r>
        <w:rPr>
          <w:rFonts w:hint="eastAsia" w:ascii="宋体" w:hAnsi="宋体" w:cs="仿宋_GB2312"/>
          <w:szCs w:val="21"/>
        </w:rPr>
        <w:t>18、如乙方因违反本条款规定，造成甲方或丙方损失或被第三方追偿的，甲方或丙方有权向乙方追偿，甲方可直接从应付款项中扣除。同时，乙方应按照</w:t>
      </w:r>
      <w:r>
        <w:rPr>
          <w:rFonts w:hint="eastAsia" w:ascii="宋体" w:hAnsi="宋体"/>
          <w:szCs w:val="21"/>
        </w:rPr>
        <w:t>合同总价（含税）</w:t>
      </w:r>
      <w:r>
        <w:rPr>
          <w:rFonts w:hint="eastAsia" w:ascii="宋体" w:hAnsi="宋体" w:cs="仿宋_GB2312"/>
          <w:szCs w:val="21"/>
        </w:rPr>
        <w:t>的30%向丙方支付违约金，如违约金不足以弥补损失的，甲方或丙方可要求乙方继续赔偿损失，并承担由此引起的一切法律责任和费用，包括但不限于甲方或丙方为处理纠纷所产生的诉讼仲裁费、鉴定费、担保费、赔偿金、律师费、行政部门的罚款等。乙方仍必须继续履行或采取补救措施，并不得因承担了违约责任，而减少改进及免除继续承担责任的义务。</w:t>
      </w:r>
    </w:p>
    <w:p>
      <w:pPr>
        <w:snapToGrid w:val="0"/>
        <w:spacing w:line="360" w:lineRule="auto"/>
        <w:ind w:firstLine="420" w:firstLineChars="200"/>
        <w:rPr>
          <w:rFonts w:ascii="宋体" w:hAnsi="宋体" w:cs="仿宋_GB2312"/>
          <w:szCs w:val="21"/>
        </w:rPr>
      </w:pPr>
      <w:r>
        <w:rPr>
          <w:rFonts w:hint="eastAsia" w:ascii="宋体" w:hAnsi="宋体" w:cs="仿宋_GB2312"/>
          <w:szCs w:val="21"/>
        </w:rPr>
        <w:t>19、乙方对施工过程中潜在的安全风险不明确的，不可盲目施工，否则，造成的不良后果由乙方独自承担。</w:t>
      </w:r>
    </w:p>
    <w:p>
      <w:pPr>
        <w:snapToGrid w:val="0"/>
        <w:spacing w:line="360" w:lineRule="auto"/>
        <w:ind w:firstLine="420" w:firstLineChars="200"/>
        <w:rPr>
          <w:rFonts w:ascii="宋体" w:hAnsi="宋体" w:cs="仿宋_GB2312"/>
          <w:szCs w:val="21"/>
        </w:rPr>
      </w:pPr>
      <w:r>
        <w:rPr>
          <w:rFonts w:hint="eastAsia" w:ascii="宋体" w:hAnsi="宋体" w:cs="仿宋_GB2312"/>
          <w:szCs w:val="21"/>
        </w:rPr>
        <w:t>20、本协议自三方法定代表人或负责人签字并盖章后生效。</w:t>
      </w:r>
    </w:p>
    <w:p>
      <w:pPr>
        <w:snapToGrid w:val="0"/>
        <w:spacing w:line="360" w:lineRule="auto"/>
        <w:ind w:firstLine="422" w:firstLineChars="200"/>
        <w:rPr>
          <w:rFonts w:ascii="宋体" w:hAnsi="宋体" w:cs="仿宋_GB2312"/>
          <w:b/>
          <w:szCs w:val="21"/>
        </w:rPr>
      </w:pPr>
    </w:p>
    <w:p>
      <w:pPr>
        <w:snapToGrid w:val="0"/>
        <w:spacing w:line="360" w:lineRule="auto"/>
        <w:ind w:firstLine="422" w:firstLineChars="200"/>
        <w:rPr>
          <w:rFonts w:ascii="宋体" w:hAnsi="宋体" w:cs="仿宋_GB2312"/>
          <w:b/>
          <w:szCs w:val="21"/>
        </w:rPr>
      </w:pPr>
      <w:r>
        <w:rPr>
          <w:rFonts w:hint="eastAsia" w:ascii="宋体" w:hAnsi="宋体" w:cs="仿宋_GB2312"/>
          <w:b/>
          <w:szCs w:val="21"/>
        </w:rPr>
        <w:t>乙方声明：</w:t>
      </w:r>
    </w:p>
    <w:p>
      <w:pPr>
        <w:snapToGrid w:val="0"/>
        <w:spacing w:line="360" w:lineRule="auto"/>
        <w:ind w:firstLine="422" w:firstLineChars="200"/>
        <w:rPr>
          <w:rFonts w:ascii="宋体" w:hAnsi="宋体" w:cs="仿宋_GB2312"/>
          <w:b/>
          <w:szCs w:val="21"/>
        </w:rPr>
      </w:pPr>
      <w:r>
        <w:rPr>
          <w:rFonts w:hint="eastAsia" w:ascii="宋体" w:hAnsi="宋体" w:cs="仿宋_GB2312"/>
          <w:b/>
          <w:szCs w:val="21"/>
        </w:rPr>
        <w:t xml:space="preserve">乙方已认真阅读协议内容，对协议条款、 </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项目</w:t>
      </w:r>
      <w:r>
        <w:rPr>
          <w:rFonts w:hint="eastAsia" w:ascii="宋体" w:hAnsi="宋体" w:cs="仿宋_GB2312"/>
          <w:b/>
          <w:szCs w:val="21"/>
        </w:rPr>
        <w:t>的安全管理要求、安全风险充分理解，并自愿承担因违约造成的一切后果。</w:t>
      </w:r>
    </w:p>
    <w:p>
      <w:pPr>
        <w:snapToGrid w:val="0"/>
        <w:spacing w:line="360" w:lineRule="auto"/>
        <w:ind w:firstLine="420" w:firstLineChars="200"/>
        <w:rPr>
          <w:rFonts w:ascii="宋体" w:hAnsi="宋体" w:cs="仿宋_GB2312"/>
          <w:szCs w:val="21"/>
        </w:rPr>
      </w:pPr>
    </w:p>
    <w:p>
      <w:pPr>
        <w:snapToGrid w:val="0"/>
        <w:spacing w:line="360" w:lineRule="auto"/>
        <w:ind w:firstLine="420" w:firstLineChars="200"/>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甲方（盖章）：                      乙方（盖章）： </w:t>
      </w:r>
    </w:p>
    <w:p>
      <w:pPr>
        <w:snapToGrid w:val="0"/>
        <w:spacing w:line="360" w:lineRule="auto"/>
        <w:ind w:firstLine="420" w:firstLineChars="200"/>
        <w:rPr>
          <w:rFonts w:ascii="宋体" w:hAnsi="宋体" w:cs="仿宋_GB2312"/>
          <w:szCs w:val="21"/>
        </w:rPr>
      </w:pPr>
      <w:r>
        <w:rPr>
          <w:rFonts w:hint="eastAsia" w:ascii="宋体" w:hAnsi="宋体" w:cs="仿宋_GB2312"/>
          <w:szCs w:val="21"/>
        </w:rPr>
        <w:t>法定代表人或负责人：               法定代表人或负责人：</w:t>
      </w:r>
    </w:p>
    <w:p>
      <w:pPr>
        <w:pStyle w:val="5"/>
      </w:pP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丙方（盖章）： </w:t>
      </w:r>
    </w:p>
    <w:p>
      <w:pPr>
        <w:snapToGrid w:val="0"/>
        <w:spacing w:line="360" w:lineRule="auto"/>
        <w:ind w:firstLine="420" w:firstLineChars="200"/>
        <w:rPr>
          <w:rFonts w:ascii="宋体" w:hAnsi="宋体" w:cs="仿宋_GB2312"/>
          <w:szCs w:val="21"/>
        </w:rPr>
      </w:pPr>
      <w:r>
        <w:rPr>
          <w:rFonts w:hint="eastAsia" w:ascii="宋体" w:hAnsi="宋体" w:cs="仿宋_GB2312"/>
          <w:szCs w:val="21"/>
        </w:rPr>
        <w:t>法定代表人或负责人：</w:t>
      </w:r>
    </w:p>
    <w:p>
      <w:pPr>
        <w:snapToGrid w:val="0"/>
        <w:spacing w:line="360" w:lineRule="auto"/>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签订日期： </w:t>
      </w:r>
      <w:r>
        <w:rPr>
          <w:rFonts w:ascii="宋体" w:hAnsi="宋体" w:cs="仿宋_GB2312"/>
          <w:szCs w:val="21"/>
        </w:rPr>
        <w:t xml:space="preserve">  </w:t>
      </w:r>
      <w:r>
        <w:rPr>
          <w:rFonts w:hint="eastAsia" w:ascii="宋体" w:hAnsi="宋体" w:cs="仿宋_GB2312"/>
          <w:szCs w:val="21"/>
        </w:rPr>
        <w:t>年</w:t>
      </w:r>
      <w:r>
        <w:rPr>
          <w:rFonts w:ascii="宋体" w:hAnsi="宋体" w:cs="仿宋_GB2312"/>
          <w:szCs w:val="21"/>
        </w:rPr>
        <w:t xml:space="preserve">   </w:t>
      </w:r>
      <w:r>
        <w:rPr>
          <w:rFonts w:hint="eastAsia" w:ascii="宋体" w:hAnsi="宋体" w:cs="仿宋_GB2312"/>
          <w:szCs w:val="21"/>
        </w:rPr>
        <w:t>月</w:t>
      </w:r>
      <w:r>
        <w:rPr>
          <w:rFonts w:ascii="宋体" w:hAnsi="宋体" w:cs="仿宋_GB2312"/>
          <w:szCs w:val="21"/>
        </w:rPr>
        <w:t xml:space="preserve">   </w:t>
      </w:r>
      <w:r>
        <w:rPr>
          <w:rFonts w:hint="eastAsia" w:ascii="宋体" w:hAnsi="宋体" w:cs="仿宋_GB2312"/>
          <w:szCs w:val="21"/>
        </w:rPr>
        <w:t>日</w:t>
      </w:r>
    </w:p>
    <w:p>
      <w:pPr>
        <w:snapToGrid w:val="0"/>
        <w:spacing w:line="360" w:lineRule="auto"/>
        <w:ind w:firstLine="420" w:firstLineChars="200"/>
        <w:rPr>
          <w:rFonts w:ascii="宋体" w:hAnsi="宋体" w:cs="仿宋_GB2312"/>
          <w:szCs w:val="21"/>
        </w:rPr>
      </w:pPr>
      <w:r>
        <w:rPr>
          <w:rFonts w:hint="eastAsia" w:ascii="宋体" w:hAnsi="宋体" w:cs="仿宋_GB2312"/>
          <w:szCs w:val="21"/>
        </w:rPr>
        <w:t>签订地点：广东省东莞市</w:t>
      </w:r>
    </w:p>
    <w:p>
      <w:pPr>
        <w:pStyle w:val="4"/>
        <w:pageBreakBefore/>
        <w:rPr>
          <w:rFonts w:ascii="黑体" w:hAnsi="黑体" w:cs="黑体"/>
          <w:sz w:val="28"/>
          <w:szCs w:val="28"/>
        </w:rPr>
      </w:pPr>
      <w:bookmarkStart w:id="1042" w:name="_Toc132814856"/>
      <w:bookmarkStart w:id="1043" w:name="_Toc18979"/>
      <w:r>
        <w:rPr>
          <w:rFonts w:hint="eastAsia" w:ascii="黑体" w:hAnsi="黑体" w:cs="黑体"/>
          <w:sz w:val="28"/>
          <w:szCs w:val="28"/>
        </w:rPr>
        <w:t>附件</w:t>
      </w:r>
      <w:r>
        <w:rPr>
          <w:rFonts w:ascii="黑体" w:hAnsi="黑体" w:cs="黑体"/>
          <w:sz w:val="28"/>
          <w:szCs w:val="28"/>
        </w:rPr>
        <w:t>2</w:t>
      </w:r>
      <w:r>
        <w:rPr>
          <w:rFonts w:hint="eastAsia" w:ascii="黑体" w:hAnsi="黑体" w:cs="黑体"/>
          <w:sz w:val="28"/>
          <w:szCs w:val="28"/>
        </w:rPr>
        <w:t xml:space="preserve"> 廉洁协议书格式</w:t>
      </w:r>
      <w:bookmarkEnd w:id="1042"/>
      <w:bookmarkEnd w:id="1043"/>
    </w:p>
    <w:p>
      <w:pPr>
        <w:spacing w:line="640" w:lineRule="exact"/>
        <w:ind w:right="31" w:rightChars="15"/>
        <w:jc w:val="center"/>
        <w:rPr>
          <w:rFonts w:ascii="宋体" w:hAnsi="宋体"/>
          <w:b/>
          <w:sz w:val="28"/>
          <w:szCs w:val="28"/>
        </w:rPr>
      </w:pPr>
      <w:r>
        <w:rPr>
          <w:rFonts w:hint="eastAsia" w:ascii="宋体" w:hAnsi="宋体"/>
          <w:b/>
          <w:sz w:val="28"/>
          <w:szCs w:val="28"/>
        </w:rPr>
        <w:t>廉洁协议书</w:t>
      </w:r>
    </w:p>
    <w:p>
      <w:pPr>
        <w:spacing w:line="640" w:lineRule="exact"/>
        <w:ind w:right="31" w:rightChars="15"/>
        <w:jc w:val="center"/>
        <w:rPr>
          <w:rFonts w:ascii="宋体" w:hAnsi="宋体"/>
          <w:b/>
          <w:sz w:val="44"/>
          <w:szCs w:val="44"/>
        </w:rPr>
      </w:pPr>
    </w:p>
    <w:p>
      <w:pPr>
        <w:snapToGrid w:val="0"/>
        <w:spacing w:line="360" w:lineRule="auto"/>
        <w:rPr>
          <w:rFonts w:ascii="宋体" w:hAnsi="宋体"/>
          <w:szCs w:val="21"/>
        </w:rPr>
      </w:pPr>
      <w:r>
        <w:rPr>
          <w:rFonts w:hint="eastAsia" w:ascii="宋体" w:hAnsi="宋体" w:cs="仿宋_GB2312"/>
          <w:b/>
          <w:bCs/>
          <w:szCs w:val="21"/>
        </w:rPr>
        <w:t>项目名称：</w:t>
      </w:r>
      <w:r>
        <w:rPr>
          <w:rFonts w:hint="eastAsia" w:ascii="宋体" w:hAnsi="宋体" w:cs="仿宋_GB2312"/>
          <w:b/>
          <w:bCs/>
          <w:szCs w:val="21"/>
          <w:u w:val="single"/>
        </w:rPr>
        <w:t xml:space="preserve">                           </w:t>
      </w:r>
      <w:r>
        <w:rPr>
          <w:rFonts w:hint="eastAsia" w:ascii="宋体" w:hAnsi="宋体" w:cs="仿宋_GB2312"/>
          <w:szCs w:val="21"/>
        </w:rPr>
        <w:t>（招标编号：</w:t>
      </w:r>
      <w:r>
        <w:rPr>
          <w:rFonts w:hint="eastAsia" w:ascii="宋体" w:hAnsi="宋体" w:cs="仿宋_GB2312"/>
          <w:szCs w:val="21"/>
          <w:u w:val="single"/>
        </w:rPr>
        <w:t xml:space="preserve">       </w:t>
      </w:r>
      <w:r>
        <w:rPr>
          <w:rFonts w:hint="eastAsia" w:ascii="宋体" w:hAnsi="宋体" w:cs="仿宋_GB2312"/>
          <w:szCs w:val="21"/>
        </w:rPr>
        <w:t>）</w:t>
      </w:r>
    </w:p>
    <w:p>
      <w:pPr>
        <w:snapToGrid w:val="0"/>
        <w:spacing w:line="360" w:lineRule="auto"/>
        <w:rPr>
          <w:rFonts w:ascii="宋体" w:hAnsi="宋体" w:cs="仿宋_GB2312"/>
          <w:b/>
          <w:bCs/>
          <w:szCs w:val="21"/>
        </w:rPr>
      </w:pPr>
      <w:r>
        <w:rPr>
          <w:rFonts w:hint="eastAsia" w:ascii="宋体" w:hAnsi="宋体" w:cs="仿宋_GB2312"/>
          <w:b/>
          <w:bCs/>
          <w:szCs w:val="21"/>
        </w:rPr>
        <w:t>甲方（业主单位）：</w:t>
      </w:r>
      <w:r>
        <w:rPr>
          <w:rFonts w:ascii="宋体" w:hAnsi="宋体"/>
          <w:b/>
          <w:bCs/>
          <w:szCs w:val="21"/>
        </w:rPr>
        <w:t>东莞市石鼓污水处理有限公司</w:t>
      </w:r>
    </w:p>
    <w:p>
      <w:pPr>
        <w:snapToGrid w:val="0"/>
        <w:spacing w:line="360" w:lineRule="auto"/>
        <w:rPr>
          <w:rFonts w:ascii="宋体" w:hAnsi="宋体" w:cs="仿宋_GB2312"/>
          <w:b/>
          <w:bCs/>
          <w:szCs w:val="21"/>
        </w:rPr>
      </w:pPr>
      <w:r>
        <w:rPr>
          <w:rFonts w:hint="eastAsia" w:ascii="宋体" w:hAnsi="宋体" w:cs="仿宋_GB2312"/>
          <w:b/>
          <w:bCs/>
          <w:szCs w:val="21"/>
        </w:rPr>
        <w:t>乙方：</w:t>
      </w:r>
    </w:p>
    <w:p>
      <w:pPr>
        <w:snapToGrid w:val="0"/>
        <w:spacing w:line="360" w:lineRule="auto"/>
        <w:rPr>
          <w:rFonts w:ascii="宋体" w:hAnsi="宋体" w:cs="仿宋_GB2312"/>
          <w:b/>
          <w:bCs/>
          <w:szCs w:val="21"/>
        </w:rPr>
      </w:pPr>
      <w:r>
        <w:rPr>
          <w:rFonts w:hint="eastAsia" w:ascii="宋体" w:hAnsi="宋体" w:cs="仿宋_GB2312"/>
          <w:b/>
          <w:bCs/>
          <w:szCs w:val="21"/>
        </w:rPr>
        <w:t>丙方：东莞市水务集团建设管理有限公司</w:t>
      </w:r>
    </w:p>
    <w:p>
      <w:pPr>
        <w:snapToGrid w:val="0"/>
        <w:spacing w:line="360" w:lineRule="auto"/>
        <w:ind w:firstLine="420" w:firstLineChars="200"/>
        <w:rPr>
          <w:rFonts w:ascii="宋体" w:hAnsi="宋体" w:cs="仿宋_GB2312"/>
          <w:szCs w:val="21"/>
        </w:rPr>
      </w:pPr>
      <w:r>
        <w:rPr>
          <w:rFonts w:hint="eastAsia" w:ascii="宋体" w:hAnsi="宋体" w:cs="仿宋_GB2312"/>
          <w:szCs w:val="21"/>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pPr>
        <w:snapToGrid w:val="0"/>
        <w:spacing w:line="360" w:lineRule="auto"/>
        <w:ind w:firstLine="422" w:firstLineChars="200"/>
        <w:rPr>
          <w:rFonts w:ascii="宋体" w:hAnsi="宋体" w:cs="仿宋_GB2312"/>
          <w:b/>
          <w:bCs/>
          <w:szCs w:val="21"/>
        </w:rPr>
      </w:pPr>
      <w:r>
        <w:rPr>
          <w:rFonts w:hint="eastAsia" w:ascii="宋体" w:hAnsi="宋体" w:cs="仿宋_GB2312"/>
          <w:b/>
          <w:bCs/>
          <w:szCs w:val="21"/>
        </w:rPr>
        <w:t>第一条  甲乙</w:t>
      </w:r>
      <w:r>
        <w:rPr>
          <w:rFonts w:hint="eastAsia" w:ascii="宋体" w:hAnsi="宋体" w:cs="仿宋_GB2312"/>
          <w:szCs w:val="21"/>
        </w:rPr>
        <w:t>丙三</w:t>
      </w:r>
      <w:r>
        <w:rPr>
          <w:rFonts w:hint="eastAsia" w:ascii="宋体" w:hAnsi="宋体" w:cs="仿宋_GB2312"/>
          <w:b/>
          <w:bCs/>
          <w:szCs w:val="21"/>
        </w:rPr>
        <w:t>方的权利和义务</w:t>
      </w:r>
    </w:p>
    <w:p>
      <w:pPr>
        <w:snapToGrid w:val="0"/>
        <w:spacing w:line="360" w:lineRule="auto"/>
        <w:ind w:firstLine="420" w:firstLineChars="200"/>
        <w:rPr>
          <w:rFonts w:ascii="宋体" w:hAnsi="宋体" w:cs="仿宋_GB2312"/>
          <w:szCs w:val="21"/>
        </w:rPr>
      </w:pPr>
      <w:r>
        <w:rPr>
          <w:rFonts w:hint="eastAsia" w:ascii="宋体" w:hAnsi="宋体" w:cs="仿宋_GB2312"/>
          <w:szCs w:val="21"/>
        </w:rPr>
        <w:t>（一）严格遵守党和国家有关法律法规等有关廉洁从业规定。</w:t>
      </w:r>
    </w:p>
    <w:p>
      <w:pPr>
        <w:snapToGrid w:val="0"/>
        <w:spacing w:line="360" w:lineRule="auto"/>
        <w:ind w:firstLine="420" w:firstLineChars="200"/>
        <w:rPr>
          <w:rFonts w:ascii="宋体" w:hAnsi="宋体" w:cs="仿宋_GB2312"/>
          <w:szCs w:val="21"/>
        </w:rPr>
      </w:pPr>
      <w:r>
        <w:rPr>
          <w:rFonts w:hint="eastAsia" w:ascii="宋体" w:hAnsi="宋体" w:cs="仿宋_GB2312"/>
          <w:szCs w:val="21"/>
        </w:rPr>
        <w:t>（二）严格执行本项目的合同文件，自觉按合同办事。</w:t>
      </w:r>
    </w:p>
    <w:p>
      <w:pPr>
        <w:snapToGrid w:val="0"/>
        <w:spacing w:line="360" w:lineRule="auto"/>
        <w:ind w:firstLine="420" w:firstLineChars="200"/>
        <w:rPr>
          <w:rFonts w:ascii="宋体" w:hAnsi="宋体" w:cs="仿宋_GB2312"/>
          <w:szCs w:val="21"/>
        </w:rPr>
      </w:pPr>
      <w:r>
        <w:rPr>
          <w:rFonts w:hint="eastAsia" w:ascii="宋体" w:hAnsi="宋体" w:cs="仿宋_GB2312"/>
          <w:szCs w:val="21"/>
        </w:rPr>
        <w:t>（三）三方的业务活动坚持公开、公正、诚信、透明的原则（除法律认定的商业秘密和合同文件另有规定之外）不得损害国家和集体利益，违反工程建设管理及其他法律法规规章制度。</w:t>
      </w:r>
    </w:p>
    <w:p>
      <w:pPr>
        <w:snapToGrid w:val="0"/>
        <w:spacing w:line="360" w:lineRule="auto"/>
        <w:ind w:firstLine="420" w:firstLineChars="200"/>
        <w:rPr>
          <w:rFonts w:ascii="宋体" w:hAnsi="宋体" w:cs="仿宋_GB2312"/>
          <w:szCs w:val="21"/>
        </w:rPr>
      </w:pPr>
      <w:r>
        <w:rPr>
          <w:rFonts w:hint="eastAsia" w:ascii="宋体" w:hAnsi="宋体" w:cs="仿宋_GB2312"/>
          <w:szCs w:val="21"/>
        </w:rPr>
        <w:t>（四）建立健全廉洁制度，开展廉洁教育，设立廉洁监督公示牌，公布举报电话，监督并认真查处违法违纪行为。</w:t>
      </w:r>
    </w:p>
    <w:p>
      <w:pPr>
        <w:snapToGrid w:val="0"/>
        <w:spacing w:line="360" w:lineRule="auto"/>
        <w:ind w:firstLine="420" w:firstLineChars="200"/>
        <w:rPr>
          <w:rFonts w:ascii="宋体" w:hAnsi="宋体" w:cs="仿宋_GB2312"/>
          <w:szCs w:val="21"/>
        </w:rPr>
      </w:pPr>
      <w:r>
        <w:rPr>
          <w:rFonts w:hint="eastAsia" w:ascii="宋体" w:hAnsi="宋体" w:cs="仿宋_GB2312"/>
          <w:szCs w:val="21"/>
        </w:rPr>
        <w:t>（五）发现对方在业务活动中有违反廉洁规定的行为，有及时提醒对方纠正的权利和义务。</w:t>
      </w:r>
    </w:p>
    <w:p>
      <w:pPr>
        <w:snapToGrid w:val="0"/>
        <w:spacing w:line="360" w:lineRule="auto"/>
        <w:ind w:firstLine="420" w:firstLineChars="200"/>
        <w:rPr>
          <w:rFonts w:ascii="宋体" w:hAnsi="宋体" w:cs="仿宋_GB2312"/>
          <w:szCs w:val="21"/>
        </w:rPr>
      </w:pPr>
      <w:r>
        <w:rPr>
          <w:rFonts w:hint="eastAsia" w:ascii="宋体" w:hAnsi="宋体" w:cs="仿宋_GB2312"/>
          <w:szCs w:val="21"/>
        </w:rPr>
        <w:t>（六）发现对方严重违反本协议义务条款的行为，有向其上级有关部门举报、建议给予处理并要求告知处理结果的权利。</w:t>
      </w:r>
    </w:p>
    <w:p>
      <w:pPr>
        <w:snapToGrid w:val="0"/>
        <w:spacing w:line="360" w:lineRule="auto"/>
        <w:ind w:firstLine="422" w:firstLineChars="200"/>
        <w:rPr>
          <w:rFonts w:ascii="宋体" w:hAnsi="宋体" w:cs="仿宋_GB2312"/>
          <w:b/>
          <w:bCs/>
          <w:szCs w:val="21"/>
        </w:rPr>
      </w:pPr>
      <w:r>
        <w:rPr>
          <w:rFonts w:hint="eastAsia" w:ascii="宋体" w:hAnsi="宋体" w:cs="仿宋_GB2312"/>
          <w:b/>
          <w:bCs/>
          <w:szCs w:val="21"/>
        </w:rPr>
        <w:t>第二条  甲方与丙方的义务</w:t>
      </w:r>
    </w:p>
    <w:p>
      <w:pPr>
        <w:snapToGrid w:val="0"/>
        <w:spacing w:line="360" w:lineRule="auto"/>
        <w:ind w:firstLine="420" w:firstLineChars="200"/>
        <w:rPr>
          <w:rFonts w:ascii="宋体" w:hAnsi="宋体" w:cs="仿宋_GB2312"/>
          <w:szCs w:val="21"/>
        </w:rPr>
      </w:pPr>
      <w:r>
        <w:rPr>
          <w:rFonts w:hint="eastAsia" w:ascii="宋体" w:hAnsi="宋体" w:cs="仿宋_GB2312"/>
          <w:szCs w:val="21"/>
        </w:rPr>
        <w:t>（一）甲方、丙方及其工作人员不得索要或接受乙方的礼金、有价证券和贵重物品，不得在乙方报销任何应由甲方或个人支付的费用。</w:t>
      </w:r>
    </w:p>
    <w:p>
      <w:pPr>
        <w:snapToGrid w:val="0"/>
        <w:spacing w:line="360" w:lineRule="auto"/>
        <w:ind w:firstLine="420" w:firstLineChars="200"/>
        <w:rPr>
          <w:rFonts w:ascii="宋体" w:hAnsi="宋体" w:cs="仿宋_GB2312"/>
          <w:szCs w:val="21"/>
        </w:rPr>
      </w:pPr>
      <w:r>
        <w:rPr>
          <w:rFonts w:hint="eastAsia" w:ascii="宋体" w:hAnsi="宋体" w:cs="仿宋_GB2312"/>
          <w:szCs w:val="21"/>
        </w:rPr>
        <w:t>（二）甲方、丙方工作人员不得参加乙方安排的高消费宴请和娱乐活动；不得接受乙方提供的通讯工具、交通工具和高档办公用品。</w:t>
      </w:r>
    </w:p>
    <w:p>
      <w:pPr>
        <w:snapToGrid w:val="0"/>
        <w:spacing w:line="360" w:lineRule="auto"/>
        <w:ind w:firstLine="420" w:firstLineChars="200"/>
        <w:rPr>
          <w:rFonts w:ascii="宋体" w:hAnsi="宋体" w:cs="仿宋_GB2312"/>
          <w:szCs w:val="21"/>
        </w:rPr>
      </w:pPr>
      <w:r>
        <w:rPr>
          <w:rFonts w:hint="eastAsia" w:ascii="宋体" w:hAnsi="宋体" w:cs="仿宋_GB2312"/>
          <w:szCs w:val="21"/>
        </w:rPr>
        <w:t>（三）甲方、丙方及其工作人员不得要求或者接受乙方为其住房装修、婚丧嫁娶活动、家属或亲友的工作安排以及出国出境、旅游等提供方便。</w:t>
      </w:r>
    </w:p>
    <w:p>
      <w:pPr>
        <w:snapToGrid w:val="0"/>
        <w:spacing w:line="360" w:lineRule="auto"/>
        <w:ind w:firstLine="420" w:firstLineChars="200"/>
        <w:rPr>
          <w:rFonts w:ascii="宋体" w:hAnsi="宋体" w:cs="仿宋_GB2312"/>
          <w:szCs w:val="21"/>
        </w:rPr>
      </w:pPr>
      <w:r>
        <w:rPr>
          <w:rFonts w:hint="eastAsia" w:ascii="宋体" w:hAnsi="宋体" w:cs="仿宋_GB2312"/>
          <w:szCs w:val="21"/>
        </w:rPr>
        <w:t>（四）甲方、丙方工作人员不得向乙方介绍其家属或者亲友（包括家属或亲友开办的公司企业）从事于本项目涉及的经济业务活动。</w:t>
      </w:r>
    </w:p>
    <w:p>
      <w:pPr>
        <w:snapToGrid w:val="0"/>
        <w:spacing w:line="360" w:lineRule="auto"/>
        <w:ind w:firstLine="420" w:firstLineChars="200"/>
        <w:rPr>
          <w:rFonts w:ascii="宋体" w:hAnsi="宋体" w:cs="仿宋_GB2312"/>
          <w:szCs w:val="21"/>
        </w:rPr>
      </w:pPr>
      <w:r>
        <w:rPr>
          <w:rFonts w:hint="eastAsia" w:ascii="宋体" w:hAnsi="宋体" w:cs="仿宋_GB2312"/>
          <w:szCs w:val="21"/>
        </w:rPr>
        <w:t>（五）甲方、丙方及其工作人员不得以任何理由向乙方推荐分包单位，不得要求乙方购买合同规定外的材料和设备。</w:t>
      </w:r>
    </w:p>
    <w:p>
      <w:pPr>
        <w:snapToGrid w:val="0"/>
        <w:spacing w:line="360" w:lineRule="auto"/>
        <w:ind w:firstLine="420" w:firstLineChars="200"/>
        <w:rPr>
          <w:rFonts w:ascii="宋体" w:hAnsi="宋体" w:cs="仿宋_GB2312"/>
          <w:szCs w:val="21"/>
        </w:rPr>
      </w:pPr>
      <w:r>
        <w:rPr>
          <w:rFonts w:hint="eastAsia" w:ascii="宋体" w:hAnsi="宋体" w:cs="仿宋_GB2312"/>
          <w:szCs w:val="21"/>
        </w:rPr>
        <w:t>（六）甲方、丙方及其工作人员不得进行违反廉洁规定的其他活动。</w:t>
      </w:r>
    </w:p>
    <w:p>
      <w:pPr>
        <w:snapToGrid w:val="0"/>
        <w:spacing w:line="360" w:lineRule="auto"/>
        <w:ind w:firstLine="420" w:firstLineChars="200"/>
        <w:rPr>
          <w:rFonts w:ascii="宋体" w:hAnsi="宋体" w:cs="仿宋_GB2312"/>
          <w:szCs w:val="21"/>
        </w:rPr>
      </w:pPr>
      <w:r>
        <w:rPr>
          <w:rFonts w:hint="eastAsia" w:ascii="宋体" w:hAnsi="宋体" w:cs="仿宋_GB2312"/>
          <w:szCs w:val="21"/>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pPr>
        <w:snapToGrid w:val="0"/>
        <w:spacing w:line="360" w:lineRule="auto"/>
        <w:ind w:firstLine="422" w:firstLineChars="200"/>
        <w:rPr>
          <w:rFonts w:ascii="宋体" w:hAnsi="宋体" w:cs="仿宋_GB2312"/>
          <w:b/>
          <w:bCs/>
          <w:szCs w:val="21"/>
        </w:rPr>
      </w:pPr>
      <w:r>
        <w:rPr>
          <w:rFonts w:hint="eastAsia" w:ascii="宋体" w:hAnsi="宋体" w:cs="仿宋_GB2312"/>
          <w:b/>
          <w:bCs/>
          <w:szCs w:val="21"/>
        </w:rPr>
        <w:t>第三条  乙方义务</w:t>
      </w:r>
    </w:p>
    <w:p>
      <w:pPr>
        <w:snapToGrid w:val="0"/>
        <w:spacing w:line="360" w:lineRule="auto"/>
        <w:ind w:firstLine="420" w:firstLineChars="200"/>
        <w:rPr>
          <w:rFonts w:ascii="宋体" w:hAnsi="宋体" w:cs="仿宋_GB2312"/>
          <w:szCs w:val="21"/>
        </w:rPr>
      </w:pPr>
      <w:r>
        <w:rPr>
          <w:rFonts w:hint="eastAsia" w:ascii="宋体" w:hAnsi="宋体" w:cs="仿宋_GB2312"/>
          <w:szCs w:val="21"/>
        </w:rPr>
        <w:t>（一）乙方不得以任何理由向甲方、丙方及其工作人员馈赠礼金、有价证券、贵重礼品，或报销应由甲方单位或个人支付的任何费用。</w:t>
      </w:r>
    </w:p>
    <w:p>
      <w:pPr>
        <w:snapToGrid w:val="0"/>
        <w:spacing w:line="360" w:lineRule="auto"/>
        <w:ind w:firstLine="420" w:firstLineChars="200"/>
        <w:rPr>
          <w:rFonts w:ascii="宋体" w:hAnsi="宋体" w:cs="仿宋_GB2312"/>
          <w:szCs w:val="21"/>
        </w:rPr>
      </w:pPr>
      <w:r>
        <w:rPr>
          <w:rFonts w:hint="eastAsia" w:ascii="宋体" w:hAnsi="宋体" w:cs="仿宋_GB2312"/>
          <w:szCs w:val="21"/>
        </w:rPr>
        <w:t>（二）乙方及其工作人员不得以考察、参观、洽谈业务、签订合同等的借口邀请甲方、丙方及其工作人员参加高消费的宴请、娱乐和健身等活动。</w:t>
      </w:r>
    </w:p>
    <w:p>
      <w:pPr>
        <w:snapToGrid w:val="0"/>
        <w:spacing w:line="360" w:lineRule="auto"/>
        <w:ind w:firstLine="420" w:firstLineChars="200"/>
        <w:rPr>
          <w:rFonts w:ascii="宋体" w:hAnsi="宋体" w:cs="仿宋_GB2312"/>
          <w:szCs w:val="21"/>
        </w:rPr>
      </w:pPr>
      <w:r>
        <w:rPr>
          <w:rFonts w:hint="eastAsia" w:ascii="宋体" w:hAnsi="宋体" w:cs="仿宋_GB2312"/>
          <w:szCs w:val="21"/>
        </w:rPr>
        <w:t>（三）乙方不得为甲方、丙方单位和个人购置或提供通讯工具、交通工具和高档办公用品等。</w:t>
      </w:r>
    </w:p>
    <w:p>
      <w:pPr>
        <w:snapToGrid w:val="0"/>
        <w:spacing w:line="360" w:lineRule="auto"/>
        <w:ind w:firstLine="420" w:firstLineChars="200"/>
        <w:rPr>
          <w:rFonts w:ascii="宋体" w:hAnsi="宋体" w:cs="仿宋_GB2312"/>
          <w:szCs w:val="21"/>
        </w:rPr>
      </w:pPr>
      <w:r>
        <w:rPr>
          <w:rFonts w:hint="eastAsia" w:ascii="宋体" w:hAnsi="宋体" w:cs="仿宋_GB2312"/>
          <w:szCs w:val="21"/>
        </w:rPr>
        <w:t>（四）乙方及其工作人员不得为甲方、丙方工作人员购买、装修、维修私人住房、汽车等。</w:t>
      </w:r>
    </w:p>
    <w:p>
      <w:pPr>
        <w:snapToGrid w:val="0"/>
        <w:spacing w:line="360" w:lineRule="auto"/>
        <w:ind w:firstLine="420" w:firstLineChars="200"/>
        <w:rPr>
          <w:rFonts w:ascii="宋体" w:hAnsi="宋体" w:cs="仿宋_GB2312"/>
          <w:szCs w:val="21"/>
        </w:rPr>
      </w:pPr>
      <w:r>
        <w:rPr>
          <w:rFonts w:hint="eastAsia" w:ascii="宋体" w:hAnsi="宋体" w:cs="仿宋_GB2312"/>
          <w:szCs w:val="21"/>
        </w:rPr>
        <w:t>（五）乙方及其工作人员不得为甲方、丙方工作人员的婚丧嫁娶、家属或亲友的工作安排，及出国出境提供方便以及报销任何私人消费的费用。</w:t>
      </w:r>
    </w:p>
    <w:p>
      <w:pPr>
        <w:snapToGrid w:val="0"/>
        <w:spacing w:line="360" w:lineRule="auto"/>
        <w:ind w:firstLine="420" w:firstLineChars="200"/>
        <w:rPr>
          <w:rFonts w:ascii="宋体" w:hAnsi="宋体" w:cs="仿宋_GB2312"/>
          <w:szCs w:val="21"/>
        </w:rPr>
      </w:pPr>
      <w:r>
        <w:rPr>
          <w:rFonts w:hint="eastAsia" w:ascii="宋体" w:hAnsi="宋体" w:cs="仿宋_GB2312"/>
          <w:szCs w:val="21"/>
        </w:rPr>
        <w:t>（六）乙方及其工作人员不得进行影响甲方、丙方及其工作人员公正执行合同和履行职务的其他活动。</w:t>
      </w:r>
    </w:p>
    <w:p>
      <w:pPr>
        <w:snapToGrid w:val="0"/>
        <w:spacing w:line="360" w:lineRule="auto"/>
        <w:ind w:firstLine="420" w:firstLineChars="200"/>
        <w:rPr>
          <w:rFonts w:ascii="宋体" w:hAnsi="宋体" w:cs="仿宋_GB2312"/>
          <w:szCs w:val="21"/>
        </w:rPr>
      </w:pPr>
      <w:r>
        <w:rPr>
          <w:rFonts w:hint="eastAsia" w:ascii="宋体" w:hAnsi="宋体" w:cs="仿宋_GB2312"/>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360" w:lineRule="auto"/>
        <w:ind w:firstLine="422" w:firstLineChars="200"/>
        <w:rPr>
          <w:rFonts w:ascii="宋体" w:hAnsi="宋体" w:cs="仿宋_GB2312"/>
          <w:b/>
          <w:bCs/>
          <w:szCs w:val="21"/>
        </w:rPr>
      </w:pPr>
      <w:r>
        <w:rPr>
          <w:rFonts w:hint="eastAsia" w:ascii="宋体" w:hAnsi="宋体" w:cs="仿宋_GB2312"/>
          <w:b/>
          <w:bCs/>
          <w:szCs w:val="21"/>
        </w:rPr>
        <w:t>第四条  违约责任</w:t>
      </w:r>
    </w:p>
    <w:p>
      <w:pPr>
        <w:snapToGrid w:val="0"/>
        <w:spacing w:line="360" w:lineRule="auto"/>
        <w:ind w:firstLine="420" w:firstLineChars="200"/>
        <w:rPr>
          <w:rFonts w:ascii="宋体" w:hAnsi="宋体" w:cs="仿宋_GB2312"/>
          <w:szCs w:val="21"/>
        </w:rPr>
      </w:pPr>
      <w:r>
        <w:rPr>
          <w:rFonts w:hint="eastAsia" w:ascii="宋体" w:hAnsi="宋体" w:cs="仿宋_GB2312"/>
          <w:szCs w:val="21"/>
        </w:rPr>
        <w:t>（一）甲方、丙方违反本协议第一、第二条给乙方单位造成经济损失的，应予以赔偿。</w:t>
      </w:r>
    </w:p>
    <w:p>
      <w:pPr>
        <w:snapToGrid w:val="0"/>
        <w:spacing w:line="360" w:lineRule="auto"/>
        <w:ind w:firstLine="420" w:firstLineChars="200"/>
        <w:rPr>
          <w:rFonts w:ascii="宋体" w:hAnsi="宋体" w:cs="仿宋_GB2312"/>
          <w:szCs w:val="21"/>
        </w:rPr>
      </w:pPr>
      <w:r>
        <w:rPr>
          <w:rFonts w:hint="eastAsia" w:ascii="宋体" w:hAnsi="宋体" w:cs="仿宋_GB2312"/>
          <w:szCs w:val="21"/>
        </w:rPr>
        <w:t>（二）乙方违反本协议第一、第三条给甲方、丙方单位造成经济损失的，应予以赔偿。</w:t>
      </w:r>
    </w:p>
    <w:p>
      <w:pPr>
        <w:snapToGrid w:val="0"/>
        <w:spacing w:line="360" w:lineRule="auto"/>
        <w:ind w:firstLine="422" w:firstLineChars="200"/>
        <w:rPr>
          <w:rFonts w:ascii="宋体" w:hAnsi="宋体" w:cs="仿宋_GB2312"/>
          <w:b/>
          <w:bCs/>
          <w:szCs w:val="21"/>
        </w:rPr>
      </w:pPr>
      <w:r>
        <w:rPr>
          <w:rFonts w:hint="eastAsia" w:ascii="宋体" w:hAnsi="宋体" w:cs="仿宋_GB2312"/>
          <w:b/>
          <w:bCs/>
          <w:szCs w:val="21"/>
        </w:rPr>
        <w:t>第五条  监督检查</w:t>
      </w:r>
    </w:p>
    <w:p>
      <w:pPr>
        <w:snapToGrid w:val="0"/>
        <w:spacing w:line="360" w:lineRule="auto"/>
        <w:ind w:firstLine="420" w:firstLineChars="200"/>
        <w:rPr>
          <w:rFonts w:ascii="宋体" w:hAnsi="宋体" w:cs="仿宋_GB2312"/>
          <w:szCs w:val="21"/>
        </w:rPr>
      </w:pPr>
      <w:r>
        <w:rPr>
          <w:rFonts w:hint="eastAsia" w:ascii="宋体" w:hAnsi="宋体" w:cs="仿宋_GB2312"/>
          <w:szCs w:val="21"/>
        </w:rPr>
        <w:t>甲乙丙三方的廉洁从业行为由三方或三方上级单位的纪检、监察负责监督，对本协议履行情况进行检查。</w:t>
      </w:r>
    </w:p>
    <w:p>
      <w:pPr>
        <w:numPr>
          <w:ilvl w:val="0"/>
          <w:numId w:val="17"/>
        </w:numPr>
        <w:snapToGrid w:val="0"/>
        <w:spacing w:line="360" w:lineRule="auto"/>
        <w:ind w:firstLine="422" w:firstLineChars="200"/>
        <w:rPr>
          <w:rFonts w:ascii="宋体" w:hAnsi="宋体" w:cs="仿宋_GB2312"/>
          <w:b/>
          <w:bCs/>
          <w:szCs w:val="21"/>
        </w:rPr>
      </w:pPr>
      <w:r>
        <w:rPr>
          <w:rFonts w:hint="eastAsia" w:ascii="宋体" w:hAnsi="宋体" w:cs="仿宋_GB2312"/>
          <w:b/>
          <w:bCs/>
          <w:szCs w:val="21"/>
        </w:rPr>
        <w:t xml:space="preserve"> 其他</w:t>
      </w:r>
    </w:p>
    <w:p>
      <w:pPr>
        <w:snapToGrid w:val="0"/>
        <w:spacing w:line="360" w:lineRule="auto"/>
        <w:ind w:firstLine="420" w:firstLineChars="200"/>
        <w:rPr>
          <w:rFonts w:ascii="宋体" w:hAnsi="宋体" w:cs="仿宋_GB2312"/>
          <w:szCs w:val="21"/>
        </w:rPr>
      </w:pPr>
      <w:r>
        <w:rPr>
          <w:rFonts w:hint="eastAsia" w:ascii="宋体" w:hAnsi="宋体" w:cs="仿宋_GB2312"/>
          <w:szCs w:val="21"/>
        </w:rPr>
        <w:t>本协议有效期为甲乙丙三方签字并加盖公章之日起至该工程/采购项目竣工验收完毕，质保期/服务期满后止。</w:t>
      </w:r>
      <w:r>
        <w:rPr>
          <w:rFonts w:hint="eastAsia" w:ascii="宋体" w:hAnsi="宋体"/>
          <w:szCs w:val="21"/>
        </w:rPr>
        <w:t>本协议壹式</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份，乙方执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份，丙方执</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份，行政主管部门</w:t>
      </w:r>
      <w:r>
        <w:rPr>
          <w:rFonts w:hint="eastAsia" w:ascii="宋体" w:hAnsi="宋体"/>
          <w:szCs w:val="21"/>
          <w:u w:val="single"/>
        </w:rPr>
        <w:t xml:space="preserve"> 壹 </w:t>
      </w:r>
      <w:r>
        <w:rPr>
          <w:rFonts w:hint="eastAsia" w:ascii="宋体" w:hAnsi="宋体"/>
          <w:szCs w:val="21"/>
        </w:rPr>
        <w:t>份，招标代理机构</w:t>
      </w:r>
      <w:r>
        <w:rPr>
          <w:rFonts w:hint="eastAsia" w:ascii="宋体" w:hAnsi="宋体"/>
          <w:szCs w:val="21"/>
          <w:u w:val="single"/>
        </w:rPr>
        <w:t xml:space="preserve"> 壹 </w:t>
      </w:r>
      <w:r>
        <w:rPr>
          <w:rFonts w:hint="eastAsia" w:ascii="宋体" w:hAnsi="宋体"/>
          <w:szCs w:val="21"/>
        </w:rPr>
        <w:t>份，东莞市公共资源交易中心</w:t>
      </w:r>
      <w:r>
        <w:rPr>
          <w:rFonts w:hint="eastAsia" w:ascii="宋体" w:hAnsi="宋体"/>
          <w:szCs w:val="21"/>
          <w:u w:val="single"/>
        </w:rPr>
        <w:t xml:space="preserve"> 壹 </w:t>
      </w:r>
      <w:r>
        <w:rPr>
          <w:rFonts w:hint="eastAsia" w:ascii="宋体" w:hAnsi="宋体"/>
          <w:szCs w:val="21"/>
        </w:rPr>
        <w:t>份，均具有同等法律效力</w:t>
      </w:r>
      <w:r>
        <w:rPr>
          <w:rFonts w:hint="eastAsia" w:ascii="宋体" w:hAnsi="宋体" w:cs="仿宋_GB2312"/>
          <w:szCs w:val="21"/>
        </w:rPr>
        <w:t>。</w:t>
      </w:r>
    </w:p>
    <w:p>
      <w:pPr>
        <w:snapToGrid w:val="0"/>
        <w:spacing w:line="360" w:lineRule="auto"/>
        <w:ind w:firstLine="420" w:firstLineChars="200"/>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 xml:space="preserve">甲方（盖章）：                乙方（盖章）： </w:t>
      </w:r>
    </w:p>
    <w:p>
      <w:pPr>
        <w:snapToGrid w:val="0"/>
        <w:spacing w:line="360" w:lineRule="auto"/>
        <w:ind w:firstLine="420" w:firstLineChars="200"/>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法定代表人：                 法定代表人：</w:t>
      </w:r>
    </w:p>
    <w:p>
      <w:pPr>
        <w:snapToGrid w:val="0"/>
        <w:spacing w:line="360" w:lineRule="auto"/>
        <w:ind w:firstLine="420" w:firstLineChars="200"/>
        <w:rPr>
          <w:rFonts w:ascii="宋体" w:hAnsi="宋体" w:cs="仿宋_GB2312"/>
          <w:szCs w:val="21"/>
        </w:rPr>
      </w:pPr>
      <w:r>
        <w:rPr>
          <w:rFonts w:hint="eastAsia" w:ascii="宋体" w:hAnsi="宋体" w:cs="仿宋_GB2312"/>
          <w:szCs w:val="21"/>
        </w:rPr>
        <w:t>甲方代表：                   乙方代表：</w:t>
      </w:r>
    </w:p>
    <w:p>
      <w:pPr>
        <w:pStyle w:val="5"/>
      </w:pPr>
    </w:p>
    <w:p>
      <w:pPr>
        <w:snapToGrid w:val="0"/>
        <w:spacing w:line="360" w:lineRule="auto"/>
        <w:ind w:firstLine="420" w:firstLineChars="200"/>
        <w:rPr>
          <w:rFonts w:ascii="宋体" w:hAnsi="宋体" w:cs="仿宋_GB2312"/>
          <w:szCs w:val="21"/>
        </w:rPr>
      </w:pPr>
      <w:r>
        <w:rPr>
          <w:rFonts w:hint="eastAsia" w:ascii="宋体" w:hAnsi="宋体" w:cs="仿宋_GB2312"/>
          <w:szCs w:val="21"/>
        </w:rPr>
        <w:t>丙方（盖章）：</w:t>
      </w:r>
    </w:p>
    <w:p>
      <w:pPr>
        <w:snapToGrid w:val="0"/>
        <w:spacing w:line="360" w:lineRule="auto"/>
        <w:rPr>
          <w:rFonts w:ascii="宋体" w:hAnsi="宋体" w:cs="仿宋_GB2312"/>
          <w:szCs w:val="21"/>
        </w:rPr>
      </w:pPr>
    </w:p>
    <w:p>
      <w:pPr>
        <w:snapToGrid w:val="0"/>
        <w:spacing w:line="360" w:lineRule="auto"/>
        <w:ind w:firstLine="420" w:firstLineChars="200"/>
        <w:rPr>
          <w:rFonts w:ascii="宋体" w:hAnsi="宋体" w:cs="仿宋_GB2312"/>
          <w:szCs w:val="21"/>
        </w:rPr>
      </w:pPr>
      <w:r>
        <w:rPr>
          <w:rFonts w:hint="eastAsia" w:ascii="宋体" w:hAnsi="宋体" w:cs="仿宋_GB2312"/>
          <w:szCs w:val="21"/>
        </w:rPr>
        <w:t>法定代表人：</w:t>
      </w:r>
    </w:p>
    <w:p>
      <w:pPr>
        <w:snapToGrid w:val="0"/>
        <w:spacing w:line="360" w:lineRule="auto"/>
        <w:ind w:firstLine="420" w:firstLineChars="200"/>
        <w:rPr>
          <w:rFonts w:ascii="宋体" w:hAnsi="宋体" w:cs="仿宋_GB2312"/>
          <w:szCs w:val="21"/>
        </w:rPr>
      </w:pPr>
      <w:r>
        <w:rPr>
          <w:rFonts w:hint="eastAsia" w:ascii="宋体" w:hAnsi="宋体" w:cs="仿宋_GB2312"/>
          <w:szCs w:val="21"/>
        </w:rPr>
        <w:t>丙方代表：</w:t>
      </w:r>
    </w:p>
    <w:p>
      <w:pPr>
        <w:snapToGrid w:val="0"/>
        <w:spacing w:line="360" w:lineRule="auto"/>
        <w:rPr>
          <w:rFonts w:ascii="宋体" w:hAnsi="宋体" w:cs="仿宋_GB2312"/>
          <w:szCs w:val="21"/>
        </w:rPr>
      </w:pPr>
    </w:p>
    <w:p>
      <w:pPr>
        <w:snapToGrid w:val="0"/>
        <w:spacing w:line="360" w:lineRule="auto"/>
        <w:rPr>
          <w:rFonts w:ascii="宋体" w:hAnsi="宋体" w:cs="仿宋_GB2312"/>
          <w:szCs w:val="21"/>
        </w:rPr>
      </w:pPr>
      <w:r>
        <w:rPr>
          <w:rFonts w:hint="eastAsia" w:ascii="宋体" w:hAnsi="宋体" w:cs="仿宋_GB2312"/>
          <w:szCs w:val="21"/>
        </w:rPr>
        <w:t>签订日期：</w:t>
      </w:r>
      <w:r>
        <w:rPr>
          <w:rFonts w:ascii="宋体" w:hAnsi="宋体" w:cs="仿宋_GB2312"/>
          <w:szCs w:val="21"/>
        </w:rPr>
        <w:t xml:space="preserve">   </w:t>
      </w:r>
      <w:r>
        <w:rPr>
          <w:rFonts w:hint="eastAsia" w:ascii="宋体" w:hAnsi="宋体" w:cs="仿宋_GB2312"/>
          <w:szCs w:val="21"/>
        </w:rPr>
        <w:t xml:space="preserve">年  月  日         </w:t>
      </w:r>
      <w:r>
        <w:rPr>
          <w:rFonts w:ascii="宋体" w:hAnsi="宋体" w:cs="仿宋_GB2312"/>
          <w:szCs w:val="21"/>
        </w:rPr>
        <w:t xml:space="preserve">    </w:t>
      </w:r>
      <w:r>
        <w:rPr>
          <w:rFonts w:hint="eastAsia" w:ascii="宋体" w:hAnsi="宋体" w:cs="仿宋_GB2312"/>
          <w:szCs w:val="21"/>
        </w:rPr>
        <w:t>年  月  日</w:t>
      </w:r>
    </w:p>
    <w:p>
      <w:pPr>
        <w:pStyle w:val="4"/>
        <w:pageBreakBefore/>
        <w:rPr>
          <w:rFonts w:ascii="黑体" w:hAnsi="黑体" w:cs="黑体"/>
          <w:sz w:val="28"/>
          <w:szCs w:val="28"/>
        </w:rPr>
      </w:pPr>
      <w:bookmarkStart w:id="1044" w:name="_Toc17816"/>
      <w:bookmarkStart w:id="1045" w:name="_Toc132814857"/>
      <w:r>
        <w:rPr>
          <w:rFonts w:hint="eastAsia" w:ascii="黑体" w:hAnsi="黑体" w:cs="黑体"/>
          <w:sz w:val="28"/>
          <w:szCs w:val="28"/>
        </w:rPr>
        <w:t>附件</w:t>
      </w:r>
      <w:r>
        <w:rPr>
          <w:rFonts w:ascii="黑体" w:hAnsi="黑体" w:cs="黑体"/>
          <w:sz w:val="28"/>
          <w:szCs w:val="28"/>
        </w:rPr>
        <w:t>3</w:t>
      </w:r>
      <w:r>
        <w:rPr>
          <w:rFonts w:hint="eastAsia" w:ascii="黑体" w:hAnsi="黑体" w:cs="黑体"/>
          <w:sz w:val="28"/>
          <w:szCs w:val="28"/>
        </w:rPr>
        <w:t xml:space="preserve"> 不可撤销银行履约保函格式</w:t>
      </w:r>
      <w:bookmarkEnd w:id="1044"/>
      <w:bookmarkEnd w:id="1045"/>
    </w:p>
    <w:p>
      <w:pPr>
        <w:spacing w:before="100" w:beforeAutospacing="1" w:after="100" w:afterAutospacing="1" w:line="360" w:lineRule="auto"/>
        <w:jc w:val="center"/>
        <w:rPr>
          <w:rFonts w:ascii="宋体" w:hAnsi="宋体"/>
          <w:b/>
          <w:bCs/>
          <w:sz w:val="28"/>
        </w:rPr>
      </w:pPr>
      <w:r>
        <w:rPr>
          <w:rFonts w:ascii="宋体" w:hAnsi="宋体"/>
          <w:b/>
          <w:bCs/>
          <w:sz w:val="28"/>
        </w:rPr>
        <w:t>不可撤销</w:t>
      </w:r>
      <w:r>
        <w:rPr>
          <w:rFonts w:hint="eastAsia" w:ascii="宋体" w:hAnsi="宋体"/>
          <w:b/>
          <w:bCs/>
          <w:sz w:val="28"/>
        </w:rPr>
        <w:t>银行</w:t>
      </w:r>
      <w:r>
        <w:rPr>
          <w:rFonts w:ascii="宋体" w:hAnsi="宋体"/>
          <w:b/>
          <w:bCs/>
          <w:sz w:val="28"/>
        </w:rPr>
        <w:t>履约保函</w:t>
      </w:r>
    </w:p>
    <w:p>
      <w:pPr>
        <w:spacing w:line="360" w:lineRule="auto"/>
        <w:ind w:firstLine="6300"/>
        <w:rPr>
          <w:rFonts w:ascii="宋体" w:hAnsi="宋体"/>
          <w:u w:val="single"/>
        </w:rPr>
      </w:pPr>
      <w:r>
        <w:rPr>
          <w:rFonts w:ascii="宋体" w:hAnsi="宋体"/>
        </w:rPr>
        <w:t>银行编号：</w:t>
      </w:r>
      <w:r>
        <w:rPr>
          <w:rFonts w:ascii="宋体" w:hAnsi="宋体"/>
          <w:u w:val="single"/>
        </w:rPr>
        <w:t xml:space="preserve">             </w:t>
      </w:r>
    </w:p>
    <w:p>
      <w:pPr>
        <w:spacing w:line="360" w:lineRule="auto"/>
        <w:rPr>
          <w:rFonts w:ascii="宋体" w:hAnsi="宋体"/>
        </w:rPr>
      </w:pPr>
      <w:r>
        <w:rPr>
          <w:rFonts w:ascii="宋体" w:hAnsi="宋体"/>
        </w:rPr>
        <w:t>致：</w:t>
      </w:r>
      <w:r>
        <w:rPr>
          <w:rFonts w:ascii="宋体" w:hAnsi="宋体"/>
          <w:u w:val="single"/>
        </w:rPr>
        <w:t xml:space="preserve">                </w:t>
      </w:r>
      <w:r>
        <w:rPr>
          <w:rFonts w:ascii="宋体" w:hAnsi="宋体"/>
        </w:rPr>
        <w:t>（下称“受益人”）</w:t>
      </w:r>
    </w:p>
    <w:p>
      <w:pPr>
        <w:spacing w:line="360" w:lineRule="auto"/>
        <w:ind w:firstLine="437"/>
        <w:rPr>
          <w:rFonts w:ascii="宋体" w:hAnsi="宋体"/>
        </w:rPr>
      </w:pPr>
      <w:r>
        <w:rPr>
          <w:rFonts w:ascii="宋体" w:hAnsi="宋体"/>
        </w:rPr>
        <w:t>鉴于</w:t>
      </w:r>
      <w:r>
        <w:rPr>
          <w:rFonts w:ascii="宋体" w:hAnsi="宋体"/>
          <w:u w:val="single"/>
        </w:rPr>
        <w:t xml:space="preserve">  （卖方的名称与地址）  </w:t>
      </w:r>
      <w:r>
        <w:rPr>
          <w:rFonts w:ascii="宋体" w:hAnsi="宋体"/>
        </w:rPr>
        <w:t>（下称“卖方”），已保证按</w:t>
      </w:r>
      <w:r>
        <w:rPr>
          <w:rFonts w:hint="eastAsia" w:hAnsi="宋体" w:cs="宋体"/>
          <w:szCs w:val="21"/>
        </w:rPr>
        <w:t>拟签订的</w:t>
      </w:r>
      <w:r>
        <w:rPr>
          <w:rFonts w:ascii="宋体" w:hAnsi="宋体"/>
          <w:u w:val="single"/>
        </w:rPr>
        <w:t xml:space="preserve">  </w:t>
      </w:r>
      <w:r>
        <w:rPr>
          <w:rFonts w:hint="eastAsia" w:ascii="宋体" w:hAnsi="宋体"/>
          <w:u w:val="single"/>
        </w:rPr>
        <w:t>项目</w:t>
      </w:r>
      <w:r>
        <w:rPr>
          <w:rFonts w:ascii="宋体" w:hAnsi="宋体"/>
          <w:u w:val="single"/>
        </w:rPr>
        <w:t>名称（招标编号：   ）</w:t>
      </w:r>
      <w:r>
        <w:rPr>
          <w:rFonts w:hint="eastAsia" w:ascii="宋体" w:hAnsi="宋体"/>
        </w:rPr>
        <w:t>合同（招标文件）</w:t>
      </w:r>
      <w:r>
        <w:rPr>
          <w:rFonts w:ascii="宋体" w:hAnsi="宋体"/>
        </w:rPr>
        <w:t>中规定的义务履行合同。</w:t>
      </w:r>
    </w:p>
    <w:p>
      <w:pPr>
        <w:spacing w:line="360" w:lineRule="auto"/>
        <w:ind w:firstLine="436" w:firstLineChars="208"/>
        <w:rPr>
          <w:rFonts w:ascii="宋体" w:hAnsi="宋体"/>
        </w:rPr>
      </w:pPr>
      <w:r>
        <w:rPr>
          <w:rFonts w:ascii="宋体" w:hAnsi="宋体"/>
        </w:rPr>
        <w:t>根据上述合同（招标文件）规定，卖方应向受益人提供一份金额为</w:t>
      </w:r>
      <w:r>
        <w:rPr>
          <w:rFonts w:ascii="宋体" w:hAnsi="宋体"/>
          <w:u w:val="single"/>
        </w:rPr>
        <w:t>人民币   元（RMB  元）</w:t>
      </w:r>
      <w:r>
        <w:rPr>
          <w:rFonts w:ascii="宋体" w:hAnsi="宋体"/>
        </w:rPr>
        <w:t>的</w:t>
      </w:r>
      <w:r>
        <w:rPr>
          <w:rFonts w:hint="eastAsia" w:ascii="宋体" w:hAnsi="宋体"/>
        </w:rPr>
        <w:t>无条件、</w:t>
      </w:r>
      <w:r>
        <w:rPr>
          <w:rFonts w:ascii="宋体" w:hAnsi="宋体"/>
          <w:bCs/>
        </w:rPr>
        <w:t>不可撤销</w:t>
      </w:r>
      <w:r>
        <w:rPr>
          <w:rFonts w:ascii="宋体" w:hAnsi="宋体"/>
        </w:rPr>
        <w:t>银行履约保函，作为卖方履行上述合同的担保。</w:t>
      </w:r>
    </w:p>
    <w:p>
      <w:pPr>
        <w:widowControl/>
        <w:spacing w:line="360" w:lineRule="auto"/>
        <w:ind w:firstLine="437"/>
        <w:rPr>
          <w:rFonts w:hAnsi="宋体" w:cs="宋体"/>
          <w:szCs w:val="21"/>
        </w:rPr>
      </w:pPr>
      <w:r>
        <w:rPr>
          <w:rFonts w:hint="eastAsia" w:hAnsi="宋体" w:cs="宋体"/>
          <w:szCs w:val="21"/>
        </w:rPr>
        <w:t>我方</w:t>
      </w:r>
      <w:r>
        <w:rPr>
          <w:rFonts w:hAnsi="宋体" w:cs="宋体"/>
          <w:szCs w:val="21"/>
          <w:u w:val="single"/>
        </w:rPr>
        <w:t xml:space="preserve">     （银行名称）</w:t>
      </w:r>
      <w:r>
        <w:rPr>
          <w:rFonts w:hint="eastAsia" w:hAnsi="宋体" w:cs="宋体"/>
          <w:szCs w:val="21"/>
        </w:rPr>
        <w:t>，受卖方的委托，无条件和不可撤销地在受益人出具本保函原件且提出因卖方没有履行上述合同规定，而要求承担保证责任后，在保函限额内向受益人支付不超过人民币（大写）_________（_______）的款项。在向我行提出要求前，我行将不坚持要求受益人首先向卖方提出上述款项的索赔。</w:t>
      </w:r>
    </w:p>
    <w:p>
      <w:pPr>
        <w:widowControl/>
        <w:spacing w:line="360" w:lineRule="auto"/>
        <w:ind w:firstLine="437"/>
        <w:rPr>
          <w:rFonts w:ascii="宋体" w:hAnsi="宋体"/>
        </w:rPr>
      </w:pPr>
      <w:r>
        <w:rPr>
          <w:rFonts w:ascii="宋体" w:hAnsi="宋体"/>
        </w:rPr>
        <w:t>我方还同意，任何受益人与卖方之间可能对合同条款的修改、规范或其他合同文件的变动补充，都不能免除我方按本保函所承担的责任。因此，有关上述变动、补充和修改无须通知</w:t>
      </w:r>
      <w:r>
        <w:rPr>
          <w:rFonts w:hint="eastAsia" w:ascii="宋体" w:hAnsi="宋体"/>
        </w:rPr>
        <w:t>或征得</w:t>
      </w:r>
      <w:r>
        <w:rPr>
          <w:rFonts w:ascii="宋体" w:hAnsi="宋体"/>
        </w:rPr>
        <w:t>我方</w:t>
      </w:r>
      <w:r>
        <w:rPr>
          <w:rFonts w:hint="eastAsia" w:ascii="宋体" w:hAnsi="宋体"/>
        </w:rPr>
        <w:t>同意</w:t>
      </w:r>
      <w:r>
        <w:rPr>
          <w:rFonts w:ascii="宋体" w:hAnsi="宋体"/>
        </w:rPr>
        <w:t>。</w:t>
      </w:r>
    </w:p>
    <w:p>
      <w:pPr>
        <w:spacing w:line="360" w:lineRule="auto"/>
        <w:ind w:firstLine="437"/>
        <w:rPr>
          <w:rFonts w:ascii="宋体" w:hAnsi="宋体"/>
          <w:szCs w:val="21"/>
        </w:rPr>
      </w:pPr>
      <w:r>
        <w:rPr>
          <w:rFonts w:ascii="宋体" w:hAnsi="宋体"/>
        </w:rPr>
        <w:t>本保函从上述合同签订之日起到</w:t>
      </w:r>
      <w:r>
        <w:rPr>
          <w:rFonts w:hint="eastAsia" w:ascii="宋体" w:hAnsi="宋体"/>
          <w:szCs w:val="21"/>
        </w:rPr>
        <w:t>卖方完成本合同项下全部货物的供货、安装、调试及相关服务，并经受益人最终验收合格，</w:t>
      </w:r>
      <w:r>
        <w:rPr>
          <w:rFonts w:hint="eastAsia" w:ascii="宋体" w:hAnsi="宋体"/>
          <w:kern w:val="0"/>
          <w:szCs w:val="21"/>
        </w:rPr>
        <w:t>项目业主向卖方支付全部货款（除质保金）</w:t>
      </w:r>
      <w:r>
        <w:rPr>
          <w:rFonts w:hint="eastAsia" w:ascii="宋体" w:hAnsi="宋体"/>
          <w:szCs w:val="21"/>
        </w:rPr>
        <w:t>后28日内</w:t>
      </w:r>
      <w:r>
        <w:rPr>
          <w:rFonts w:ascii="宋体" w:hAnsi="宋体"/>
          <w:szCs w:val="21"/>
        </w:rPr>
        <w:t>继续有效</w:t>
      </w:r>
      <w:r>
        <w:rPr>
          <w:rFonts w:hint="eastAsia" w:ascii="宋体" w:hAnsi="宋体"/>
          <w:szCs w:val="21"/>
        </w:rPr>
        <w:t>。</w:t>
      </w:r>
    </w:p>
    <w:p>
      <w:pPr>
        <w:spacing w:line="360" w:lineRule="auto"/>
        <w:ind w:firstLine="437"/>
        <w:rPr>
          <w:rFonts w:ascii="宋体" w:hAnsi="宋体"/>
          <w:szCs w:val="21"/>
        </w:rPr>
      </w:pPr>
      <w:r>
        <w:rPr>
          <w:rFonts w:hint="eastAsia" w:ascii="宋体" w:hAnsi="宋体"/>
          <w:szCs w:val="21"/>
        </w:rPr>
        <w:t xml:space="preserve">（银行联系人：                   银行联系电话：             ） </w:t>
      </w:r>
    </w:p>
    <w:p>
      <w:pPr>
        <w:spacing w:line="360" w:lineRule="auto"/>
        <w:ind w:firstLine="437"/>
        <w:rPr>
          <w:rFonts w:ascii="宋体" w:hAnsi="宋体"/>
        </w:rPr>
      </w:pPr>
      <w:r>
        <w:rPr>
          <w:rFonts w:hint="eastAsia" w:ascii="宋体" w:hAnsi="宋体"/>
          <w:szCs w:val="21"/>
        </w:rPr>
        <w:t xml:space="preserve">                                          </w:t>
      </w:r>
      <w:r>
        <w:rPr>
          <w:rFonts w:ascii="宋体" w:hAnsi="宋体"/>
        </w:rPr>
        <w:t>保证人：（</w:t>
      </w:r>
      <w:r>
        <w:rPr>
          <w:rFonts w:hint="eastAsia" w:ascii="宋体" w:hAnsi="宋体"/>
        </w:rPr>
        <w:t>盖</w:t>
      </w:r>
      <w:r>
        <w:rPr>
          <w:rFonts w:ascii="宋体" w:hAnsi="宋体"/>
        </w:rPr>
        <w:t>章）</w:t>
      </w:r>
      <w:r>
        <w:rPr>
          <w:rFonts w:ascii="宋体" w:hAnsi="宋体"/>
          <w:u w:val="single"/>
        </w:rPr>
        <w:t xml:space="preserve">                     </w:t>
      </w:r>
    </w:p>
    <w:p>
      <w:pPr>
        <w:spacing w:line="360" w:lineRule="auto"/>
        <w:ind w:firstLine="4860"/>
        <w:rPr>
          <w:rFonts w:ascii="宋体" w:hAnsi="宋体"/>
          <w:u w:val="single"/>
        </w:rPr>
      </w:pPr>
      <w:r>
        <w:rPr>
          <w:rFonts w:ascii="宋体" w:hAnsi="宋体"/>
        </w:rPr>
        <w:t>负责人：（签字）</w:t>
      </w:r>
      <w:r>
        <w:rPr>
          <w:rFonts w:ascii="宋体" w:hAnsi="宋体"/>
          <w:u w:val="single"/>
        </w:rPr>
        <w:t xml:space="preserve">                     </w:t>
      </w:r>
    </w:p>
    <w:p>
      <w:pPr>
        <w:spacing w:line="360" w:lineRule="auto"/>
        <w:ind w:firstLine="4860"/>
        <w:rPr>
          <w:rFonts w:ascii="宋体" w:hAnsi="宋体"/>
          <w:u w:val="single"/>
        </w:rPr>
      </w:pPr>
      <w:r>
        <w:rPr>
          <w:rFonts w:ascii="宋体" w:hAnsi="宋体"/>
        </w:rPr>
        <w:t>联系电话：</w:t>
      </w:r>
      <w:r>
        <w:rPr>
          <w:rFonts w:ascii="宋体" w:hAnsi="宋体"/>
          <w:u w:val="single"/>
        </w:rPr>
        <w:t xml:space="preserve">                          </w:t>
      </w:r>
    </w:p>
    <w:p>
      <w:pPr>
        <w:spacing w:line="360" w:lineRule="auto"/>
        <w:ind w:firstLine="4860"/>
        <w:rPr>
          <w:rFonts w:ascii="宋体" w:hAnsi="宋体"/>
        </w:rPr>
      </w:pPr>
      <w:r>
        <w:rPr>
          <w:rFonts w:ascii="宋体" w:hAnsi="宋体"/>
        </w:rPr>
        <w:t>地址：</w:t>
      </w:r>
      <w:r>
        <w:rPr>
          <w:rFonts w:ascii="宋体" w:hAnsi="宋体"/>
          <w:u w:val="single"/>
        </w:rPr>
        <w:t xml:space="preserve">                              </w:t>
      </w:r>
    </w:p>
    <w:p>
      <w:pPr>
        <w:spacing w:line="360" w:lineRule="auto"/>
        <w:ind w:firstLine="4860"/>
        <w:rPr>
          <w:rFonts w:ascii="宋体" w:hAnsi="宋体"/>
          <w:u w:val="single"/>
        </w:rPr>
      </w:pPr>
      <w:r>
        <w:rPr>
          <w:rFonts w:ascii="宋体" w:hAnsi="宋体"/>
        </w:rPr>
        <w:t>日期：</w:t>
      </w:r>
      <w:r>
        <w:rPr>
          <w:rFonts w:ascii="宋体" w:hAnsi="宋体"/>
          <w:u w:val="single"/>
        </w:rPr>
        <w:t xml:space="preserve">                              </w:t>
      </w:r>
    </w:p>
    <w:p>
      <w:pPr>
        <w:spacing w:line="360" w:lineRule="auto"/>
        <w:rPr>
          <w:rFonts w:ascii="宋体" w:hAnsi="宋体" w:cs="宋体"/>
          <w:szCs w:val="21"/>
        </w:rPr>
      </w:pPr>
    </w:p>
    <w:p>
      <w:pPr>
        <w:pStyle w:val="4"/>
        <w:pageBreakBefore/>
        <w:rPr>
          <w:rFonts w:ascii="黑体" w:hAnsi="黑体" w:cs="黑体"/>
          <w:sz w:val="28"/>
          <w:szCs w:val="28"/>
        </w:rPr>
      </w:pPr>
      <w:bookmarkStart w:id="1046" w:name="_Toc3690"/>
      <w:bookmarkStart w:id="1047" w:name="_Toc132814858"/>
      <w:r>
        <w:rPr>
          <w:rFonts w:hint="eastAsia" w:ascii="黑体" w:hAnsi="黑体" w:cs="黑体"/>
          <w:sz w:val="28"/>
          <w:szCs w:val="28"/>
        </w:rPr>
        <w:t>附件</w:t>
      </w:r>
      <w:r>
        <w:rPr>
          <w:rFonts w:ascii="黑体" w:hAnsi="黑体" w:cs="黑体"/>
          <w:sz w:val="28"/>
          <w:szCs w:val="28"/>
        </w:rPr>
        <w:t>4</w:t>
      </w:r>
      <w:r>
        <w:rPr>
          <w:rFonts w:hint="eastAsia" w:ascii="黑体" w:hAnsi="黑体" w:cs="黑体"/>
          <w:sz w:val="28"/>
          <w:szCs w:val="28"/>
        </w:rPr>
        <w:t xml:space="preserve"> 担保公司履约担保书格式</w:t>
      </w:r>
      <w:bookmarkEnd w:id="1046"/>
      <w:bookmarkEnd w:id="1047"/>
    </w:p>
    <w:p>
      <w:pPr>
        <w:spacing w:line="360" w:lineRule="auto"/>
        <w:jc w:val="center"/>
        <w:rPr>
          <w:rFonts w:ascii="宋体" w:hAnsi="宋体"/>
          <w:b/>
          <w:sz w:val="28"/>
          <w:szCs w:val="28"/>
        </w:rPr>
      </w:pPr>
      <w:r>
        <w:rPr>
          <w:rFonts w:hint="eastAsia" w:ascii="宋体" w:hAnsi="宋体"/>
          <w:b/>
          <w:sz w:val="28"/>
          <w:szCs w:val="28"/>
        </w:rPr>
        <w:t>履约担保书</w:t>
      </w:r>
    </w:p>
    <w:p>
      <w:pPr>
        <w:widowControl/>
        <w:spacing w:before="100" w:beforeAutospacing="1" w:after="100" w:afterAutospacing="1" w:line="360" w:lineRule="auto"/>
        <w:rPr>
          <w:rFonts w:ascii="宋体" w:hAnsi="宋体" w:cs="宋体"/>
          <w:szCs w:val="21"/>
        </w:rPr>
      </w:pPr>
      <w:r>
        <w:rPr>
          <w:rFonts w:hint="eastAsia" w:ascii="宋体" w:hAnsi="宋体" w:cs="宋体"/>
          <w:kern w:val="0"/>
          <w:szCs w:val="21"/>
        </w:rPr>
        <w:t>致：</w:t>
      </w:r>
      <w:r>
        <w:rPr>
          <w:rFonts w:hint="eastAsia" w:ascii="宋体" w:hAnsi="宋体" w:cs="宋体"/>
          <w:b/>
          <w:kern w:val="0"/>
          <w:szCs w:val="21"/>
          <w:u w:val="single"/>
        </w:rPr>
        <w:t xml:space="preserve">                    </w:t>
      </w:r>
      <w:r>
        <w:rPr>
          <w:rFonts w:hint="eastAsia" w:ascii="宋体" w:hAnsi="宋体" w:cs="宋体"/>
          <w:kern w:val="0"/>
          <w:szCs w:val="21"/>
        </w:rPr>
        <w:t>（下称“受益人”）</w:t>
      </w:r>
    </w:p>
    <w:p>
      <w:pPr>
        <w:spacing w:line="360" w:lineRule="auto"/>
        <w:ind w:firstLine="437"/>
        <w:rPr>
          <w:rFonts w:ascii="宋体" w:hAnsi="宋体"/>
        </w:rPr>
      </w:pPr>
      <w:r>
        <w:rPr>
          <w:rFonts w:ascii="宋体" w:hAnsi="宋体"/>
        </w:rPr>
        <w:t>鉴于</w:t>
      </w:r>
      <w:r>
        <w:rPr>
          <w:rFonts w:ascii="宋体" w:hAnsi="宋体"/>
          <w:u w:val="single"/>
        </w:rPr>
        <w:t xml:space="preserve">  （卖方的名称与地址）  </w:t>
      </w:r>
      <w:r>
        <w:rPr>
          <w:rFonts w:ascii="宋体" w:hAnsi="宋体"/>
        </w:rPr>
        <w:t>（下称“卖方”），已保证按</w:t>
      </w:r>
      <w:r>
        <w:rPr>
          <w:rFonts w:hint="eastAsia" w:hAnsi="宋体" w:cs="宋体"/>
          <w:szCs w:val="21"/>
        </w:rPr>
        <w:t>拟签订的</w:t>
      </w:r>
      <w:r>
        <w:rPr>
          <w:rFonts w:ascii="宋体" w:hAnsi="宋体"/>
          <w:u w:val="single"/>
        </w:rPr>
        <w:t xml:space="preserve">  </w:t>
      </w:r>
      <w:r>
        <w:rPr>
          <w:rFonts w:hint="eastAsia" w:ascii="宋体" w:hAnsi="宋体"/>
          <w:u w:val="single"/>
        </w:rPr>
        <w:t>项目</w:t>
      </w:r>
      <w:r>
        <w:rPr>
          <w:rFonts w:ascii="宋体" w:hAnsi="宋体"/>
          <w:u w:val="single"/>
        </w:rPr>
        <w:t>名称（招标编号：   ）</w:t>
      </w:r>
      <w:r>
        <w:rPr>
          <w:rFonts w:hint="eastAsia" w:ascii="宋体" w:hAnsi="宋体"/>
        </w:rPr>
        <w:t>合同（招标文件）</w:t>
      </w:r>
      <w:r>
        <w:rPr>
          <w:rFonts w:ascii="宋体" w:hAnsi="宋体"/>
        </w:rPr>
        <w:t>中规定的义务履行合同。</w:t>
      </w:r>
    </w:p>
    <w:p>
      <w:pPr>
        <w:spacing w:line="360" w:lineRule="auto"/>
        <w:ind w:firstLine="436" w:firstLineChars="208"/>
        <w:rPr>
          <w:rFonts w:ascii="宋体" w:hAnsi="宋体"/>
        </w:rPr>
      </w:pPr>
      <w:r>
        <w:rPr>
          <w:rFonts w:ascii="宋体" w:hAnsi="宋体"/>
        </w:rPr>
        <w:t>根据上述合同（招标文件）规定，卖方应向受益人提供一份金额为</w:t>
      </w:r>
      <w:r>
        <w:rPr>
          <w:rFonts w:ascii="宋体" w:hAnsi="宋体"/>
          <w:u w:val="single"/>
        </w:rPr>
        <w:t>人民币   元（RMB  元）</w:t>
      </w:r>
      <w:r>
        <w:rPr>
          <w:rFonts w:ascii="宋体" w:hAnsi="宋体"/>
        </w:rPr>
        <w:t>的</w:t>
      </w:r>
      <w:r>
        <w:rPr>
          <w:rFonts w:hint="eastAsia" w:ascii="宋体" w:hAnsi="宋体"/>
        </w:rPr>
        <w:t>无条件、</w:t>
      </w:r>
      <w:r>
        <w:rPr>
          <w:rFonts w:ascii="宋体" w:hAnsi="宋体"/>
          <w:bCs/>
        </w:rPr>
        <w:t>不可撤销</w:t>
      </w:r>
      <w:r>
        <w:rPr>
          <w:rFonts w:ascii="宋体" w:hAnsi="宋体"/>
        </w:rPr>
        <w:t>履约</w:t>
      </w:r>
      <w:r>
        <w:rPr>
          <w:rFonts w:hint="eastAsia" w:ascii="宋体" w:hAnsi="宋体"/>
        </w:rPr>
        <w:t>担保</w:t>
      </w:r>
      <w:r>
        <w:rPr>
          <w:rFonts w:ascii="宋体" w:hAnsi="宋体"/>
        </w:rPr>
        <w:t>，作为卖方履行上述合同的担保</w:t>
      </w:r>
      <w:r>
        <w:rPr>
          <w:rFonts w:hint="eastAsia" w:ascii="宋体" w:hAnsi="宋体"/>
        </w:rPr>
        <w:t>，</w:t>
      </w:r>
      <w:r>
        <w:rPr>
          <w:rFonts w:hint="eastAsia" w:ascii="宋体" w:hAnsi="宋体" w:cs="宋体"/>
          <w:kern w:val="0"/>
          <w:szCs w:val="21"/>
          <w:lang w:eastAsia="zh-Hans"/>
        </w:rPr>
        <w:t>我方</w:t>
      </w:r>
      <w:r>
        <w:rPr>
          <w:rFonts w:ascii="宋体" w:hAnsi="宋体" w:cs="宋体"/>
          <w:kern w:val="0"/>
          <w:szCs w:val="21"/>
          <w:u w:val="single"/>
        </w:rPr>
        <w:t xml:space="preserve">  </w:t>
      </w:r>
      <w:r>
        <w:rPr>
          <w:rFonts w:ascii="宋体" w:hAnsi="宋体"/>
          <w:kern w:val="0"/>
          <w:szCs w:val="21"/>
          <w:u w:val="single"/>
        </w:rPr>
        <w:t>（</w:t>
      </w:r>
      <w:r>
        <w:rPr>
          <w:rFonts w:hint="eastAsia" w:ascii="宋体" w:hAnsi="宋体"/>
          <w:kern w:val="0"/>
          <w:szCs w:val="21"/>
          <w:u w:val="single"/>
        </w:rPr>
        <w:t>担保公司</w:t>
      </w:r>
      <w:r>
        <w:rPr>
          <w:rFonts w:ascii="宋体" w:hAnsi="宋体"/>
          <w:kern w:val="0"/>
          <w:szCs w:val="21"/>
          <w:u w:val="single"/>
        </w:rPr>
        <w:t>名称）</w:t>
      </w:r>
      <w:r>
        <w:rPr>
          <w:rFonts w:hint="eastAsia" w:ascii="宋体" w:hAnsi="宋体"/>
          <w:kern w:val="0"/>
          <w:szCs w:val="21"/>
          <w:u w:val="single"/>
        </w:rPr>
        <w:t xml:space="preserve">  </w:t>
      </w:r>
      <w:r>
        <w:rPr>
          <w:rFonts w:hint="eastAsia" w:ascii="宋体" w:hAnsi="宋体" w:cs="宋体"/>
          <w:kern w:val="0"/>
          <w:szCs w:val="21"/>
        </w:rPr>
        <w:t>在</w:t>
      </w:r>
      <w:r>
        <w:rPr>
          <w:rFonts w:hint="eastAsia" w:ascii="宋体" w:hAnsi="宋体" w:cs="宋体"/>
          <w:kern w:val="0"/>
          <w:szCs w:val="21"/>
          <w:lang w:eastAsia="zh-Hans"/>
        </w:rPr>
        <w:t>本合同项下的保证责任为连带责任保证</w:t>
      </w:r>
      <w:r>
        <w:rPr>
          <w:rFonts w:ascii="宋体" w:hAnsi="宋体"/>
        </w:rPr>
        <w:t>。</w:t>
      </w:r>
    </w:p>
    <w:p>
      <w:pPr>
        <w:spacing w:line="360" w:lineRule="auto"/>
        <w:ind w:firstLine="437"/>
        <w:rPr>
          <w:rFonts w:hAnsi="宋体" w:cs="宋体"/>
          <w:szCs w:val="21"/>
        </w:rPr>
      </w:pPr>
      <w:r>
        <w:rPr>
          <w:rFonts w:ascii="宋体" w:hAnsi="宋体"/>
        </w:rPr>
        <w:t>我方</w:t>
      </w:r>
      <w:r>
        <w:rPr>
          <w:rFonts w:ascii="宋体" w:hAnsi="宋体"/>
          <w:u w:val="single"/>
        </w:rPr>
        <w:t xml:space="preserve">  （</w:t>
      </w:r>
      <w:r>
        <w:rPr>
          <w:rFonts w:hint="eastAsia" w:ascii="宋体" w:hAnsi="宋体"/>
          <w:u w:val="single"/>
        </w:rPr>
        <w:t>担保公司</w:t>
      </w:r>
      <w:r>
        <w:rPr>
          <w:rFonts w:ascii="宋体" w:hAnsi="宋体"/>
          <w:u w:val="single"/>
        </w:rPr>
        <w:t xml:space="preserve">名称）  </w:t>
      </w:r>
      <w:r>
        <w:rPr>
          <w:rFonts w:ascii="宋体" w:hAnsi="宋体"/>
        </w:rPr>
        <w:t>，受卖方的委托，</w:t>
      </w:r>
      <w:r>
        <w:rPr>
          <w:rFonts w:hint="eastAsia" w:hAnsi="宋体" w:cs="宋体"/>
          <w:szCs w:val="21"/>
        </w:rPr>
        <w:t>无条件和不可撤销地在受益人出具本担保书原件且提出因卖方没有履行上述合同规定，而要求承担保证责任后，在担保书限额内向受益人支付不超过人民币（大写）_________（_______）的款项。</w:t>
      </w:r>
    </w:p>
    <w:p>
      <w:pPr>
        <w:spacing w:line="360" w:lineRule="auto"/>
        <w:ind w:firstLine="437"/>
        <w:rPr>
          <w:rFonts w:ascii="宋体" w:hAnsi="宋体"/>
        </w:rPr>
      </w:pPr>
      <w:r>
        <w:rPr>
          <w:rFonts w:ascii="宋体" w:hAnsi="宋体"/>
        </w:rPr>
        <w:t>我方还同意，任何受益人与卖方之间可能对合同条款的修改、规范或其他合同文件的变动补充，都不能免除我方按本</w:t>
      </w:r>
      <w:r>
        <w:rPr>
          <w:rFonts w:hint="eastAsia" w:ascii="宋体" w:hAnsi="宋体"/>
        </w:rPr>
        <w:t>担保</w:t>
      </w:r>
      <w:r>
        <w:rPr>
          <w:rFonts w:ascii="宋体" w:hAnsi="宋体"/>
        </w:rPr>
        <w:t>函所承担的责任。因此，有关上述变动、补充和修改无须通知</w:t>
      </w:r>
      <w:r>
        <w:rPr>
          <w:rFonts w:hint="eastAsia" w:ascii="宋体" w:hAnsi="宋体"/>
        </w:rPr>
        <w:t>或征得</w:t>
      </w:r>
      <w:r>
        <w:rPr>
          <w:rFonts w:ascii="宋体" w:hAnsi="宋体"/>
        </w:rPr>
        <w:t>我方</w:t>
      </w:r>
      <w:r>
        <w:rPr>
          <w:rFonts w:hint="eastAsia" w:ascii="宋体" w:hAnsi="宋体"/>
        </w:rPr>
        <w:t>同意</w:t>
      </w:r>
      <w:r>
        <w:rPr>
          <w:rFonts w:ascii="宋体" w:hAnsi="宋体"/>
        </w:rPr>
        <w:t>。</w:t>
      </w:r>
    </w:p>
    <w:p>
      <w:pPr>
        <w:spacing w:line="360" w:lineRule="auto"/>
        <w:ind w:firstLine="437"/>
        <w:rPr>
          <w:rFonts w:ascii="宋体" w:hAnsi="宋体"/>
          <w:szCs w:val="21"/>
        </w:rPr>
      </w:pPr>
      <w:r>
        <w:rPr>
          <w:rFonts w:ascii="宋体" w:hAnsi="宋体"/>
        </w:rPr>
        <w:t>本</w:t>
      </w:r>
      <w:r>
        <w:rPr>
          <w:rFonts w:hint="eastAsia" w:ascii="宋体" w:hAnsi="宋体"/>
        </w:rPr>
        <w:t>担保</w:t>
      </w:r>
      <w:r>
        <w:rPr>
          <w:rFonts w:ascii="宋体" w:hAnsi="宋体"/>
        </w:rPr>
        <w:t>从上述合同签订之日起到</w:t>
      </w:r>
      <w:r>
        <w:rPr>
          <w:rFonts w:hint="eastAsia" w:ascii="宋体" w:hAnsi="宋体"/>
          <w:szCs w:val="21"/>
        </w:rPr>
        <w:t>卖方完成本合同项下全部货物的供货、安装、调试及相关服务，并经受益人最终验收合格，</w:t>
      </w:r>
      <w:r>
        <w:rPr>
          <w:rFonts w:hint="eastAsia" w:ascii="宋体" w:hAnsi="宋体"/>
          <w:kern w:val="0"/>
          <w:szCs w:val="21"/>
        </w:rPr>
        <w:t>项目业主向卖方支付全部货款（除质保金）</w:t>
      </w:r>
      <w:r>
        <w:rPr>
          <w:rFonts w:hint="eastAsia" w:ascii="宋体" w:hAnsi="宋体"/>
          <w:szCs w:val="21"/>
        </w:rPr>
        <w:t>后28日内</w:t>
      </w:r>
      <w:r>
        <w:rPr>
          <w:rFonts w:ascii="宋体" w:hAnsi="宋体"/>
          <w:szCs w:val="21"/>
        </w:rPr>
        <w:t>继续有效</w:t>
      </w:r>
      <w:r>
        <w:rPr>
          <w:rFonts w:hint="eastAsia" w:ascii="宋体" w:hAnsi="宋体"/>
          <w:szCs w:val="21"/>
        </w:rPr>
        <w:t>。</w:t>
      </w:r>
    </w:p>
    <w:p>
      <w:pPr>
        <w:spacing w:line="360" w:lineRule="auto"/>
        <w:rPr>
          <w:rFonts w:ascii="宋体" w:hAnsi="宋体"/>
          <w:szCs w:val="21"/>
        </w:rPr>
      </w:pPr>
    </w:p>
    <w:p>
      <w:pPr>
        <w:spacing w:line="360" w:lineRule="auto"/>
        <w:ind w:firstLine="3990" w:firstLineChars="1900"/>
        <w:rPr>
          <w:rFonts w:ascii="宋体" w:hAnsi="宋体"/>
          <w:szCs w:val="21"/>
        </w:rPr>
      </w:pPr>
      <w:r>
        <w:rPr>
          <w:rFonts w:hint="eastAsia" w:ascii="宋体" w:hAnsi="宋体"/>
          <w:szCs w:val="21"/>
        </w:rPr>
        <w:t>法定代表人或其授权的代理人：（签字或盖私章）</w:t>
      </w:r>
    </w:p>
    <w:p>
      <w:pPr>
        <w:spacing w:line="360" w:lineRule="auto"/>
        <w:ind w:firstLine="3990" w:firstLineChars="1900"/>
        <w:rPr>
          <w:rFonts w:ascii="宋体" w:hAnsi="宋体"/>
          <w:szCs w:val="21"/>
        </w:rPr>
      </w:pPr>
      <w:r>
        <w:rPr>
          <w:rFonts w:hint="eastAsia" w:ascii="宋体" w:hAnsi="宋体"/>
          <w:szCs w:val="21"/>
        </w:rPr>
        <w:t>担保公司盖章：</w:t>
      </w:r>
    </w:p>
    <w:p>
      <w:pPr>
        <w:spacing w:line="360" w:lineRule="auto"/>
        <w:ind w:firstLine="3990" w:firstLineChars="1900"/>
        <w:rPr>
          <w:rFonts w:ascii="宋体" w:hAnsi="宋体"/>
          <w:szCs w:val="21"/>
        </w:rPr>
      </w:pPr>
      <w:r>
        <w:rPr>
          <w:rFonts w:hint="eastAsia" w:ascii="宋体" w:hAnsi="宋体"/>
          <w:szCs w:val="21"/>
        </w:rPr>
        <w:t>联系电话：</w:t>
      </w:r>
    </w:p>
    <w:p>
      <w:pPr>
        <w:spacing w:line="360" w:lineRule="auto"/>
        <w:ind w:firstLine="3990" w:firstLineChars="1900"/>
        <w:rPr>
          <w:rFonts w:ascii="宋体" w:hAnsi="宋体"/>
          <w:szCs w:val="21"/>
        </w:rPr>
      </w:pPr>
      <w:r>
        <w:rPr>
          <w:rFonts w:hint="eastAsia" w:ascii="宋体" w:hAnsi="宋体"/>
          <w:szCs w:val="21"/>
        </w:rPr>
        <w:t>地址：</w:t>
      </w:r>
    </w:p>
    <w:p>
      <w:pPr>
        <w:spacing w:line="360" w:lineRule="auto"/>
        <w:ind w:firstLine="3990" w:firstLineChars="1900"/>
        <w:rPr>
          <w:rFonts w:ascii="宋体" w:hAnsi="宋体"/>
          <w:szCs w:val="21"/>
        </w:rPr>
      </w:pPr>
      <w:r>
        <w:rPr>
          <w:rFonts w:hint="eastAsia" w:ascii="宋体" w:hAnsi="宋体"/>
          <w:szCs w:val="21"/>
        </w:rPr>
        <w:t>日期：    年   月   日</w:t>
      </w:r>
    </w:p>
    <w:p>
      <w:pPr>
        <w:pStyle w:val="4"/>
        <w:pageBreakBefore/>
        <w:rPr>
          <w:rFonts w:ascii="黑体" w:hAnsi="黑体" w:cs="黑体"/>
          <w:sz w:val="28"/>
          <w:szCs w:val="28"/>
        </w:rPr>
      </w:pPr>
      <w:bookmarkStart w:id="1048" w:name="_Toc132814859"/>
      <w:bookmarkStart w:id="1049" w:name="_Toc31700"/>
      <w:r>
        <w:rPr>
          <w:rFonts w:hint="eastAsia" w:ascii="黑体" w:hAnsi="黑体" w:cs="黑体"/>
          <w:sz w:val="28"/>
          <w:szCs w:val="28"/>
        </w:rPr>
        <w:t>附件</w:t>
      </w:r>
      <w:r>
        <w:rPr>
          <w:rFonts w:ascii="黑体" w:hAnsi="黑体" w:cs="黑体"/>
          <w:sz w:val="28"/>
          <w:szCs w:val="28"/>
        </w:rPr>
        <w:t>5</w:t>
      </w:r>
      <w:r>
        <w:rPr>
          <w:rFonts w:hint="eastAsia" w:ascii="黑体" w:hAnsi="黑体" w:cs="黑体"/>
          <w:sz w:val="28"/>
          <w:szCs w:val="28"/>
        </w:rPr>
        <w:t xml:space="preserve"> 公证书格式</w:t>
      </w:r>
      <w:bookmarkEnd w:id="1048"/>
      <w:bookmarkEnd w:id="1049"/>
    </w:p>
    <w:p>
      <w:pPr>
        <w:pStyle w:val="27"/>
        <w:spacing w:before="0" w:beforeAutospacing="0" w:after="0" w:afterAutospacing="0" w:line="360" w:lineRule="auto"/>
        <w:jc w:val="center"/>
        <w:rPr>
          <w:sz w:val="28"/>
          <w:szCs w:val="28"/>
        </w:rPr>
      </w:pPr>
      <w:r>
        <w:rPr>
          <w:b/>
          <w:sz w:val="28"/>
          <w:szCs w:val="28"/>
        </w:rPr>
        <w:t>公证书</w:t>
      </w:r>
    </w:p>
    <w:p>
      <w:pPr>
        <w:pStyle w:val="27"/>
        <w:spacing w:before="0" w:beforeAutospacing="0" w:after="0" w:afterAutospacing="0" w:line="360" w:lineRule="auto"/>
        <w:rPr>
          <w:sz w:val="44"/>
          <w:szCs w:val="44"/>
        </w:rPr>
      </w:pPr>
    </w:p>
    <w:p>
      <w:pPr>
        <w:pStyle w:val="27"/>
        <w:spacing w:before="0" w:beforeAutospacing="0" w:after="0" w:afterAutospacing="0" w:line="360" w:lineRule="auto"/>
        <w:jc w:val="right"/>
        <w:rPr>
          <w:sz w:val="21"/>
          <w:szCs w:val="21"/>
        </w:rPr>
      </w:pPr>
      <w:r>
        <w:rPr>
          <w:sz w:val="21"/>
          <w:szCs w:val="21"/>
        </w:rPr>
        <w:t>（ ）××字第××号</w:t>
      </w:r>
    </w:p>
    <w:p>
      <w:pPr>
        <w:pStyle w:val="27"/>
        <w:spacing w:before="0" w:beforeAutospacing="0" w:after="0" w:afterAutospacing="0" w:line="360" w:lineRule="auto"/>
        <w:ind w:firstLine="434" w:firstLineChars="207"/>
        <w:jc w:val="both"/>
        <w:rPr>
          <w:sz w:val="21"/>
          <w:szCs w:val="21"/>
        </w:rPr>
      </w:pPr>
      <w:r>
        <w:rPr>
          <w:sz w:val="21"/>
          <w:szCs w:val="21"/>
        </w:rPr>
        <w:t>兹证明××××（银行或担保公司全称）法定代表人（或法定代表人的代理人）×××于××××年×月×日，在××（签约地点或本公证处），在我的面前，签署了前面的编号为××××的《</w:t>
      </w:r>
      <w:r>
        <w:rPr>
          <w:rFonts w:hint="eastAsia"/>
          <w:sz w:val="21"/>
          <w:szCs w:val="21"/>
        </w:rPr>
        <w:t>不可撤销的银行</w:t>
      </w:r>
      <w:r>
        <w:rPr>
          <w:sz w:val="21"/>
          <w:szCs w:val="21"/>
        </w:rPr>
        <w:t>履约保函》</w:t>
      </w:r>
      <w:r>
        <w:rPr>
          <w:rFonts w:hint="eastAsia"/>
          <w:sz w:val="21"/>
          <w:szCs w:val="21"/>
        </w:rPr>
        <w:t>（或担保公司履约担保书，或预付款银行保函，或银行质量保函）</w:t>
      </w:r>
      <w:r>
        <w:rPr>
          <w:sz w:val="21"/>
          <w:szCs w:val="21"/>
        </w:rPr>
        <w:t>。</w:t>
      </w:r>
    </w:p>
    <w:p>
      <w:pPr>
        <w:pStyle w:val="27"/>
        <w:spacing w:before="0" w:beforeAutospacing="0" w:after="0" w:afterAutospacing="0" w:line="360" w:lineRule="auto"/>
        <w:ind w:firstLine="434" w:firstLineChars="207"/>
        <w:rPr>
          <w:sz w:val="21"/>
          <w:szCs w:val="21"/>
        </w:rPr>
      </w:pPr>
      <w:r>
        <w:rPr>
          <w:sz w:val="21"/>
          <w:szCs w:val="21"/>
        </w:rPr>
        <w:t>经查，</w:t>
      </w:r>
      <w:r>
        <w:rPr>
          <w:rFonts w:hint="eastAsia"/>
          <w:sz w:val="21"/>
          <w:szCs w:val="21"/>
        </w:rPr>
        <w:t>不可撤销的银行履</w:t>
      </w:r>
      <w:r>
        <w:rPr>
          <w:sz w:val="21"/>
          <w:szCs w:val="21"/>
        </w:rPr>
        <w:t>约保函</w:t>
      </w:r>
      <w:r>
        <w:rPr>
          <w:rFonts w:hint="eastAsia"/>
          <w:sz w:val="21"/>
          <w:szCs w:val="21"/>
        </w:rPr>
        <w:t>（或担保公司履约担保书，或预付款银行保函，或银行质量保函）</w:t>
      </w:r>
      <w:r>
        <w:rPr>
          <w:sz w:val="21"/>
          <w:szCs w:val="21"/>
        </w:rPr>
        <w:t>上的签字、印章属实。</w:t>
      </w:r>
    </w:p>
    <w:p>
      <w:pPr>
        <w:pStyle w:val="27"/>
        <w:spacing w:before="0" w:beforeAutospacing="0" w:after="0" w:afterAutospacing="0" w:line="360" w:lineRule="auto"/>
        <w:rPr>
          <w:sz w:val="21"/>
          <w:szCs w:val="21"/>
        </w:rPr>
      </w:pPr>
    </w:p>
    <w:p>
      <w:pPr>
        <w:pStyle w:val="27"/>
        <w:spacing w:before="0" w:beforeAutospacing="0" w:after="0" w:afterAutospacing="0" w:line="360" w:lineRule="auto"/>
        <w:rPr>
          <w:sz w:val="21"/>
          <w:szCs w:val="21"/>
        </w:rPr>
      </w:pPr>
    </w:p>
    <w:p>
      <w:pPr>
        <w:pStyle w:val="27"/>
        <w:spacing w:before="0" w:beforeAutospacing="0" w:after="0" w:afterAutospacing="0" w:line="360" w:lineRule="auto"/>
        <w:rPr>
          <w:sz w:val="21"/>
          <w:szCs w:val="21"/>
        </w:rPr>
      </w:pPr>
    </w:p>
    <w:p>
      <w:pPr>
        <w:pStyle w:val="27"/>
        <w:spacing w:before="0" w:beforeAutospacing="0" w:after="0" w:afterAutospacing="0" w:line="360" w:lineRule="auto"/>
        <w:jc w:val="right"/>
        <w:rPr>
          <w:sz w:val="21"/>
          <w:szCs w:val="21"/>
        </w:rPr>
      </w:pPr>
      <w:r>
        <w:rPr>
          <w:sz w:val="21"/>
          <w:szCs w:val="21"/>
        </w:rPr>
        <w:t>中华人民共和国××省××市（县）公证处</w:t>
      </w:r>
    </w:p>
    <w:p>
      <w:pPr>
        <w:pStyle w:val="27"/>
        <w:spacing w:before="0" w:beforeAutospacing="0" w:after="0" w:afterAutospacing="0" w:line="360" w:lineRule="auto"/>
        <w:ind w:firstLine="5733" w:firstLineChars="2730"/>
        <w:rPr>
          <w:sz w:val="21"/>
          <w:szCs w:val="21"/>
        </w:rPr>
      </w:pPr>
      <w:r>
        <w:rPr>
          <w:sz w:val="21"/>
          <w:szCs w:val="21"/>
        </w:rPr>
        <w:t>公证员 （签名）</w:t>
      </w:r>
    </w:p>
    <w:p>
      <w:pPr>
        <w:spacing w:line="360" w:lineRule="auto"/>
        <w:ind w:firstLine="5775" w:firstLineChars="2750"/>
        <w:rPr>
          <w:rFonts w:ascii="宋体" w:hAnsi="宋体"/>
          <w:szCs w:val="21"/>
        </w:rPr>
      </w:pPr>
      <w:r>
        <w:rPr>
          <w:rFonts w:ascii="宋体" w:hAnsi="宋体"/>
          <w:szCs w:val="21"/>
        </w:rPr>
        <w:t>××××年×月×日</w:t>
      </w: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pStyle w:val="4"/>
        <w:pageBreakBefore/>
        <w:rPr>
          <w:rFonts w:ascii="黑体" w:hAnsi="黑体" w:cs="黑体"/>
          <w:sz w:val="28"/>
          <w:szCs w:val="28"/>
        </w:rPr>
      </w:pPr>
      <w:bookmarkStart w:id="1050" w:name="_Toc12194"/>
      <w:bookmarkStart w:id="1051" w:name="_Toc132814860"/>
      <w:r>
        <w:rPr>
          <w:rFonts w:hint="eastAsia" w:ascii="黑体" w:hAnsi="黑体" w:cs="黑体"/>
          <w:sz w:val="28"/>
          <w:szCs w:val="28"/>
        </w:rPr>
        <w:t>附件</w:t>
      </w:r>
      <w:r>
        <w:rPr>
          <w:rFonts w:ascii="黑体" w:hAnsi="黑体" w:cs="黑体"/>
          <w:sz w:val="28"/>
          <w:szCs w:val="28"/>
        </w:rPr>
        <w:t>6</w:t>
      </w:r>
      <w:r>
        <w:rPr>
          <w:rFonts w:hint="eastAsia" w:ascii="黑体" w:hAnsi="黑体" w:cs="黑体"/>
          <w:sz w:val="28"/>
          <w:szCs w:val="28"/>
        </w:rPr>
        <w:t xml:space="preserve"> 预付款银行保函格式</w:t>
      </w:r>
      <w:bookmarkEnd w:id="1050"/>
      <w:bookmarkEnd w:id="1051"/>
    </w:p>
    <w:p>
      <w:pPr>
        <w:pStyle w:val="27"/>
        <w:spacing w:before="0" w:beforeAutospacing="0" w:after="0" w:afterAutospacing="0" w:line="360" w:lineRule="auto"/>
        <w:jc w:val="center"/>
        <w:rPr>
          <w:b/>
          <w:sz w:val="28"/>
          <w:szCs w:val="28"/>
        </w:rPr>
      </w:pPr>
      <w:r>
        <w:rPr>
          <w:rFonts w:hint="eastAsia"/>
          <w:b/>
          <w:sz w:val="28"/>
          <w:szCs w:val="28"/>
        </w:rPr>
        <w:t>预付款银行保函</w:t>
      </w:r>
    </w:p>
    <w:p>
      <w:pPr>
        <w:spacing w:line="360" w:lineRule="auto"/>
        <w:rPr>
          <w:rFonts w:ascii="宋体" w:hAnsi="宋体"/>
        </w:rPr>
      </w:pPr>
    </w:p>
    <w:p>
      <w:pPr>
        <w:spacing w:line="360" w:lineRule="auto"/>
        <w:ind w:firstLine="6300"/>
        <w:rPr>
          <w:rFonts w:ascii="宋体" w:hAnsi="宋体"/>
          <w:u w:val="single"/>
        </w:rPr>
      </w:pPr>
      <w:r>
        <w:rPr>
          <w:rFonts w:ascii="宋体" w:hAnsi="宋体"/>
        </w:rPr>
        <w:t>银行编号：</w:t>
      </w:r>
      <w:r>
        <w:rPr>
          <w:rFonts w:ascii="宋体" w:hAnsi="宋体"/>
          <w:u w:val="single"/>
        </w:rPr>
        <w:t xml:space="preserve">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（下称“受益人”）</w:t>
      </w:r>
    </w:p>
    <w:p>
      <w:pPr>
        <w:spacing w:line="360" w:lineRule="auto"/>
        <w:ind w:firstLine="48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（卖方全称）(下称“卖方”)与</w:t>
      </w:r>
      <w:r>
        <w:rPr>
          <w:rFonts w:hint="eastAsia" w:ascii="宋体" w:hAnsi="宋体"/>
          <w:szCs w:val="21"/>
          <w:u w:val="single"/>
        </w:rPr>
        <w:t xml:space="preserve">           （</w:t>
      </w:r>
      <w:r>
        <w:rPr>
          <w:rFonts w:hint="eastAsia" w:ascii="宋体" w:hAnsi="宋体"/>
          <w:szCs w:val="21"/>
        </w:rPr>
        <w:t>买方全称）（下称“买方”）、</w:t>
      </w:r>
      <w:r>
        <w:rPr>
          <w:rFonts w:hint="eastAsia" w:ascii="宋体" w:hAnsi="宋体"/>
          <w:szCs w:val="21"/>
          <w:u w:val="single"/>
        </w:rPr>
        <w:t xml:space="preserve">           （</w:t>
      </w:r>
      <w:r>
        <w:rPr>
          <w:rFonts w:hint="eastAsia" w:ascii="宋体" w:hAnsi="宋体"/>
          <w:szCs w:val="21"/>
        </w:rPr>
        <w:t xml:space="preserve">受益人全称）签订 </w:t>
      </w:r>
      <w:r>
        <w:rPr>
          <w:rFonts w:hint="eastAsia" w:ascii="宋体" w:hAnsi="宋体"/>
          <w:szCs w:val="21"/>
          <w:u w:val="single"/>
        </w:rPr>
        <w:t xml:space="preserve">            </w:t>
      </w:r>
      <w:r>
        <w:rPr>
          <w:rFonts w:hint="eastAsia" w:ascii="宋体" w:hAnsi="宋体"/>
          <w:szCs w:val="21"/>
        </w:rPr>
        <w:t>（项目名称）采购合同(编号</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并保证卖方有权获得按合同约定为保证项目按时交货的由买方支付的交货预付款；受益人在合同中要求卖方应通过经认可的银行提交合同指定的与交货预付款等额的担保金额等事实，我行愿意为卖方出具保函，以担保金额人民币(大写)</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)向买方提供无条件、不可撤销的担保。</w:t>
      </w:r>
    </w:p>
    <w:p>
      <w:pPr>
        <w:spacing w:line="360" w:lineRule="auto"/>
        <w:ind w:firstLine="480"/>
        <w:rPr>
          <w:rFonts w:ascii="宋体" w:hAnsi="宋体"/>
          <w:szCs w:val="21"/>
        </w:rPr>
      </w:pPr>
      <w:r>
        <w:rPr>
          <w:rFonts w:hint="eastAsia" w:ascii="宋体" w:hAnsi="宋体"/>
          <w:szCs w:val="21"/>
        </w:rPr>
        <w:t>如果卖方在履行合同过程中发生违约或违背合同约定时，我行保证在担保金额额度内偿还或偿清买方因该项违约或违背所造成的经济损失（无论该事实是否成立），并在接到受益人要求的第</w:t>
      </w:r>
      <w:r>
        <w:rPr>
          <w:rFonts w:hint="eastAsia" w:ascii="宋体" w:hAnsi="宋体"/>
          <w:szCs w:val="21"/>
          <w:u w:val="single"/>
        </w:rPr>
        <w:t xml:space="preserve"> 10 </w:t>
      </w:r>
      <w:r>
        <w:rPr>
          <w:rFonts w:hint="eastAsia" w:ascii="宋体" w:hAnsi="宋体"/>
          <w:szCs w:val="21"/>
        </w:rPr>
        <w:t>天内予以支付。</w:t>
      </w:r>
    </w:p>
    <w:p>
      <w:pPr>
        <w:spacing w:line="360" w:lineRule="auto"/>
        <w:ind w:firstLine="480"/>
        <w:rPr>
          <w:rFonts w:ascii="宋体" w:hAnsi="宋体"/>
          <w:szCs w:val="21"/>
        </w:rPr>
      </w:pPr>
      <w:r>
        <w:rPr>
          <w:rFonts w:hint="eastAsia" w:ascii="宋体" w:hAnsi="宋体"/>
          <w:szCs w:val="21"/>
        </w:rPr>
        <w:t>在向我行提出要求前，我行将不坚持要求受益人首先向卖方提出上述款项的索赔。</w:t>
      </w:r>
    </w:p>
    <w:p>
      <w:pPr>
        <w:spacing w:line="360" w:lineRule="auto"/>
        <w:ind w:firstLine="480"/>
        <w:rPr>
          <w:rFonts w:ascii="宋体" w:hAnsi="宋体"/>
          <w:szCs w:val="21"/>
        </w:rPr>
      </w:pPr>
      <w:r>
        <w:rPr>
          <w:rFonts w:hint="eastAsia" w:ascii="宋体" w:hAnsi="宋体"/>
          <w:szCs w:val="21"/>
        </w:rPr>
        <w:t>我行承诺：无论是否经我行知晓或同意，我行的义务和责任不因受益人、买方与卖方对合同条款所作的任何修改或补充而解除。</w:t>
      </w:r>
    </w:p>
    <w:p>
      <w:pPr>
        <w:spacing w:line="360" w:lineRule="auto"/>
        <w:ind w:firstLine="480"/>
        <w:rPr>
          <w:rFonts w:ascii="宋体" w:hAnsi="宋体"/>
          <w:szCs w:val="21"/>
        </w:rPr>
      </w:pPr>
      <w:r>
        <w:rPr>
          <w:rFonts w:hint="eastAsia" w:ascii="宋体" w:hAnsi="宋体"/>
          <w:szCs w:val="21"/>
        </w:rPr>
        <w:t>本保函在与交货预付款等额的担保金额支付完毕，或合同项下全部货物到达工地现场并经受益人交接验收合格后第30天起失效。</w:t>
      </w:r>
    </w:p>
    <w:p>
      <w:pPr>
        <w:spacing w:line="360" w:lineRule="auto"/>
        <w:ind w:firstLine="480"/>
        <w:rPr>
          <w:rFonts w:ascii="宋体" w:hAnsi="宋体"/>
          <w:szCs w:val="21"/>
        </w:rPr>
      </w:pPr>
      <w:r>
        <w:rPr>
          <w:rFonts w:hint="eastAsia" w:ascii="宋体" w:hAnsi="宋体"/>
          <w:szCs w:val="21"/>
        </w:rPr>
        <w:t>（银行联系人：                   银行联系电话：             ）</w:t>
      </w:r>
    </w:p>
    <w:p>
      <w:pPr>
        <w:spacing w:line="360" w:lineRule="auto"/>
        <w:ind w:firstLine="480"/>
        <w:rPr>
          <w:rFonts w:ascii="宋体" w:hAnsi="宋体"/>
          <w:szCs w:val="21"/>
        </w:rPr>
      </w:pPr>
      <w:r>
        <w:rPr>
          <w:rFonts w:hint="eastAsia" w:ascii="宋体" w:hAnsi="宋体"/>
          <w:szCs w:val="21"/>
        </w:rPr>
        <w:t xml:space="preserve">                  法定代表人或其授权的代理人：</w:t>
      </w:r>
      <w:r>
        <w:rPr>
          <w:rFonts w:hint="eastAsia" w:ascii="宋体" w:hAnsi="宋体"/>
          <w:szCs w:val="21"/>
          <w:u w:val="single"/>
        </w:rPr>
        <w:t xml:space="preserve">       （签字或盖私章）      </w:t>
      </w:r>
    </w:p>
    <w:p>
      <w:pPr>
        <w:spacing w:line="360" w:lineRule="auto"/>
        <w:ind w:firstLine="4200" w:firstLineChars="2000"/>
        <w:rPr>
          <w:rFonts w:ascii="宋体" w:hAnsi="宋体"/>
          <w:szCs w:val="21"/>
        </w:rPr>
      </w:pPr>
      <w:r>
        <w:rPr>
          <w:rFonts w:hint="eastAsia" w:ascii="宋体" w:hAnsi="宋体"/>
          <w:szCs w:val="21"/>
        </w:rPr>
        <w:t>担保银行盖章：</w:t>
      </w:r>
      <w:r>
        <w:rPr>
          <w:rFonts w:hint="eastAsia" w:ascii="宋体" w:hAnsi="宋体"/>
          <w:szCs w:val="21"/>
          <w:u w:val="single"/>
        </w:rPr>
        <w:t xml:space="preserve">                          </w:t>
      </w:r>
    </w:p>
    <w:p>
      <w:pPr>
        <w:spacing w:line="360" w:lineRule="auto"/>
        <w:ind w:firstLine="3990" w:firstLineChars="1900"/>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360" w:lineRule="auto"/>
        <w:ind w:left="5250" w:leftChars="2500" w:firstLine="525" w:firstLineChars="250"/>
        <w:rPr>
          <w:rFonts w:ascii="宋体" w:hAnsi="宋体"/>
          <w:szCs w:val="21"/>
        </w:rPr>
      </w:pPr>
      <w:r>
        <w:rPr>
          <w:rFonts w:hint="eastAsia" w:ascii="宋体" w:hAnsi="宋体"/>
          <w:szCs w:val="21"/>
        </w:rPr>
        <w:t>日期：   年    月   日</w:t>
      </w:r>
    </w:p>
    <w:p>
      <w:pPr>
        <w:spacing w:line="360" w:lineRule="auto"/>
        <w:rPr>
          <w:rFonts w:ascii="宋体" w:hAnsi="宋体"/>
          <w:szCs w:val="21"/>
        </w:rPr>
      </w:pPr>
    </w:p>
    <w:p>
      <w:pPr>
        <w:pStyle w:val="4"/>
        <w:pageBreakBefore/>
        <w:rPr>
          <w:rFonts w:ascii="黑体" w:hAnsi="黑体" w:cs="黑体"/>
          <w:sz w:val="28"/>
          <w:szCs w:val="28"/>
        </w:rPr>
      </w:pPr>
      <w:bookmarkStart w:id="1052" w:name="_Toc132814861"/>
      <w:bookmarkStart w:id="1053" w:name="_Toc25859"/>
      <w:r>
        <w:rPr>
          <w:rFonts w:hint="eastAsia" w:ascii="黑体" w:hAnsi="黑体" w:cs="黑体"/>
          <w:sz w:val="28"/>
          <w:szCs w:val="28"/>
        </w:rPr>
        <w:t>附件</w:t>
      </w:r>
      <w:r>
        <w:rPr>
          <w:rFonts w:ascii="黑体" w:hAnsi="黑体" w:cs="黑体"/>
          <w:sz w:val="28"/>
          <w:szCs w:val="28"/>
        </w:rPr>
        <w:t>7</w:t>
      </w:r>
      <w:r>
        <w:rPr>
          <w:rFonts w:hint="eastAsia" w:ascii="黑体" w:hAnsi="黑体" w:cs="黑体"/>
          <w:sz w:val="28"/>
          <w:szCs w:val="28"/>
        </w:rPr>
        <w:t xml:space="preserve"> 银行质量保函格式</w:t>
      </w:r>
      <w:bookmarkEnd w:id="1052"/>
      <w:bookmarkEnd w:id="1053"/>
    </w:p>
    <w:p>
      <w:pPr>
        <w:pStyle w:val="27"/>
        <w:spacing w:before="0" w:beforeAutospacing="0" w:after="0" w:afterAutospacing="0" w:line="360" w:lineRule="auto"/>
        <w:jc w:val="center"/>
        <w:rPr>
          <w:b/>
          <w:sz w:val="28"/>
          <w:szCs w:val="28"/>
        </w:rPr>
      </w:pPr>
      <w:r>
        <w:rPr>
          <w:rFonts w:hint="eastAsia"/>
          <w:b/>
          <w:sz w:val="28"/>
          <w:szCs w:val="28"/>
        </w:rPr>
        <w:t>银行质量保函</w:t>
      </w:r>
    </w:p>
    <w:p>
      <w:pPr>
        <w:spacing w:line="360" w:lineRule="auto"/>
        <w:rPr>
          <w:rFonts w:ascii="宋体" w:hAnsi="宋体"/>
        </w:rPr>
      </w:pPr>
    </w:p>
    <w:p>
      <w:pPr>
        <w:spacing w:line="360" w:lineRule="auto"/>
        <w:ind w:firstLine="6300"/>
        <w:rPr>
          <w:rFonts w:ascii="宋体" w:hAnsi="宋体"/>
          <w:u w:val="single"/>
        </w:rPr>
      </w:pPr>
      <w:r>
        <w:rPr>
          <w:rFonts w:ascii="宋体" w:hAnsi="宋体"/>
        </w:rPr>
        <w:t>银行编号：</w:t>
      </w:r>
      <w:r>
        <w:rPr>
          <w:rFonts w:ascii="宋体" w:hAnsi="宋体"/>
          <w:u w:val="single"/>
        </w:rPr>
        <w:t xml:space="preserve">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（下称“受益人”）   </w:t>
      </w:r>
    </w:p>
    <w:p>
      <w:pPr>
        <w:spacing w:line="360" w:lineRule="auto"/>
        <w:ind w:firstLine="48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（卖方全称）(下称“卖方”)与</w:t>
      </w:r>
      <w:r>
        <w:rPr>
          <w:rFonts w:hint="eastAsia" w:ascii="宋体" w:hAnsi="宋体"/>
          <w:szCs w:val="21"/>
          <w:u w:val="single"/>
        </w:rPr>
        <w:t xml:space="preserve">           （</w:t>
      </w:r>
      <w:r>
        <w:rPr>
          <w:rFonts w:hint="eastAsia" w:ascii="宋体" w:hAnsi="宋体"/>
          <w:szCs w:val="21"/>
        </w:rPr>
        <w:t>买方全称）(下称“买方”) )、</w:t>
      </w:r>
      <w:r>
        <w:rPr>
          <w:rFonts w:hint="eastAsia" w:ascii="宋体" w:hAnsi="宋体"/>
          <w:szCs w:val="21"/>
          <w:u w:val="single"/>
        </w:rPr>
        <w:t xml:space="preserve">           （</w:t>
      </w:r>
      <w:r>
        <w:rPr>
          <w:rFonts w:hint="eastAsia" w:ascii="宋体" w:hAnsi="宋体"/>
          <w:szCs w:val="21"/>
        </w:rPr>
        <w:t xml:space="preserve">受益人全称）签订 </w:t>
      </w:r>
      <w:r>
        <w:rPr>
          <w:rFonts w:hint="eastAsia" w:ascii="宋体" w:hAnsi="宋体"/>
          <w:szCs w:val="21"/>
          <w:u w:val="single"/>
        </w:rPr>
        <w:t xml:space="preserve">            </w:t>
      </w:r>
      <w:r>
        <w:rPr>
          <w:rFonts w:hint="eastAsia" w:ascii="宋体" w:hAnsi="宋体"/>
          <w:szCs w:val="21"/>
        </w:rPr>
        <w:t>（项目名称）采购合同(编号</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日签署)，并保证卖方有义务按合同约定向受益人提供质量保证、质保期内的售后服务；受益人在合同中要求卖方应通过经认可的银行提交合同指定的合同结算价（含税）的</w:t>
      </w:r>
      <w:r>
        <w:rPr>
          <w:rFonts w:ascii="宋体" w:hAnsi="宋体"/>
          <w:szCs w:val="21"/>
        </w:rPr>
        <w:t>3%</w:t>
      </w:r>
      <w:r>
        <w:rPr>
          <w:rFonts w:hint="eastAsia" w:ascii="宋体" w:hAnsi="宋体"/>
          <w:szCs w:val="21"/>
        </w:rPr>
        <w:t>的担保金额作为质保金等事实，我行愿意为卖方出具保函，以担保金额人民币(大写)</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)向受益人提供无条件、不可撤销的担保。</w:t>
      </w:r>
    </w:p>
    <w:p>
      <w:pPr>
        <w:spacing w:line="360" w:lineRule="auto"/>
        <w:ind w:firstLine="480"/>
        <w:rPr>
          <w:rFonts w:ascii="宋体" w:hAnsi="宋体"/>
          <w:szCs w:val="21"/>
        </w:rPr>
      </w:pPr>
      <w:r>
        <w:rPr>
          <w:rFonts w:hint="eastAsia" w:ascii="宋体" w:hAnsi="宋体"/>
          <w:szCs w:val="21"/>
        </w:rPr>
        <w:t>如果卖方在履行合同过程中发生违约或违背合同约定时，我行保证在担保金额额度内偿还或偿清受益人因该项违约或违背所造成的经济损失（无论该事实是否成立），并在接到受益人要求的第</w:t>
      </w:r>
      <w:r>
        <w:rPr>
          <w:rFonts w:hint="eastAsia" w:ascii="宋体" w:hAnsi="宋体"/>
          <w:szCs w:val="21"/>
          <w:u w:val="single"/>
        </w:rPr>
        <w:t xml:space="preserve"> 10 </w:t>
      </w:r>
      <w:r>
        <w:rPr>
          <w:rFonts w:hint="eastAsia" w:ascii="宋体" w:hAnsi="宋体"/>
          <w:szCs w:val="21"/>
        </w:rPr>
        <w:t>天内予以支付。</w:t>
      </w:r>
    </w:p>
    <w:p>
      <w:pPr>
        <w:spacing w:line="360" w:lineRule="auto"/>
        <w:ind w:firstLine="480"/>
        <w:rPr>
          <w:rFonts w:ascii="宋体" w:hAnsi="宋体"/>
          <w:szCs w:val="21"/>
        </w:rPr>
      </w:pPr>
      <w:r>
        <w:rPr>
          <w:rFonts w:hint="eastAsia" w:ascii="宋体" w:hAnsi="宋体"/>
          <w:szCs w:val="21"/>
        </w:rPr>
        <w:t>在向我行提出要求前，我行将不坚持要求受益人首先向卖方提出上述款项的索赔。</w:t>
      </w:r>
    </w:p>
    <w:p>
      <w:pPr>
        <w:spacing w:line="360" w:lineRule="auto"/>
        <w:ind w:firstLine="480"/>
        <w:rPr>
          <w:rFonts w:ascii="宋体" w:hAnsi="宋体"/>
          <w:szCs w:val="21"/>
        </w:rPr>
      </w:pPr>
      <w:r>
        <w:rPr>
          <w:rFonts w:hint="eastAsia" w:ascii="宋体" w:hAnsi="宋体"/>
          <w:szCs w:val="21"/>
        </w:rPr>
        <w:t>我行承诺：无论是否经我行知晓或同意，我行的义务和责任不因受益人与卖方对合同条款所作的任何修改或补充而解除。</w:t>
      </w:r>
    </w:p>
    <w:p>
      <w:pPr>
        <w:spacing w:line="360" w:lineRule="auto"/>
        <w:ind w:firstLine="480"/>
        <w:rPr>
          <w:rFonts w:ascii="宋体" w:hAnsi="宋体"/>
          <w:szCs w:val="21"/>
        </w:rPr>
      </w:pPr>
      <w:r>
        <w:rPr>
          <w:rFonts w:hint="eastAsia" w:ascii="宋体" w:hAnsi="宋体"/>
          <w:szCs w:val="21"/>
        </w:rPr>
        <w:t>本保函在合同项下全部货物最终验收合格之日起</w:t>
      </w:r>
      <w:r>
        <w:rPr>
          <w:rFonts w:ascii="宋体" w:hAnsi="宋体"/>
          <w:szCs w:val="21"/>
          <w:u w:val="single"/>
        </w:rPr>
        <w:t xml:space="preserve">   </w:t>
      </w:r>
      <w:r>
        <w:rPr>
          <w:rFonts w:hint="eastAsia" w:ascii="宋体" w:hAnsi="宋体"/>
          <w:szCs w:val="21"/>
        </w:rPr>
        <w:t>个月内保持有效（注：保函有效期与卖方承诺的质保期时间保持一致）。</w:t>
      </w:r>
    </w:p>
    <w:p>
      <w:pPr>
        <w:spacing w:line="360" w:lineRule="auto"/>
        <w:ind w:firstLine="480"/>
        <w:rPr>
          <w:rFonts w:ascii="宋体" w:hAnsi="宋体"/>
          <w:szCs w:val="21"/>
        </w:rPr>
      </w:pPr>
      <w:r>
        <w:rPr>
          <w:rFonts w:hint="eastAsia" w:ascii="宋体" w:hAnsi="宋体"/>
          <w:szCs w:val="21"/>
        </w:rPr>
        <w:t>（银行联系人：                   银行联系电话：             ）</w:t>
      </w:r>
    </w:p>
    <w:p>
      <w:pPr>
        <w:spacing w:line="360" w:lineRule="auto"/>
        <w:rPr>
          <w:rFonts w:ascii="宋体" w:hAnsi="宋体"/>
          <w:szCs w:val="21"/>
        </w:rPr>
      </w:pPr>
    </w:p>
    <w:p>
      <w:pPr>
        <w:spacing w:line="360" w:lineRule="auto"/>
        <w:ind w:firstLine="480"/>
        <w:rPr>
          <w:rFonts w:ascii="宋体" w:hAnsi="宋体"/>
          <w:szCs w:val="21"/>
        </w:rPr>
      </w:pPr>
      <w:r>
        <w:rPr>
          <w:rFonts w:hint="eastAsia" w:ascii="宋体" w:hAnsi="宋体"/>
          <w:szCs w:val="21"/>
        </w:rPr>
        <w:t xml:space="preserve">                  法定代表人或其授权的代理人：</w:t>
      </w:r>
      <w:r>
        <w:rPr>
          <w:rFonts w:hint="eastAsia" w:ascii="宋体" w:hAnsi="宋体"/>
          <w:szCs w:val="21"/>
          <w:u w:val="single"/>
        </w:rPr>
        <w:t xml:space="preserve">       （签字或盖私章）      </w:t>
      </w:r>
    </w:p>
    <w:p>
      <w:pPr>
        <w:spacing w:line="360" w:lineRule="auto"/>
        <w:ind w:firstLine="4200" w:firstLineChars="2000"/>
        <w:rPr>
          <w:rFonts w:ascii="宋体" w:hAnsi="宋体"/>
          <w:szCs w:val="21"/>
        </w:rPr>
      </w:pPr>
      <w:r>
        <w:rPr>
          <w:rFonts w:hint="eastAsia" w:ascii="宋体" w:hAnsi="宋体"/>
          <w:szCs w:val="21"/>
        </w:rPr>
        <w:t>担保银行盖章：</w:t>
      </w:r>
      <w:r>
        <w:rPr>
          <w:rFonts w:hint="eastAsia" w:ascii="宋体" w:hAnsi="宋体"/>
          <w:szCs w:val="21"/>
          <w:u w:val="single"/>
        </w:rPr>
        <w:t xml:space="preserve">                          </w:t>
      </w:r>
    </w:p>
    <w:p>
      <w:pPr>
        <w:spacing w:line="360" w:lineRule="auto"/>
        <w:ind w:firstLine="3990" w:firstLineChars="1900"/>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360" w:lineRule="auto"/>
        <w:ind w:left="5250" w:leftChars="2500" w:firstLine="630" w:firstLineChars="300"/>
        <w:rPr>
          <w:rFonts w:ascii="宋体" w:hAnsi="宋体"/>
          <w:szCs w:val="21"/>
        </w:rPr>
      </w:pPr>
      <w:r>
        <w:rPr>
          <w:rFonts w:hint="eastAsia" w:ascii="宋体" w:hAnsi="宋体"/>
          <w:szCs w:val="21"/>
        </w:rPr>
        <w:t xml:space="preserve"> 日期：   年    月   日</w:t>
      </w:r>
    </w:p>
    <w:p>
      <w:pPr>
        <w:rPr>
          <w:rFonts w:ascii="宋体" w:hAnsi="宋体"/>
          <w:szCs w:val="21"/>
        </w:rPr>
        <w:sectPr>
          <w:pgSz w:w="11906" w:h="16838"/>
          <w:pgMar w:top="1440" w:right="1503" w:bottom="1440" w:left="1503" w:header="851" w:footer="992" w:gutter="0"/>
          <w:cols w:space="720" w:num="1"/>
          <w:titlePg/>
          <w:docGrid w:type="lines" w:linePitch="312" w:charSpace="0"/>
        </w:sectPr>
      </w:pPr>
    </w:p>
    <w:p>
      <w:pPr>
        <w:pStyle w:val="4"/>
        <w:pageBreakBefore/>
        <w:jc w:val="left"/>
        <w:rPr>
          <w:rFonts w:ascii="黑体" w:hAnsi="黑体" w:cs="黑体"/>
          <w:sz w:val="28"/>
          <w:szCs w:val="28"/>
        </w:rPr>
      </w:pPr>
      <w:bookmarkStart w:id="1054" w:name="_Toc132814862"/>
      <w:bookmarkStart w:id="1055" w:name="_Toc17328"/>
      <w:r>
        <w:rPr>
          <w:rFonts w:hint="eastAsia" w:ascii="黑体" w:hAnsi="黑体" w:cs="黑体"/>
          <w:sz w:val="28"/>
          <w:szCs w:val="28"/>
        </w:rPr>
        <w:t>附件</w:t>
      </w:r>
      <w:r>
        <w:rPr>
          <w:rFonts w:ascii="黑体" w:hAnsi="黑体" w:cs="黑体"/>
          <w:sz w:val="28"/>
          <w:szCs w:val="28"/>
        </w:rPr>
        <w:t>8</w:t>
      </w:r>
      <w:r>
        <w:rPr>
          <w:rFonts w:hint="eastAsia" w:ascii="黑体" w:hAnsi="黑体" w:cs="黑体"/>
          <w:sz w:val="28"/>
          <w:szCs w:val="28"/>
        </w:rPr>
        <w:t xml:space="preserve"> 交接验收报告格式</w:t>
      </w:r>
      <w:bookmarkEnd w:id="1054"/>
      <w:bookmarkEnd w:id="1055"/>
    </w:p>
    <w:p>
      <w:pPr>
        <w:pStyle w:val="27"/>
        <w:spacing w:before="0" w:beforeAutospacing="0" w:after="0" w:afterAutospacing="0" w:line="360" w:lineRule="auto"/>
        <w:jc w:val="center"/>
        <w:rPr>
          <w:b/>
          <w:sz w:val="28"/>
          <w:szCs w:val="28"/>
        </w:rPr>
      </w:pPr>
      <w:r>
        <w:rPr>
          <w:rFonts w:hint="eastAsia"/>
          <w:b/>
          <w:sz w:val="28"/>
          <w:szCs w:val="28"/>
        </w:rPr>
        <w:t>交接验收报告</w:t>
      </w:r>
    </w:p>
    <w:p>
      <w:pPr>
        <w:ind w:firstLine="210" w:firstLineChars="100"/>
      </w:pPr>
      <w:r>
        <w:rPr>
          <w:rFonts w:hint="eastAsia"/>
        </w:rPr>
        <w:t>合同编号：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684"/>
        <w:gridCol w:w="1080"/>
        <w:gridCol w:w="698"/>
        <w:gridCol w:w="1435"/>
        <w:gridCol w:w="802"/>
        <w:gridCol w:w="716"/>
        <w:gridCol w:w="69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jc w:val="center"/>
            </w:pPr>
            <w:r>
              <w:rPr>
                <w:rFonts w:hint="eastAsia"/>
              </w:rPr>
              <w:t>合同名称</w:t>
            </w:r>
          </w:p>
        </w:tc>
        <w:tc>
          <w:tcPr>
            <w:tcW w:w="73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jc w:val="center"/>
            </w:pPr>
            <w:r>
              <w:rPr>
                <w:rFonts w:hint="eastAsia"/>
              </w:rPr>
              <w:t>项目业主</w:t>
            </w:r>
          </w:p>
        </w:tc>
        <w:tc>
          <w:tcPr>
            <w:tcW w:w="2462" w:type="dxa"/>
            <w:gridSpan w:val="3"/>
            <w:vAlign w:val="center"/>
          </w:tcPr>
          <w:p>
            <w:pPr>
              <w:jc w:val="center"/>
            </w:pPr>
          </w:p>
        </w:tc>
        <w:tc>
          <w:tcPr>
            <w:tcW w:w="1435" w:type="dxa"/>
            <w:vAlign w:val="center"/>
          </w:tcPr>
          <w:p>
            <w:pPr>
              <w:jc w:val="center"/>
            </w:pPr>
            <w:r>
              <w:rPr>
                <w:rFonts w:hint="eastAsia"/>
              </w:rPr>
              <w:t>供货单位</w:t>
            </w:r>
          </w:p>
        </w:tc>
        <w:tc>
          <w:tcPr>
            <w:tcW w:w="3412"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jc w:val="center"/>
            </w:pPr>
            <w:r>
              <w:rPr>
                <w:rFonts w:hint="eastAsia"/>
              </w:rPr>
              <w:t>代建单位</w:t>
            </w:r>
          </w:p>
        </w:tc>
        <w:tc>
          <w:tcPr>
            <w:tcW w:w="2462" w:type="dxa"/>
            <w:gridSpan w:val="3"/>
            <w:vAlign w:val="center"/>
          </w:tcPr>
          <w:p>
            <w:pPr>
              <w:jc w:val="center"/>
            </w:pPr>
          </w:p>
        </w:tc>
        <w:tc>
          <w:tcPr>
            <w:tcW w:w="1435" w:type="dxa"/>
            <w:vAlign w:val="center"/>
          </w:tcPr>
          <w:p>
            <w:pPr>
              <w:jc w:val="center"/>
            </w:pPr>
            <w:r>
              <w:rPr>
                <w:rFonts w:hint="eastAsia"/>
              </w:rPr>
              <w:t>监理单位</w:t>
            </w:r>
          </w:p>
        </w:tc>
        <w:tc>
          <w:tcPr>
            <w:tcW w:w="3412"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jc w:val="center"/>
            </w:pPr>
            <w:r>
              <w:rPr>
                <w:rFonts w:hint="eastAsia"/>
              </w:rPr>
              <w:t>安装单位</w:t>
            </w:r>
          </w:p>
        </w:tc>
        <w:tc>
          <w:tcPr>
            <w:tcW w:w="2462" w:type="dxa"/>
            <w:gridSpan w:val="3"/>
            <w:vAlign w:val="center"/>
          </w:tcPr>
          <w:p>
            <w:pPr>
              <w:jc w:val="center"/>
            </w:pPr>
          </w:p>
        </w:tc>
        <w:tc>
          <w:tcPr>
            <w:tcW w:w="1435" w:type="dxa"/>
            <w:vAlign w:val="center"/>
          </w:tcPr>
          <w:p>
            <w:pPr>
              <w:jc w:val="center"/>
            </w:pPr>
            <w:r>
              <w:rPr>
                <w:rFonts w:hint="eastAsia"/>
              </w:rPr>
              <w:t>设计单位</w:t>
            </w:r>
          </w:p>
        </w:tc>
        <w:tc>
          <w:tcPr>
            <w:tcW w:w="3412"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jc w:val="center"/>
            </w:pPr>
            <w:r>
              <w:rPr>
                <w:rFonts w:hint="eastAsia"/>
              </w:rPr>
              <w:t>日期</w:t>
            </w:r>
          </w:p>
        </w:tc>
        <w:tc>
          <w:tcPr>
            <w:tcW w:w="73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8" w:type="dxa"/>
            <w:vMerge w:val="restart"/>
            <w:vAlign w:val="center"/>
          </w:tcPr>
          <w:p>
            <w:pPr>
              <w:jc w:val="center"/>
            </w:pPr>
            <w:r>
              <w:rPr>
                <w:rFonts w:hint="eastAsia"/>
              </w:rPr>
              <w:t>设备交接验收清单</w:t>
            </w:r>
          </w:p>
        </w:tc>
        <w:tc>
          <w:tcPr>
            <w:tcW w:w="684" w:type="dxa"/>
            <w:vAlign w:val="center"/>
          </w:tcPr>
          <w:p>
            <w:pPr>
              <w:jc w:val="center"/>
            </w:pPr>
            <w:r>
              <w:rPr>
                <w:rFonts w:hint="eastAsia"/>
              </w:rPr>
              <w:t>序号</w:t>
            </w:r>
          </w:p>
        </w:tc>
        <w:tc>
          <w:tcPr>
            <w:tcW w:w="1080" w:type="dxa"/>
            <w:vAlign w:val="center"/>
          </w:tcPr>
          <w:p>
            <w:pPr>
              <w:jc w:val="center"/>
            </w:pPr>
            <w:r>
              <w:rPr>
                <w:rFonts w:hint="eastAsia"/>
              </w:rPr>
              <w:t>货物名称</w:t>
            </w:r>
          </w:p>
        </w:tc>
        <w:tc>
          <w:tcPr>
            <w:tcW w:w="698" w:type="dxa"/>
            <w:vAlign w:val="center"/>
          </w:tcPr>
          <w:p>
            <w:pPr>
              <w:jc w:val="center"/>
            </w:pPr>
            <w:r>
              <w:rPr>
                <w:rFonts w:hint="eastAsia"/>
              </w:rPr>
              <w:t>品牌</w:t>
            </w:r>
          </w:p>
        </w:tc>
        <w:tc>
          <w:tcPr>
            <w:tcW w:w="1435" w:type="dxa"/>
            <w:vAlign w:val="center"/>
          </w:tcPr>
          <w:p>
            <w:pPr>
              <w:jc w:val="center"/>
            </w:pPr>
            <w:r>
              <w:rPr>
                <w:rFonts w:hint="eastAsia"/>
              </w:rPr>
              <w:t>设备型号</w:t>
            </w:r>
          </w:p>
        </w:tc>
        <w:tc>
          <w:tcPr>
            <w:tcW w:w="802" w:type="dxa"/>
            <w:vAlign w:val="center"/>
          </w:tcPr>
          <w:p>
            <w:pPr>
              <w:jc w:val="center"/>
            </w:pPr>
            <w:r>
              <w:rPr>
                <w:rFonts w:hint="eastAsia"/>
              </w:rPr>
              <w:t>产地</w:t>
            </w:r>
          </w:p>
        </w:tc>
        <w:tc>
          <w:tcPr>
            <w:tcW w:w="716" w:type="dxa"/>
            <w:vAlign w:val="center"/>
          </w:tcPr>
          <w:p>
            <w:pPr>
              <w:jc w:val="center"/>
            </w:pPr>
            <w:r>
              <w:rPr>
                <w:rFonts w:hint="eastAsia"/>
              </w:rPr>
              <w:t>单位</w:t>
            </w:r>
          </w:p>
        </w:tc>
        <w:tc>
          <w:tcPr>
            <w:tcW w:w="690" w:type="dxa"/>
            <w:vAlign w:val="center"/>
          </w:tcPr>
          <w:p>
            <w:pPr>
              <w:jc w:val="center"/>
            </w:pPr>
            <w:r>
              <w:rPr>
                <w:rFonts w:hint="eastAsia"/>
              </w:rPr>
              <w:t>数量</w:t>
            </w:r>
          </w:p>
        </w:tc>
        <w:tc>
          <w:tcPr>
            <w:tcW w:w="1204"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Merge w:val="continue"/>
            <w:vAlign w:val="center"/>
          </w:tcPr>
          <w:p>
            <w:pPr>
              <w:jc w:val="center"/>
            </w:pPr>
          </w:p>
        </w:tc>
        <w:tc>
          <w:tcPr>
            <w:tcW w:w="684" w:type="dxa"/>
            <w:vAlign w:val="center"/>
          </w:tcPr>
          <w:p>
            <w:pPr>
              <w:jc w:val="center"/>
            </w:pPr>
            <w:r>
              <w:rPr>
                <w:rFonts w:hint="eastAsia"/>
              </w:rPr>
              <w:t>1</w:t>
            </w:r>
          </w:p>
        </w:tc>
        <w:tc>
          <w:tcPr>
            <w:tcW w:w="1080" w:type="dxa"/>
            <w:vAlign w:val="center"/>
          </w:tcPr>
          <w:p>
            <w:pPr>
              <w:jc w:val="center"/>
            </w:pPr>
          </w:p>
        </w:tc>
        <w:tc>
          <w:tcPr>
            <w:tcW w:w="698" w:type="dxa"/>
            <w:vAlign w:val="center"/>
          </w:tcPr>
          <w:p>
            <w:pPr>
              <w:jc w:val="center"/>
            </w:pPr>
          </w:p>
        </w:tc>
        <w:tc>
          <w:tcPr>
            <w:tcW w:w="1435" w:type="dxa"/>
            <w:vAlign w:val="center"/>
          </w:tcPr>
          <w:p>
            <w:pPr>
              <w:jc w:val="center"/>
            </w:pPr>
          </w:p>
        </w:tc>
        <w:tc>
          <w:tcPr>
            <w:tcW w:w="802" w:type="dxa"/>
            <w:vAlign w:val="center"/>
          </w:tcPr>
          <w:p>
            <w:pPr>
              <w:jc w:val="center"/>
            </w:pPr>
          </w:p>
        </w:tc>
        <w:tc>
          <w:tcPr>
            <w:tcW w:w="716" w:type="dxa"/>
            <w:vAlign w:val="center"/>
          </w:tcPr>
          <w:p>
            <w:pPr>
              <w:jc w:val="center"/>
            </w:pPr>
          </w:p>
        </w:tc>
        <w:tc>
          <w:tcPr>
            <w:tcW w:w="690" w:type="dxa"/>
            <w:vAlign w:val="center"/>
          </w:tcPr>
          <w:p>
            <w:pPr>
              <w:jc w:val="center"/>
            </w:pPr>
          </w:p>
        </w:tc>
        <w:tc>
          <w:tcPr>
            <w:tcW w:w="12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Merge w:val="continue"/>
            <w:vAlign w:val="center"/>
          </w:tcPr>
          <w:p>
            <w:pPr>
              <w:jc w:val="center"/>
            </w:pPr>
          </w:p>
        </w:tc>
        <w:tc>
          <w:tcPr>
            <w:tcW w:w="684" w:type="dxa"/>
            <w:vAlign w:val="center"/>
          </w:tcPr>
          <w:p>
            <w:pPr>
              <w:jc w:val="center"/>
            </w:pPr>
            <w:r>
              <w:rPr>
                <w:rFonts w:hint="eastAsia"/>
              </w:rPr>
              <w:t>2</w:t>
            </w:r>
          </w:p>
        </w:tc>
        <w:tc>
          <w:tcPr>
            <w:tcW w:w="1080" w:type="dxa"/>
            <w:vAlign w:val="center"/>
          </w:tcPr>
          <w:p>
            <w:pPr>
              <w:jc w:val="center"/>
            </w:pPr>
          </w:p>
        </w:tc>
        <w:tc>
          <w:tcPr>
            <w:tcW w:w="698" w:type="dxa"/>
            <w:vAlign w:val="center"/>
          </w:tcPr>
          <w:p>
            <w:pPr>
              <w:jc w:val="center"/>
            </w:pPr>
          </w:p>
        </w:tc>
        <w:tc>
          <w:tcPr>
            <w:tcW w:w="1435" w:type="dxa"/>
            <w:vAlign w:val="center"/>
          </w:tcPr>
          <w:p>
            <w:pPr>
              <w:jc w:val="center"/>
            </w:pPr>
          </w:p>
        </w:tc>
        <w:tc>
          <w:tcPr>
            <w:tcW w:w="802" w:type="dxa"/>
            <w:vAlign w:val="center"/>
          </w:tcPr>
          <w:p>
            <w:pPr>
              <w:jc w:val="center"/>
            </w:pPr>
          </w:p>
        </w:tc>
        <w:tc>
          <w:tcPr>
            <w:tcW w:w="716" w:type="dxa"/>
            <w:vAlign w:val="center"/>
          </w:tcPr>
          <w:p>
            <w:pPr>
              <w:jc w:val="center"/>
            </w:pPr>
          </w:p>
        </w:tc>
        <w:tc>
          <w:tcPr>
            <w:tcW w:w="690" w:type="dxa"/>
            <w:vAlign w:val="center"/>
          </w:tcPr>
          <w:p>
            <w:pPr>
              <w:jc w:val="center"/>
            </w:pPr>
          </w:p>
        </w:tc>
        <w:tc>
          <w:tcPr>
            <w:tcW w:w="12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Merge w:val="continue"/>
            <w:vAlign w:val="center"/>
          </w:tcPr>
          <w:p>
            <w:pPr>
              <w:jc w:val="center"/>
            </w:pPr>
          </w:p>
        </w:tc>
        <w:tc>
          <w:tcPr>
            <w:tcW w:w="684" w:type="dxa"/>
            <w:vAlign w:val="center"/>
          </w:tcPr>
          <w:p>
            <w:pPr>
              <w:jc w:val="center"/>
            </w:pPr>
            <w:r>
              <w:rPr>
                <w:rFonts w:hint="eastAsia"/>
              </w:rPr>
              <w:t>3</w:t>
            </w:r>
          </w:p>
        </w:tc>
        <w:tc>
          <w:tcPr>
            <w:tcW w:w="1080" w:type="dxa"/>
            <w:vAlign w:val="center"/>
          </w:tcPr>
          <w:p>
            <w:pPr>
              <w:jc w:val="center"/>
            </w:pPr>
          </w:p>
        </w:tc>
        <w:tc>
          <w:tcPr>
            <w:tcW w:w="698" w:type="dxa"/>
            <w:vAlign w:val="center"/>
          </w:tcPr>
          <w:p>
            <w:pPr>
              <w:jc w:val="center"/>
            </w:pPr>
          </w:p>
        </w:tc>
        <w:tc>
          <w:tcPr>
            <w:tcW w:w="1435" w:type="dxa"/>
            <w:vAlign w:val="center"/>
          </w:tcPr>
          <w:p>
            <w:pPr>
              <w:jc w:val="center"/>
            </w:pPr>
          </w:p>
        </w:tc>
        <w:tc>
          <w:tcPr>
            <w:tcW w:w="802" w:type="dxa"/>
            <w:vAlign w:val="center"/>
          </w:tcPr>
          <w:p>
            <w:pPr>
              <w:jc w:val="center"/>
            </w:pPr>
          </w:p>
        </w:tc>
        <w:tc>
          <w:tcPr>
            <w:tcW w:w="716" w:type="dxa"/>
            <w:vAlign w:val="center"/>
          </w:tcPr>
          <w:p>
            <w:pPr>
              <w:jc w:val="center"/>
            </w:pPr>
          </w:p>
        </w:tc>
        <w:tc>
          <w:tcPr>
            <w:tcW w:w="690" w:type="dxa"/>
            <w:vAlign w:val="center"/>
          </w:tcPr>
          <w:p>
            <w:pPr>
              <w:jc w:val="center"/>
            </w:pPr>
          </w:p>
        </w:tc>
        <w:tc>
          <w:tcPr>
            <w:tcW w:w="12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Merge w:val="continue"/>
            <w:vAlign w:val="center"/>
          </w:tcPr>
          <w:p>
            <w:pPr>
              <w:jc w:val="center"/>
            </w:pPr>
          </w:p>
        </w:tc>
        <w:tc>
          <w:tcPr>
            <w:tcW w:w="684" w:type="dxa"/>
            <w:vAlign w:val="center"/>
          </w:tcPr>
          <w:p>
            <w:pPr>
              <w:jc w:val="center"/>
            </w:pPr>
            <w:r>
              <w:rPr>
                <w:rFonts w:hint="eastAsia"/>
              </w:rPr>
              <w:t>...</w:t>
            </w:r>
          </w:p>
        </w:tc>
        <w:tc>
          <w:tcPr>
            <w:tcW w:w="1080" w:type="dxa"/>
            <w:vAlign w:val="center"/>
          </w:tcPr>
          <w:p>
            <w:pPr>
              <w:jc w:val="center"/>
            </w:pPr>
          </w:p>
        </w:tc>
        <w:tc>
          <w:tcPr>
            <w:tcW w:w="698" w:type="dxa"/>
            <w:vAlign w:val="center"/>
          </w:tcPr>
          <w:p>
            <w:pPr>
              <w:jc w:val="center"/>
            </w:pPr>
          </w:p>
        </w:tc>
        <w:tc>
          <w:tcPr>
            <w:tcW w:w="1435" w:type="dxa"/>
            <w:vAlign w:val="center"/>
          </w:tcPr>
          <w:p>
            <w:pPr>
              <w:jc w:val="center"/>
            </w:pPr>
          </w:p>
        </w:tc>
        <w:tc>
          <w:tcPr>
            <w:tcW w:w="802" w:type="dxa"/>
            <w:vAlign w:val="center"/>
          </w:tcPr>
          <w:p>
            <w:pPr>
              <w:jc w:val="center"/>
            </w:pPr>
          </w:p>
        </w:tc>
        <w:tc>
          <w:tcPr>
            <w:tcW w:w="716" w:type="dxa"/>
            <w:vAlign w:val="center"/>
          </w:tcPr>
          <w:p>
            <w:pPr>
              <w:jc w:val="center"/>
            </w:pPr>
          </w:p>
        </w:tc>
        <w:tc>
          <w:tcPr>
            <w:tcW w:w="690" w:type="dxa"/>
            <w:vAlign w:val="center"/>
          </w:tcPr>
          <w:p>
            <w:pPr>
              <w:jc w:val="center"/>
            </w:pPr>
          </w:p>
        </w:tc>
        <w:tc>
          <w:tcPr>
            <w:tcW w:w="12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3" w:hRule="atLeast"/>
          <w:jc w:val="center"/>
        </w:trPr>
        <w:tc>
          <w:tcPr>
            <w:tcW w:w="1208" w:type="dxa"/>
            <w:vAlign w:val="center"/>
          </w:tcPr>
          <w:p>
            <w:pPr>
              <w:jc w:val="center"/>
            </w:pPr>
            <w:r>
              <w:rPr>
                <w:rFonts w:hint="eastAsia"/>
              </w:rPr>
              <w:t>设备进场检查情况</w:t>
            </w:r>
          </w:p>
        </w:tc>
        <w:tc>
          <w:tcPr>
            <w:tcW w:w="73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08" w:type="dxa"/>
            <w:vAlign w:val="center"/>
          </w:tcPr>
          <w:p>
            <w:pPr>
              <w:jc w:val="center"/>
            </w:pPr>
            <w:r>
              <w:rPr>
                <w:rFonts w:hint="eastAsia"/>
              </w:rPr>
              <w:t>设备交接验收意见</w:t>
            </w:r>
          </w:p>
        </w:tc>
        <w:tc>
          <w:tcPr>
            <w:tcW w:w="73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7" w:type="dxa"/>
            <w:gridSpan w:val="9"/>
            <w:vAlign w:val="center"/>
          </w:tcPr>
          <w:p>
            <w:r>
              <w:rPr>
                <w:rFonts w:hint="eastAsia"/>
              </w:rPr>
              <w:t>参加交接验收的单位及代表（签章）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208" w:type="dxa"/>
            <w:vAlign w:val="center"/>
          </w:tcPr>
          <w:p>
            <w:pPr>
              <w:jc w:val="center"/>
            </w:pPr>
            <w:r>
              <w:rPr>
                <w:rFonts w:hint="eastAsia"/>
              </w:rPr>
              <w:t>供货单位</w:t>
            </w:r>
          </w:p>
        </w:tc>
        <w:tc>
          <w:tcPr>
            <w:tcW w:w="2462" w:type="dxa"/>
            <w:gridSpan w:val="3"/>
            <w:vAlign w:val="center"/>
          </w:tcPr>
          <w:p>
            <w:pPr>
              <w:jc w:val="center"/>
            </w:pPr>
          </w:p>
        </w:tc>
        <w:tc>
          <w:tcPr>
            <w:tcW w:w="1435" w:type="dxa"/>
            <w:vAlign w:val="center"/>
          </w:tcPr>
          <w:p>
            <w:pPr>
              <w:jc w:val="center"/>
            </w:pPr>
            <w:r>
              <w:rPr>
                <w:rFonts w:hint="eastAsia"/>
              </w:rPr>
              <w:t>监理单位</w:t>
            </w:r>
          </w:p>
        </w:tc>
        <w:tc>
          <w:tcPr>
            <w:tcW w:w="3412"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208" w:type="dxa"/>
            <w:vAlign w:val="center"/>
          </w:tcPr>
          <w:p>
            <w:pPr>
              <w:jc w:val="center"/>
            </w:pPr>
            <w:r>
              <w:rPr>
                <w:rFonts w:hint="eastAsia"/>
              </w:rPr>
              <w:t>安装单位</w:t>
            </w:r>
          </w:p>
        </w:tc>
        <w:tc>
          <w:tcPr>
            <w:tcW w:w="2462" w:type="dxa"/>
            <w:gridSpan w:val="3"/>
            <w:vAlign w:val="center"/>
          </w:tcPr>
          <w:p>
            <w:pPr>
              <w:jc w:val="center"/>
            </w:pPr>
          </w:p>
        </w:tc>
        <w:tc>
          <w:tcPr>
            <w:tcW w:w="1435" w:type="dxa"/>
            <w:vAlign w:val="center"/>
          </w:tcPr>
          <w:p>
            <w:pPr>
              <w:jc w:val="center"/>
            </w:pPr>
            <w:r>
              <w:rPr>
                <w:rFonts w:hint="eastAsia"/>
              </w:rPr>
              <w:t>设计单位</w:t>
            </w:r>
          </w:p>
        </w:tc>
        <w:tc>
          <w:tcPr>
            <w:tcW w:w="3412"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3" w:hRule="atLeast"/>
          <w:jc w:val="center"/>
        </w:trPr>
        <w:tc>
          <w:tcPr>
            <w:tcW w:w="1208" w:type="dxa"/>
            <w:vAlign w:val="center"/>
          </w:tcPr>
          <w:p>
            <w:pPr>
              <w:jc w:val="center"/>
            </w:pPr>
            <w:r>
              <w:rPr>
                <w:rFonts w:hint="eastAsia"/>
              </w:rPr>
              <w:t>代建单位</w:t>
            </w:r>
          </w:p>
        </w:tc>
        <w:tc>
          <w:tcPr>
            <w:tcW w:w="2462" w:type="dxa"/>
            <w:gridSpan w:val="3"/>
            <w:vAlign w:val="center"/>
          </w:tcPr>
          <w:p>
            <w:pPr>
              <w:jc w:val="center"/>
            </w:pPr>
          </w:p>
        </w:tc>
        <w:tc>
          <w:tcPr>
            <w:tcW w:w="1435" w:type="dxa"/>
            <w:vAlign w:val="center"/>
          </w:tcPr>
          <w:p>
            <w:pPr>
              <w:jc w:val="center"/>
            </w:pPr>
            <w:r>
              <w:rPr>
                <w:rFonts w:hint="eastAsia"/>
              </w:rPr>
              <w:t>项目业主</w:t>
            </w:r>
          </w:p>
        </w:tc>
        <w:tc>
          <w:tcPr>
            <w:tcW w:w="3412" w:type="dxa"/>
            <w:gridSpan w:val="4"/>
            <w:vAlign w:val="center"/>
          </w:tcPr>
          <w:p>
            <w:pPr>
              <w:jc w:val="center"/>
            </w:pPr>
          </w:p>
        </w:tc>
      </w:tr>
    </w:tbl>
    <w:p>
      <w:pPr>
        <w:pStyle w:val="5"/>
        <w:rPr>
          <w:b w:val="0"/>
          <w:bCs w:val="0"/>
          <w:szCs w:val="21"/>
        </w:rPr>
        <w:sectPr>
          <w:pgSz w:w="11906" w:h="16838"/>
          <w:pgMar w:top="1440" w:right="1503" w:bottom="1440" w:left="1503" w:header="851" w:footer="992" w:gutter="0"/>
          <w:cols w:space="720" w:num="1"/>
          <w:titlePg/>
          <w:docGrid w:type="lines" w:linePitch="312" w:charSpace="0"/>
        </w:sectPr>
      </w:pPr>
    </w:p>
    <w:p>
      <w:pPr>
        <w:pStyle w:val="4"/>
        <w:pageBreakBefore/>
        <w:jc w:val="left"/>
        <w:rPr>
          <w:rFonts w:ascii="黑体" w:hAnsi="黑体" w:cs="黑体"/>
          <w:sz w:val="28"/>
          <w:szCs w:val="28"/>
        </w:rPr>
      </w:pPr>
      <w:bookmarkStart w:id="1056" w:name="_Toc132814863"/>
      <w:bookmarkStart w:id="1057" w:name="_Toc6058"/>
      <w:r>
        <w:rPr>
          <w:rFonts w:hint="eastAsia" w:ascii="黑体" w:hAnsi="黑体" w:cs="黑体"/>
          <w:sz w:val="28"/>
          <w:szCs w:val="28"/>
        </w:rPr>
        <w:t>附件</w:t>
      </w:r>
      <w:r>
        <w:rPr>
          <w:rFonts w:ascii="黑体" w:hAnsi="黑体" w:cs="黑体"/>
          <w:sz w:val="28"/>
          <w:szCs w:val="28"/>
        </w:rPr>
        <w:t>9</w:t>
      </w:r>
      <w:r>
        <w:rPr>
          <w:rFonts w:hint="eastAsia" w:ascii="黑体" w:hAnsi="黑体" w:cs="黑体"/>
          <w:sz w:val="28"/>
          <w:szCs w:val="28"/>
        </w:rPr>
        <w:t xml:space="preserve"> 最终验收报告格式</w:t>
      </w:r>
      <w:bookmarkEnd w:id="1056"/>
      <w:bookmarkEnd w:id="1057"/>
    </w:p>
    <w:p>
      <w:pPr>
        <w:pStyle w:val="27"/>
        <w:spacing w:before="0" w:beforeAutospacing="0" w:after="0" w:afterAutospacing="0" w:line="360" w:lineRule="auto"/>
        <w:jc w:val="center"/>
        <w:rPr>
          <w:b/>
          <w:sz w:val="28"/>
          <w:szCs w:val="28"/>
        </w:rPr>
      </w:pPr>
      <w:r>
        <w:rPr>
          <w:rFonts w:hint="eastAsia"/>
          <w:b/>
          <w:sz w:val="28"/>
          <w:szCs w:val="28"/>
        </w:rPr>
        <w:t>最终验收报告</w:t>
      </w:r>
    </w:p>
    <w:p>
      <w:r>
        <w:rPr>
          <w:rFonts w:hint="eastAsia"/>
        </w:rPr>
        <w:t>合同编号：                                            验收日期：</w:t>
      </w:r>
    </w:p>
    <w:tbl>
      <w:tblPr>
        <w:tblStyle w:val="29"/>
        <w:tblW w:w="5144" w:type="pct"/>
        <w:tblInd w:w="-37" w:type="dxa"/>
        <w:tblLayout w:type="fixed"/>
        <w:tblCellMar>
          <w:top w:w="0" w:type="dxa"/>
          <w:left w:w="108" w:type="dxa"/>
          <w:bottom w:w="0" w:type="dxa"/>
          <w:right w:w="108" w:type="dxa"/>
        </w:tblCellMar>
      </w:tblPr>
      <w:tblGrid>
        <w:gridCol w:w="586"/>
        <w:gridCol w:w="638"/>
        <w:gridCol w:w="1120"/>
        <w:gridCol w:w="349"/>
        <w:gridCol w:w="790"/>
        <w:gridCol w:w="906"/>
        <w:gridCol w:w="105"/>
        <w:gridCol w:w="193"/>
        <w:gridCol w:w="987"/>
        <w:gridCol w:w="814"/>
        <w:gridCol w:w="542"/>
        <w:gridCol w:w="308"/>
        <w:gridCol w:w="2041"/>
      </w:tblGrid>
      <w:tr>
        <w:tblPrEx>
          <w:tblCellMar>
            <w:top w:w="0" w:type="dxa"/>
            <w:left w:w="108" w:type="dxa"/>
            <w:bottom w:w="0" w:type="dxa"/>
            <w:right w:w="108" w:type="dxa"/>
          </w:tblCellMar>
        </w:tblPrEx>
        <w:trPr>
          <w:trHeight w:val="557" w:hRule="atLeast"/>
        </w:trPr>
        <w:tc>
          <w:tcPr>
            <w:tcW w:w="653" w:type="pct"/>
            <w:gridSpan w:val="2"/>
            <w:tcBorders>
              <w:top w:val="single" w:color="auto" w:sz="8" w:space="0"/>
              <w:left w:val="single" w:color="auto" w:sz="8" w:space="0"/>
              <w:bottom w:val="single" w:color="000000" w:sz="8"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合同名称</w:t>
            </w:r>
          </w:p>
        </w:tc>
        <w:tc>
          <w:tcPr>
            <w:tcW w:w="4347" w:type="pct"/>
            <w:gridSpan w:val="11"/>
            <w:tcBorders>
              <w:top w:val="single" w:color="auto" w:sz="8" w:space="0"/>
              <w:left w:val="single" w:color="auto" w:sz="6" w:space="0"/>
              <w:bottom w:val="single" w:color="000000" w:sz="8" w:space="0"/>
              <w:right w:val="single" w:color="auto" w:sz="8"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67" w:hRule="atLeast"/>
        </w:trPr>
        <w:tc>
          <w:tcPr>
            <w:tcW w:w="653" w:type="pct"/>
            <w:gridSpan w:val="2"/>
            <w:tcBorders>
              <w:top w:val="single" w:color="000000" w:sz="8" w:space="0"/>
              <w:left w:val="single" w:color="000000" w:sz="8"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项目业主</w:t>
            </w:r>
          </w:p>
        </w:tc>
        <w:tc>
          <w:tcPr>
            <w:tcW w:w="1743" w:type="pct"/>
            <w:gridSpan w:val="5"/>
            <w:tcBorders>
              <w:top w:val="single" w:color="000000" w:sz="8"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p>
        </w:tc>
        <w:tc>
          <w:tcPr>
            <w:tcW w:w="629" w:type="pct"/>
            <w:gridSpan w:val="2"/>
            <w:tcBorders>
              <w:top w:val="single" w:color="000000" w:sz="8"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代建单位</w:t>
            </w:r>
          </w:p>
        </w:tc>
        <w:tc>
          <w:tcPr>
            <w:tcW w:w="1975" w:type="pct"/>
            <w:gridSpan w:val="4"/>
            <w:tcBorders>
              <w:top w:val="single" w:color="000000" w:sz="8" w:space="0"/>
              <w:left w:val="single" w:color="auto" w:sz="6" w:space="0"/>
              <w:bottom w:val="single" w:color="auto" w:sz="6" w:space="0"/>
              <w:right w:val="single" w:color="000000" w:sz="8"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56" w:hRule="atLeast"/>
        </w:trPr>
        <w:tc>
          <w:tcPr>
            <w:tcW w:w="653" w:type="pct"/>
            <w:gridSpan w:val="2"/>
            <w:tcBorders>
              <w:top w:val="single" w:color="auto" w:sz="6" w:space="0"/>
              <w:left w:val="single" w:color="000000" w:sz="8"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供货单位</w:t>
            </w:r>
          </w:p>
        </w:tc>
        <w:tc>
          <w:tcPr>
            <w:tcW w:w="1743" w:type="pct"/>
            <w:gridSpan w:val="5"/>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p>
        </w:tc>
        <w:tc>
          <w:tcPr>
            <w:tcW w:w="629" w:type="pct"/>
            <w:gridSpan w:val="2"/>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安装单位</w:t>
            </w:r>
          </w:p>
        </w:tc>
        <w:tc>
          <w:tcPr>
            <w:tcW w:w="1975" w:type="pct"/>
            <w:gridSpan w:val="4"/>
            <w:tcBorders>
              <w:top w:val="single" w:color="auto" w:sz="6" w:space="0"/>
              <w:left w:val="single" w:color="auto" w:sz="6" w:space="0"/>
              <w:bottom w:val="single" w:color="auto" w:sz="6" w:space="0"/>
              <w:right w:val="single" w:color="000000" w:sz="8"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56" w:hRule="atLeast"/>
        </w:trPr>
        <w:tc>
          <w:tcPr>
            <w:tcW w:w="653" w:type="pct"/>
            <w:gridSpan w:val="2"/>
            <w:tcBorders>
              <w:top w:val="single" w:color="auto" w:sz="6" w:space="0"/>
              <w:left w:val="single" w:color="000000" w:sz="8"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设计单位</w:t>
            </w:r>
          </w:p>
        </w:tc>
        <w:tc>
          <w:tcPr>
            <w:tcW w:w="1743" w:type="pct"/>
            <w:gridSpan w:val="5"/>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p>
        </w:tc>
        <w:tc>
          <w:tcPr>
            <w:tcW w:w="629" w:type="pct"/>
            <w:gridSpan w:val="2"/>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监理单位</w:t>
            </w:r>
          </w:p>
        </w:tc>
        <w:tc>
          <w:tcPr>
            <w:tcW w:w="1975" w:type="pct"/>
            <w:gridSpan w:val="4"/>
            <w:tcBorders>
              <w:top w:val="single" w:color="auto" w:sz="6" w:space="0"/>
              <w:left w:val="single" w:color="auto" w:sz="6" w:space="0"/>
              <w:bottom w:val="single" w:color="auto" w:sz="6" w:space="0"/>
              <w:right w:val="single" w:color="000000" w:sz="8"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06" w:hRule="atLeast"/>
        </w:trPr>
        <w:tc>
          <w:tcPr>
            <w:tcW w:w="5000" w:type="pct"/>
            <w:gridSpan w:val="13"/>
            <w:tcBorders>
              <w:top w:val="single" w:color="auto" w:sz="6" w:space="0"/>
              <w:left w:val="single" w:color="000000" w:sz="8" w:space="0"/>
              <w:bottom w:val="single" w:color="auto" w:sz="6" w:space="0"/>
              <w:right w:val="single" w:color="000000" w:sz="8" w:space="0"/>
            </w:tcBorders>
            <w:noWrap/>
            <w:vAlign w:val="center"/>
          </w:tcPr>
          <w:p>
            <w:pPr>
              <w:widowControl/>
              <w:jc w:val="left"/>
              <w:rPr>
                <w:rFonts w:ascii="宋体" w:hAnsi="宋体" w:cs="宋体"/>
                <w:b/>
                <w:kern w:val="0"/>
                <w:szCs w:val="21"/>
              </w:rPr>
            </w:pPr>
            <w:r>
              <w:rPr>
                <w:rFonts w:ascii="宋体" w:hAnsi="宋体" w:cs="宋体"/>
                <w:b/>
                <w:kern w:val="0"/>
                <w:szCs w:val="21"/>
              </w:rPr>
              <w:t>一</w:t>
            </w:r>
            <w:r>
              <w:rPr>
                <w:rFonts w:hint="eastAsia" w:ascii="宋体" w:hAnsi="宋体" w:cs="宋体"/>
                <w:b/>
                <w:kern w:val="0"/>
                <w:szCs w:val="21"/>
              </w:rPr>
              <w:t>、</w:t>
            </w:r>
            <w:r>
              <w:rPr>
                <w:rFonts w:ascii="宋体" w:hAnsi="宋体" w:cs="宋体"/>
                <w:b/>
                <w:kern w:val="0"/>
                <w:szCs w:val="21"/>
              </w:rPr>
              <w:t>验收设备列表</w:t>
            </w:r>
          </w:p>
        </w:tc>
      </w:tr>
      <w:tr>
        <w:tblPrEx>
          <w:tblCellMar>
            <w:top w:w="0" w:type="dxa"/>
            <w:left w:w="108" w:type="dxa"/>
            <w:bottom w:w="0" w:type="dxa"/>
            <w:right w:w="108" w:type="dxa"/>
          </w:tblCellMar>
        </w:tblPrEx>
        <w:trPr>
          <w:trHeight w:val="550" w:hRule="atLeast"/>
        </w:trPr>
        <w:tc>
          <w:tcPr>
            <w:tcW w:w="313" w:type="pct"/>
            <w:tcBorders>
              <w:top w:val="single" w:color="auto" w:sz="6" w:space="0"/>
              <w:left w:val="single" w:color="000000" w:sz="8" w:space="0"/>
              <w:bottom w:val="single" w:color="auto" w:sz="6" w:space="0"/>
              <w:right w:val="single" w:color="auto" w:sz="6" w:space="0"/>
            </w:tcBorders>
            <w:noWrap/>
            <w:vAlign w:val="center"/>
          </w:tcPr>
          <w:p>
            <w:pPr>
              <w:widowControl/>
              <w:ind w:left="-105" w:leftChars="-50" w:right="-105" w:rightChars="-50"/>
              <w:jc w:val="center"/>
              <w:rPr>
                <w:rFonts w:ascii="宋体" w:hAnsi="宋体" w:cs="宋体"/>
                <w:kern w:val="0"/>
                <w:szCs w:val="21"/>
              </w:rPr>
            </w:pPr>
            <w:r>
              <w:rPr>
                <w:rFonts w:hint="eastAsia" w:ascii="宋体" w:hAnsi="宋体" w:cs="宋体"/>
                <w:kern w:val="0"/>
                <w:szCs w:val="21"/>
              </w:rPr>
              <w:t>序号</w:t>
            </w:r>
          </w:p>
        </w:tc>
        <w:tc>
          <w:tcPr>
            <w:tcW w:w="1123" w:type="pct"/>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货物</w:t>
            </w:r>
            <w:r>
              <w:rPr>
                <w:rFonts w:ascii="宋体" w:hAnsi="宋体" w:cs="宋体"/>
                <w:kern w:val="0"/>
                <w:szCs w:val="21"/>
              </w:rPr>
              <w:t>名称</w:t>
            </w:r>
          </w:p>
        </w:tc>
        <w:tc>
          <w:tcPr>
            <w:tcW w:w="4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品牌</w:t>
            </w:r>
          </w:p>
        </w:tc>
        <w:tc>
          <w:tcPr>
            <w:tcW w:w="48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产地</w:t>
            </w:r>
          </w:p>
        </w:tc>
        <w:tc>
          <w:tcPr>
            <w:tcW w:w="684" w:type="pct"/>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设备型号</w:t>
            </w:r>
          </w:p>
        </w:tc>
        <w:tc>
          <w:tcPr>
            <w:tcW w:w="43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45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088" w:type="pct"/>
            <w:tcBorders>
              <w:top w:val="single" w:color="auto" w:sz="6" w:space="0"/>
              <w:left w:val="single" w:color="auto" w:sz="6" w:space="0"/>
              <w:bottom w:val="single" w:color="auto" w:sz="6" w:space="0"/>
              <w:right w:val="single" w:color="000000" w:sz="8" w:space="0"/>
            </w:tcBorders>
            <w:vAlign w:val="center"/>
          </w:tcPr>
          <w:p>
            <w:pPr>
              <w:widowControl/>
              <w:jc w:val="center"/>
              <w:rPr>
                <w:rFonts w:ascii="宋体" w:hAnsi="宋体" w:cs="宋体"/>
                <w:kern w:val="0"/>
                <w:szCs w:val="21"/>
              </w:rPr>
            </w:pPr>
            <w:r>
              <w:rPr>
                <w:rFonts w:hint="eastAsia" w:ascii="宋体" w:hAnsi="宋体" w:cs="宋体"/>
                <w:kern w:val="0"/>
                <w:szCs w:val="21"/>
              </w:rPr>
              <w:t>安装</w:t>
            </w:r>
            <w:r>
              <w:rPr>
                <w:rFonts w:ascii="宋体" w:hAnsi="宋体" w:cs="宋体"/>
                <w:kern w:val="0"/>
                <w:szCs w:val="21"/>
              </w:rPr>
              <w:t>位置</w:t>
            </w:r>
          </w:p>
        </w:tc>
      </w:tr>
      <w:tr>
        <w:tblPrEx>
          <w:tblCellMar>
            <w:top w:w="0" w:type="dxa"/>
            <w:left w:w="108" w:type="dxa"/>
            <w:bottom w:w="0" w:type="dxa"/>
            <w:right w:w="108" w:type="dxa"/>
          </w:tblCellMar>
        </w:tblPrEx>
        <w:trPr>
          <w:trHeight w:val="521" w:hRule="atLeast"/>
        </w:trPr>
        <w:tc>
          <w:tcPr>
            <w:tcW w:w="313" w:type="pct"/>
            <w:tcBorders>
              <w:top w:val="single" w:color="auto" w:sz="6" w:space="0"/>
              <w:left w:val="single" w:color="000000" w:sz="8" w:space="0"/>
              <w:bottom w:val="single" w:color="auto" w:sz="6" w:space="0"/>
              <w:right w:val="single" w:color="auto" w:sz="6" w:space="0"/>
            </w:tcBorders>
            <w:noWrap/>
            <w:vAlign w:val="center"/>
          </w:tcPr>
          <w:p>
            <w:pPr>
              <w:widowControl/>
              <w:ind w:left="-105" w:leftChars="-50" w:right="-105" w:rightChars="-50"/>
              <w:jc w:val="center"/>
              <w:rPr>
                <w:rFonts w:ascii="宋体" w:hAnsi="宋体" w:cs="宋体"/>
                <w:kern w:val="0"/>
                <w:szCs w:val="21"/>
              </w:rPr>
            </w:pPr>
            <w:r>
              <w:rPr>
                <w:rFonts w:hint="eastAsia" w:ascii="宋体" w:hAnsi="宋体" w:cs="宋体"/>
                <w:kern w:val="0"/>
                <w:szCs w:val="21"/>
              </w:rPr>
              <w:t>1</w:t>
            </w:r>
          </w:p>
        </w:tc>
        <w:tc>
          <w:tcPr>
            <w:tcW w:w="1123"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2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8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684" w:type="pct"/>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434" w:type="pct"/>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453" w:type="pct"/>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1088" w:type="pct"/>
            <w:tcBorders>
              <w:top w:val="single" w:color="auto" w:sz="6" w:space="0"/>
              <w:left w:val="single" w:color="auto" w:sz="6" w:space="0"/>
              <w:bottom w:val="single" w:color="auto" w:sz="6" w:space="0"/>
              <w:right w:val="single" w:color="000000" w:sz="8" w:space="0"/>
            </w:tcBorders>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21" w:hRule="atLeast"/>
        </w:trPr>
        <w:tc>
          <w:tcPr>
            <w:tcW w:w="313" w:type="pct"/>
            <w:tcBorders>
              <w:top w:val="single" w:color="auto" w:sz="6" w:space="0"/>
              <w:left w:val="single" w:color="000000" w:sz="8" w:space="0"/>
              <w:bottom w:val="single" w:color="auto" w:sz="6" w:space="0"/>
              <w:right w:val="single" w:color="auto" w:sz="6" w:space="0"/>
            </w:tcBorders>
            <w:noWrap/>
            <w:vAlign w:val="center"/>
          </w:tcPr>
          <w:p>
            <w:pPr>
              <w:widowControl/>
              <w:ind w:left="-105" w:leftChars="-50" w:right="-105" w:rightChars="-50"/>
              <w:jc w:val="center"/>
              <w:rPr>
                <w:rFonts w:ascii="宋体" w:hAnsi="宋体" w:cs="宋体"/>
                <w:kern w:val="0"/>
                <w:szCs w:val="21"/>
              </w:rPr>
            </w:pPr>
            <w:r>
              <w:rPr>
                <w:rFonts w:hint="eastAsia" w:ascii="宋体" w:hAnsi="宋体" w:cs="宋体"/>
                <w:kern w:val="0"/>
                <w:szCs w:val="21"/>
              </w:rPr>
              <w:t>2</w:t>
            </w:r>
          </w:p>
        </w:tc>
        <w:tc>
          <w:tcPr>
            <w:tcW w:w="1123"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2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8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684" w:type="pct"/>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434" w:type="pct"/>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453" w:type="pct"/>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1088" w:type="pct"/>
            <w:tcBorders>
              <w:top w:val="single" w:color="auto" w:sz="6" w:space="0"/>
              <w:left w:val="single" w:color="auto" w:sz="6" w:space="0"/>
              <w:bottom w:val="single" w:color="auto" w:sz="6" w:space="0"/>
              <w:right w:val="single" w:color="000000" w:sz="8" w:space="0"/>
            </w:tcBorders>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21" w:hRule="atLeast"/>
        </w:trPr>
        <w:tc>
          <w:tcPr>
            <w:tcW w:w="313" w:type="pct"/>
            <w:tcBorders>
              <w:top w:val="single" w:color="auto" w:sz="6" w:space="0"/>
              <w:left w:val="single" w:color="000000" w:sz="8" w:space="0"/>
              <w:bottom w:val="single" w:color="auto" w:sz="6" w:space="0"/>
              <w:right w:val="single" w:color="auto" w:sz="6" w:space="0"/>
            </w:tcBorders>
            <w:noWrap/>
            <w:vAlign w:val="center"/>
          </w:tcPr>
          <w:p>
            <w:pPr>
              <w:widowControl/>
              <w:ind w:left="-105" w:leftChars="-50" w:right="-105" w:rightChars="-50"/>
              <w:jc w:val="center"/>
              <w:rPr>
                <w:rFonts w:ascii="宋体" w:hAnsi="宋体" w:cs="宋体"/>
                <w:kern w:val="0"/>
                <w:szCs w:val="21"/>
              </w:rPr>
            </w:pPr>
            <w:r>
              <w:rPr>
                <w:rFonts w:hint="eastAsia" w:ascii="宋体" w:hAnsi="宋体" w:cs="宋体"/>
                <w:kern w:val="0"/>
                <w:szCs w:val="21"/>
              </w:rPr>
              <w:t>3</w:t>
            </w:r>
          </w:p>
        </w:tc>
        <w:tc>
          <w:tcPr>
            <w:tcW w:w="1123"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2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8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684" w:type="pct"/>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434" w:type="pct"/>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453" w:type="pct"/>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1088" w:type="pct"/>
            <w:tcBorders>
              <w:top w:val="single" w:color="auto" w:sz="6" w:space="0"/>
              <w:left w:val="single" w:color="auto" w:sz="6" w:space="0"/>
              <w:bottom w:val="single" w:color="auto" w:sz="6" w:space="0"/>
              <w:right w:val="single" w:color="000000" w:sz="8" w:space="0"/>
            </w:tcBorders>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21" w:hRule="atLeast"/>
        </w:trPr>
        <w:tc>
          <w:tcPr>
            <w:tcW w:w="313" w:type="pct"/>
            <w:tcBorders>
              <w:top w:val="single" w:color="auto" w:sz="6" w:space="0"/>
              <w:left w:val="single" w:color="000000" w:sz="8" w:space="0"/>
              <w:bottom w:val="single" w:color="auto" w:sz="6" w:space="0"/>
              <w:right w:val="single" w:color="auto" w:sz="6" w:space="0"/>
            </w:tcBorders>
            <w:noWrap/>
            <w:vAlign w:val="center"/>
          </w:tcPr>
          <w:p>
            <w:pPr>
              <w:widowControl/>
              <w:ind w:left="-105" w:leftChars="-50" w:right="-105" w:rightChars="-50"/>
              <w:jc w:val="center"/>
              <w:rPr>
                <w:rFonts w:ascii="宋体" w:hAnsi="宋体" w:cs="宋体"/>
                <w:kern w:val="0"/>
                <w:szCs w:val="21"/>
              </w:rPr>
            </w:pPr>
            <w:r>
              <w:rPr>
                <w:rFonts w:hint="eastAsia" w:ascii="宋体" w:hAnsi="宋体" w:cs="宋体"/>
                <w:kern w:val="0"/>
                <w:szCs w:val="21"/>
              </w:rPr>
              <w:t>...</w:t>
            </w:r>
          </w:p>
        </w:tc>
        <w:tc>
          <w:tcPr>
            <w:tcW w:w="1123"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2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48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684" w:type="pct"/>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p>
        </w:tc>
        <w:tc>
          <w:tcPr>
            <w:tcW w:w="434" w:type="pct"/>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453" w:type="pct"/>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p>
        </w:tc>
        <w:tc>
          <w:tcPr>
            <w:tcW w:w="1088" w:type="pct"/>
            <w:tcBorders>
              <w:top w:val="single" w:color="auto" w:sz="6" w:space="0"/>
              <w:left w:val="single" w:color="auto" w:sz="6" w:space="0"/>
              <w:bottom w:val="single" w:color="auto" w:sz="6" w:space="0"/>
              <w:right w:val="single" w:color="000000" w:sz="8"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5000" w:type="pct"/>
            <w:gridSpan w:val="13"/>
            <w:tcBorders>
              <w:left w:val="single" w:color="000000" w:sz="8" w:space="0"/>
              <w:right w:val="single" w:color="000000" w:sz="8" w:space="0"/>
            </w:tcBorders>
          </w:tcPr>
          <w:p>
            <w:pPr>
              <w:spacing w:line="360" w:lineRule="auto"/>
              <w:rPr>
                <w:b/>
                <w:szCs w:val="21"/>
              </w:rPr>
            </w:pPr>
            <w:r>
              <w:rPr>
                <w:rFonts w:hint="eastAsia"/>
                <w:b/>
                <w:szCs w:val="21"/>
              </w:rPr>
              <w:t>二、</w:t>
            </w:r>
            <w:r>
              <w:rPr>
                <w:b/>
                <w:szCs w:val="21"/>
              </w:rPr>
              <w:t>随机资料</w:t>
            </w:r>
          </w:p>
          <w:p>
            <w:pPr>
              <w:spacing w:line="360" w:lineRule="auto"/>
              <w:rPr>
                <w:szCs w:val="21"/>
              </w:rPr>
            </w:pPr>
            <w:r>
              <w:rPr>
                <w:rFonts w:hint="eastAsia"/>
                <w:szCs w:val="21"/>
              </w:rPr>
              <w:t>1、产品合格证及出厂检验报告：  份；</w:t>
            </w:r>
          </w:p>
          <w:p>
            <w:pPr>
              <w:spacing w:line="360" w:lineRule="auto"/>
              <w:rPr>
                <w:szCs w:val="21"/>
              </w:rPr>
            </w:pPr>
            <w:r>
              <w:rPr>
                <w:rFonts w:hint="eastAsia"/>
                <w:szCs w:val="21"/>
              </w:rPr>
              <w:t>2、安装使用说明书：  份。</w:t>
            </w:r>
          </w:p>
          <w:p>
            <w:pPr>
              <w:spacing w:line="360" w:lineRule="auto"/>
              <w:rPr>
                <w:b/>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5" w:hRule="atLeast"/>
        </w:trPr>
        <w:tc>
          <w:tcPr>
            <w:tcW w:w="5000" w:type="pct"/>
            <w:gridSpan w:val="13"/>
            <w:tcBorders>
              <w:left w:val="single" w:color="000000" w:sz="8" w:space="0"/>
              <w:right w:val="single" w:color="000000" w:sz="8" w:space="0"/>
            </w:tcBorders>
          </w:tcPr>
          <w:p>
            <w:pPr>
              <w:spacing w:line="360" w:lineRule="auto"/>
              <w:rPr>
                <w:b/>
                <w:szCs w:val="21"/>
              </w:rPr>
            </w:pPr>
            <w:r>
              <w:rPr>
                <w:rFonts w:hint="eastAsia"/>
                <w:b/>
                <w:szCs w:val="21"/>
              </w:rPr>
              <w:t>三、</w:t>
            </w:r>
            <w:r>
              <w:rPr>
                <w:b/>
                <w:szCs w:val="21"/>
              </w:rPr>
              <w:t>备品备件</w:t>
            </w:r>
            <w:r>
              <w:rPr>
                <w:rFonts w:hint="eastAsia"/>
                <w:b/>
                <w:szCs w:val="21"/>
              </w:rPr>
              <w:t>、</w:t>
            </w:r>
            <w:r>
              <w:rPr>
                <w:b/>
                <w:szCs w:val="21"/>
              </w:rPr>
              <w:t>专用工具</w:t>
            </w:r>
          </w:p>
          <w:p>
            <w:pPr>
              <w:spacing w:line="360" w:lineRule="auto"/>
              <w:rPr>
                <w:b/>
                <w:szCs w:val="21"/>
              </w:rPr>
            </w:pPr>
          </w:p>
          <w:tbl>
            <w:tblPr>
              <w:tblStyle w:val="29"/>
              <w:tblW w:w="823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37"/>
              <w:gridCol w:w="743"/>
              <w:gridCol w:w="662"/>
              <w:gridCol w:w="1692"/>
              <w:gridCol w:w="729"/>
              <w:gridCol w:w="730"/>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序号</w:t>
                  </w:r>
                </w:p>
              </w:tc>
              <w:tc>
                <w:tcPr>
                  <w:tcW w:w="1337" w:type="dxa"/>
                </w:tcPr>
                <w:p>
                  <w:pPr>
                    <w:spacing w:line="360" w:lineRule="auto"/>
                    <w:jc w:val="center"/>
                    <w:rPr>
                      <w:szCs w:val="21"/>
                    </w:rPr>
                  </w:pPr>
                  <w:r>
                    <w:rPr>
                      <w:rFonts w:hint="eastAsia"/>
                      <w:szCs w:val="21"/>
                    </w:rPr>
                    <w:t>货物名称</w:t>
                  </w:r>
                </w:p>
              </w:tc>
              <w:tc>
                <w:tcPr>
                  <w:tcW w:w="743" w:type="dxa"/>
                </w:tcPr>
                <w:p>
                  <w:pPr>
                    <w:spacing w:line="360" w:lineRule="auto"/>
                    <w:jc w:val="center"/>
                    <w:rPr>
                      <w:szCs w:val="21"/>
                    </w:rPr>
                  </w:pPr>
                  <w:r>
                    <w:rPr>
                      <w:rFonts w:hint="eastAsia"/>
                      <w:szCs w:val="21"/>
                    </w:rPr>
                    <w:t>品牌</w:t>
                  </w:r>
                </w:p>
              </w:tc>
              <w:tc>
                <w:tcPr>
                  <w:tcW w:w="662" w:type="dxa"/>
                </w:tcPr>
                <w:p>
                  <w:pPr>
                    <w:spacing w:line="360" w:lineRule="auto"/>
                    <w:jc w:val="center"/>
                    <w:rPr>
                      <w:szCs w:val="21"/>
                    </w:rPr>
                  </w:pPr>
                  <w:r>
                    <w:rPr>
                      <w:rFonts w:hint="eastAsia"/>
                      <w:szCs w:val="21"/>
                    </w:rPr>
                    <w:t>产地</w:t>
                  </w:r>
                </w:p>
              </w:tc>
              <w:tc>
                <w:tcPr>
                  <w:tcW w:w="1692" w:type="dxa"/>
                </w:tcPr>
                <w:p>
                  <w:pPr>
                    <w:spacing w:line="360" w:lineRule="auto"/>
                    <w:jc w:val="center"/>
                    <w:rPr>
                      <w:szCs w:val="21"/>
                    </w:rPr>
                  </w:pPr>
                  <w:r>
                    <w:rPr>
                      <w:rFonts w:hint="eastAsia"/>
                      <w:szCs w:val="21"/>
                    </w:rPr>
                    <w:t>型号</w:t>
                  </w:r>
                </w:p>
              </w:tc>
              <w:tc>
                <w:tcPr>
                  <w:tcW w:w="729" w:type="dxa"/>
                </w:tcPr>
                <w:p>
                  <w:pPr>
                    <w:spacing w:line="360" w:lineRule="auto"/>
                    <w:jc w:val="center"/>
                    <w:rPr>
                      <w:szCs w:val="21"/>
                    </w:rPr>
                  </w:pPr>
                  <w:r>
                    <w:rPr>
                      <w:rFonts w:hint="eastAsia"/>
                      <w:szCs w:val="21"/>
                    </w:rPr>
                    <w:t>单位</w:t>
                  </w:r>
                </w:p>
              </w:tc>
              <w:tc>
                <w:tcPr>
                  <w:tcW w:w="730" w:type="dxa"/>
                </w:tcPr>
                <w:p>
                  <w:pPr>
                    <w:spacing w:line="360" w:lineRule="auto"/>
                    <w:jc w:val="center"/>
                    <w:rPr>
                      <w:szCs w:val="21"/>
                    </w:rPr>
                  </w:pPr>
                  <w:r>
                    <w:rPr>
                      <w:rFonts w:hint="eastAsia"/>
                      <w:szCs w:val="21"/>
                    </w:rPr>
                    <w:t>数量</w:t>
                  </w:r>
                </w:p>
              </w:tc>
              <w:tc>
                <w:tcPr>
                  <w:tcW w:w="1683" w:type="dxa"/>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一</w:t>
                  </w:r>
                </w:p>
              </w:tc>
              <w:tc>
                <w:tcPr>
                  <w:tcW w:w="1337" w:type="dxa"/>
                </w:tcPr>
                <w:p>
                  <w:pPr>
                    <w:spacing w:line="360" w:lineRule="auto"/>
                    <w:jc w:val="center"/>
                    <w:rPr>
                      <w:szCs w:val="21"/>
                    </w:rPr>
                  </w:pPr>
                  <w:r>
                    <w:rPr>
                      <w:rFonts w:hint="eastAsia"/>
                      <w:szCs w:val="21"/>
                    </w:rPr>
                    <w:t>备品备件</w:t>
                  </w:r>
                </w:p>
              </w:tc>
              <w:tc>
                <w:tcPr>
                  <w:tcW w:w="743" w:type="dxa"/>
                </w:tcPr>
                <w:p>
                  <w:pPr>
                    <w:spacing w:line="360" w:lineRule="auto"/>
                    <w:jc w:val="center"/>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2</w:t>
                  </w:r>
                </w:p>
              </w:tc>
              <w:tc>
                <w:tcPr>
                  <w:tcW w:w="1337" w:type="dxa"/>
                </w:tcPr>
                <w:p>
                  <w:pPr>
                    <w:spacing w:line="360" w:lineRule="auto"/>
                    <w:jc w:val="center"/>
                    <w:rPr>
                      <w:szCs w:val="21"/>
                    </w:rPr>
                  </w:pP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3</w:t>
                  </w:r>
                </w:p>
              </w:tc>
              <w:tc>
                <w:tcPr>
                  <w:tcW w:w="1337" w:type="dxa"/>
                </w:tcPr>
                <w:p>
                  <w:pPr>
                    <w:spacing w:line="360" w:lineRule="auto"/>
                    <w:jc w:val="center"/>
                    <w:rPr>
                      <w:szCs w:val="21"/>
                    </w:rPr>
                  </w:pPr>
                </w:p>
              </w:tc>
              <w:tc>
                <w:tcPr>
                  <w:tcW w:w="743" w:type="dxa"/>
                </w:tcPr>
                <w:p>
                  <w:pPr>
                    <w:spacing w:line="360" w:lineRule="auto"/>
                    <w:jc w:val="center"/>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w:t>
                  </w:r>
                </w:p>
              </w:tc>
              <w:tc>
                <w:tcPr>
                  <w:tcW w:w="1337" w:type="dxa"/>
                </w:tcPr>
                <w:p>
                  <w:pPr>
                    <w:spacing w:line="360" w:lineRule="auto"/>
                    <w:rPr>
                      <w:szCs w:val="21"/>
                    </w:rPr>
                  </w:pP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二</w:t>
                  </w:r>
                </w:p>
              </w:tc>
              <w:tc>
                <w:tcPr>
                  <w:tcW w:w="1337" w:type="dxa"/>
                </w:tcPr>
                <w:p>
                  <w:pPr>
                    <w:spacing w:line="360" w:lineRule="auto"/>
                    <w:rPr>
                      <w:szCs w:val="21"/>
                    </w:rPr>
                  </w:pPr>
                  <w:r>
                    <w:rPr>
                      <w:rFonts w:hint="eastAsia"/>
                      <w:szCs w:val="21"/>
                    </w:rPr>
                    <w:t>专用工具</w:t>
                  </w: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1</w:t>
                  </w:r>
                </w:p>
              </w:tc>
              <w:tc>
                <w:tcPr>
                  <w:tcW w:w="1337" w:type="dxa"/>
                </w:tcPr>
                <w:p>
                  <w:pPr>
                    <w:spacing w:line="360" w:lineRule="auto"/>
                    <w:jc w:val="center"/>
                    <w:rPr>
                      <w:szCs w:val="21"/>
                    </w:rPr>
                  </w:pP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rPr>
                      <w:szCs w:val="21"/>
                    </w:rPr>
                  </w:pPr>
                </w:p>
              </w:tc>
              <w:tc>
                <w:tcPr>
                  <w:tcW w:w="729" w:type="dxa"/>
                </w:tcPr>
                <w:p>
                  <w:pPr>
                    <w:spacing w:line="360" w:lineRule="auto"/>
                    <w:rPr>
                      <w:szCs w:val="21"/>
                    </w:rPr>
                  </w:pPr>
                </w:p>
              </w:tc>
              <w:tc>
                <w:tcPr>
                  <w:tcW w:w="730" w:type="dxa"/>
                </w:tcPr>
                <w:p>
                  <w:pPr>
                    <w:spacing w:line="360" w:lineRule="auto"/>
                    <w:rPr>
                      <w:szCs w:val="21"/>
                    </w:rPr>
                  </w:pPr>
                </w:p>
              </w:tc>
              <w:tc>
                <w:tcPr>
                  <w:tcW w:w="1683"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2</w:t>
                  </w:r>
                </w:p>
              </w:tc>
              <w:tc>
                <w:tcPr>
                  <w:tcW w:w="1337" w:type="dxa"/>
                </w:tcPr>
                <w:p>
                  <w:pPr>
                    <w:spacing w:line="360" w:lineRule="auto"/>
                    <w:jc w:val="center"/>
                    <w:rPr>
                      <w:szCs w:val="21"/>
                    </w:rPr>
                  </w:pP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3</w:t>
                  </w:r>
                </w:p>
              </w:tc>
              <w:tc>
                <w:tcPr>
                  <w:tcW w:w="1337" w:type="dxa"/>
                </w:tcPr>
                <w:p>
                  <w:pPr>
                    <w:spacing w:line="360" w:lineRule="auto"/>
                    <w:rPr>
                      <w:szCs w:val="21"/>
                    </w:rPr>
                  </w:pP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tcPr>
                <w:p>
                  <w:pPr>
                    <w:spacing w:line="360" w:lineRule="auto"/>
                    <w:jc w:val="center"/>
                    <w:rPr>
                      <w:szCs w:val="21"/>
                    </w:rPr>
                  </w:pPr>
                  <w:r>
                    <w:rPr>
                      <w:rFonts w:hint="eastAsia"/>
                      <w:szCs w:val="21"/>
                    </w:rPr>
                    <w:t>...</w:t>
                  </w:r>
                </w:p>
              </w:tc>
              <w:tc>
                <w:tcPr>
                  <w:tcW w:w="1337" w:type="dxa"/>
                </w:tcPr>
                <w:p>
                  <w:pPr>
                    <w:spacing w:line="360" w:lineRule="auto"/>
                    <w:rPr>
                      <w:szCs w:val="21"/>
                    </w:rPr>
                  </w:pPr>
                </w:p>
              </w:tc>
              <w:tc>
                <w:tcPr>
                  <w:tcW w:w="743" w:type="dxa"/>
                </w:tcPr>
                <w:p>
                  <w:pPr>
                    <w:spacing w:line="360" w:lineRule="auto"/>
                    <w:rPr>
                      <w:szCs w:val="21"/>
                    </w:rPr>
                  </w:pPr>
                </w:p>
              </w:tc>
              <w:tc>
                <w:tcPr>
                  <w:tcW w:w="662" w:type="dxa"/>
                </w:tcPr>
                <w:p>
                  <w:pPr>
                    <w:spacing w:line="360" w:lineRule="auto"/>
                    <w:jc w:val="center"/>
                    <w:rPr>
                      <w:szCs w:val="21"/>
                    </w:rPr>
                  </w:pPr>
                </w:p>
              </w:tc>
              <w:tc>
                <w:tcPr>
                  <w:tcW w:w="1692" w:type="dxa"/>
                </w:tcPr>
                <w:p>
                  <w:pPr>
                    <w:spacing w:line="360" w:lineRule="auto"/>
                    <w:jc w:val="center"/>
                    <w:rPr>
                      <w:szCs w:val="21"/>
                    </w:rPr>
                  </w:pPr>
                </w:p>
              </w:tc>
              <w:tc>
                <w:tcPr>
                  <w:tcW w:w="729" w:type="dxa"/>
                </w:tcPr>
                <w:p>
                  <w:pPr>
                    <w:spacing w:line="360" w:lineRule="auto"/>
                    <w:jc w:val="center"/>
                    <w:rPr>
                      <w:szCs w:val="21"/>
                    </w:rPr>
                  </w:pPr>
                </w:p>
              </w:tc>
              <w:tc>
                <w:tcPr>
                  <w:tcW w:w="730" w:type="dxa"/>
                </w:tcPr>
                <w:p>
                  <w:pPr>
                    <w:spacing w:line="360" w:lineRule="auto"/>
                    <w:jc w:val="center"/>
                    <w:rPr>
                      <w:szCs w:val="21"/>
                    </w:rPr>
                  </w:pPr>
                </w:p>
              </w:tc>
              <w:tc>
                <w:tcPr>
                  <w:tcW w:w="168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230" w:type="dxa"/>
                  <w:gridSpan w:val="8"/>
                </w:tcPr>
                <w:p>
                  <w:pPr>
                    <w:spacing w:line="360" w:lineRule="auto"/>
                    <w:jc w:val="left"/>
                    <w:rPr>
                      <w:szCs w:val="21"/>
                    </w:rPr>
                  </w:pPr>
                  <w:r>
                    <w:rPr>
                      <w:rFonts w:hint="eastAsia"/>
                      <w:szCs w:val="21"/>
                    </w:rPr>
                    <w:t>备品备件、专用工具已移交，数量齐全，外观完好无损。</w:t>
                  </w:r>
                </w:p>
              </w:tc>
            </w:tr>
          </w:tbl>
          <w:p>
            <w:pPr>
              <w:spacing w:line="360" w:lineRule="auto"/>
              <w:rPr>
                <w:szCs w:val="21"/>
              </w:rPr>
            </w:pPr>
          </w:p>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5000" w:type="pct"/>
            <w:gridSpan w:val="13"/>
            <w:tcBorders>
              <w:left w:val="single" w:color="000000" w:sz="8" w:space="0"/>
              <w:right w:val="single" w:color="000000" w:sz="8" w:space="0"/>
            </w:tcBorders>
          </w:tcPr>
          <w:p>
            <w:pPr>
              <w:spacing w:line="360" w:lineRule="auto"/>
              <w:rPr>
                <w:b/>
                <w:szCs w:val="21"/>
              </w:rPr>
            </w:pPr>
            <w:r>
              <w:rPr>
                <w:rFonts w:hint="eastAsia"/>
                <w:b/>
                <w:szCs w:val="21"/>
              </w:rPr>
              <w:t>四、人员培训</w:t>
            </w:r>
          </w:p>
          <w:p>
            <w:pPr>
              <w:spacing w:line="360" w:lineRule="auto"/>
              <w:rPr>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000" w:type="pct"/>
            <w:gridSpan w:val="13"/>
            <w:tcBorders>
              <w:left w:val="single" w:color="000000" w:sz="8" w:space="0"/>
              <w:right w:val="single" w:color="000000" w:sz="8" w:space="0"/>
            </w:tcBorders>
          </w:tcPr>
          <w:p>
            <w:pPr>
              <w:numPr>
                <w:ilvl w:val="0"/>
                <w:numId w:val="18"/>
              </w:numPr>
              <w:spacing w:line="360" w:lineRule="auto"/>
              <w:rPr>
                <w:b/>
                <w:szCs w:val="21"/>
              </w:rPr>
            </w:pPr>
            <w:r>
              <w:rPr>
                <w:rFonts w:hint="eastAsia"/>
                <w:b/>
                <w:szCs w:val="21"/>
              </w:rPr>
              <w:t>存在的问题</w:t>
            </w:r>
          </w:p>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5000" w:type="pct"/>
            <w:gridSpan w:val="13"/>
            <w:tcBorders>
              <w:left w:val="single" w:color="000000" w:sz="8" w:space="0"/>
              <w:right w:val="single" w:color="000000" w:sz="8" w:space="0"/>
            </w:tcBorders>
          </w:tcPr>
          <w:p>
            <w:pPr>
              <w:spacing w:line="360" w:lineRule="auto"/>
              <w:rPr>
                <w:b/>
                <w:szCs w:val="21"/>
              </w:rPr>
            </w:pPr>
            <w:r>
              <w:rPr>
                <w:rFonts w:hint="eastAsia"/>
                <w:b/>
                <w:szCs w:val="21"/>
              </w:rPr>
              <w:t>六、</w:t>
            </w:r>
            <w:r>
              <w:rPr>
                <w:b/>
                <w:szCs w:val="21"/>
              </w:rPr>
              <w:t>问题整改情况</w:t>
            </w: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5000" w:type="pct"/>
            <w:gridSpan w:val="13"/>
            <w:tcBorders>
              <w:left w:val="single" w:color="000000" w:sz="8" w:space="0"/>
              <w:right w:val="single" w:color="000000" w:sz="8" w:space="0"/>
            </w:tcBorders>
          </w:tcPr>
          <w:p>
            <w:pPr>
              <w:spacing w:line="360" w:lineRule="auto"/>
              <w:rPr>
                <w:b/>
                <w:szCs w:val="21"/>
              </w:rPr>
            </w:pPr>
            <w:r>
              <w:rPr>
                <w:rFonts w:hint="eastAsia"/>
                <w:b/>
                <w:szCs w:val="21"/>
              </w:rPr>
              <w:t>七、</w:t>
            </w:r>
            <w:r>
              <w:rPr>
                <w:b/>
                <w:szCs w:val="21"/>
              </w:rPr>
              <w:t>设备验收意见</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13"/>
            <w:tcBorders>
              <w:left w:val="single" w:color="000000" w:sz="8" w:space="0"/>
              <w:right w:val="single" w:color="000000" w:sz="8" w:space="0"/>
            </w:tcBorders>
          </w:tcPr>
          <w:p>
            <w:pPr>
              <w:numPr>
                <w:ilvl w:val="0"/>
                <w:numId w:val="19"/>
              </w:numPr>
              <w:spacing w:line="360" w:lineRule="auto"/>
              <w:rPr>
                <w:b/>
                <w:szCs w:val="21"/>
              </w:rPr>
            </w:pPr>
            <w:r>
              <w:rPr>
                <w:b/>
                <w:szCs w:val="21"/>
              </w:rPr>
              <w:t>设备</w:t>
            </w:r>
            <w:r>
              <w:rPr>
                <w:rFonts w:hint="eastAsia"/>
                <w:b/>
                <w:szCs w:val="21"/>
              </w:rPr>
              <w:t>质保期</w:t>
            </w:r>
          </w:p>
          <w:p>
            <w:pPr>
              <w:spacing w:line="360" w:lineRule="auto"/>
              <w:ind w:firstLine="420" w:firstLineChars="200"/>
              <w:rPr>
                <w:b/>
                <w:szCs w:val="21"/>
                <w:u w:val="single"/>
              </w:rPr>
            </w:pPr>
            <w:r>
              <w:rPr>
                <w:rFonts w:hint="eastAsia"/>
                <w:szCs w:val="21"/>
              </w:rPr>
              <w:t xml:space="preserve"> </w:t>
            </w:r>
            <w:r>
              <w:rPr>
                <w:rFonts w:hint="eastAsia"/>
                <w:szCs w:val="21"/>
                <w:u w:val="single"/>
              </w:rPr>
              <w:t xml:space="preserve">      </w:t>
            </w:r>
            <w:r>
              <w:rPr>
                <w:rFonts w:hint="eastAsia"/>
                <w:szCs w:val="21"/>
              </w:rPr>
              <w:t xml:space="preserve"> 年 </w:t>
            </w:r>
            <w:r>
              <w:rPr>
                <w:rFonts w:hint="eastAsia"/>
                <w:szCs w:val="21"/>
                <w:u w:val="single"/>
              </w:rPr>
              <w:t xml:space="preserve">     </w:t>
            </w:r>
            <w:r>
              <w:rPr>
                <w:rFonts w:hint="eastAsia"/>
                <w:szCs w:val="21"/>
              </w:rPr>
              <w:t xml:space="preserve"> 月 </w:t>
            </w:r>
            <w:r>
              <w:rPr>
                <w:rFonts w:hint="eastAsia"/>
                <w:szCs w:val="21"/>
                <w:u w:val="single"/>
              </w:rPr>
              <w:t xml:space="preserve">     </w:t>
            </w:r>
            <w:r>
              <w:rPr>
                <w:rFonts w:hint="eastAsia"/>
                <w:szCs w:val="21"/>
              </w:rPr>
              <w:t xml:space="preserve"> 日 至 </w:t>
            </w:r>
            <w:r>
              <w:rPr>
                <w:rFonts w:hint="eastAsia"/>
                <w:szCs w:val="21"/>
                <w:u w:val="single"/>
              </w:rPr>
              <w:t xml:space="preserve">      </w:t>
            </w:r>
            <w:r>
              <w:rPr>
                <w:rFonts w:hint="eastAsia"/>
                <w:szCs w:val="21"/>
              </w:rPr>
              <w:t xml:space="preserve"> 年 </w:t>
            </w:r>
            <w:r>
              <w:rPr>
                <w:rFonts w:hint="eastAsia"/>
                <w:szCs w:val="21"/>
                <w:u w:val="single"/>
              </w:rPr>
              <w:t xml:space="preserve">     </w:t>
            </w:r>
            <w:r>
              <w:rPr>
                <w:rFonts w:hint="eastAsia"/>
                <w:szCs w:val="21"/>
              </w:rPr>
              <w:t xml:space="preserve"> 月 </w:t>
            </w:r>
            <w:r>
              <w:rPr>
                <w:rFonts w:hint="eastAsia"/>
                <w:szCs w:val="21"/>
                <w:u w:val="single"/>
              </w:rPr>
              <w:t xml:space="preserve">     </w:t>
            </w:r>
            <w:r>
              <w:rPr>
                <w:rFonts w:hint="eastAsia"/>
                <w:szCs w:val="21"/>
              </w:rPr>
              <w:t xml:space="preserve"> 日。</w:t>
            </w:r>
          </w:p>
        </w:tc>
      </w:tr>
      <w:tr>
        <w:tblPrEx>
          <w:tblCellMar>
            <w:top w:w="0" w:type="dxa"/>
            <w:left w:w="108" w:type="dxa"/>
            <w:bottom w:w="0" w:type="dxa"/>
            <w:right w:w="108" w:type="dxa"/>
          </w:tblCellMar>
        </w:tblPrEx>
        <w:trPr>
          <w:trHeight w:val="554" w:hRule="atLeast"/>
        </w:trPr>
        <w:tc>
          <w:tcPr>
            <w:tcW w:w="5000" w:type="pct"/>
            <w:gridSpan w:val="13"/>
            <w:tcBorders>
              <w:top w:val="single" w:color="auto" w:sz="6" w:space="0"/>
              <w:left w:val="single" w:color="000000" w:sz="8" w:space="0"/>
              <w:bottom w:val="single" w:color="auto" w:sz="6" w:space="0"/>
              <w:right w:val="single" w:color="000000" w:sz="8" w:space="0"/>
            </w:tcBorders>
            <w:noWrap/>
            <w:vAlign w:val="center"/>
          </w:tcPr>
          <w:p>
            <w:pPr>
              <w:spacing w:line="360" w:lineRule="auto"/>
              <w:jc w:val="left"/>
              <w:rPr>
                <w:rFonts w:ascii="宋体" w:hAnsi="宋体" w:cs="宋体"/>
                <w:kern w:val="0"/>
                <w:szCs w:val="21"/>
              </w:rPr>
            </w:pPr>
            <w:r>
              <w:rPr>
                <w:b/>
                <w:szCs w:val="21"/>
              </w:rPr>
              <w:t>九、参 加 设 备 验 收 的 单 位 和 代 表 （签 章）</w:t>
            </w:r>
          </w:p>
        </w:tc>
      </w:tr>
      <w:tr>
        <w:tblPrEx>
          <w:tblCellMar>
            <w:top w:w="0" w:type="dxa"/>
            <w:left w:w="108" w:type="dxa"/>
            <w:bottom w:w="0" w:type="dxa"/>
            <w:right w:w="108" w:type="dxa"/>
          </w:tblCellMar>
        </w:tblPrEx>
        <w:trPr>
          <w:trHeight w:val="2392" w:hRule="atLeast"/>
        </w:trPr>
        <w:tc>
          <w:tcPr>
            <w:tcW w:w="1250" w:type="pct"/>
            <w:gridSpan w:val="3"/>
            <w:tcBorders>
              <w:top w:val="single" w:color="auto" w:sz="6" w:space="0"/>
              <w:left w:val="single" w:color="000000" w:sz="8" w:space="0"/>
              <w:bottom w:val="single" w:color="auto" w:sz="6" w:space="0"/>
              <w:right w:val="single" w:color="auto" w:sz="8" w:space="0"/>
            </w:tcBorders>
            <w:noWrap/>
          </w:tcPr>
          <w:p>
            <w:pPr>
              <w:widowControl/>
              <w:jc w:val="left"/>
              <w:rPr>
                <w:rFonts w:ascii="宋体" w:hAnsi="宋体" w:cs="宋体"/>
                <w:b/>
                <w:kern w:val="0"/>
                <w:szCs w:val="21"/>
              </w:rPr>
            </w:pPr>
            <w:r>
              <w:rPr>
                <w:rFonts w:ascii="宋体" w:hAnsi="宋体" w:cs="宋体"/>
                <w:b/>
                <w:kern w:val="0"/>
                <w:szCs w:val="21"/>
              </w:rPr>
              <w:t>供货单位</w:t>
            </w:r>
          </w:p>
        </w:tc>
        <w:tc>
          <w:tcPr>
            <w:tcW w:w="1249" w:type="pct"/>
            <w:gridSpan w:val="5"/>
            <w:tcBorders>
              <w:top w:val="single" w:color="auto" w:sz="6" w:space="0"/>
              <w:left w:val="single" w:color="auto" w:sz="8" w:space="0"/>
              <w:bottom w:val="single" w:color="auto" w:sz="6" w:space="0"/>
              <w:right w:val="single" w:color="auto" w:sz="8" w:space="0"/>
            </w:tcBorders>
          </w:tcPr>
          <w:p>
            <w:pPr>
              <w:widowControl/>
              <w:jc w:val="left"/>
              <w:rPr>
                <w:rFonts w:ascii="宋体" w:hAnsi="宋体" w:cs="宋体"/>
                <w:b/>
                <w:kern w:val="0"/>
                <w:szCs w:val="21"/>
              </w:rPr>
            </w:pPr>
            <w:r>
              <w:rPr>
                <w:rFonts w:ascii="宋体" w:hAnsi="宋体" w:cs="宋体"/>
                <w:b/>
                <w:kern w:val="0"/>
                <w:szCs w:val="21"/>
              </w:rPr>
              <w:t>安装单位</w:t>
            </w:r>
          </w:p>
        </w:tc>
        <w:tc>
          <w:tcPr>
            <w:tcW w:w="1249" w:type="pct"/>
            <w:gridSpan w:val="3"/>
            <w:tcBorders>
              <w:top w:val="single" w:color="auto" w:sz="6" w:space="0"/>
              <w:left w:val="single" w:color="auto" w:sz="8" w:space="0"/>
              <w:bottom w:val="single" w:color="auto" w:sz="6" w:space="0"/>
              <w:right w:val="single" w:color="auto" w:sz="8" w:space="0"/>
            </w:tcBorders>
          </w:tcPr>
          <w:p>
            <w:pPr>
              <w:widowControl/>
              <w:jc w:val="left"/>
              <w:rPr>
                <w:rFonts w:ascii="宋体" w:hAnsi="宋体" w:cs="宋体"/>
                <w:b/>
                <w:kern w:val="0"/>
                <w:szCs w:val="21"/>
              </w:rPr>
            </w:pPr>
            <w:r>
              <w:rPr>
                <w:rFonts w:hint="eastAsia" w:ascii="宋体" w:hAnsi="宋体" w:cs="宋体"/>
                <w:b/>
                <w:kern w:val="0"/>
                <w:szCs w:val="21"/>
              </w:rPr>
              <w:t>设计</w:t>
            </w:r>
            <w:r>
              <w:rPr>
                <w:rFonts w:ascii="宋体" w:hAnsi="宋体" w:cs="宋体"/>
                <w:b/>
                <w:kern w:val="0"/>
                <w:szCs w:val="21"/>
              </w:rPr>
              <w:t>单位</w:t>
            </w:r>
          </w:p>
        </w:tc>
        <w:tc>
          <w:tcPr>
            <w:tcW w:w="1252" w:type="pct"/>
            <w:gridSpan w:val="2"/>
            <w:tcBorders>
              <w:top w:val="single" w:color="auto" w:sz="6" w:space="0"/>
              <w:left w:val="single" w:color="auto" w:sz="8" w:space="0"/>
              <w:bottom w:val="single" w:color="auto" w:sz="6" w:space="0"/>
              <w:right w:val="single" w:color="000000" w:sz="8" w:space="0"/>
            </w:tcBorders>
          </w:tcPr>
          <w:p>
            <w:pPr>
              <w:widowControl/>
              <w:jc w:val="left"/>
              <w:rPr>
                <w:rFonts w:ascii="宋体" w:hAnsi="宋体" w:cs="宋体"/>
                <w:b/>
                <w:kern w:val="0"/>
                <w:szCs w:val="21"/>
              </w:rPr>
            </w:pPr>
            <w:r>
              <w:rPr>
                <w:rFonts w:ascii="宋体" w:hAnsi="宋体" w:cs="宋体"/>
                <w:b/>
                <w:kern w:val="0"/>
                <w:szCs w:val="21"/>
              </w:rPr>
              <w:t>监理单位</w:t>
            </w:r>
          </w:p>
        </w:tc>
      </w:tr>
      <w:tr>
        <w:tblPrEx>
          <w:tblCellMar>
            <w:top w:w="0" w:type="dxa"/>
            <w:left w:w="108" w:type="dxa"/>
            <w:bottom w:w="0" w:type="dxa"/>
            <w:right w:w="108" w:type="dxa"/>
          </w:tblCellMar>
        </w:tblPrEx>
        <w:trPr>
          <w:trHeight w:val="2469" w:hRule="atLeast"/>
        </w:trPr>
        <w:tc>
          <w:tcPr>
            <w:tcW w:w="5000" w:type="pct"/>
            <w:gridSpan w:val="13"/>
            <w:tcBorders>
              <w:top w:val="single" w:color="auto" w:sz="6" w:space="0"/>
              <w:left w:val="single" w:color="000000" w:sz="8" w:space="0"/>
              <w:bottom w:val="single" w:color="000000" w:sz="8" w:space="0"/>
              <w:right w:val="single" w:color="000000" w:sz="8" w:space="0"/>
            </w:tcBorders>
            <w:noWrap/>
          </w:tcPr>
          <w:p>
            <w:pPr>
              <w:widowControl/>
              <w:jc w:val="left"/>
              <w:rPr>
                <w:rFonts w:ascii="宋体" w:hAnsi="宋体" w:cs="宋体"/>
                <w:b/>
                <w:kern w:val="0"/>
                <w:szCs w:val="21"/>
              </w:rPr>
            </w:pPr>
            <w:r>
              <w:rPr>
                <w:rFonts w:hint="eastAsia" w:ascii="宋体" w:hAnsi="宋体" w:cs="宋体"/>
                <w:b/>
                <w:kern w:val="0"/>
                <w:szCs w:val="21"/>
              </w:rPr>
              <w:t>项目业主和代建单位</w:t>
            </w:r>
          </w:p>
          <w:p>
            <w:pPr>
              <w:widowControl/>
              <w:jc w:val="left"/>
              <w:rPr>
                <w:rFonts w:ascii="宋体" w:hAnsi="宋体" w:cs="宋体"/>
                <w:kern w:val="0"/>
                <w:szCs w:val="21"/>
              </w:rPr>
            </w:pPr>
            <w:r>
              <w:rPr>
                <w:rFonts w:hint="eastAsia" w:ascii="宋体" w:hAnsi="宋体" w:cs="宋体"/>
                <w:kern w:val="0"/>
                <w:szCs w:val="21"/>
              </w:rPr>
              <w:t>设备验收小组：</w:t>
            </w:r>
          </w:p>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p>
        </w:tc>
      </w:tr>
    </w:tbl>
    <w:p>
      <w:pPr>
        <w:widowControl/>
        <w:jc w:val="left"/>
        <w:rPr>
          <w:rFonts w:ascii="宋体" w:hAnsi="宋体"/>
          <w:szCs w:val="21"/>
        </w:rPr>
      </w:pPr>
    </w:p>
    <w:p>
      <w:pPr>
        <w:pStyle w:val="5"/>
      </w:pPr>
    </w:p>
    <w:p>
      <w:pPr>
        <w:pStyle w:val="5"/>
        <w:keepNext w:val="0"/>
        <w:keepLines w:val="0"/>
        <w:tabs>
          <w:tab w:val="left" w:pos="5940"/>
        </w:tabs>
        <w:adjustRightInd/>
        <w:snapToGrid/>
        <w:spacing w:line="240" w:lineRule="auto"/>
      </w:pPr>
    </w:p>
    <w:p/>
    <w:p>
      <w:pPr>
        <w:pStyle w:val="9"/>
      </w:pPr>
    </w:p>
    <w:p/>
    <w:p>
      <w:pPr>
        <w:pStyle w:val="9"/>
      </w:pPr>
    </w:p>
    <w:p/>
    <w:p>
      <w:pPr>
        <w:pStyle w:val="9"/>
      </w:pPr>
    </w:p>
    <w:p/>
    <w:p>
      <w:pPr>
        <w:pStyle w:val="4"/>
        <w:pageBreakBefore/>
        <w:jc w:val="left"/>
        <w:rPr>
          <w:rFonts w:ascii="宋体" w:hAnsi="宋体" w:eastAsia="宋体" w:cs="黑体"/>
          <w:sz w:val="28"/>
          <w:szCs w:val="28"/>
        </w:rPr>
      </w:pPr>
      <w:bookmarkStart w:id="1058" w:name="_Toc136966693"/>
      <w:bookmarkStart w:id="1059" w:name="_Toc17852"/>
      <w:r>
        <w:rPr>
          <w:rFonts w:hint="eastAsia" w:ascii="宋体" w:hAnsi="宋体" w:eastAsia="宋体" w:cs="黑体"/>
          <w:sz w:val="28"/>
          <w:szCs w:val="28"/>
        </w:rPr>
        <w:t>附件10 诚信履约承诺书</w:t>
      </w:r>
      <w:bookmarkEnd w:id="1058"/>
      <w:bookmarkEnd w:id="1059"/>
    </w:p>
    <w:p>
      <w:pPr>
        <w:jc w:val="center"/>
        <w:rPr>
          <w:sz w:val="28"/>
          <w:szCs w:val="28"/>
        </w:rPr>
      </w:pPr>
      <w:r>
        <w:rPr>
          <w:sz w:val="28"/>
          <w:szCs w:val="28"/>
        </w:rPr>
        <w:t>诚信履约承诺书</w:t>
      </w:r>
    </w:p>
    <w:p/>
    <w:p>
      <w:r>
        <w:t>东莞市水务集团建设管理有限公司：</w:t>
      </w:r>
    </w:p>
    <w:p>
      <w:pPr>
        <w:spacing w:line="360" w:lineRule="auto"/>
        <w:ind w:firstLine="420" w:firstLineChars="200"/>
      </w:pPr>
      <w:r>
        <w:t>我司根据《</w:t>
      </w:r>
      <w:r>
        <w:rPr>
          <w:rFonts w:hint="eastAsia"/>
        </w:rPr>
        <w:t>XXXXXXX</w:t>
      </w:r>
      <w:r>
        <w:t>合同》相关条款全力配合贵公司工作，并自愿做出如下承诺：</w:t>
      </w:r>
    </w:p>
    <w:p>
      <w:pPr>
        <w:spacing w:line="360" w:lineRule="auto"/>
        <w:ind w:firstLine="420" w:firstLineChars="200"/>
      </w:pPr>
      <w: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spacing w:line="360" w:lineRule="auto"/>
        <w:ind w:firstLine="420" w:firstLineChars="200"/>
      </w:pPr>
      <w:r>
        <w:t>（二）如我司有违反本项目管理及合同约定等行为，我司无条件同意并接受贵公司根据合同及相关约定追究我司的违约责任。</w:t>
      </w:r>
    </w:p>
    <w:p>
      <w:pPr>
        <w:spacing w:line="360" w:lineRule="auto"/>
        <w:ind w:firstLine="420" w:firstLineChars="200"/>
      </w:pPr>
      <w:r>
        <w:t>（三）</w:t>
      </w:r>
      <w:r>
        <w:rPr>
          <w:b/>
          <w:bCs/>
        </w:rPr>
        <w:t>如我司在投标过程中或合同履行过程中存在以下等情形的：</w:t>
      </w:r>
      <w:r>
        <w:t>（1）通过虚假响应招标文件要求等弄虚作假手段骗取中标的或未按照招标文件约定按时提供原件核查的；（2）利用虚假材料、以欺骗手段取得</w:t>
      </w:r>
      <w:r>
        <w:rPr>
          <w:rFonts w:hint="eastAsia"/>
        </w:rPr>
        <w:t>中标资格的</w:t>
      </w:r>
      <w:r>
        <w:t>；（3）</w:t>
      </w:r>
      <w:r>
        <w:rPr>
          <w:rFonts w:hint="eastAsia"/>
        </w:rPr>
        <w:t>将合同义务转包或违法分包的；（4）提供的产品不符合有关法律、行政法规的规定和质量标准、安全标准、行业规范以及合同的约定的；（5）提供假冒伪劣产品或侵权产品的</w:t>
      </w:r>
      <w:r>
        <w:t>。</w:t>
      </w:r>
      <w:r>
        <w:rPr>
          <w:b/>
          <w:bCs/>
        </w:rPr>
        <w:t>我司同意并接受贵公司采取包括但不限于以下措施：</w:t>
      </w:r>
      <w:r>
        <w:t>（1）将我司列入东莞市水务集团有限公司</w:t>
      </w:r>
      <w:r>
        <w:rPr>
          <w:rFonts w:hint="eastAsia"/>
        </w:rPr>
        <w:t>设备采购</w:t>
      </w:r>
      <w:r>
        <w:t>单位</w:t>
      </w:r>
      <w:r>
        <w:rPr>
          <w:rFonts w:hint="eastAsia"/>
        </w:rPr>
        <w:t>“黑名单”</w:t>
      </w:r>
      <w:r>
        <w:t>，在东莞市水务集团有限公司官网上进行公告，并在委托人以后的招标采购项目评标时充分考虑我司的不良行为和履约问题；（2）向东莞阳光网、东莞日报等媒体公开我公司失信行为；（3）上报东莞市住建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w:t>
      </w:r>
      <w:r>
        <w:rPr>
          <w:rFonts w:hint="eastAsia"/>
        </w:rPr>
        <w:t>等部门</w:t>
      </w:r>
      <w:r>
        <w:t>进行通报和投诉等。</w:t>
      </w:r>
    </w:p>
    <w:p>
      <w:pPr>
        <w:spacing w:line="360" w:lineRule="auto"/>
        <w:ind w:firstLine="422" w:firstLineChars="200"/>
      </w:pPr>
      <w:r>
        <w:rPr>
          <w:b/>
          <w:bCs/>
        </w:rPr>
        <w:t>我司并愿按相关规定接受处理，由此产生的一切法律责任和不利后果全部由我司承担。</w:t>
      </w:r>
    </w:p>
    <w:p>
      <w:pPr>
        <w:spacing w:line="360" w:lineRule="auto"/>
        <w:jc w:val="center"/>
      </w:pPr>
      <w:r>
        <w:rPr>
          <w:rFonts w:hint="eastAsia"/>
        </w:rPr>
        <w:t xml:space="preserve">             承诺</w:t>
      </w:r>
      <w:r>
        <w:t>人（盖章）：</w:t>
      </w:r>
    </w:p>
    <w:p>
      <w:pPr>
        <w:spacing w:line="360" w:lineRule="auto"/>
        <w:jc w:val="right"/>
      </w:pPr>
      <w:r>
        <w:t>法人代表人（授权代理人）签名（或盖私章）：</w:t>
      </w:r>
    </w:p>
    <w:p>
      <w:pPr>
        <w:spacing w:line="360" w:lineRule="auto"/>
        <w:jc w:val="center"/>
      </w:pPr>
      <w:r>
        <w:rPr>
          <w:rFonts w:hint="eastAsia"/>
        </w:rPr>
        <w:t xml:space="preserve">                 日期：   </w:t>
      </w:r>
      <w:r>
        <w:t>年</w:t>
      </w:r>
      <w:r>
        <w:rPr>
          <w:rFonts w:hint="eastAsia"/>
        </w:rPr>
        <w:t xml:space="preserve">   </w:t>
      </w:r>
      <w:r>
        <w:t>月</w:t>
      </w:r>
      <w:r>
        <w:rPr>
          <w:rFonts w:hint="eastAsia"/>
        </w:rPr>
        <w:t xml:space="preserve">  </w:t>
      </w:r>
      <w:r>
        <w:t>日</w:t>
      </w:r>
    </w:p>
    <w:p>
      <w:pPr>
        <w:pStyle w:val="9"/>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503" w:bottom="1440" w:left="15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80" w:hanging="48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80" w:hanging="480"/>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4384" behindDoc="0" locked="0" layoutInCell="1" allowOverlap="1">
              <wp:simplePos x="0" y="0"/>
              <wp:positionH relativeFrom="margin">
                <wp:posOffset>2602230</wp:posOffset>
              </wp:positionH>
              <wp:positionV relativeFrom="paragraph">
                <wp:posOffset>-86360</wp:posOffset>
              </wp:positionV>
              <wp:extent cx="431800" cy="197485"/>
              <wp:effectExtent l="0" t="0" r="6985" b="12065"/>
              <wp:wrapNone/>
              <wp:docPr id="21" name="文本框 21"/>
              <wp:cNvGraphicFramePr/>
              <a:graphic xmlns:a="http://schemas.openxmlformats.org/drawingml/2006/main">
                <a:graphicData uri="http://schemas.microsoft.com/office/word/2010/wordprocessingShape">
                  <wps:wsp>
                    <wps:cNvSpPr txBox="1"/>
                    <wps:spPr>
                      <a:xfrm>
                        <a:off x="0" y="0"/>
                        <a:ext cx="431597" cy="197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9pt;margin-top:-6.8pt;height:15.55pt;width:34pt;mso-position-horizontal-relative:margin;z-index:251664384;mso-width-relative:page;mso-height-relative:page;" filled="f" stroked="f" coordsize="21600,21600" o:gfxdata="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8DZx9gAAAAKAQAADwAAAAAAAAABACAAAAAiAAAAZHJzL2Rvd25yZXYu&#10;eG1sUEsBAhQAFAAAAAgAh07iQB+pMsk0AgAAVwQAAA4AAAAAAAAAAQAgAAAAJwEAAGRycy9lMm9E&#10;b2MueG1sUEsFBgAAAAAGAAYAWQEAAM0FAAAAAA==&#10;">
              <v:fill on="f" focussize="0,0"/>
              <v:stroke on="f" weight="0.5pt"/>
              <v:imagedata o:title=""/>
              <o:lock v:ext="edit" aspectratio="f"/>
              <v:textbox inset="0mm,0mm,0mm,0mm">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80" w:hanging="48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2573020</wp:posOffset>
              </wp:positionH>
              <wp:positionV relativeFrom="paragraph">
                <wp:posOffset>635</wp:posOffset>
              </wp:positionV>
              <wp:extent cx="182880" cy="1828800"/>
              <wp:effectExtent l="0" t="0" r="7620" b="14605"/>
              <wp:wrapNone/>
              <wp:docPr id="17" name="文本框 17"/>
              <wp:cNvGraphicFramePr/>
              <a:graphic xmlns:a="http://schemas.openxmlformats.org/drawingml/2006/main">
                <a:graphicData uri="http://schemas.microsoft.com/office/word/2010/wordprocessingShape">
                  <wps:wsp>
                    <wps:cNvSpPr txBox="1"/>
                    <wps:spPr>
                      <a:xfrm>
                        <a:off x="0" y="0"/>
                        <a:ext cx="1828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6pt;margin-top:0.05pt;height:144pt;width:14.4pt;mso-position-horizontal-relative:margin;z-index:251660288;mso-width-relative:page;mso-height-relative:page;" filled="f" stroked="f" coordsize="21600,21600" o:gfxdata="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kAtCi1gAAAAgBAAAPAAAAAAAAAAEAIAAAACIAAABkcnMvZG93bnJldi54bWxQSwECFAAU&#10;AAAACACHTuJASYxcySwCAABYBAAADgAAAAAAAAABACAAAAAl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97</w:t>
                    </w:r>
                    <w:r>
                      <w:fldChar w:fldCharType="end"/>
                    </w:r>
                  </w:p>
                </w:txbxContent>
              </v:textbox>
            </v:shape>
          </w:pict>
        </mc:Fallback>
      </mc:AlternateContent>
    </w:r>
  </w:p>
  <w:p>
    <w:pPr>
      <w:tabs>
        <w:tab w:val="left" w:pos="211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80" w:hanging="48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218</w:t>
                    </w:r>
                    <w: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9905"/>
    <w:multiLevelType w:val="singleLevel"/>
    <w:tmpl w:val="84249905"/>
    <w:lvl w:ilvl="0" w:tentative="0">
      <w:start w:val="8"/>
      <w:numFmt w:val="chineseCounting"/>
      <w:suff w:val="nothing"/>
      <w:lvlText w:val="%1、"/>
      <w:lvlJc w:val="left"/>
      <w:rPr>
        <w:rFonts w:hint="eastAsia"/>
      </w:rPr>
    </w:lvl>
  </w:abstractNum>
  <w:abstractNum w:abstractNumId="1">
    <w:nsid w:val="88F33DB4"/>
    <w:multiLevelType w:val="multilevel"/>
    <w:tmpl w:val="88F33DB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F468360"/>
    <w:multiLevelType w:val="multilevel"/>
    <w:tmpl w:val="BF46836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C6BEA96F"/>
    <w:multiLevelType w:val="singleLevel"/>
    <w:tmpl w:val="C6BEA96F"/>
    <w:lvl w:ilvl="0" w:tentative="0">
      <w:start w:val="5"/>
      <w:numFmt w:val="chineseCounting"/>
      <w:suff w:val="nothing"/>
      <w:lvlText w:val="%1、"/>
      <w:lvlJc w:val="left"/>
      <w:rPr>
        <w:rFonts w:hint="eastAsia"/>
      </w:rPr>
    </w:lvl>
  </w:abstractNum>
  <w:abstractNum w:abstractNumId="4">
    <w:nsid w:val="EE7360CF"/>
    <w:multiLevelType w:val="multilevel"/>
    <w:tmpl w:val="EE7360CF"/>
    <w:lvl w:ilvl="0" w:tentative="0">
      <w:start w:val="1"/>
      <w:numFmt w:val="chineseCountingThousand"/>
      <w:suff w:val="space"/>
      <w:lvlText w:val="第%1节"/>
      <w:lvlJc w:val="center"/>
      <w:pPr>
        <w:ind w:left="0" w:firstLine="0"/>
      </w:pPr>
      <w:rPr>
        <w:rFonts w:hint="eastAsia" w:ascii="宋体" w:hAnsi="宋体" w:eastAsia="宋体" w:cs="宋体"/>
        <w:b/>
        <w:bCs/>
      </w:rPr>
    </w:lvl>
    <w:lvl w:ilvl="1" w:tentative="0">
      <w:start w:val="1"/>
      <w:numFmt w:val="decimal"/>
      <w:isLgl/>
      <w:suff w:val="space"/>
      <w:lvlText w:val="%1.%2"/>
      <w:lvlJc w:val="left"/>
      <w:pPr>
        <w:ind w:left="0" w:firstLine="0"/>
      </w:pPr>
      <w:rPr>
        <w:rFonts w:hint="eastAsia" w:ascii="宋体" w:hAnsi="宋体" w:eastAsia="宋体" w:cs="宋体"/>
      </w:rPr>
    </w:lvl>
    <w:lvl w:ilvl="2" w:tentative="0">
      <w:start w:val="1"/>
      <w:numFmt w:val="decimal"/>
      <w:isLgl/>
      <w:suff w:val="space"/>
      <w:lvlText w:val="%1.%2.%3"/>
      <w:lvlJc w:val="left"/>
      <w:pPr>
        <w:ind w:left="0" w:firstLine="0"/>
      </w:pPr>
      <w:rPr>
        <w:rFonts w:hint="eastAsia" w:ascii="宋体" w:hAnsi="宋体" w:eastAsia="宋体" w:cs="宋体"/>
      </w:rPr>
    </w:lvl>
    <w:lvl w:ilvl="3" w:tentative="0">
      <w:start w:val="1"/>
      <w:numFmt w:val="decimal"/>
      <w:isLgl/>
      <w:suff w:val="space"/>
      <w:lvlText w:val="%1.%2.%3.%4"/>
      <w:lvlJc w:val="left"/>
      <w:pPr>
        <w:ind w:left="0" w:firstLine="0"/>
      </w:pPr>
      <w:rPr>
        <w:rFonts w:hint="default" w:ascii="Calibri" w:hAnsi="Calibri" w:eastAsia="宋体" w:cs="Calibri"/>
        <w:b/>
        <w:bCs/>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5">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ascii="宋体" w:hAnsi="宋体" w:eastAsia="宋体"/>
        <w:b w:val="0"/>
        <w:sz w:val="21"/>
        <w:szCs w:val="21"/>
      </w:rPr>
    </w:lvl>
    <w:lvl w:ilvl="2" w:tentative="0">
      <w:start w:val="1"/>
      <w:numFmt w:val="decimal"/>
      <w:lvlText w:val="%1.%2.%3"/>
      <w:lvlJc w:val="left"/>
      <w:pPr>
        <w:tabs>
          <w:tab w:val="left" w:pos="1571"/>
        </w:tabs>
        <w:ind w:left="1418" w:hanging="567"/>
      </w:pPr>
      <w:rPr>
        <w:rFonts w:hint="eastAsia" w:ascii="宋体" w:hAnsi="宋体" w:eastAsia="宋体"/>
        <w:color w:val="00000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5）"/>
      <w:lvlJc w:val="left"/>
      <w:pPr>
        <w:tabs>
          <w:tab w:val="left" w:pos="3141"/>
        </w:tabs>
        <w:ind w:left="2551" w:hanging="850"/>
      </w:pPr>
      <w:rPr>
        <w:rFonts w:ascii="Times New Roman" w:hAnsi="Times New Roman" w:eastAsia="宋体" w:cs="Times New Roman"/>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6">
    <w:nsid w:val="00000013"/>
    <w:multiLevelType w:val="multilevel"/>
    <w:tmpl w:val="00000013"/>
    <w:lvl w:ilvl="0" w:tentative="0">
      <w:start w:val="1"/>
      <w:numFmt w:val="decimal"/>
      <w:lvlText w:val="2.%1"/>
      <w:lvlJc w:val="left"/>
      <w:pPr>
        <w:tabs>
          <w:tab w:val="left" w:pos="1310"/>
        </w:tabs>
        <w:ind w:left="1310" w:hanging="420"/>
      </w:pPr>
      <w:rPr>
        <w:rFonts w:hint="eastAsia"/>
      </w:rPr>
    </w:lvl>
    <w:lvl w:ilvl="1" w:tentative="0">
      <w:start w:val="1"/>
      <w:numFmt w:val="decimal"/>
      <w:lvlText w:val="4.%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8">
    <w:nsid w:val="008304C4"/>
    <w:multiLevelType w:val="singleLevel"/>
    <w:tmpl w:val="008304C4"/>
    <w:lvl w:ilvl="0" w:tentative="0">
      <w:start w:val="11"/>
      <w:numFmt w:val="chineseCounting"/>
      <w:suff w:val="space"/>
      <w:lvlText w:val="第%1条"/>
      <w:lvlJc w:val="left"/>
      <w:rPr>
        <w:rFonts w:hint="eastAsia"/>
      </w:rPr>
    </w:lvl>
  </w:abstractNum>
  <w:abstractNum w:abstractNumId="9">
    <w:nsid w:val="0E64F09C"/>
    <w:multiLevelType w:val="multilevel"/>
    <w:tmpl w:val="0E64F09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4F5A43A"/>
    <w:multiLevelType w:val="singleLevel"/>
    <w:tmpl w:val="14F5A43A"/>
    <w:lvl w:ilvl="0" w:tentative="0">
      <w:start w:val="1"/>
      <w:numFmt w:val="decimal"/>
      <w:suff w:val="nothing"/>
      <w:lvlText w:val="（%1）"/>
      <w:lvlJc w:val="left"/>
    </w:lvl>
  </w:abstractNum>
  <w:abstractNum w:abstractNumId="11">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34CB564"/>
    <w:multiLevelType w:val="multilevel"/>
    <w:tmpl w:val="334CB56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B4DB846"/>
    <w:multiLevelType w:val="singleLevel"/>
    <w:tmpl w:val="5B4DB846"/>
    <w:lvl w:ilvl="0" w:tentative="0">
      <w:start w:val="6"/>
      <w:numFmt w:val="chineseCounting"/>
      <w:suff w:val="space"/>
      <w:lvlText w:val="第%1条"/>
      <w:lvlJc w:val="left"/>
    </w:lvl>
  </w:abstractNum>
  <w:abstractNum w:abstractNumId="16">
    <w:nsid w:val="6386A208"/>
    <w:multiLevelType w:val="multilevel"/>
    <w:tmpl w:val="6386A20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74C1E8F"/>
    <w:multiLevelType w:val="multilevel"/>
    <w:tmpl w:val="674C1E8F"/>
    <w:lvl w:ilvl="0" w:tentative="0">
      <w:start w:val="1"/>
      <w:numFmt w:val="upperLetter"/>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5"/>
  </w:num>
  <w:num w:numId="3">
    <w:abstractNumId w:val="6"/>
  </w:num>
  <w:num w:numId="4">
    <w:abstractNumId w:val="4"/>
  </w:num>
  <w:num w:numId="5">
    <w:abstractNumId w:val="1"/>
  </w:num>
  <w:num w:numId="6">
    <w:abstractNumId w:val="9"/>
  </w:num>
  <w:num w:numId="7">
    <w:abstractNumId w:val="2"/>
  </w:num>
  <w:num w:numId="8">
    <w:abstractNumId w:val="16"/>
  </w:num>
  <w:num w:numId="9">
    <w:abstractNumId w:val="12"/>
  </w:num>
  <w:num w:numId="10">
    <w:abstractNumId w:val="17"/>
  </w:num>
  <w:num w:numId="11">
    <w:abstractNumId w:val="14"/>
  </w:num>
  <w:num w:numId="12">
    <w:abstractNumId w:val="18"/>
  </w:num>
  <w:num w:numId="13">
    <w:abstractNumId w:val="11"/>
  </w:num>
  <w:num w:numId="14">
    <w:abstractNumId w:val="10"/>
  </w:num>
  <w:num w:numId="15">
    <w:abstractNumId w:val="13"/>
  </w:num>
  <w:num w:numId="16">
    <w:abstractNumId w:val="8"/>
  </w:num>
  <w:num w:numId="17">
    <w:abstractNumId w:val="15"/>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Tg4Yzc0ZWJlZDM1NDAyY2NmM2VjYzliMTU3YWQifQ=="/>
  </w:docVars>
  <w:rsids>
    <w:rsidRoot w:val="00172A27"/>
    <w:rsid w:val="000119E6"/>
    <w:rsid w:val="00011D1F"/>
    <w:rsid w:val="00013241"/>
    <w:rsid w:val="000150CC"/>
    <w:rsid w:val="000249BA"/>
    <w:rsid w:val="00027441"/>
    <w:rsid w:val="000325DA"/>
    <w:rsid w:val="00033E83"/>
    <w:rsid w:val="00044C1E"/>
    <w:rsid w:val="00046A75"/>
    <w:rsid w:val="00060826"/>
    <w:rsid w:val="000738ED"/>
    <w:rsid w:val="00093040"/>
    <w:rsid w:val="000A1A34"/>
    <w:rsid w:val="000A73E3"/>
    <w:rsid w:val="000B0E7B"/>
    <w:rsid w:val="000C72E3"/>
    <w:rsid w:val="000D25B9"/>
    <w:rsid w:val="000D45AC"/>
    <w:rsid w:val="000D508F"/>
    <w:rsid w:val="000D64FD"/>
    <w:rsid w:val="000E0899"/>
    <w:rsid w:val="000E3648"/>
    <w:rsid w:val="000E3F76"/>
    <w:rsid w:val="000E58B0"/>
    <w:rsid w:val="000F0033"/>
    <w:rsid w:val="00100BFD"/>
    <w:rsid w:val="00104FDD"/>
    <w:rsid w:val="001216E2"/>
    <w:rsid w:val="00123308"/>
    <w:rsid w:val="00123C88"/>
    <w:rsid w:val="0012791A"/>
    <w:rsid w:val="00132183"/>
    <w:rsid w:val="001345D6"/>
    <w:rsid w:val="0013604C"/>
    <w:rsid w:val="00136442"/>
    <w:rsid w:val="00137847"/>
    <w:rsid w:val="001458F7"/>
    <w:rsid w:val="00151D9C"/>
    <w:rsid w:val="00162373"/>
    <w:rsid w:val="00164733"/>
    <w:rsid w:val="00172A27"/>
    <w:rsid w:val="001865AC"/>
    <w:rsid w:val="001929E5"/>
    <w:rsid w:val="00197305"/>
    <w:rsid w:val="001B0C91"/>
    <w:rsid w:val="001C1B45"/>
    <w:rsid w:val="001D0AD1"/>
    <w:rsid w:val="001E796F"/>
    <w:rsid w:val="001F5507"/>
    <w:rsid w:val="00206582"/>
    <w:rsid w:val="00210072"/>
    <w:rsid w:val="002138E6"/>
    <w:rsid w:val="002178D5"/>
    <w:rsid w:val="00245101"/>
    <w:rsid w:val="00246000"/>
    <w:rsid w:val="002525BB"/>
    <w:rsid w:val="002528B9"/>
    <w:rsid w:val="002543A1"/>
    <w:rsid w:val="002555CC"/>
    <w:rsid w:val="002566AD"/>
    <w:rsid w:val="002609DA"/>
    <w:rsid w:val="00264EED"/>
    <w:rsid w:val="00270A64"/>
    <w:rsid w:val="0027316F"/>
    <w:rsid w:val="002747BB"/>
    <w:rsid w:val="0027719F"/>
    <w:rsid w:val="0028030C"/>
    <w:rsid w:val="00282D86"/>
    <w:rsid w:val="00284F0D"/>
    <w:rsid w:val="0028545F"/>
    <w:rsid w:val="00290D6D"/>
    <w:rsid w:val="0029562D"/>
    <w:rsid w:val="002A4861"/>
    <w:rsid w:val="002B0D81"/>
    <w:rsid w:val="002B419F"/>
    <w:rsid w:val="002B440F"/>
    <w:rsid w:val="002C0562"/>
    <w:rsid w:val="002C5F70"/>
    <w:rsid w:val="002C670D"/>
    <w:rsid w:val="002D3953"/>
    <w:rsid w:val="002D5985"/>
    <w:rsid w:val="002E1ABA"/>
    <w:rsid w:val="002E1C7E"/>
    <w:rsid w:val="002F408D"/>
    <w:rsid w:val="003027C2"/>
    <w:rsid w:val="00302B2B"/>
    <w:rsid w:val="003107AF"/>
    <w:rsid w:val="00312272"/>
    <w:rsid w:val="003145AF"/>
    <w:rsid w:val="003173B9"/>
    <w:rsid w:val="003205EE"/>
    <w:rsid w:val="00323514"/>
    <w:rsid w:val="00324EBF"/>
    <w:rsid w:val="0032723A"/>
    <w:rsid w:val="003331F5"/>
    <w:rsid w:val="003344EF"/>
    <w:rsid w:val="003362AA"/>
    <w:rsid w:val="00336530"/>
    <w:rsid w:val="00341F57"/>
    <w:rsid w:val="00342F2D"/>
    <w:rsid w:val="00366E39"/>
    <w:rsid w:val="003679A1"/>
    <w:rsid w:val="00374007"/>
    <w:rsid w:val="00383F12"/>
    <w:rsid w:val="0038402B"/>
    <w:rsid w:val="00392C79"/>
    <w:rsid w:val="003952B8"/>
    <w:rsid w:val="003A07F7"/>
    <w:rsid w:val="003A33C1"/>
    <w:rsid w:val="003A44E1"/>
    <w:rsid w:val="003A648F"/>
    <w:rsid w:val="003A6CBD"/>
    <w:rsid w:val="003B02BF"/>
    <w:rsid w:val="003C61BF"/>
    <w:rsid w:val="003D2F23"/>
    <w:rsid w:val="003D467C"/>
    <w:rsid w:val="003D5C9C"/>
    <w:rsid w:val="003D7714"/>
    <w:rsid w:val="003E457F"/>
    <w:rsid w:val="003E4D87"/>
    <w:rsid w:val="003E51C6"/>
    <w:rsid w:val="003F30DF"/>
    <w:rsid w:val="003F3330"/>
    <w:rsid w:val="003F72A6"/>
    <w:rsid w:val="00400516"/>
    <w:rsid w:val="00412FE7"/>
    <w:rsid w:val="00413144"/>
    <w:rsid w:val="004214A1"/>
    <w:rsid w:val="004430C6"/>
    <w:rsid w:val="00451590"/>
    <w:rsid w:val="00464308"/>
    <w:rsid w:val="00464DB5"/>
    <w:rsid w:val="00467AD5"/>
    <w:rsid w:val="00467BD4"/>
    <w:rsid w:val="004731E1"/>
    <w:rsid w:val="00490434"/>
    <w:rsid w:val="004A579F"/>
    <w:rsid w:val="004A5EA9"/>
    <w:rsid w:val="004A6DBF"/>
    <w:rsid w:val="004B1A5D"/>
    <w:rsid w:val="004B6AFE"/>
    <w:rsid w:val="004B74DA"/>
    <w:rsid w:val="004C2B53"/>
    <w:rsid w:val="004C3045"/>
    <w:rsid w:val="004D26C6"/>
    <w:rsid w:val="004D4F20"/>
    <w:rsid w:val="004D7CF9"/>
    <w:rsid w:val="004F2FBA"/>
    <w:rsid w:val="004F3866"/>
    <w:rsid w:val="00501C1B"/>
    <w:rsid w:val="0050467C"/>
    <w:rsid w:val="005049F7"/>
    <w:rsid w:val="00513F6C"/>
    <w:rsid w:val="005145EF"/>
    <w:rsid w:val="0051567A"/>
    <w:rsid w:val="00523614"/>
    <w:rsid w:val="00523E97"/>
    <w:rsid w:val="00527835"/>
    <w:rsid w:val="005305F9"/>
    <w:rsid w:val="00542AFE"/>
    <w:rsid w:val="00542C69"/>
    <w:rsid w:val="005603EA"/>
    <w:rsid w:val="005716CD"/>
    <w:rsid w:val="00572637"/>
    <w:rsid w:val="00575AA4"/>
    <w:rsid w:val="005815BB"/>
    <w:rsid w:val="005903E1"/>
    <w:rsid w:val="00593631"/>
    <w:rsid w:val="00596091"/>
    <w:rsid w:val="005C50EE"/>
    <w:rsid w:val="005C53D1"/>
    <w:rsid w:val="005C5D62"/>
    <w:rsid w:val="005C6033"/>
    <w:rsid w:val="005E3D5E"/>
    <w:rsid w:val="005F334C"/>
    <w:rsid w:val="005F39C7"/>
    <w:rsid w:val="006075B0"/>
    <w:rsid w:val="00615FC3"/>
    <w:rsid w:val="00620D10"/>
    <w:rsid w:val="00621BE8"/>
    <w:rsid w:val="00624CB4"/>
    <w:rsid w:val="006277F1"/>
    <w:rsid w:val="0063261A"/>
    <w:rsid w:val="006348D1"/>
    <w:rsid w:val="00651F79"/>
    <w:rsid w:val="006607B1"/>
    <w:rsid w:val="006610C5"/>
    <w:rsid w:val="0066276D"/>
    <w:rsid w:val="00665A32"/>
    <w:rsid w:val="006757F0"/>
    <w:rsid w:val="00677BF2"/>
    <w:rsid w:val="006844BE"/>
    <w:rsid w:val="00696730"/>
    <w:rsid w:val="006A2425"/>
    <w:rsid w:val="006C0873"/>
    <w:rsid w:val="006C1E15"/>
    <w:rsid w:val="006C56E9"/>
    <w:rsid w:val="006D6194"/>
    <w:rsid w:val="006D6AE6"/>
    <w:rsid w:val="006E28C2"/>
    <w:rsid w:val="006E6693"/>
    <w:rsid w:val="006F1BD6"/>
    <w:rsid w:val="006F6146"/>
    <w:rsid w:val="006F7A27"/>
    <w:rsid w:val="006F7DC7"/>
    <w:rsid w:val="00703615"/>
    <w:rsid w:val="00713257"/>
    <w:rsid w:val="0072010F"/>
    <w:rsid w:val="00722861"/>
    <w:rsid w:val="00725B19"/>
    <w:rsid w:val="0073135A"/>
    <w:rsid w:val="00733614"/>
    <w:rsid w:val="007350C9"/>
    <w:rsid w:val="0073689D"/>
    <w:rsid w:val="00740690"/>
    <w:rsid w:val="007512F5"/>
    <w:rsid w:val="007516FC"/>
    <w:rsid w:val="00761432"/>
    <w:rsid w:val="0078140D"/>
    <w:rsid w:val="00784FF5"/>
    <w:rsid w:val="00785F2F"/>
    <w:rsid w:val="00790D5D"/>
    <w:rsid w:val="00791D5D"/>
    <w:rsid w:val="007A03CB"/>
    <w:rsid w:val="007B3099"/>
    <w:rsid w:val="007B310E"/>
    <w:rsid w:val="007B6159"/>
    <w:rsid w:val="007B7820"/>
    <w:rsid w:val="007C28D3"/>
    <w:rsid w:val="007D7F5D"/>
    <w:rsid w:val="007E0E42"/>
    <w:rsid w:val="007F579C"/>
    <w:rsid w:val="00823919"/>
    <w:rsid w:val="008247F8"/>
    <w:rsid w:val="00833550"/>
    <w:rsid w:val="00833B5F"/>
    <w:rsid w:val="00850A85"/>
    <w:rsid w:val="00851630"/>
    <w:rsid w:val="008541A8"/>
    <w:rsid w:val="00855036"/>
    <w:rsid w:val="008627D7"/>
    <w:rsid w:val="00862F64"/>
    <w:rsid w:val="008663D0"/>
    <w:rsid w:val="008676D7"/>
    <w:rsid w:val="0087252C"/>
    <w:rsid w:val="008764D7"/>
    <w:rsid w:val="0088173E"/>
    <w:rsid w:val="008C0EB3"/>
    <w:rsid w:val="008C1940"/>
    <w:rsid w:val="008C307A"/>
    <w:rsid w:val="008D4F5F"/>
    <w:rsid w:val="008F1947"/>
    <w:rsid w:val="00902DE4"/>
    <w:rsid w:val="00924225"/>
    <w:rsid w:val="00932E09"/>
    <w:rsid w:val="0093459D"/>
    <w:rsid w:val="009378B2"/>
    <w:rsid w:val="0094328A"/>
    <w:rsid w:val="00943FFB"/>
    <w:rsid w:val="00957599"/>
    <w:rsid w:val="00961938"/>
    <w:rsid w:val="0096298C"/>
    <w:rsid w:val="00963BD1"/>
    <w:rsid w:val="00971440"/>
    <w:rsid w:val="00986DB5"/>
    <w:rsid w:val="0099107A"/>
    <w:rsid w:val="0099297D"/>
    <w:rsid w:val="009A2155"/>
    <w:rsid w:val="009A5DA6"/>
    <w:rsid w:val="009C0743"/>
    <w:rsid w:val="009C1000"/>
    <w:rsid w:val="009C1FA1"/>
    <w:rsid w:val="009C2BA5"/>
    <w:rsid w:val="009D2C33"/>
    <w:rsid w:val="009D656A"/>
    <w:rsid w:val="009F3755"/>
    <w:rsid w:val="009F4ECE"/>
    <w:rsid w:val="009F7F12"/>
    <w:rsid w:val="00A054A8"/>
    <w:rsid w:val="00A14498"/>
    <w:rsid w:val="00A16351"/>
    <w:rsid w:val="00A21685"/>
    <w:rsid w:val="00A23461"/>
    <w:rsid w:val="00A23CDD"/>
    <w:rsid w:val="00A433F8"/>
    <w:rsid w:val="00A551FD"/>
    <w:rsid w:val="00A56886"/>
    <w:rsid w:val="00A57BCD"/>
    <w:rsid w:val="00A6706D"/>
    <w:rsid w:val="00A81340"/>
    <w:rsid w:val="00A81998"/>
    <w:rsid w:val="00A83AA9"/>
    <w:rsid w:val="00A93493"/>
    <w:rsid w:val="00A94840"/>
    <w:rsid w:val="00AA26E5"/>
    <w:rsid w:val="00AA5005"/>
    <w:rsid w:val="00AA651C"/>
    <w:rsid w:val="00AA6F0A"/>
    <w:rsid w:val="00AA731E"/>
    <w:rsid w:val="00AB12F9"/>
    <w:rsid w:val="00AB1688"/>
    <w:rsid w:val="00AB1932"/>
    <w:rsid w:val="00AB20EF"/>
    <w:rsid w:val="00AB6A89"/>
    <w:rsid w:val="00AB7CB5"/>
    <w:rsid w:val="00AD3274"/>
    <w:rsid w:val="00AD3AC0"/>
    <w:rsid w:val="00AD42C2"/>
    <w:rsid w:val="00AD7F27"/>
    <w:rsid w:val="00B01FC6"/>
    <w:rsid w:val="00B173BB"/>
    <w:rsid w:val="00B27C2E"/>
    <w:rsid w:val="00B40CAE"/>
    <w:rsid w:val="00B43368"/>
    <w:rsid w:val="00B50B8A"/>
    <w:rsid w:val="00B53707"/>
    <w:rsid w:val="00B609A6"/>
    <w:rsid w:val="00B6314D"/>
    <w:rsid w:val="00B644BF"/>
    <w:rsid w:val="00B653D8"/>
    <w:rsid w:val="00B70DFA"/>
    <w:rsid w:val="00B730F2"/>
    <w:rsid w:val="00B8423A"/>
    <w:rsid w:val="00B860E1"/>
    <w:rsid w:val="00BA4421"/>
    <w:rsid w:val="00BA6DB6"/>
    <w:rsid w:val="00BA6FEF"/>
    <w:rsid w:val="00BA7835"/>
    <w:rsid w:val="00BB0B79"/>
    <w:rsid w:val="00BC235C"/>
    <w:rsid w:val="00BC25AE"/>
    <w:rsid w:val="00BC4CE7"/>
    <w:rsid w:val="00BC720F"/>
    <w:rsid w:val="00BD197A"/>
    <w:rsid w:val="00BF3DD4"/>
    <w:rsid w:val="00C06E59"/>
    <w:rsid w:val="00C16F57"/>
    <w:rsid w:val="00C31591"/>
    <w:rsid w:val="00C45824"/>
    <w:rsid w:val="00C92560"/>
    <w:rsid w:val="00C936AA"/>
    <w:rsid w:val="00CA33B8"/>
    <w:rsid w:val="00CB0945"/>
    <w:rsid w:val="00CB3CB6"/>
    <w:rsid w:val="00CB67C9"/>
    <w:rsid w:val="00CB6C35"/>
    <w:rsid w:val="00CB6E2E"/>
    <w:rsid w:val="00CC5A26"/>
    <w:rsid w:val="00CC624C"/>
    <w:rsid w:val="00CD052B"/>
    <w:rsid w:val="00CD3A4B"/>
    <w:rsid w:val="00CD7D80"/>
    <w:rsid w:val="00CE21D5"/>
    <w:rsid w:val="00CF6B14"/>
    <w:rsid w:val="00D02E9A"/>
    <w:rsid w:val="00D2332E"/>
    <w:rsid w:val="00D30288"/>
    <w:rsid w:val="00D3595F"/>
    <w:rsid w:val="00D400DD"/>
    <w:rsid w:val="00D53C2B"/>
    <w:rsid w:val="00D65FCD"/>
    <w:rsid w:val="00D67F4B"/>
    <w:rsid w:val="00D8028F"/>
    <w:rsid w:val="00D82D75"/>
    <w:rsid w:val="00D851EE"/>
    <w:rsid w:val="00D87517"/>
    <w:rsid w:val="00DA269A"/>
    <w:rsid w:val="00DB51AE"/>
    <w:rsid w:val="00DB5426"/>
    <w:rsid w:val="00DB67D9"/>
    <w:rsid w:val="00DC3B28"/>
    <w:rsid w:val="00DC3DD7"/>
    <w:rsid w:val="00DD4BA0"/>
    <w:rsid w:val="00DF2358"/>
    <w:rsid w:val="00E01C32"/>
    <w:rsid w:val="00E13E75"/>
    <w:rsid w:val="00E15C5B"/>
    <w:rsid w:val="00E16CCA"/>
    <w:rsid w:val="00E257AC"/>
    <w:rsid w:val="00E302A3"/>
    <w:rsid w:val="00E30996"/>
    <w:rsid w:val="00E3217D"/>
    <w:rsid w:val="00E400D6"/>
    <w:rsid w:val="00E51879"/>
    <w:rsid w:val="00E52F5F"/>
    <w:rsid w:val="00E557F4"/>
    <w:rsid w:val="00E575B2"/>
    <w:rsid w:val="00E622B6"/>
    <w:rsid w:val="00E627F9"/>
    <w:rsid w:val="00E65CD2"/>
    <w:rsid w:val="00E7035F"/>
    <w:rsid w:val="00E76A69"/>
    <w:rsid w:val="00E9244F"/>
    <w:rsid w:val="00E9643B"/>
    <w:rsid w:val="00EA3152"/>
    <w:rsid w:val="00EA4914"/>
    <w:rsid w:val="00EA5297"/>
    <w:rsid w:val="00EA5F28"/>
    <w:rsid w:val="00EB5EA7"/>
    <w:rsid w:val="00EB641F"/>
    <w:rsid w:val="00EB74A5"/>
    <w:rsid w:val="00EC0EDC"/>
    <w:rsid w:val="00EC162D"/>
    <w:rsid w:val="00EC251F"/>
    <w:rsid w:val="00EC330F"/>
    <w:rsid w:val="00ED6827"/>
    <w:rsid w:val="00EF015D"/>
    <w:rsid w:val="00EF2849"/>
    <w:rsid w:val="00F00F08"/>
    <w:rsid w:val="00F04EF1"/>
    <w:rsid w:val="00F113C3"/>
    <w:rsid w:val="00F1591A"/>
    <w:rsid w:val="00F15E21"/>
    <w:rsid w:val="00F1604F"/>
    <w:rsid w:val="00F22D54"/>
    <w:rsid w:val="00F23BCD"/>
    <w:rsid w:val="00F30509"/>
    <w:rsid w:val="00F36102"/>
    <w:rsid w:val="00F405CA"/>
    <w:rsid w:val="00F430BB"/>
    <w:rsid w:val="00F464B0"/>
    <w:rsid w:val="00F51D91"/>
    <w:rsid w:val="00F5235C"/>
    <w:rsid w:val="00F61209"/>
    <w:rsid w:val="00F67847"/>
    <w:rsid w:val="00F84AF3"/>
    <w:rsid w:val="00F93DBA"/>
    <w:rsid w:val="00FB0058"/>
    <w:rsid w:val="00FB1247"/>
    <w:rsid w:val="00FB4EF2"/>
    <w:rsid w:val="00FB5DE3"/>
    <w:rsid w:val="00FB60FE"/>
    <w:rsid w:val="00FB6FD6"/>
    <w:rsid w:val="00FC14C0"/>
    <w:rsid w:val="00FC2A81"/>
    <w:rsid w:val="00FC7E66"/>
    <w:rsid w:val="00FF0DB9"/>
    <w:rsid w:val="00FF69D9"/>
    <w:rsid w:val="01151AE1"/>
    <w:rsid w:val="013C06BC"/>
    <w:rsid w:val="01455C89"/>
    <w:rsid w:val="014F6641"/>
    <w:rsid w:val="01D61C60"/>
    <w:rsid w:val="01EC700F"/>
    <w:rsid w:val="02AC242E"/>
    <w:rsid w:val="02B024EB"/>
    <w:rsid w:val="030671D3"/>
    <w:rsid w:val="033259B7"/>
    <w:rsid w:val="04E84CC5"/>
    <w:rsid w:val="04FC31F4"/>
    <w:rsid w:val="05B84D42"/>
    <w:rsid w:val="05EB4740"/>
    <w:rsid w:val="05EE23E9"/>
    <w:rsid w:val="05F7692B"/>
    <w:rsid w:val="060B1F5B"/>
    <w:rsid w:val="0619721E"/>
    <w:rsid w:val="06493E4D"/>
    <w:rsid w:val="07293258"/>
    <w:rsid w:val="07686B6F"/>
    <w:rsid w:val="076F5347"/>
    <w:rsid w:val="07885820"/>
    <w:rsid w:val="08251EAA"/>
    <w:rsid w:val="08DB07BA"/>
    <w:rsid w:val="091D2ACA"/>
    <w:rsid w:val="0983332C"/>
    <w:rsid w:val="0A492780"/>
    <w:rsid w:val="0AE6209A"/>
    <w:rsid w:val="0B1F52D6"/>
    <w:rsid w:val="0BC34384"/>
    <w:rsid w:val="0BEB6F66"/>
    <w:rsid w:val="0D6D3676"/>
    <w:rsid w:val="0D993E8E"/>
    <w:rsid w:val="0D9E0576"/>
    <w:rsid w:val="0DB52EF3"/>
    <w:rsid w:val="0DFA2728"/>
    <w:rsid w:val="0E4911BF"/>
    <w:rsid w:val="0E7645AB"/>
    <w:rsid w:val="0E776F4A"/>
    <w:rsid w:val="0FFD1310"/>
    <w:rsid w:val="10833C11"/>
    <w:rsid w:val="11F267FA"/>
    <w:rsid w:val="126637EB"/>
    <w:rsid w:val="12F661C1"/>
    <w:rsid w:val="1335763D"/>
    <w:rsid w:val="144E63D5"/>
    <w:rsid w:val="14BD74C3"/>
    <w:rsid w:val="14BE16BC"/>
    <w:rsid w:val="14E619E7"/>
    <w:rsid w:val="150051CE"/>
    <w:rsid w:val="171275F2"/>
    <w:rsid w:val="172F4907"/>
    <w:rsid w:val="174071AD"/>
    <w:rsid w:val="18153CE9"/>
    <w:rsid w:val="18D605D0"/>
    <w:rsid w:val="18F733EE"/>
    <w:rsid w:val="1A463222"/>
    <w:rsid w:val="1A5C39D5"/>
    <w:rsid w:val="1B061CDE"/>
    <w:rsid w:val="1BDC7A5D"/>
    <w:rsid w:val="1BF06D97"/>
    <w:rsid w:val="1C047846"/>
    <w:rsid w:val="1C2E5D6C"/>
    <w:rsid w:val="1C5948E4"/>
    <w:rsid w:val="1CA77598"/>
    <w:rsid w:val="1D044B8D"/>
    <w:rsid w:val="1DC95DAF"/>
    <w:rsid w:val="1DD00114"/>
    <w:rsid w:val="1DDF1F21"/>
    <w:rsid w:val="1E1F46B4"/>
    <w:rsid w:val="1E7948A6"/>
    <w:rsid w:val="1EE774FE"/>
    <w:rsid w:val="1F664E2A"/>
    <w:rsid w:val="1F6E1944"/>
    <w:rsid w:val="1FE12702"/>
    <w:rsid w:val="20CC4FC4"/>
    <w:rsid w:val="20DF63BF"/>
    <w:rsid w:val="210B737A"/>
    <w:rsid w:val="215608CD"/>
    <w:rsid w:val="22B369D7"/>
    <w:rsid w:val="23503E27"/>
    <w:rsid w:val="23AD4BF6"/>
    <w:rsid w:val="2480418C"/>
    <w:rsid w:val="24CD45D5"/>
    <w:rsid w:val="25397486"/>
    <w:rsid w:val="274149C1"/>
    <w:rsid w:val="27954747"/>
    <w:rsid w:val="27CE58D7"/>
    <w:rsid w:val="28864ECA"/>
    <w:rsid w:val="28A45831"/>
    <w:rsid w:val="2937053D"/>
    <w:rsid w:val="296710EB"/>
    <w:rsid w:val="2A385615"/>
    <w:rsid w:val="2A6D0610"/>
    <w:rsid w:val="2AF75C96"/>
    <w:rsid w:val="2B1E3B9A"/>
    <w:rsid w:val="2C2D2E61"/>
    <w:rsid w:val="2C4402A1"/>
    <w:rsid w:val="2CF8364B"/>
    <w:rsid w:val="2DAC25A2"/>
    <w:rsid w:val="2DE47F8D"/>
    <w:rsid w:val="2E807496"/>
    <w:rsid w:val="2FE45B92"/>
    <w:rsid w:val="305B205D"/>
    <w:rsid w:val="318B0ACA"/>
    <w:rsid w:val="31C42E43"/>
    <w:rsid w:val="31F6028F"/>
    <w:rsid w:val="31F6358B"/>
    <w:rsid w:val="31FA5664"/>
    <w:rsid w:val="3220605C"/>
    <w:rsid w:val="32CB6440"/>
    <w:rsid w:val="332150DE"/>
    <w:rsid w:val="336511DA"/>
    <w:rsid w:val="3372458A"/>
    <w:rsid w:val="338418CB"/>
    <w:rsid w:val="33B06D6D"/>
    <w:rsid w:val="33E2724D"/>
    <w:rsid w:val="33E51A79"/>
    <w:rsid w:val="33F1560A"/>
    <w:rsid w:val="34BC685E"/>
    <w:rsid w:val="34D10B40"/>
    <w:rsid w:val="34FE473B"/>
    <w:rsid w:val="3541541D"/>
    <w:rsid w:val="358A766C"/>
    <w:rsid w:val="35DD437A"/>
    <w:rsid w:val="36A0693A"/>
    <w:rsid w:val="37933134"/>
    <w:rsid w:val="37BE46B6"/>
    <w:rsid w:val="37CB61BE"/>
    <w:rsid w:val="38006C15"/>
    <w:rsid w:val="38704047"/>
    <w:rsid w:val="387E2D8D"/>
    <w:rsid w:val="38B22A36"/>
    <w:rsid w:val="38C87EF1"/>
    <w:rsid w:val="38E10182"/>
    <w:rsid w:val="3A381BBB"/>
    <w:rsid w:val="3A993EAE"/>
    <w:rsid w:val="3BA9668C"/>
    <w:rsid w:val="3BE47193"/>
    <w:rsid w:val="3C0F11C2"/>
    <w:rsid w:val="3C5C2387"/>
    <w:rsid w:val="3CF24733"/>
    <w:rsid w:val="3D0D40C6"/>
    <w:rsid w:val="3D752E52"/>
    <w:rsid w:val="3DF34584"/>
    <w:rsid w:val="3E3C06B2"/>
    <w:rsid w:val="3EB02FC3"/>
    <w:rsid w:val="4011767F"/>
    <w:rsid w:val="41355614"/>
    <w:rsid w:val="4187476D"/>
    <w:rsid w:val="42181B5C"/>
    <w:rsid w:val="421C5668"/>
    <w:rsid w:val="42B75819"/>
    <w:rsid w:val="43087E22"/>
    <w:rsid w:val="43B35DB6"/>
    <w:rsid w:val="43C55D14"/>
    <w:rsid w:val="43DA2B56"/>
    <w:rsid w:val="43F611BE"/>
    <w:rsid w:val="441814E5"/>
    <w:rsid w:val="4484797D"/>
    <w:rsid w:val="4575004A"/>
    <w:rsid w:val="45AF5E29"/>
    <w:rsid w:val="45E54DB9"/>
    <w:rsid w:val="46F8376F"/>
    <w:rsid w:val="475D5B75"/>
    <w:rsid w:val="47777325"/>
    <w:rsid w:val="47D65295"/>
    <w:rsid w:val="48805E95"/>
    <w:rsid w:val="495F7B86"/>
    <w:rsid w:val="49714094"/>
    <w:rsid w:val="499A54DC"/>
    <w:rsid w:val="49BE232E"/>
    <w:rsid w:val="4A767B74"/>
    <w:rsid w:val="4B7B0DBF"/>
    <w:rsid w:val="4BCF5981"/>
    <w:rsid w:val="4C0A0767"/>
    <w:rsid w:val="4C547C35"/>
    <w:rsid w:val="4CE71F79"/>
    <w:rsid w:val="4EFC4F4D"/>
    <w:rsid w:val="4F1D4D62"/>
    <w:rsid w:val="4F4C3086"/>
    <w:rsid w:val="50027A78"/>
    <w:rsid w:val="50035D4F"/>
    <w:rsid w:val="504A1A7A"/>
    <w:rsid w:val="51257DF2"/>
    <w:rsid w:val="51397C42"/>
    <w:rsid w:val="51B3364F"/>
    <w:rsid w:val="526050B2"/>
    <w:rsid w:val="53DD0F98"/>
    <w:rsid w:val="53F1676B"/>
    <w:rsid w:val="546E11BB"/>
    <w:rsid w:val="548C55EB"/>
    <w:rsid w:val="54D264E2"/>
    <w:rsid w:val="555D5520"/>
    <w:rsid w:val="55832AAC"/>
    <w:rsid w:val="55A16490"/>
    <w:rsid w:val="55C421C1"/>
    <w:rsid w:val="55DD7C38"/>
    <w:rsid w:val="5733056B"/>
    <w:rsid w:val="574A2360"/>
    <w:rsid w:val="574B4143"/>
    <w:rsid w:val="576870CA"/>
    <w:rsid w:val="5781180D"/>
    <w:rsid w:val="57C42BBF"/>
    <w:rsid w:val="58661CEF"/>
    <w:rsid w:val="58C72BED"/>
    <w:rsid w:val="59451C53"/>
    <w:rsid w:val="59944580"/>
    <w:rsid w:val="5A2E7D17"/>
    <w:rsid w:val="5AC4564A"/>
    <w:rsid w:val="5B716904"/>
    <w:rsid w:val="5C6850EC"/>
    <w:rsid w:val="5C784597"/>
    <w:rsid w:val="5CA861B9"/>
    <w:rsid w:val="5CF27722"/>
    <w:rsid w:val="5DFB0996"/>
    <w:rsid w:val="5F345D30"/>
    <w:rsid w:val="5F7217D4"/>
    <w:rsid w:val="5FC429C9"/>
    <w:rsid w:val="60CA51B7"/>
    <w:rsid w:val="60F03F78"/>
    <w:rsid w:val="610D086E"/>
    <w:rsid w:val="61D81D7A"/>
    <w:rsid w:val="625308DA"/>
    <w:rsid w:val="62B64D4D"/>
    <w:rsid w:val="62D60F4C"/>
    <w:rsid w:val="63D23E09"/>
    <w:rsid w:val="64812FCB"/>
    <w:rsid w:val="65200F2D"/>
    <w:rsid w:val="65442AE4"/>
    <w:rsid w:val="66811B16"/>
    <w:rsid w:val="670342D9"/>
    <w:rsid w:val="67403207"/>
    <w:rsid w:val="676E1C49"/>
    <w:rsid w:val="677C4D40"/>
    <w:rsid w:val="67BF3F60"/>
    <w:rsid w:val="67DF6AF4"/>
    <w:rsid w:val="68562B2F"/>
    <w:rsid w:val="6882658E"/>
    <w:rsid w:val="699355F7"/>
    <w:rsid w:val="69D27237"/>
    <w:rsid w:val="6A17395F"/>
    <w:rsid w:val="6AA933EA"/>
    <w:rsid w:val="6B5A7D4B"/>
    <w:rsid w:val="6B6259E8"/>
    <w:rsid w:val="6B800105"/>
    <w:rsid w:val="6B927E74"/>
    <w:rsid w:val="6C1F48EA"/>
    <w:rsid w:val="6C8E025C"/>
    <w:rsid w:val="6CF92406"/>
    <w:rsid w:val="6D7D1389"/>
    <w:rsid w:val="6DFB5359"/>
    <w:rsid w:val="6E2978A0"/>
    <w:rsid w:val="6E2B0A9E"/>
    <w:rsid w:val="6E8E6B7E"/>
    <w:rsid w:val="6EA1358F"/>
    <w:rsid w:val="6F964ECE"/>
    <w:rsid w:val="705B7FDF"/>
    <w:rsid w:val="70760190"/>
    <w:rsid w:val="707F2C23"/>
    <w:rsid w:val="70E24D22"/>
    <w:rsid w:val="71C902E4"/>
    <w:rsid w:val="71D946BC"/>
    <w:rsid w:val="72192F34"/>
    <w:rsid w:val="75311340"/>
    <w:rsid w:val="75B74DEA"/>
    <w:rsid w:val="768536A7"/>
    <w:rsid w:val="773C43ED"/>
    <w:rsid w:val="7769127B"/>
    <w:rsid w:val="778E6E81"/>
    <w:rsid w:val="77BE375C"/>
    <w:rsid w:val="78063C29"/>
    <w:rsid w:val="786B4EE6"/>
    <w:rsid w:val="791945F1"/>
    <w:rsid w:val="79303C68"/>
    <w:rsid w:val="79441EB1"/>
    <w:rsid w:val="79570BE0"/>
    <w:rsid w:val="79EE2754"/>
    <w:rsid w:val="7A652E89"/>
    <w:rsid w:val="7B1D18A1"/>
    <w:rsid w:val="7B216366"/>
    <w:rsid w:val="7B452CBB"/>
    <w:rsid w:val="7C6A4995"/>
    <w:rsid w:val="7D076143"/>
    <w:rsid w:val="7D8E38D7"/>
    <w:rsid w:val="7E3B6594"/>
    <w:rsid w:val="7EE350B9"/>
    <w:rsid w:val="7F08297D"/>
    <w:rsid w:val="7FED0024"/>
    <w:rsid w:val="7FF5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left"/>
      <w:outlineLvl w:val="0"/>
    </w:pPr>
    <w:rPr>
      <w:rFonts w:eastAsia="Arial"/>
      <w:b/>
      <w:bCs/>
      <w:kern w:val="44"/>
      <w:szCs w:val="44"/>
    </w:rPr>
  </w:style>
  <w:style w:type="paragraph" w:styleId="4">
    <w:name w:val="heading 2"/>
    <w:basedOn w:val="1"/>
    <w:next w:val="1"/>
    <w:link w:val="36"/>
    <w:qFormat/>
    <w:uiPriority w:val="0"/>
    <w:pPr>
      <w:keepNext/>
      <w:keepLines/>
      <w:spacing w:before="260" w:after="260" w:line="413" w:lineRule="auto"/>
      <w:outlineLvl w:val="1"/>
    </w:pPr>
    <w:rPr>
      <w:rFonts w:eastAsia="Arial"/>
      <w:b/>
      <w:bCs/>
      <w:szCs w:val="32"/>
    </w:rPr>
  </w:style>
  <w:style w:type="paragraph" w:styleId="5">
    <w:name w:val="heading 3"/>
    <w:basedOn w:val="1"/>
    <w:next w:val="1"/>
    <w:link w:val="37"/>
    <w:qFormat/>
    <w:uiPriority w:val="0"/>
    <w:pPr>
      <w:keepNext/>
      <w:keepLines/>
      <w:adjustRightInd w:val="0"/>
      <w:snapToGrid w:val="0"/>
      <w:spacing w:line="360" w:lineRule="auto"/>
      <w:outlineLvl w:val="2"/>
    </w:pPr>
    <w:rPr>
      <w:b/>
      <w:bCs/>
      <w:szCs w:val="32"/>
    </w:rPr>
  </w:style>
  <w:style w:type="paragraph" w:styleId="6">
    <w:name w:val="heading 4"/>
    <w:basedOn w:val="1"/>
    <w:next w:val="1"/>
    <w:link w:val="38"/>
    <w:qFormat/>
    <w:uiPriority w:val="0"/>
    <w:pPr>
      <w:keepNext/>
      <w:keepLines/>
      <w:spacing w:line="360" w:lineRule="auto"/>
      <w:ind w:left="1502" w:hanging="1080"/>
      <w:outlineLvl w:val="3"/>
    </w:pPr>
    <w:rPr>
      <w:rFonts w:ascii="Calibri Light" w:hAnsi="Calibri Light" w:cs="宋体"/>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qFormat/>
    <w:uiPriority w:val="0"/>
    <w:pPr>
      <w:widowControl/>
      <w:ind w:firstLine="420" w:firstLineChars="200"/>
      <w:jc w:val="left"/>
    </w:pPr>
    <w:rPr>
      <w:kern w:val="0"/>
      <w:sz w:val="20"/>
      <w:szCs w:val="20"/>
    </w:rPr>
  </w:style>
  <w:style w:type="paragraph" w:styleId="9">
    <w:name w:val="toa heading"/>
    <w:basedOn w:val="1"/>
    <w:next w:val="1"/>
    <w:qFormat/>
    <w:uiPriority w:val="0"/>
    <w:pPr>
      <w:spacing w:before="120"/>
    </w:pPr>
    <w:rPr>
      <w:rFonts w:ascii="Arial" w:hAnsi="Arial"/>
      <w:sz w:val="24"/>
      <w:szCs w:val="20"/>
    </w:rPr>
  </w:style>
  <w:style w:type="paragraph" w:styleId="10">
    <w:name w:val="annotation text"/>
    <w:basedOn w:val="1"/>
    <w:link w:val="39"/>
    <w:qFormat/>
    <w:uiPriority w:val="0"/>
    <w:pPr>
      <w:jc w:val="left"/>
    </w:pPr>
  </w:style>
  <w:style w:type="paragraph" w:styleId="11">
    <w:name w:val="List Bullet 3"/>
    <w:basedOn w:val="1"/>
    <w:qFormat/>
    <w:uiPriority w:val="0"/>
    <w:pPr>
      <w:tabs>
        <w:tab w:val="left" w:pos="1200"/>
      </w:tabs>
      <w:ind w:left="1200" w:hanging="360"/>
    </w:pPr>
  </w:style>
  <w:style w:type="paragraph" w:styleId="12">
    <w:name w:val="Body Text Indent"/>
    <w:basedOn w:val="1"/>
    <w:link w:val="40"/>
    <w:qFormat/>
    <w:uiPriority w:val="0"/>
    <w:pPr>
      <w:ind w:firstLine="560" w:firstLineChars="200"/>
    </w:pPr>
    <w:rPr>
      <w:sz w:val="28"/>
    </w:r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qFormat/>
    <w:uiPriority w:val="39"/>
    <w:pPr>
      <w:tabs>
        <w:tab w:val="left" w:pos="1260"/>
        <w:tab w:val="right" w:leader="dot" w:pos="8296"/>
      </w:tabs>
      <w:ind w:left="840" w:leftChars="400"/>
    </w:pPr>
  </w:style>
  <w:style w:type="paragraph" w:styleId="15">
    <w:name w:val="Plain Text"/>
    <w:basedOn w:val="1"/>
    <w:link w:val="41"/>
    <w:qFormat/>
    <w:uiPriority w:val="0"/>
    <w:rPr>
      <w:rFonts w:ascii="宋体" w:hAnsi="Courier New"/>
    </w:rPr>
  </w:style>
  <w:style w:type="paragraph" w:styleId="16">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7">
    <w:name w:val="Date"/>
    <w:basedOn w:val="1"/>
    <w:next w:val="1"/>
    <w:link w:val="42"/>
    <w:qFormat/>
    <w:uiPriority w:val="0"/>
    <w:pPr>
      <w:ind w:left="100" w:leftChars="2500"/>
    </w:pPr>
  </w:style>
  <w:style w:type="paragraph" w:styleId="18">
    <w:name w:val="Balloon Text"/>
    <w:basedOn w:val="1"/>
    <w:link w:val="43"/>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296"/>
      </w:tabs>
      <w:spacing w:before="312" w:beforeLines="100" w:after="156" w:afterLines="50"/>
    </w:pPr>
    <w:rPr>
      <w:rFonts w:eastAsia="黑体"/>
      <w:sz w:val="24"/>
    </w:rPr>
  </w:style>
  <w:style w:type="paragraph" w:styleId="22">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3">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2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5">
    <w:name w:val="toc 2"/>
    <w:basedOn w:val="1"/>
    <w:next w:val="1"/>
    <w:qFormat/>
    <w:uiPriority w:val="39"/>
    <w:pPr>
      <w:tabs>
        <w:tab w:val="left" w:pos="1260"/>
        <w:tab w:val="right" w:leader="dot" w:pos="8296"/>
      </w:tabs>
      <w:spacing w:line="340" w:lineRule="exact"/>
      <w:ind w:left="420" w:leftChars="200"/>
    </w:pPr>
  </w:style>
  <w:style w:type="paragraph" w:styleId="26">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15"/>
      <w:szCs w:val="15"/>
    </w:rPr>
  </w:style>
  <w:style w:type="paragraph" w:styleId="28">
    <w:name w:val="annotation subject"/>
    <w:basedOn w:val="10"/>
    <w:next w:val="10"/>
    <w:link w:val="44"/>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rPr>
      <w:lang w:val="en-US" w:eastAsia="zh-CN" w:bidi="ar-SA"/>
    </w:rPr>
  </w:style>
  <w:style w:type="character" w:styleId="33">
    <w:name w:val="Hyperlink"/>
    <w:qFormat/>
    <w:uiPriority w:val="99"/>
    <w:rPr>
      <w:rFonts w:eastAsia="宋体"/>
      <w:color w:val="0000FF"/>
      <w:kern w:val="2"/>
      <w:sz w:val="24"/>
      <w:szCs w:val="24"/>
      <w:u w:val="single"/>
      <w:lang w:val="en-US" w:eastAsia="zh-CN" w:bidi="ar-SA"/>
    </w:rPr>
  </w:style>
  <w:style w:type="character" w:styleId="34">
    <w:name w:val="annotation reference"/>
    <w:basedOn w:val="31"/>
    <w:qFormat/>
    <w:uiPriority w:val="0"/>
    <w:rPr>
      <w:sz w:val="21"/>
      <w:szCs w:val="21"/>
    </w:rPr>
  </w:style>
  <w:style w:type="paragraph" w:customStyle="1" w:styleId="35">
    <w:name w:val="WPSOffice手动目录 1"/>
    <w:qFormat/>
    <w:uiPriority w:val="0"/>
    <w:rPr>
      <w:rFonts w:ascii="Times New Roman" w:hAnsi="Times New Roman" w:eastAsia="宋体" w:cs="Times New Roman"/>
      <w:lang w:val="en-US" w:eastAsia="zh-CN" w:bidi="ar-SA"/>
    </w:rPr>
  </w:style>
  <w:style w:type="character" w:customStyle="1" w:styleId="36">
    <w:name w:val="标题 2 字符"/>
    <w:link w:val="4"/>
    <w:qFormat/>
    <w:locked/>
    <w:uiPriority w:val="0"/>
    <w:rPr>
      <w:rFonts w:eastAsia="Arial"/>
      <w:b/>
      <w:bCs/>
      <w:kern w:val="2"/>
      <w:sz w:val="21"/>
      <w:szCs w:val="32"/>
    </w:rPr>
  </w:style>
  <w:style w:type="character" w:customStyle="1" w:styleId="37">
    <w:name w:val="标题 3 字符"/>
    <w:basedOn w:val="31"/>
    <w:link w:val="5"/>
    <w:qFormat/>
    <w:uiPriority w:val="0"/>
    <w:rPr>
      <w:b/>
      <w:bCs/>
      <w:kern w:val="2"/>
      <w:sz w:val="21"/>
      <w:szCs w:val="32"/>
    </w:rPr>
  </w:style>
  <w:style w:type="character" w:customStyle="1" w:styleId="38">
    <w:name w:val="标题 4 字符"/>
    <w:basedOn w:val="31"/>
    <w:link w:val="6"/>
    <w:qFormat/>
    <w:uiPriority w:val="0"/>
    <w:rPr>
      <w:rFonts w:ascii="Calibri Light" w:hAnsi="Calibri Light" w:cs="宋体"/>
      <w:b/>
      <w:bCs/>
      <w:kern w:val="2"/>
      <w:sz w:val="21"/>
      <w:szCs w:val="28"/>
    </w:rPr>
  </w:style>
  <w:style w:type="character" w:customStyle="1" w:styleId="39">
    <w:name w:val="批注文字 字符"/>
    <w:basedOn w:val="31"/>
    <w:link w:val="10"/>
    <w:qFormat/>
    <w:uiPriority w:val="0"/>
    <w:rPr>
      <w:kern w:val="2"/>
      <w:sz w:val="21"/>
      <w:szCs w:val="24"/>
    </w:rPr>
  </w:style>
  <w:style w:type="character" w:customStyle="1" w:styleId="40">
    <w:name w:val="正文文本缩进 字符"/>
    <w:link w:val="12"/>
    <w:qFormat/>
    <w:uiPriority w:val="0"/>
    <w:rPr>
      <w:kern w:val="2"/>
      <w:sz w:val="28"/>
      <w:szCs w:val="24"/>
    </w:rPr>
  </w:style>
  <w:style w:type="character" w:customStyle="1" w:styleId="41">
    <w:name w:val="纯文本 字符"/>
    <w:link w:val="15"/>
    <w:qFormat/>
    <w:uiPriority w:val="0"/>
    <w:rPr>
      <w:rFonts w:ascii="宋体" w:hAnsi="Courier New"/>
      <w:kern w:val="2"/>
      <w:sz w:val="21"/>
      <w:szCs w:val="24"/>
    </w:rPr>
  </w:style>
  <w:style w:type="character" w:customStyle="1" w:styleId="42">
    <w:name w:val="日期 字符"/>
    <w:basedOn w:val="31"/>
    <w:link w:val="17"/>
    <w:qFormat/>
    <w:uiPriority w:val="0"/>
    <w:rPr>
      <w:kern w:val="2"/>
      <w:sz w:val="21"/>
      <w:szCs w:val="24"/>
    </w:rPr>
  </w:style>
  <w:style w:type="character" w:customStyle="1" w:styleId="43">
    <w:name w:val="批注框文本 字符"/>
    <w:basedOn w:val="31"/>
    <w:link w:val="18"/>
    <w:qFormat/>
    <w:uiPriority w:val="0"/>
    <w:rPr>
      <w:kern w:val="2"/>
      <w:sz w:val="18"/>
      <w:szCs w:val="18"/>
    </w:rPr>
  </w:style>
  <w:style w:type="character" w:customStyle="1" w:styleId="44">
    <w:name w:val="批注主题 字符"/>
    <w:basedOn w:val="39"/>
    <w:link w:val="28"/>
    <w:qFormat/>
    <w:uiPriority w:val="0"/>
    <w:rPr>
      <w:b/>
      <w:bCs/>
      <w:kern w:val="2"/>
      <w:sz w:val="21"/>
      <w:szCs w:val="24"/>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31"/>
    <w:basedOn w:val="31"/>
    <w:qFormat/>
    <w:uiPriority w:val="0"/>
    <w:rPr>
      <w:rFonts w:hint="eastAsia" w:ascii="宋体" w:hAnsi="宋体" w:eastAsia="宋体" w:cs="宋体"/>
      <w:color w:val="000000"/>
      <w:sz w:val="21"/>
      <w:szCs w:val="21"/>
      <w:u w:val="none"/>
    </w:rPr>
  </w:style>
  <w:style w:type="character" w:customStyle="1" w:styleId="47">
    <w:name w:val="font21"/>
    <w:basedOn w:val="31"/>
    <w:qFormat/>
    <w:uiPriority w:val="0"/>
    <w:rPr>
      <w:rFonts w:hint="default" w:ascii="Times New Roman" w:hAnsi="Times New Roman" w:cs="Times New Roman"/>
      <w:color w:val="000000"/>
      <w:sz w:val="21"/>
      <w:szCs w:val="21"/>
      <w:u w:val="none"/>
    </w:rPr>
  </w:style>
  <w:style w:type="character" w:customStyle="1" w:styleId="48">
    <w:name w:val="font71"/>
    <w:basedOn w:val="31"/>
    <w:qFormat/>
    <w:uiPriority w:val="0"/>
    <w:rPr>
      <w:rFonts w:hint="eastAsia" w:ascii="宋体" w:hAnsi="宋体" w:eastAsia="宋体" w:cs="宋体"/>
      <w:color w:val="000000"/>
      <w:sz w:val="21"/>
      <w:szCs w:val="21"/>
      <w:u w:val="none"/>
    </w:rPr>
  </w:style>
  <w:style w:type="character" w:customStyle="1" w:styleId="49">
    <w:name w:val="font41"/>
    <w:basedOn w:val="31"/>
    <w:qFormat/>
    <w:uiPriority w:val="0"/>
    <w:rPr>
      <w:rFonts w:hint="default" w:ascii="Times New Roman" w:hAnsi="Times New Roman" w:cs="Times New Roman"/>
      <w:color w:val="000000"/>
      <w:sz w:val="21"/>
      <w:szCs w:val="21"/>
      <w:u w:val="none"/>
    </w:rPr>
  </w:style>
  <w:style w:type="character" w:customStyle="1" w:styleId="50">
    <w:name w:val="font01"/>
    <w:basedOn w:val="31"/>
    <w:qFormat/>
    <w:uiPriority w:val="0"/>
    <w:rPr>
      <w:rFonts w:hint="eastAsia" w:ascii="宋体" w:hAnsi="宋体" w:eastAsia="宋体" w:cs="宋体"/>
      <w:color w:val="FF0000"/>
      <w:sz w:val="21"/>
      <w:szCs w:val="21"/>
      <w:u w:val="none"/>
    </w:rPr>
  </w:style>
  <w:style w:type="character" w:customStyle="1" w:styleId="51">
    <w:name w:val="font61"/>
    <w:basedOn w:val="31"/>
    <w:qFormat/>
    <w:uiPriority w:val="0"/>
    <w:rPr>
      <w:rFonts w:hint="default" w:ascii="Times New Roman" w:hAnsi="Times New Roman" w:cs="Times New Roman"/>
      <w:color w:val="FF0000"/>
      <w:sz w:val="21"/>
      <w:szCs w:val="21"/>
      <w:u w:val="none"/>
    </w:rPr>
  </w:style>
  <w:style w:type="character" w:customStyle="1" w:styleId="52">
    <w:name w:val="font11"/>
    <w:basedOn w:val="31"/>
    <w:qFormat/>
    <w:uiPriority w:val="0"/>
    <w:rPr>
      <w:rFonts w:hint="eastAsia" w:ascii="宋体" w:hAnsi="宋体" w:eastAsia="宋体" w:cs="宋体"/>
      <w:color w:val="000000"/>
      <w:sz w:val="22"/>
      <w:szCs w:val="22"/>
      <w:u w:val="none"/>
    </w:rPr>
  </w:style>
  <w:style w:type="character" w:customStyle="1" w:styleId="53">
    <w:name w:val="font51"/>
    <w:basedOn w:val="31"/>
    <w:qFormat/>
    <w:uiPriority w:val="0"/>
    <w:rPr>
      <w:rFonts w:hint="default" w:ascii="Times New Roman" w:hAnsi="Times New Roman" w:cs="Times New Roman"/>
      <w:color w:val="000000"/>
      <w:sz w:val="21"/>
      <w:szCs w:val="21"/>
      <w:u w:val="none"/>
    </w:rPr>
  </w:style>
  <w:style w:type="character" w:customStyle="1" w:styleId="54">
    <w:name w:val="font81"/>
    <w:basedOn w:val="31"/>
    <w:qFormat/>
    <w:uiPriority w:val="0"/>
    <w:rPr>
      <w:rFonts w:hint="eastAsia" w:ascii="宋体" w:hAnsi="宋体" w:eastAsia="宋体" w:cs="宋体"/>
      <w:color w:val="000000"/>
      <w:sz w:val="22"/>
      <w:szCs w:val="22"/>
      <w:u w:val="none"/>
    </w:rPr>
  </w:style>
  <w:style w:type="character" w:customStyle="1" w:styleId="55">
    <w:name w:val="font91"/>
    <w:basedOn w:val="31"/>
    <w:qFormat/>
    <w:uiPriority w:val="0"/>
    <w:rPr>
      <w:rFonts w:hint="eastAsia" w:ascii="宋体" w:hAnsi="宋体" w:eastAsia="宋体" w:cs="宋体"/>
      <w:color w:val="FF0000"/>
      <w:sz w:val="21"/>
      <w:szCs w:val="21"/>
      <w:u w:val="none"/>
    </w:rPr>
  </w:style>
  <w:style w:type="character" w:customStyle="1" w:styleId="56">
    <w:name w:val="font101"/>
    <w:basedOn w:val="31"/>
    <w:qFormat/>
    <w:uiPriority w:val="0"/>
    <w:rPr>
      <w:rFonts w:hint="eastAsia" w:ascii="宋体" w:hAnsi="宋体" w:eastAsia="宋体" w:cs="宋体"/>
      <w:color w:val="FF0000"/>
      <w:sz w:val="22"/>
      <w:szCs w:val="22"/>
      <w:u w:val="none"/>
    </w:rPr>
  </w:style>
  <w:style w:type="character" w:customStyle="1" w:styleId="57">
    <w:name w:val="font112"/>
    <w:basedOn w:val="31"/>
    <w:qFormat/>
    <w:uiPriority w:val="0"/>
    <w:rPr>
      <w:rFonts w:hint="eastAsia" w:ascii="宋体" w:hAnsi="宋体" w:eastAsia="宋体" w:cs="宋体"/>
      <w:color w:val="FF0000"/>
      <w:sz w:val="22"/>
      <w:szCs w:val="22"/>
      <w:u w:val="none"/>
    </w:rPr>
  </w:style>
  <w:style w:type="paragraph" w:customStyle="1" w:styleId="58">
    <w:name w:val="+标题1"/>
    <w:basedOn w:val="3"/>
    <w:qFormat/>
    <w:uiPriority w:val="0"/>
    <w:pPr>
      <w:tabs>
        <w:tab w:val="left" w:pos="3686"/>
      </w:tabs>
      <w:adjustRightInd w:val="0"/>
      <w:snapToGrid w:val="0"/>
      <w:jc w:val="center"/>
    </w:pPr>
    <w:rPr>
      <w:rFonts w:eastAsia="黑体"/>
      <w:sz w:val="28"/>
      <w:szCs w:val="28"/>
    </w:rPr>
  </w:style>
  <w:style w:type="paragraph" w:styleId="59">
    <w:name w:val="List Paragraph"/>
    <w:basedOn w:val="1"/>
    <w:qFormat/>
    <w:uiPriority w:val="99"/>
    <w:pPr>
      <w:ind w:firstLine="420" w:firstLineChars="200"/>
    </w:pPr>
  </w:style>
  <w:style w:type="character" w:customStyle="1" w:styleId="60">
    <w:name w:val="+正文 Char Char Char4"/>
    <w:link w:val="61"/>
    <w:qFormat/>
    <w:locked/>
    <w:uiPriority w:val="0"/>
  </w:style>
  <w:style w:type="paragraph" w:customStyle="1" w:styleId="61">
    <w:name w:val="+正文 Char Char7"/>
    <w:basedOn w:val="1"/>
    <w:link w:val="60"/>
    <w:qFormat/>
    <w:uiPriority w:val="0"/>
    <w:pPr>
      <w:spacing w:line="360" w:lineRule="auto"/>
      <w:ind w:firstLine="200" w:firstLineChars="200"/>
    </w:pPr>
    <w:rPr>
      <w:kern w:val="0"/>
      <w:sz w:val="20"/>
      <w:szCs w:val="20"/>
    </w:rPr>
  </w:style>
  <w:style w:type="paragraph" w:customStyle="1" w:styleId="6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5">
    <w:name w:val="正文缩进4格"/>
    <w:basedOn w:val="66"/>
    <w:qFormat/>
    <w:uiPriority w:val="0"/>
    <w:pPr>
      <w:spacing w:line="360" w:lineRule="auto"/>
      <w:ind w:left="1134" w:leftChars="354" w:hanging="391" w:hangingChars="186"/>
      <w:jc w:val="left"/>
    </w:pPr>
    <w:rPr>
      <w:rFonts w:ascii="宋体" w:eastAsia="宋体"/>
      <w:color w:val="00B0F0"/>
      <w:sz w:val="21"/>
      <w:szCs w:val="21"/>
      <w:lang w:val="zh-CN"/>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7">
    <w:name w:val="2"/>
    <w:basedOn w:val="1"/>
    <w:next w:val="15"/>
    <w:qFormat/>
    <w:uiPriority w:val="0"/>
    <w:rPr>
      <w:rFonts w:ascii="宋体" w:hAnsi="Courier New"/>
      <w:szCs w:val="20"/>
    </w:rPr>
  </w:style>
  <w:style w:type="paragraph" w:customStyle="1" w:styleId="68">
    <w:name w:val="保留正文"/>
    <w:basedOn w:val="2"/>
    <w:qFormat/>
    <w:uiPriority w:val="0"/>
    <w:pPr>
      <w:keepNext/>
      <w:spacing w:after="160"/>
    </w:pPr>
  </w:style>
  <w:style w:type="character" w:customStyle="1" w:styleId="69">
    <w:name w:val="15"/>
    <w:basedOn w:val="31"/>
    <w:qFormat/>
    <w:uiPriority w:val="0"/>
    <w:rPr>
      <w:rFonts w:hint="default" w:ascii="Times New Roman" w:hAnsi="Times New Roman" w:cs="Times New Roman"/>
    </w:rPr>
  </w:style>
  <w:style w:type="paragraph" w:customStyle="1" w:styleId="7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71">
    <w:name w:val="批注文字 字符1"/>
    <w:qFormat/>
    <w:uiPriority w:val="0"/>
    <w:rPr>
      <w:lang w:val="en-US" w:eastAsia="zh-CN" w:bidi="ar-SA"/>
    </w:rPr>
  </w:style>
  <w:style w:type="paragraph" w:customStyle="1" w:styleId="72">
    <w:name w:val="修订21"/>
    <w:hidden/>
    <w:semiHidden/>
    <w:qFormat/>
    <w:uiPriority w:val="99"/>
    <w:rPr>
      <w:rFonts w:ascii="Times New Roman" w:hAnsi="Times New Roman" w:eastAsia="宋体" w:cs="Times New Roman"/>
      <w:kern w:val="2"/>
      <w:sz w:val="21"/>
      <w:szCs w:val="24"/>
      <w:lang w:val="en-US" w:eastAsia="zh-CN" w:bidi="ar-SA"/>
    </w:rPr>
  </w:style>
  <w:style w:type="character" w:customStyle="1" w:styleId="73">
    <w:name w:val="正文文本缩进 字符1"/>
    <w:qFormat/>
    <w:uiPriority w:val="0"/>
    <w:rPr>
      <w:rFonts w:eastAsia="宋体"/>
      <w:kern w:val="2"/>
      <w:sz w:val="28"/>
      <w:szCs w:val="24"/>
      <w:lang w:val="en-US" w:eastAsia="zh-CN" w:bidi="ar-SA"/>
    </w:rPr>
  </w:style>
  <w:style w:type="character" w:customStyle="1" w:styleId="74">
    <w:name w:val="纯文本 字符1"/>
    <w:qFormat/>
    <w:uiPriority w:val="0"/>
    <w:rPr>
      <w:rFonts w:ascii="宋体" w:hAnsi="Courier New" w:eastAsia="宋体"/>
      <w:kern w:val="2"/>
      <w:sz w:val="21"/>
      <w:szCs w:val="24"/>
      <w:lang w:val="en-US" w:eastAsia="zh-CN" w:bidi="ar-SA"/>
    </w:rPr>
  </w:style>
  <w:style w:type="paragraph" w:customStyle="1" w:styleId="7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76">
    <w:name w:val="批注文字 Char3"/>
    <w:qFormat/>
    <w:uiPriority w:val="0"/>
    <w:rPr>
      <w:lang w:val="en-US" w:eastAsia="zh-CN" w:bidi="ar-SA"/>
    </w:rPr>
  </w:style>
  <w:style w:type="character" w:customStyle="1" w:styleId="77">
    <w:name w:val="16"/>
    <w:basedOn w:val="31"/>
    <w:qFormat/>
    <w:uiPriority w:val="0"/>
    <w:rPr>
      <w:rFonts w:hint="default" w:ascii="Times New Roman" w:hAnsi="Times New Roman" w:eastAsia="宋体" w:cs="Times New Roman"/>
      <w:color w:val="000000"/>
    </w:rPr>
  </w:style>
  <w:style w:type="character" w:customStyle="1" w:styleId="78">
    <w:name w:val="17"/>
    <w:basedOn w:val="31"/>
    <w:qFormat/>
    <w:uiPriority w:val="0"/>
    <w:rPr>
      <w:rFonts w:hint="default" w:ascii="Calibri" w:hAnsi="Calibri" w:eastAsia="宋体" w:cs="Calibri"/>
      <w:color w:val="0000FF"/>
      <w:kern w:val="2"/>
      <w:sz w:val="24"/>
      <w:szCs w:val="24"/>
      <w:u w:val="single"/>
    </w:rPr>
  </w:style>
  <w:style w:type="paragraph" w:customStyle="1" w:styleId="79">
    <w:name w:val="正文（文章）"/>
    <w:basedOn w:val="1"/>
    <w:qFormat/>
    <w:uiPriority w:val="0"/>
    <w:pPr>
      <w:ind w:firstLine="560" w:firstLineChars="200"/>
    </w:pPr>
    <w:rPr>
      <w:sz w:val="28"/>
      <w:szCs w:val="28"/>
    </w:rPr>
  </w:style>
  <w:style w:type="character" w:customStyle="1" w:styleId="80">
    <w:name w:val="18"/>
    <w:basedOn w:val="31"/>
    <w:qFormat/>
    <w:uiPriority w:val="0"/>
    <w:rPr>
      <w:rFonts w:hint="eastAsia" w:ascii="宋体" w:hAnsi="宋体" w:eastAsia="宋体" w:cs="宋体"/>
      <w:b/>
      <w:b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225</Pages>
  <Words>123696</Words>
  <Characters>130726</Characters>
  <Lines>1078</Lines>
  <Paragraphs>303</Paragraphs>
  <TotalTime>27</TotalTime>
  <ScaleCrop>false</ScaleCrop>
  <LinksUpToDate>false</LinksUpToDate>
  <CharactersWithSpaces>139264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2023-05-11T09:38:00Z</dcterms:created>
  <dc:creator>LSW</dc:creator>
  <cp:lastModifiedBy>朴泯皓</cp:lastModifiedBy>
  <cp:lastPrinted>2023-07-27T07:47:00Z</cp:lastPrinted>
  <dcterms:modified xsi:type="dcterms:W3CDTF">2023-10-25T05:27:54Z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52B4901827874432BCEAFD0077A5D3BA_13</vt:lpwstr>
  </property>
</Properties>
</file>