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宋体" w:hAnsi="宋体" w:eastAsia="宋体" w:cs="宋体"/>
          <w:color w:val="auto"/>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东莞市水务集团有限公司企业年金</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基金受托管理机构项目</w:t>
      </w:r>
    </w:p>
    <w:p>
      <w:pPr>
        <w:pStyle w:val="2"/>
        <w:spacing w:line="360" w:lineRule="auto"/>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pStyle w:val="10"/>
        <w:rPr>
          <w:rFonts w:hint="eastAsia" w:ascii="仿宋" w:hAnsi="仿宋" w:eastAsia="仿宋" w:cs="仿宋"/>
          <w:color w:val="auto"/>
          <w:highlight w:val="none"/>
        </w:rPr>
      </w:pPr>
    </w:p>
    <w:p>
      <w:pPr>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lang w:val="en-US" w:eastAsia="zh-CN"/>
        </w:rPr>
        <w:t>比选文件</w:t>
      </w:r>
    </w:p>
    <w:p>
      <w:pPr>
        <w:spacing w:line="360" w:lineRule="auto"/>
        <w:jc w:val="center"/>
        <w:rPr>
          <w:rFonts w:hint="eastAsia" w:ascii="仿宋" w:hAnsi="仿宋" w:eastAsia="仿宋" w:cs="仿宋"/>
          <w:b/>
          <w:bCs/>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pStyle w:val="17"/>
        <w:ind w:firstLine="420"/>
        <w:rPr>
          <w:rFonts w:hint="eastAsia" w:ascii="仿宋" w:hAnsi="仿宋" w:eastAsia="仿宋" w:cs="仿宋"/>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仿宋" w:hAnsi="仿宋" w:eastAsia="仿宋" w:cs="仿宋"/>
          <w:b/>
          <w:bCs/>
          <w:color w:val="auto"/>
          <w:sz w:val="36"/>
          <w:szCs w:val="36"/>
          <w:highlight w:val="none"/>
          <w:lang w:val="zh-CN"/>
        </w:rPr>
      </w:pPr>
      <w:r>
        <w:rPr>
          <w:rFonts w:hint="eastAsia" w:ascii="仿宋" w:hAnsi="仿宋" w:eastAsia="仿宋" w:cs="仿宋"/>
          <w:b/>
          <w:bCs/>
          <w:color w:val="auto"/>
          <w:spacing w:val="28"/>
          <w:sz w:val="36"/>
          <w:szCs w:val="36"/>
          <w:highlight w:val="none"/>
          <w:u w:val="none"/>
        </w:rPr>
        <w:t>东莞市水务集团有限公司</w:t>
      </w:r>
    </w:p>
    <w:p>
      <w:pPr>
        <w:spacing w:line="360" w:lineRule="auto"/>
        <w:ind w:right="-26"/>
        <w:jc w:val="center"/>
        <w:rPr>
          <w:rFonts w:hint="eastAsia" w:ascii="仿宋" w:hAnsi="仿宋" w:eastAsia="仿宋" w:cs="仿宋"/>
          <w:b/>
          <w:bCs/>
          <w:color w:val="auto"/>
          <w:sz w:val="36"/>
          <w:szCs w:val="36"/>
          <w:highlight w:val="none"/>
          <w:lang w:val="zh-CN"/>
        </w:rPr>
      </w:pPr>
      <w:r>
        <w:rPr>
          <w:rFonts w:hint="eastAsia" w:ascii="仿宋" w:hAnsi="仿宋" w:eastAsia="仿宋" w:cs="仿宋"/>
          <w:b/>
          <w:bCs/>
          <w:color w:val="auto"/>
          <w:sz w:val="36"/>
          <w:szCs w:val="36"/>
          <w:highlight w:val="none"/>
          <w:lang w:val="zh-CN"/>
        </w:rPr>
        <w:t>202</w:t>
      </w:r>
      <w:r>
        <w:rPr>
          <w:rFonts w:hint="eastAsia" w:ascii="仿宋" w:hAnsi="仿宋" w:eastAsia="仿宋" w:cs="仿宋"/>
          <w:b/>
          <w:bCs/>
          <w:color w:val="auto"/>
          <w:sz w:val="36"/>
          <w:szCs w:val="36"/>
          <w:highlight w:val="none"/>
          <w:lang w:val="en-US" w:eastAsia="zh-CN"/>
        </w:rPr>
        <w:t>3</w:t>
      </w:r>
      <w:r>
        <w:rPr>
          <w:rFonts w:hint="eastAsia" w:ascii="仿宋" w:hAnsi="仿宋" w:eastAsia="仿宋" w:cs="仿宋"/>
          <w:b/>
          <w:bCs/>
          <w:color w:val="auto"/>
          <w:sz w:val="36"/>
          <w:szCs w:val="36"/>
          <w:highlight w:val="none"/>
          <w:lang w:val="zh-CN"/>
        </w:rPr>
        <w:t>年</w:t>
      </w:r>
      <w:r>
        <w:rPr>
          <w:rFonts w:hint="eastAsia" w:ascii="仿宋" w:hAnsi="仿宋" w:eastAsia="仿宋" w:cs="仿宋"/>
          <w:b/>
          <w:bCs/>
          <w:color w:val="auto"/>
          <w:sz w:val="36"/>
          <w:szCs w:val="36"/>
          <w:highlight w:val="none"/>
          <w:lang w:val="en-US" w:eastAsia="zh-CN"/>
        </w:rPr>
        <w:t>10</w:t>
      </w:r>
      <w:r>
        <w:rPr>
          <w:rFonts w:hint="eastAsia" w:ascii="仿宋" w:hAnsi="仿宋" w:eastAsia="仿宋" w:cs="仿宋"/>
          <w:b/>
          <w:bCs/>
          <w:color w:val="auto"/>
          <w:sz w:val="36"/>
          <w:szCs w:val="36"/>
          <w:highlight w:val="none"/>
          <w:lang w:val="zh-CN"/>
        </w:rPr>
        <w:t>月</w:t>
      </w:r>
    </w:p>
    <w:p>
      <w:pPr>
        <w:rPr>
          <w:rFonts w:hint="eastAsia" w:ascii="仿宋" w:hAnsi="仿宋" w:eastAsia="仿宋" w:cs="仿宋"/>
          <w:b/>
          <w:bCs/>
          <w:color w:val="auto"/>
          <w:sz w:val="32"/>
          <w:szCs w:val="32"/>
          <w:highlight w:val="none"/>
          <w:lang w:val="zh-CN"/>
        </w:rPr>
      </w:pPr>
    </w:p>
    <w:p>
      <w:pPr>
        <w:spacing w:line="360" w:lineRule="auto"/>
        <w:ind w:right="-26"/>
        <w:jc w:val="both"/>
        <w:rPr>
          <w:rFonts w:hint="eastAsia" w:ascii="仿宋" w:hAnsi="仿宋" w:eastAsia="仿宋" w:cs="仿宋"/>
          <w:b/>
          <w:bCs/>
          <w:color w:val="auto"/>
          <w:sz w:val="32"/>
          <w:szCs w:val="32"/>
          <w:highlight w:val="none"/>
          <w:lang w:val="zh-CN"/>
        </w:rPr>
        <w:sectPr>
          <w:pgSz w:w="11906" w:h="16838"/>
          <w:pgMar w:top="1440" w:right="1800" w:bottom="1440" w:left="1800" w:header="851" w:footer="992" w:gutter="0"/>
          <w:pgNumType w:fmt="decimal"/>
          <w:cols w:space="425" w:num="1"/>
          <w:docGrid w:type="lines" w:linePitch="312" w:charSpace="0"/>
        </w:sectPr>
      </w:pPr>
    </w:p>
    <w:sdt>
      <w:sdtPr>
        <w:rPr>
          <w:rFonts w:hint="eastAsia" w:ascii="仿宋" w:hAnsi="仿宋" w:eastAsia="仿宋" w:cs="仿宋"/>
          <w:b/>
          <w:bCs/>
          <w:kern w:val="2"/>
          <w:sz w:val="32"/>
          <w:szCs w:val="32"/>
          <w:lang w:val="en-US" w:eastAsia="zh-CN" w:bidi="ar-SA"/>
        </w:rPr>
        <w:id w:val="147460813"/>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pPr>
            <w:spacing w:before="0" w:beforeLines="0" w:after="0" w:afterLines="0" w:line="48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7"/>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TOC \o "1-1" \h \u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\l _Toc23650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highlight w:val="none"/>
            </w:rPr>
            <w:t xml:space="preserve">第一部分 </w:t>
          </w:r>
          <w:r>
            <w:rPr>
              <w:rFonts w:hint="eastAsia" w:ascii="仿宋" w:hAnsi="仿宋" w:eastAsia="仿宋" w:cs="仿宋"/>
              <w:b w:val="0"/>
              <w:bCs w:val="0"/>
              <w:sz w:val="28"/>
              <w:szCs w:val="28"/>
              <w:highlight w:val="none"/>
              <w:lang w:val="en-US" w:eastAsia="zh-CN"/>
            </w:rPr>
            <w:t>比选公告</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_Toc23650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lang w:val="en-US" w:eastAsia="zh-CN"/>
            </w:rPr>
            <w:fldChar w:fldCharType="end"/>
          </w:r>
        </w:p>
        <w:p>
          <w:pPr>
            <w:pStyle w:val="7"/>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\l _Toc17443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highlight w:val="none"/>
            </w:rPr>
            <w:t xml:space="preserve">第二部分 </w:t>
          </w:r>
          <w:r>
            <w:rPr>
              <w:rFonts w:hint="eastAsia" w:ascii="仿宋" w:hAnsi="仿宋" w:eastAsia="仿宋" w:cs="仿宋"/>
              <w:b w:val="0"/>
              <w:bCs w:val="0"/>
              <w:sz w:val="28"/>
              <w:szCs w:val="28"/>
              <w:highlight w:val="none"/>
              <w:lang w:val="en-US" w:eastAsia="zh-CN"/>
            </w:rPr>
            <w:t>须知事项</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_Toc17443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lang w:val="en-US" w:eastAsia="zh-CN"/>
            </w:rPr>
            <w:fldChar w:fldCharType="end"/>
          </w:r>
        </w:p>
        <w:p>
          <w:pPr>
            <w:pStyle w:val="7"/>
            <w:tabs>
              <w:tab w:val="right" w:leader="dot" w:pos="8306"/>
            </w:tabs>
            <w:spacing w:line="360" w:lineRule="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\l _Toc5492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val="0"/>
              <w:bCs w:val="0"/>
              <w:sz w:val="28"/>
              <w:szCs w:val="28"/>
              <w:highlight w:val="none"/>
              <w:lang w:val="en-US" w:eastAsia="zh-CN"/>
            </w:rPr>
            <w:t>第三部分 用户需求书</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_Toc5492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6</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lang w:val="en-US" w:eastAsia="zh-CN"/>
            </w:rPr>
            <w:fldChar w:fldCharType="end"/>
          </w:r>
        </w:p>
        <w:p>
          <w:pPr>
            <w:spacing w:line="360" w:lineRule="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fldChar w:fldCharType="end"/>
          </w:r>
        </w:p>
      </w:sdtContent>
    </w:sdt>
    <w:p>
      <w:pPr>
        <w:rPr>
          <w:rFonts w:hint="eastAsia" w:ascii="仿宋" w:hAnsi="仿宋" w:eastAsia="仿宋" w:cs="仿宋"/>
          <w:lang w:val="en-US" w:eastAsia="zh-CN"/>
        </w:rPr>
      </w:pPr>
      <w:r>
        <w:rPr>
          <w:rFonts w:hint="eastAsia" w:ascii="仿宋" w:hAnsi="仿宋" w:eastAsia="仿宋" w:cs="仿宋"/>
          <w:lang w:val="en-US" w:eastAsia="zh-CN"/>
        </w:rPr>
        <w:br w:type="page"/>
      </w:r>
    </w:p>
    <w:p>
      <w:pPr>
        <w:pStyle w:val="3"/>
        <w:rPr>
          <w:rFonts w:hint="eastAsia" w:ascii="仿宋" w:hAnsi="仿宋" w:eastAsia="仿宋" w:cs="仿宋"/>
          <w:color w:val="auto"/>
          <w:sz w:val="32"/>
          <w:szCs w:val="32"/>
          <w:highlight w:val="none"/>
          <w:lang w:eastAsia="zh-CN"/>
        </w:rPr>
      </w:pPr>
      <w:bookmarkStart w:id="0" w:name="_Toc23650"/>
      <w:r>
        <w:rPr>
          <w:rFonts w:hint="eastAsia" w:ascii="仿宋" w:hAnsi="仿宋" w:eastAsia="仿宋" w:cs="仿宋"/>
          <w:color w:val="auto"/>
          <w:sz w:val="32"/>
          <w:szCs w:val="32"/>
          <w:highlight w:val="none"/>
        </w:rPr>
        <w:t xml:space="preserve">第一部分 </w:t>
      </w:r>
      <w:r>
        <w:rPr>
          <w:rFonts w:hint="eastAsia" w:ascii="仿宋" w:hAnsi="仿宋" w:eastAsia="仿宋" w:cs="仿宋"/>
          <w:color w:val="auto"/>
          <w:sz w:val="32"/>
          <w:szCs w:val="32"/>
          <w:highlight w:val="none"/>
          <w:lang w:val="en-US" w:eastAsia="zh-CN"/>
        </w:rPr>
        <w:t>比选公告</w:t>
      </w:r>
      <w:bookmarkEnd w:id="0"/>
    </w:p>
    <w:p>
      <w:pPr>
        <w:keepNext w:val="0"/>
        <w:keepLines w:val="0"/>
        <w:pageBreakBefore w:val="0"/>
        <w:kinsoku/>
        <w:wordWrap/>
        <w:topLinePunct w:val="0"/>
        <w:bidi w:val="0"/>
        <w:spacing w:before="156" w:beforeLines="50" w:line="360" w:lineRule="auto"/>
        <w:ind w:firstLine="560" w:firstLineChars="200"/>
        <w:rPr>
          <w:rFonts w:hint="eastAsia" w:ascii="仿宋" w:hAnsi="仿宋" w:eastAsia="仿宋" w:cs="仿宋"/>
          <w:kern w:val="0"/>
          <w:sz w:val="28"/>
          <w:szCs w:val="28"/>
          <w:highlight w:val="none"/>
          <w:shd w:val="clear" w:color="auto" w:fill="FFFFFF"/>
        </w:rPr>
      </w:pPr>
      <w:r>
        <w:rPr>
          <w:rFonts w:hint="eastAsia" w:ascii="仿宋" w:hAnsi="仿宋" w:eastAsia="仿宋" w:cs="仿宋"/>
          <w:color w:val="auto"/>
          <w:sz w:val="28"/>
          <w:szCs w:val="28"/>
          <w:highlight w:val="none"/>
          <w:lang w:val="en-US" w:eastAsia="zh-CN"/>
        </w:rPr>
        <w:t>东莞市水务集团有限公司就东莞市水务集团有限公司企业年金基金受托管理机构项目组织比选，诚邀</w:t>
      </w:r>
      <w:r>
        <w:rPr>
          <w:rFonts w:hint="eastAsia" w:ascii="仿宋" w:hAnsi="仿宋" w:eastAsia="仿宋" w:cs="仿宋"/>
          <w:kern w:val="0"/>
          <w:sz w:val="28"/>
          <w:szCs w:val="28"/>
          <w:highlight w:val="none"/>
          <w:shd w:val="clear" w:color="auto" w:fill="FFFFFF"/>
        </w:rPr>
        <w:t>符合比选公告资格要求的</w:t>
      </w:r>
      <w:r>
        <w:rPr>
          <w:rFonts w:hint="eastAsia" w:ascii="仿宋" w:hAnsi="仿宋" w:eastAsia="仿宋" w:cs="仿宋"/>
          <w:kern w:val="0"/>
          <w:sz w:val="28"/>
          <w:szCs w:val="28"/>
          <w:highlight w:val="none"/>
          <w:shd w:val="clear" w:color="auto" w:fill="FFFFFF"/>
          <w:lang w:eastAsia="zh-CN"/>
        </w:rPr>
        <w:t>参选单位</w:t>
      </w:r>
      <w:r>
        <w:rPr>
          <w:rFonts w:hint="eastAsia" w:ascii="仿宋" w:hAnsi="仿宋" w:eastAsia="仿宋" w:cs="仿宋"/>
          <w:kern w:val="0"/>
          <w:sz w:val="28"/>
          <w:szCs w:val="28"/>
          <w:highlight w:val="none"/>
          <w:shd w:val="clear" w:color="auto" w:fill="FFFFFF"/>
        </w:rPr>
        <w:t>参加。现将有关事项公告如下：</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1、项目名称：东莞市水务集团有限公司企业年金基金受托管理机构项目；</w:t>
      </w:r>
    </w:p>
    <w:p>
      <w:pPr>
        <w:spacing w:line="360" w:lineRule="auto"/>
        <w:ind w:firstLine="565" w:firstLineChars="202"/>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2、项目内容：详见第三部分用户需求书；</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3、服务期限：三年。</w:t>
      </w:r>
    </w:p>
    <w:p>
      <w:pPr>
        <w:spacing w:line="360" w:lineRule="auto"/>
        <w:ind w:firstLine="568" w:firstLineChars="202"/>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lang w:val="en-US" w:eastAsia="zh-CN"/>
        </w:rPr>
        <w:t>二、参选单位资格要求</w:t>
      </w:r>
    </w:p>
    <w:p>
      <w:pPr>
        <w:spacing w:line="360" w:lineRule="auto"/>
        <w:ind w:firstLine="565" w:firstLineChars="202"/>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1、在中华人民共和国境内登记注册、合法存续、正常经营且具有独立承担民事责任能力的法人或其他组织；</w:t>
      </w:r>
    </w:p>
    <w:p>
      <w:pPr>
        <w:spacing w:line="360" w:lineRule="auto"/>
        <w:ind w:firstLine="565" w:firstLineChars="202"/>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2、具有中华人民共和国人力资源和社会保障部颁发的有效的《企业年金基金管理机构资格证书》；</w:t>
      </w:r>
    </w:p>
    <w:p>
      <w:pPr>
        <w:spacing w:line="360" w:lineRule="auto"/>
        <w:ind w:firstLine="565" w:firstLineChars="202"/>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3、如分支机构参加比选，需同时出具机构总部针对分支机构参选事</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宜的独家授权函</w:t>
      </w:r>
      <w:r>
        <w:rPr>
          <w:rFonts w:hint="eastAsia" w:ascii="仿宋" w:hAnsi="仿宋" w:eastAsia="仿宋" w:cs="仿宋"/>
          <w:b w:val="0"/>
          <w:bCs w:val="0"/>
          <w:color w:val="auto"/>
          <w:sz w:val="28"/>
          <w:szCs w:val="28"/>
          <w:highlight w:val="none"/>
          <w:u w:val="none"/>
          <w:lang w:val="en-US" w:eastAsia="zh-CN"/>
        </w:rPr>
        <w:t>（同一机构只允许一个有效申请人参加比选。如果同一机构同时出现总公司、分支机构等多个参选单位参与报名，则按总公司、分支机构的层级顺序依次优先接受比选报名）。</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三、报名及领取比选文件</w:t>
      </w:r>
    </w:p>
    <w:p>
      <w:pPr>
        <w:spacing w:line="360" w:lineRule="auto"/>
        <w:ind w:firstLine="565" w:firstLineChars="202"/>
        <w:rPr>
          <w:rFonts w:hint="default"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项目报名时间：2023年10月11日8时30分-2023年10月17日17时30分，请有意向参选单位在报名截止时间前自行下载比选文件</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并将报名信息发送至邮箱：zbcgb@dgswjt.cn，邮件命名为“东莞水务企业年金受托机构项目+参选单位名称”，并附参选报名表及其资格要求资料（详见附件一）。报名截止第二天将对各参选单位提交的报名资料进行资格预审，若提交资料不全需要补齐资料的，限于2个工作日补齐。资格预审不通过或规定时间内不能补齐资料的，认定报名无效。</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四、参选材料的递交时间和地点</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递交时间：2023年10月25日9:00-9:30；</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递交地点：东莞市水务集团有限公司。</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五、比选的时间和地点</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暂定比选时间：2023年10月25日9:30；</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比选地点：东莞市水务集团有限公司。</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上述时间、地点有变化的，我集团将另行通知。</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六、发布公告及中选公示的媒介</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公布网站为：东莞市水务集团有限公司官网（https://www.dgswjt.cn/）。</w:t>
      </w:r>
    </w:p>
    <w:p>
      <w:pPr>
        <w:spacing w:line="360" w:lineRule="auto"/>
        <w:ind w:firstLine="568" w:firstLineChars="20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七、联系方式</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公司名称：东莞市水务集团有限公司</w:t>
      </w:r>
    </w:p>
    <w:p>
      <w:pPr>
        <w:spacing w:line="360" w:lineRule="auto"/>
        <w:ind w:firstLine="565" w:firstLineChars="202"/>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地址：广东省东莞市东城街道育华路1号</w:t>
      </w:r>
    </w:p>
    <w:p>
      <w:pPr>
        <w:spacing w:line="360" w:lineRule="auto"/>
        <w:ind w:firstLine="565" w:firstLineChars="202"/>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联系人：王工</w:t>
      </w:r>
    </w:p>
    <w:p>
      <w:pPr>
        <w:spacing w:line="360" w:lineRule="auto"/>
        <w:ind w:firstLine="565" w:firstLineChars="20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联系电话：0769-2232 9626</w:t>
      </w:r>
    </w:p>
    <w:p>
      <w:pPr>
        <w:spacing w:line="360" w:lineRule="auto"/>
        <w:ind w:firstLine="565" w:firstLineChars="202"/>
        <w:rPr>
          <w:rFonts w:hint="eastAsia" w:ascii="仿宋" w:hAnsi="仿宋" w:eastAsia="仿宋" w:cs="仿宋"/>
          <w:color w:val="auto"/>
          <w:sz w:val="28"/>
          <w:szCs w:val="28"/>
          <w:highlight w:val="none"/>
          <w:lang w:val="en-US" w:eastAsia="zh-CN"/>
        </w:rPr>
      </w:pPr>
    </w:p>
    <w:p>
      <w:pPr>
        <w:spacing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3"/>
        <w:rPr>
          <w:rFonts w:hint="eastAsia" w:ascii="仿宋" w:hAnsi="仿宋" w:eastAsia="仿宋" w:cs="仿宋"/>
          <w:color w:val="auto"/>
          <w:sz w:val="32"/>
          <w:szCs w:val="32"/>
          <w:highlight w:val="none"/>
        </w:rPr>
      </w:pPr>
      <w:bookmarkStart w:id="1" w:name="_Toc54190057"/>
      <w:bookmarkStart w:id="2" w:name="_Toc17443"/>
      <w:r>
        <w:rPr>
          <w:rFonts w:hint="eastAsia" w:ascii="仿宋" w:hAnsi="仿宋" w:eastAsia="仿宋" w:cs="仿宋"/>
          <w:color w:val="auto"/>
          <w:sz w:val="32"/>
          <w:szCs w:val="32"/>
          <w:highlight w:val="none"/>
        </w:rPr>
        <w:t xml:space="preserve">第二部分 </w:t>
      </w:r>
      <w:bookmarkEnd w:id="1"/>
      <w:r>
        <w:rPr>
          <w:rFonts w:hint="eastAsia" w:ascii="仿宋" w:hAnsi="仿宋" w:eastAsia="仿宋" w:cs="仿宋"/>
          <w:color w:val="auto"/>
          <w:sz w:val="32"/>
          <w:szCs w:val="32"/>
          <w:highlight w:val="none"/>
          <w:lang w:val="en-US" w:eastAsia="zh-CN"/>
        </w:rPr>
        <w:t>须知事项</w:t>
      </w:r>
      <w:bookmarkEnd w:id="2"/>
    </w:p>
    <w:p>
      <w:pPr>
        <w:spacing w:line="360" w:lineRule="auto"/>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val="en-US" w:eastAsia="zh-CN"/>
        </w:rPr>
        <w:t>参选单位</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我集团须确定企业年金受托机构，</w:t>
      </w:r>
      <w:r>
        <w:rPr>
          <w:rFonts w:hint="eastAsia" w:ascii="仿宋" w:hAnsi="仿宋" w:eastAsia="仿宋" w:cs="仿宋"/>
          <w:sz w:val="28"/>
          <w:szCs w:val="28"/>
          <w:lang w:val="en-US" w:eastAsia="zh-CN"/>
        </w:rPr>
        <w:t>诚邀</w:t>
      </w:r>
      <w:r>
        <w:rPr>
          <w:rFonts w:hint="eastAsia" w:ascii="仿宋" w:hAnsi="仿宋" w:eastAsia="仿宋" w:cs="仿宋"/>
          <w:sz w:val="28"/>
          <w:szCs w:val="28"/>
          <w:lang w:eastAsia="zh-CN"/>
        </w:rPr>
        <w:t>贵单位提交服务方案，我集团将根据各</w:t>
      </w:r>
      <w:r>
        <w:rPr>
          <w:rFonts w:hint="eastAsia" w:ascii="仿宋" w:hAnsi="仿宋" w:eastAsia="仿宋" w:cs="仿宋"/>
          <w:sz w:val="28"/>
          <w:szCs w:val="28"/>
          <w:lang w:val="en-US" w:eastAsia="zh-CN"/>
        </w:rPr>
        <w:t>参选单位</w:t>
      </w:r>
      <w:r>
        <w:rPr>
          <w:rFonts w:hint="eastAsia" w:ascii="仿宋" w:hAnsi="仿宋" w:eastAsia="仿宋" w:cs="仿宋"/>
          <w:sz w:val="28"/>
          <w:szCs w:val="28"/>
          <w:lang w:eastAsia="zh-CN"/>
        </w:rPr>
        <w:t>提供的资料情况，择优确定年金受托机构</w:t>
      </w:r>
      <w:r>
        <w:rPr>
          <w:rFonts w:hint="eastAsia" w:ascii="仿宋" w:hAnsi="仿宋" w:eastAsia="仿宋" w:cs="仿宋"/>
          <w:sz w:val="28"/>
          <w:szCs w:val="28"/>
        </w:rPr>
        <w:t>。</w:t>
      </w:r>
    </w:p>
    <w:p>
      <w:pPr>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一、具体程序</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（一）请各参选单位填写参选报名表，并将报名信息发送至指</w:t>
      </w:r>
      <w:r>
        <w:rPr>
          <w:rFonts w:hint="eastAsia" w:ascii="仿宋" w:hAnsi="仿宋" w:eastAsia="仿宋" w:cs="仿宋"/>
          <w:sz w:val="28"/>
          <w:szCs w:val="28"/>
          <w:highlight w:val="none"/>
          <w:lang w:val="en-US" w:eastAsia="zh-CN"/>
        </w:rPr>
        <w:t>定邮箱（详见比选公告），</w:t>
      </w:r>
      <w:r>
        <w:rPr>
          <w:rFonts w:hint="eastAsia" w:ascii="仿宋" w:hAnsi="仿宋" w:eastAsia="仿宋" w:cs="仿宋"/>
          <w:sz w:val="28"/>
          <w:szCs w:val="28"/>
          <w:lang w:val="en-US" w:eastAsia="zh-CN"/>
        </w:rPr>
        <w:t>以确定参加本次比选。</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highlight w:val="none"/>
          <w:lang w:eastAsia="zh-CN"/>
        </w:rPr>
        <w:t>（二）请</w:t>
      </w:r>
      <w:r>
        <w:rPr>
          <w:rFonts w:hint="eastAsia" w:ascii="仿宋" w:hAnsi="仿宋" w:eastAsia="仿宋" w:cs="仿宋"/>
          <w:sz w:val="28"/>
          <w:szCs w:val="28"/>
          <w:highlight w:val="none"/>
          <w:lang w:val="en-US" w:eastAsia="zh-CN"/>
        </w:rPr>
        <w:t>各参选单位</w:t>
      </w:r>
      <w:r>
        <w:rPr>
          <w:rFonts w:hint="eastAsia" w:ascii="仿宋" w:hAnsi="仿宋" w:eastAsia="仿宋" w:cs="仿宋"/>
          <w:sz w:val="28"/>
          <w:szCs w:val="28"/>
          <w:highlight w:val="none"/>
          <w:lang w:eastAsia="zh-CN"/>
        </w:rPr>
        <w:t>根据我集团提供的需求情况（详见</w:t>
      </w:r>
      <w:r>
        <w:rPr>
          <w:rFonts w:hint="eastAsia" w:ascii="仿宋" w:hAnsi="仿宋" w:eastAsia="仿宋" w:cs="仿宋"/>
          <w:sz w:val="28"/>
          <w:szCs w:val="28"/>
          <w:highlight w:val="none"/>
          <w:lang w:val="en-US" w:eastAsia="zh-CN"/>
        </w:rPr>
        <w:t>第三部分用户需求书</w:t>
      </w:r>
      <w:r>
        <w:rPr>
          <w:rFonts w:hint="eastAsia" w:ascii="仿宋" w:hAnsi="仿宋" w:eastAsia="仿宋" w:cs="仿宋"/>
          <w:sz w:val="28"/>
          <w:szCs w:val="28"/>
          <w:highlight w:val="none"/>
          <w:lang w:eastAsia="zh-CN"/>
        </w:rPr>
        <w:t>）自行整</w:t>
      </w:r>
      <w:r>
        <w:rPr>
          <w:rFonts w:hint="eastAsia" w:ascii="仿宋" w:hAnsi="仿宋" w:eastAsia="仿宋" w:cs="仿宋"/>
          <w:sz w:val="28"/>
          <w:szCs w:val="28"/>
          <w:lang w:eastAsia="zh-CN"/>
        </w:rPr>
        <w:t>理服务</w:t>
      </w:r>
      <w:r>
        <w:rPr>
          <w:rFonts w:hint="eastAsia" w:ascii="仿宋" w:hAnsi="仿宋" w:eastAsia="仿宋" w:cs="仿宋"/>
          <w:sz w:val="28"/>
          <w:szCs w:val="28"/>
          <w:highlight w:val="none"/>
          <w:lang w:eastAsia="zh-CN"/>
        </w:rPr>
        <w:t>方案内容；</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（三）各</w:t>
      </w:r>
      <w:r>
        <w:rPr>
          <w:rFonts w:hint="eastAsia" w:ascii="仿宋" w:hAnsi="仿宋" w:eastAsia="仿宋" w:cs="仿宋"/>
          <w:sz w:val="28"/>
          <w:szCs w:val="28"/>
          <w:lang w:val="en-US" w:eastAsia="zh-CN"/>
        </w:rPr>
        <w:t>参选单位</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比选公告参选材料递交截止时间前</w:t>
      </w:r>
      <w:r>
        <w:rPr>
          <w:rFonts w:hint="eastAsia" w:ascii="仿宋" w:hAnsi="仿宋" w:eastAsia="仿宋" w:cs="仿宋"/>
          <w:sz w:val="28"/>
          <w:szCs w:val="28"/>
          <w:lang w:eastAsia="zh-CN"/>
        </w:rPr>
        <w:t>携带</w:t>
      </w:r>
      <w:r>
        <w:rPr>
          <w:rFonts w:hint="eastAsia" w:ascii="仿宋" w:hAnsi="仿宋" w:eastAsia="仿宋" w:cs="仿宋"/>
          <w:sz w:val="28"/>
          <w:szCs w:val="28"/>
          <w:lang w:val="en-US" w:eastAsia="zh-CN"/>
        </w:rPr>
        <w:t>以下资料</w:t>
      </w:r>
      <w:r>
        <w:rPr>
          <w:rFonts w:hint="eastAsia" w:ascii="仿宋" w:hAnsi="仿宋" w:eastAsia="仿宋" w:cs="仿宋"/>
          <w:sz w:val="28"/>
          <w:szCs w:val="28"/>
          <w:lang w:eastAsia="zh-CN"/>
        </w:rPr>
        <w:t>到达</w:t>
      </w:r>
      <w:r>
        <w:rPr>
          <w:rFonts w:hint="eastAsia" w:ascii="仿宋" w:hAnsi="仿宋" w:eastAsia="仿宋" w:cs="仿宋"/>
          <w:sz w:val="28"/>
          <w:szCs w:val="28"/>
          <w:lang w:val="en-US" w:eastAsia="zh-CN"/>
        </w:rPr>
        <w:t>比选地点</w:t>
      </w:r>
      <w:r>
        <w:rPr>
          <w:rFonts w:hint="eastAsia" w:ascii="仿宋" w:hAnsi="仿宋" w:eastAsia="仿宋" w:cs="仿宋"/>
          <w:sz w:val="28"/>
          <w:szCs w:val="28"/>
          <w:lang w:eastAsia="zh-CN"/>
        </w:rPr>
        <w:t>进行</w:t>
      </w:r>
      <w:r>
        <w:rPr>
          <w:rFonts w:hint="eastAsia" w:ascii="仿宋" w:hAnsi="仿宋" w:eastAsia="仿宋" w:cs="仿宋"/>
          <w:sz w:val="28"/>
          <w:szCs w:val="28"/>
          <w:lang w:val="en-US" w:eastAsia="zh-CN"/>
        </w:rPr>
        <w:t>项目比选</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1.参选单位</w:t>
      </w:r>
      <w:r>
        <w:rPr>
          <w:rFonts w:hint="eastAsia" w:ascii="仿宋" w:hAnsi="仿宋" w:eastAsia="仿宋" w:cs="仿宋"/>
          <w:sz w:val="28"/>
          <w:szCs w:val="28"/>
          <w:highlight w:val="none"/>
          <w:lang w:eastAsia="zh-CN"/>
        </w:rPr>
        <w:t>负责人授权书</w:t>
      </w:r>
      <w:r>
        <w:rPr>
          <w:rFonts w:hint="eastAsia" w:ascii="仿宋" w:hAnsi="仿宋" w:eastAsia="仿宋" w:cs="仿宋"/>
          <w:sz w:val="28"/>
          <w:szCs w:val="28"/>
          <w:highlight w:val="none"/>
          <w:lang w:val="en-US" w:eastAsia="zh-CN"/>
        </w:rPr>
        <w:t>原件及被授权人身份证原件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格式见附件二</w:t>
      </w:r>
      <w:r>
        <w:rPr>
          <w:rFonts w:hint="eastAsia" w:ascii="仿宋" w:hAnsi="仿宋" w:eastAsia="仿宋" w:cs="仿宋"/>
          <w:sz w:val="28"/>
          <w:szCs w:val="28"/>
          <w:highlight w:val="none"/>
          <w:lang w:eastAsia="zh-CN"/>
        </w:rPr>
        <w:t>）；</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2.比选文件：</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（1）报价一览表（格式见附件三）</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（2）服务方案PPT〔编制内容详见第三部分用户需求书八、参选单位须知（一）服务方案要求内容〕；</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（3）拟定合同条款；</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（4）认为其他有必要提交的资料（如有）。</w:t>
      </w:r>
    </w:p>
    <w:p>
      <w:pPr>
        <w:spacing w:line="360" w:lineRule="auto"/>
        <w:ind w:firstLine="562" w:firstLineChars="20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比选文件资料递交电子版一套，U盘形式递交（电子版保证可读取）；纸质版授权书原件1份，比选文件正本2份，并加盖公章；副本22份，副本可为正本盖章后复印本。</w:t>
      </w:r>
    </w:p>
    <w:p>
      <w:pPr>
        <w:spacing w:line="360" w:lineRule="auto"/>
        <w:ind w:firstLine="560" w:firstLineChars="200"/>
        <w:rPr>
          <w:rFonts w:hint="eastAsia"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lang w:val="en-US" w:eastAsia="zh-CN"/>
        </w:rPr>
        <w:t>用户需求书中关于资格要求的相关证书已在报名阶段提供的，比选阶段无需重复提交。</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eastAsia="zh-CN"/>
        </w:rPr>
        <w:t>时间</w:t>
      </w:r>
      <w:r>
        <w:rPr>
          <w:rFonts w:hint="eastAsia" w:ascii="仿宋" w:hAnsi="仿宋" w:eastAsia="仿宋" w:cs="仿宋"/>
          <w:sz w:val="28"/>
          <w:szCs w:val="28"/>
          <w:highlight w:val="none"/>
          <w:lang w:val="en-US" w:eastAsia="zh-CN"/>
        </w:rPr>
        <w:t>及地点详见比选公告。</w:t>
      </w:r>
    </w:p>
    <w:p>
      <w:pPr>
        <w:spacing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二、有关要求</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（一）本次项目比选采用一对一形式进行洽谈比选，即每次只有一家参选单位进行洽谈，其余单位在会议室外等候。比选顺序为各参选单位签到顺序。每单位讲解时间</w:t>
      </w:r>
      <w:r>
        <w:rPr>
          <w:rFonts w:hint="eastAsia" w:ascii="仿宋" w:hAnsi="仿宋" w:eastAsia="仿宋" w:cs="仿宋"/>
          <w:sz w:val="28"/>
          <w:szCs w:val="28"/>
          <w:highlight w:val="none"/>
          <w:lang w:val="en-US" w:eastAsia="zh-CN"/>
        </w:rPr>
        <w:t>约</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为20分钟</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lang w:val="en-US" w:eastAsia="zh-CN"/>
        </w:rPr>
        <w:t>讲解完成后，我集团可对服务方案及讲解内容进行询问，各单位有义务进行解答；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（二）各参选单位提交的服务方案、</w:t>
      </w:r>
      <w:r>
        <w:rPr>
          <w:rFonts w:hint="eastAsia" w:ascii="仿宋" w:hAnsi="仿宋" w:eastAsia="仿宋" w:cs="仿宋"/>
          <w:sz w:val="28"/>
          <w:szCs w:val="28"/>
          <w:highlight w:val="none"/>
          <w:lang w:eastAsia="zh-CN"/>
        </w:rPr>
        <w:t>拟签订的合同条款</w:t>
      </w:r>
      <w:r>
        <w:rPr>
          <w:rFonts w:hint="eastAsia" w:ascii="仿宋" w:hAnsi="仿宋" w:eastAsia="仿宋" w:cs="仿宋"/>
          <w:sz w:val="28"/>
          <w:szCs w:val="28"/>
          <w:highlight w:val="none"/>
          <w:lang w:val="en-US" w:eastAsia="zh-CN"/>
        </w:rPr>
        <w:t>等内容将直接影响确定受托机构的结果，请</w:t>
      </w:r>
      <w:r>
        <w:rPr>
          <w:rFonts w:hint="eastAsia" w:ascii="仿宋" w:hAnsi="仿宋" w:eastAsia="仿宋" w:cs="仿宋"/>
          <w:sz w:val="28"/>
          <w:szCs w:val="28"/>
          <w:highlight w:val="none"/>
        </w:rPr>
        <w:t>各</w:t>
      </w:r>
      <w:r>
        <w:rPr>
          <w:rFonts w:hint="eastAsia" w:ascii="仿宋" w:hAnsi="仿宋" w:eastAsia="仿宋" w:cs="仿宋"/>
          <w:sz w:val="28"/>
          <w:szCs w:val="28"/>
          <w:highlight w:val="none"/>
          <w:lang w:val="en-US" w:eastAsia="zh-CN"/>
        </w:rPr>
        <w:t>参选单位</w:t>
      </w:r>
      <w:r>
        <w:rPr>
          <w:rFonts w:hint="eastAsia" w:ascii="仿宋" w:hAnsi="仿宋" w:eastAsia="仿宋" w:cs="仿宋"/>
          <w:sz w:val="28"/>
          <w:szCs w:val="28"/>
          <w:lang w:val="en-US" w:eastAsia="zh-CN"/>
        </w:rPr>
        <w:t>确保服务方案为最优方案；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（三）各参选单位被授权人（项目负责人）洽谈当天应到达洽谈现场。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三、评选方法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各参选单位在规定时间内向我集团逐一介绍其年金管理服务方案，由我集团相关工作组</w:t>
      </w:r>
      <w:r>
        <w:rPr>
          <w:rFonts w:hint="default" w:ascii="仿宋" w:hAnsi="仿宋" w:eastAsia="仿宋" w:cs="仿宋"/>
          <w:sz w:val="28"/>
          <w:szCs w:val="28"/>
          <w:u w:val="none"/>
          <w:lang w:val="en-US" w:eastAsia="zh-CN"/>
        </w:rPr>
        <w:t>根据</w:t>
      </w:r>
      <w:r>
        <w:rPr>
          <w:rFonts w:hint="eastAsia" w:ascii="仿宋" w:hAnsi="仿宋" w:eastAsia="仿宋" w:cs="仿宋"/>
          <w:sz w:val="28"/>
          <w:szCs w:val="28"/>
          <w:u w:val="none"/>
          <w:lang w:val="en-US" w:eastAsia="zh-CN"/>
        </w:rPr>
        <w:t>参选单位</w:t>
      </w:r>
      <w:r>
        <w:rPr>
          <w:rFonts w:hint="default" w:ascii="仿宋" w:hAnsi="仿宋" w:eastAsia="仿宋" w:cs="仿宋"/>
          <w:sz w:val="28"/>
          <w:szCs w:val="28"/>
          <w:u w:val="none"/>
          <w:lang w:val="en-US" w:eastAsia="zh-CN"/>
        </w:rPr>
        <w:t>提交的方案</w:t>
      </w:r>
      <w:r>
        <w:rPr>
          <w:rFonts w:hint="default"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lang w:val="en-US" w:eastAsia="zh-CN"/>
        </w:rPr>
        <w:t>简要</w:t>
      </w:r>
      <w:r>
        <w:rPr>
          <w:rFonts w:hint="eastAsia" w:ascii="仿宋" w:hAnsi="仿宋" w:eastAsia="仿宋" w:cs="仿宋"/>
          <w:sz w:val="28"/>
          <w:szCs w:val="28"/>
          <w:lang w:val="en-US" w:eastAsia="zh-CN"/>
        </w:rPr>
        <w:t>列明优缺点，</w:t>
      </w:r>
      <w:r>
        <w:rPr>
          <w:rFonts w:hint="eastAsia" w:ascii="仿宋" w:hAnsi="仿宋" w:eastAsia="仿宋" w:cs="仿宋"/>
          <w:sz w:val="28"/>
          <w:szCs w:val="28"/>
          <w:u w:val="none"/>
          <w:lang w:val="en-US" w:eastAsia="zh-CN"/>
        </w:rPr>
        <w:t>以“一人一票”“票高者当选”的原则确定受托机构。如遇票数相等，由我集团对票数相等的参选单位再次投票，得票高者当选。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ajorEastAsia" w:hAnsiTheme="majorEastAsia" w:eastAsiaTheme="majorEastAsia" w:cstheme="majorEastAsia"/>
          <w:sz w:val="24"/>
          <w:szCs w:val="24"/>
          <w:lang w:val="en-US" w:eastAsia="zh-CN"/>
        </w:rPr>
      </w:pPr>
    </w:p>
    <w:p>
      <w:pPr>
        <w:rPr>
          <w:rFonts w:hint="default"/>
          <w:sz w:val="24"/>
          <w:szCs w:val="24"/>
          <w:lang w:val="en-US" w:eastAsia="zh-CN"/>
        </w:rPr>
      </w:pPr>
      <w:r>
        <w:rPr>
          <w:rFonts w:hint="default"/>
          <w:sz w:val="24"/>
          <w:szCs w:val="24"/>
          <w:lang w:val="en-US" w:eastAsia="zh-CN"/>
        </w:rPr>
        <w:br w:type="page"/>
      </w:r>
    </w:p>
    <w:p>
      <w:pPr>
        <w:pStyle w:val="3"/>
        <w:rPr>
          <w:rFonts w:hint="eastAsia" w:ascii="仿宋" w:hAnsi="仿宋" w:eastAsia="仿宋" w:cs="仿宋"/>
          <w:color w:val="auto"/>
          <w:sz w:val="32"/>
          <w:szCs w:val="32"/>
          <w:highlight w:val="none"/>
          <w:lang w:val="en-US" w:eastAsia="zh-CN"/>
        </w:rPr>
      </w:pPr>
      <w:bookmarkStart w:id="3" w:name="_Toc5492"/>
      <w:r>
        <w:rPr>
          <w:rFonts w:hint="eastAsia" w:ascii="仿宋" w:hAnsi="仿宋" w:eastAsia="仿宋" w:cs="仿宋"/>
          <w:color w:val="auto"/>
          <w:sz w:val="32"/>
          <w:szCs w:val="32"/>
          <w:highlight w:val="none"/>
          <w:lang w:val="en-US" w:eastAsia="zh-CN"/>
        </w:rPr>
        <w:t>第三部分 用户需求书</w:t>
      </w:r>
      <w:bookmarkEnd w:id="3"/>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lang w:val="en-US"/>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en-US" w:eastAsia="zh-CN"/>
        </w:rPr>
        <w:t>公司简介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color w:val="auto"/>
          <w:sz w:val="28"/>
          <w:szCs w:val="28"/>
        </w:rPr>
        <w:t>东莞市水务集团有限公司（简称“水务集团”）是统筹城市供水排水、水环境治理、相关涉水产业项目投资及服务的全产业链综合性集团、市属重点国有企业。2018年3月，在原东莞市东江水务有限公司、东莞市水务投资集团有限公司的基础上组建成立。自成立以来，水务集团坚持“品质水务”的价值追求，着力优化战略布局，纵深推动企业重组整合，加强统筹全市“上中下水”，明确打造供水、净水、管网、实业、工程、科技、建设七大战略板块，下设7家直属企业。经过五年多的发展，集团综合实力不断增长，稳步向“千亿”级国有企业行列迈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二、采</w:t>
      </w:r>
      <w:r>
        <w:rPr>
          <w:rFonts w:hint="eastAsia" w:ascii="仿宋" w:hAnsi="仿宋" w:eastAsia="仿宋" w:cs="仿宋"/>
          <w:b/>
          <w:bCs/>
          <w:color w:val="auto"/>
          <w:sz w:val="28"/>
          <w:szCs w:val="28"/>
          <w:highlight w:val="none"/>
          <w:lang w:val="en-US" w:eastAsia="zh-CN"/>
        </w:rPr>
        <w:t>购目的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为保障和提高职工退休后的待遇水平，调动职工劳动积极性，促进企业持续健康发展，集团制定了企业年金方案，鉴于前受托单位合同即将到期，根据《企业年金办法》(人力资源和社会保障部令第36号)、《企业年金基金管理办法》（人力资源和社会保障部令第11号）等法律、法规、政策及《东莞市水务集团有限公司企业年金方案》，拟通过公开比选方式重新确定水务集团企业年金受托管理机构，确保企业年金后续正常运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三、企业年金现状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我集团自2018年4月制定了企业年金方案，正式投资运作时间是2021年1月1日</w:t>
      </w:r>
      <w:r>
        <w:rPr>
          <w:rFonts w:hint="eastAsia" w:ascii="仿宋" w:hAnsi="仿宋" w:eastAsia="仿宋" w:cs="仿宋"/>
          <w:color w:val="000000" w:themeColor="text1"/>
          <w:sz w:val="28"/>
          <w:szCs w:val="28"/>
          <w:highlight w:val="none"/>
          <w:lang w:val="en-US" w:eastAsia="zh-CN"/>
          <w14:textFill>
            <w14:solidFill>
              <w14:schemeClr w14:val="tx1"/>
            </w14:solidFill>
          </w14:textFill>
        </w:rPr>
        <w:t>。截止2023年6月30日，全集</w:t>
      </w:r>
      <w:r>
        <w:rPr>
          <w:rFonts w:hint="eastAsia" w:ascii="仿宋" w:hAnsi="仿宋" w:eastAsia="仿宋" w:cs="仿宋"/>
          <w:color w:val="auto"/>
          <w:sz w:val="28"/>
          <w:szCs w:val="28"/>
          <w:highlight w:val="none"/>
          <w:lang w:val="en-US" w:eastAsia="zh-CN"/>
        </w:rPr>
        <w:t>团企业年金个人账户约7500户。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四、受托人服务内容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（一）与账户管理人、托管人、投资管理人以及其他中介服务机构签订企业年金管理合同，并向市人力资源和社会保障局进行合同报备；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（二）制定企业年金基金投资策略；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（三）编制企业年金基金管理和财务会计报告；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（四）根据合同对企业年金基金管理进行监督，并适时提供企业年金投资组合转换建议；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（五）根据合同收取缴费，并向受益人支付年金待遇；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（六）接受委托人、受益人的查询，定期向委托人、受益人和有关监管部门提供基金管理报告；在发生重大事件时，及时向委托人、受益人和有关监管部门报告；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（七）提供专员上门服务（工作量集中时，安排工作专员上门协助工作）；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国家规定和合同约定的其他职责。除《企业年金基金管理办法》规定的职责外，其他法律、行政法规以及人社部、金融监管机构和信托法也可能对受托人的职责做出补充和细化规定，这些也应成为受托人应履行的职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五、项目实施安排</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（一）双方合同签署时间：自比选结果确定之日起30天内完成；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（二）企业年金账户、资金转移时间：自合同签署之日起30天内完成；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（三）后期运作：自企业年金账户、资金转移后，进入后期正常缴费运作阶段。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五、参选单位资格要求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（一）在中华人民共和国境内登记注册、合法存续、正常经营且具有独立承担民事责任能力的法人或其他组织；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（二）具有中华人民共和国人力资源和社会保障部颁发的有效的《企业年金基金管理机构资格证书》；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val="en-US" w:eastAsia="zh-CN"/>
        </w:rPr>
        <w:t>（三）如分支机构参加比选，需同时出具机构总部针对分支机构参</w:t>
      </w:r>
      <w:r>
        <w:rPr>
          <w:rFonts w:hint="eastAsia" w:ascii="仿宋" w:hAnsi="仿宋" w:eastAsia="仿宋" w:cs="仿宋"/>
          <w:color w:val="000000" w:themeColor="text1"/>
          <w:sz w:val="28"/>
          <w:szCs w:val="28"/>
          <w:highlight w:val="none"/>
          <w:lang w:val="en-US" w:eastAsia="zh-CN"/>
          <w14:textFill>
            <w14:solidFill>
              <w14:schemeClr w14:val="tx1"/>
            </w14:solidFill>
          </w14:textFill>
        </w:rPr>
        <w:t>选事宜的独家授权函。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六、服务期限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合同服务期限为三年。</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七、报价方式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根据《企业年金基金管理办法》（人力资源和社会保障部令第11号）规定</w:t>
      </w:r>
      <w:r>
        <w:rPr>
          <w:rStyle w:val="15"/>
          <w:rFonts w:hint="eastAsia" w:ascii="仿宋" w:hAnsi="仿宋" w:eastAsia="仿宋" w:cs="仿宋"/>
          <w:color w:val="auto"/>
          <w:sz w:val="28"/>
          <w:szCs w:val="28"/>
          <w:lang w:val="en-US" w:eastAsia="zh-CN"/>
        </w:rPr>
        <w:footnoteReference w:id="0"/>
      </w:r>
      <w:r>
        <w:rPr>
          <w:rFonts w:hint="eastAsia" w:ascii="仿宋" w:hAnsi="仿宋" w:eastAsia="仿宋" w:cs="仿宋"/>
          <w:color w:val="auto"/>
          <w:sz w:val="28"/>
          <w:szCs w:val="28"/>
          <w:lang w:val="en-US" w:eastAsia="zh-CN"/>
        </w:rPr>
        <w:t>，各参选单位分项报价，填写报价文件。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八、参选单位须知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（一）各参选单位请根据委托人就本次企业年金委托事宜编制服</w:t>
      </w:r>
      <w:r>
        <w:rPr>
          <w:rFonts w:hint="eastAsia" w:ascii="仿宋" w:hAnsi="仿宋" w:eastAsia="仿宋" w:cs="仿宋"/>
          <w:color w:val="000000" w:themeColor="text1"/>
          <w:sz w:val="28"/>
          <w:szCs w:val="28"/>
          <w:highlight w:val="none"/>
          <w:lang w:val="en-US" w:eastAsia="zh-CN"/>
          <w14:textFill>
            <w14:solidFill>
              <w14:schemeClr w14:val="tx1"/>
            </w14:solidFill>
          </w14:textFill>
        </w:rPr>
        <w:t>务方案（集合计划或单一计划），并就其服务方案进行PPT现场讲解，其中集合计划服务方案应包括但不限于以下内容，单一计划服务方案不涉及内容可不提供，并附相关证明材料：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1.企业综合实力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1 \* GB3 \* MERGEFORMAT </w:instrText>
      </w:r>
      <w:r>
        <w:rPr>
          <w:rFonts w:hint="eastAsia" w:ascii="仿宋" w:hAnsi="仿宋" w:eastAsia="仿宋" w:cs="仿宋"/>
          <w:b/>
          <w:bCs/>
          <w:color w:val="auto"/>
          <w:sz w:val="28"/>
          <w:szCs w:val="28"/>
          <w:lang w:val="en-US" w:eastAsia="zh-CN"/>
        </w:rPr>
        <w:fldChar w:fldCharType="separate"/>
      </w:r>
      <w:r>
        <w:t>①</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企业基本情况、企业规模</w:t>
      </w:r>
      <w:r>
        <w:rPr>
          <w:rFonts w:hint="eastAsia" w:ascii="仿宋" w:hAnsi="仿宋" w:eastAsia="仿宋" w:cs="仿宋"/>
          <w:color w:val="auto"/>
          <w:sz w:val="28"/>
          <w:szCs w:val="28"/>
          <w:lang w:val="en-US" w:eastAsia="zh-CN"/>
        </w:rPr>
        <w:t>：注册资金、近五年经营稳定性、品牌信誉等；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2 \* GB3 \* MERGEFORMAT </w:instrText>
      </w:r>
      <w:r>
        <w:rPr>
          <w:rFonts w:hint="eastAsia" w:ascii="仿宋" w:hAnsi="仿宋" w:eastAsia="仿宋" w:cs="仿宋"/>
          <w:b/>
          <w:bCs/>
          <w:color w:val="auto"/>
          <w:sz w:val="28"/>
          <w:szCs w:val="28"/>
          <w:lang w:val="en-US" w:eastAsia="zh-CN"/>
        </w:rPr>
        <w:fldChar w:fldCharType="separate"/>
      </w:r>
      <w:r>
        <w:t>②</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受托管理经验</w:t>
      </w:r>
      <w:r>
        <w:rPr>
          <w:rFonts w:hint="eastAsia" w:ascii="仿宋" w:hAnsi="仿宋" w:eastAsia="仿宋" w:cs="仿宋"/>
          <w:color w:val="auto"/>
          <w:sz w:val="28"/>
          <w:szCs w:val="28"/>
          <w:lang w:val="en-US" w:eastAsia="zh-CN"/>
        </w:rPr>
        <w:t>：具备受托资格开始时间、截至2023年第二季度的受托管理规模、托管规模、企业账户数、个人账户数等（以人社部基金监管局官方网页</w:t>
      </w:r>
      <w:r>
        <w:rPr>
          <w:rStyle w:val="15"/>
          <w:rFonts w:hint="eastAsia" w:ascii="仿宋" w:hAnsi="仿宋" w:eastAsia="仿宋" w:cs="仿宋"/>
          <w:color w:val="auto"/>
          <w:sz w:val="28"/>
          <w:szCs w:val="28"/>
          <w:lang w:val="en-US" w:eastAsia="zh-CN"/>
        </w:rPr>
        <w:footnoteReference w:id="1"/>
      </w:r>
      <w:r>
        <w:rPr>
          <w:rFonts w:hint="eastAsia" w:ascii="仿宋" w:hAnsi="仿宋" w:eastAsia="仿宋" w:cs="仿宋"/>
          <w:color w:val="auto"/>
          <w:sz w:val="28"/>
          <w:szCs w:val="28"/>
          <w:lang w:val="en-US" w:eastAsia="zh-CN"/>
        </w:rPr>
        <w:t>上公布的数据为准）；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3 \* GB3 \* MERGEFORMAT </w:instrText>
      </w:r>
      <w:r>
        <w:rPr>
          <w:rFonts w:hint="eastAsia" w:ascii="仿宋" w:hAnsi="仿宋" w:eastAsia="仿宋" w:cs="仿宋"/>
          <w:b/>
          <w:bCs/>
          <w:color w:val="auto"/>
          <w:sz w:val="28"/>
          <w:szCs w:val="28"/>
          <w:lang w:val="en-US" w:eastAsia="zh-CN"/>
        </w:rPr>
        <w:fldChar w:fldCharType="separate"/>
      </w:r>
      <w:r>
        <w:t>③</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受托管理业绩</w:t>
      </w:r>
      <w:r>
        <w:rPr>
          <w:rFonts w:hint="eastAsia" w:ascii="仿宋" w:hAnsi="仿宋" w:eastAsia="仿宋" w:cs="仿宋"/>
          <w:color w:val="auto"/>
          <w:sz w:val="28"/>
          <w:szCs w:val="28"/>
          <w:lang w:val="en-US" w:eastAsia="zh-CN"/>
        </w:rPr>
        <w:t>：本机构企业年金基金产品（集合计划、单一计划</w:t>
      </w:r>
      <w:r>
        <w:rPr>
          <w:rFonts w:hint="eastAsia" w:ascii="仿宋" w:hAnsi="仿宋" w:eastAsia="仿宋" w:cs="仿宋"/>
          <w:color w:val="auto"/>
          <w:sz w:val="28"/>
          <w:szCs w:val="28"/>
          <w:highlight w:val="none"/>
          <w:lang w:val="en-US" w:eastAsia="zh-CN"/>
        </w:rPr>
        <w:t>）近五年</w:t>
      </w:r>
      <w:r>
        <w:rPr>
          <w:rFonts w:hint="eastAsia" w:ascii="仿宋" w:hAnsi="仿宋" w:eastAsia="仿宋" w:cs="仿宋"/>
          <w:color w:val="auto"/>
          <w:sz w:val="28"/>
          <w:szCs w:val="28"/>
          <w:lang w:val="en-US" w:eastAsia="zh-CN"/>
        </w:rPr>
        <w:t>收益情况等（以人社部基金监管局官方网页上公布的数据为准）；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4 \* GB3 \* MERGEFORMAT </w:instrText>
      </w:r>
      <w:r>
        <w:rPr>
          <w:rFonts w:hint="eastAsia" w:ascii="仿宋" w:hAnsi="仿宋" w:eastAsia="仿宋" w:cs="仿宋"/>
          <w:b/>
          <w:bCs/>
          <w:color w:val="auto"/>
          <w:sz w:val="28"/>
          <w:szCs w:val="28"/>
          <w:lang w:val="en-US" w:eastAsia="zh-CN"/>
        </w:rPr>
        <w:fldChar w:fldCharType="separate"/>
      </w:r>
      <w:r>
        <w:t>④</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本地化服务水平</w:t>
      </w:r>
      <w:r>
        <w:rPr>
          <w:rFonts w:hint="eastAsia" w:ascii="仿宋" w:hAnsi="仿宋" w:eastAsia="仿宋" w:cs="仿宋"/>
          <w:color w:val="auto"/>
          <w:sz w:val="28"/>
          <w:szCs w:val="28"/>
          <w:lang w:val="en-US" w:eastAsia="zh-CN"/>
        </w:rPr>
        <w:t>：本地（东莞）服务机构情况、服务本地（东莞）国有企业情况等；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5 \* GB3 \* MERGEFORMAT </w:instrText>
      </w:r>
      <w:r>
        <w:rPr>
          <w:rFonts w:hint="eastAsia" w:ascii="仿宋" w:hAnsi="仿宋" w:eastAsia="仿宋" w:cs="仿宋"/>
          <w:b/>
          <w:bCs/>
          <w:color w:val="auto"/>
          <w:sz w:val="28"/>
          <w:szCs w:val="28"/>
          <w:lang w:val="en-US" w:eastAsia="zh-CN"/>
        </w:rPr>
        <w:fldChar w:fldCharType="separate"/>
      </w:r>
      <w:r>
        <w:t>⑤</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企业年金信息查询服务系统</w:t>
      </w:r>
      <w:r>
        <w:rPr>
          <w:rFonts w:hint="eastAsia" w:ascii="仿宋" w:hAnsi="仿宋" w:eastAsia="仿宋" w:cs="仿宋"/>
          <w:color w:val="auto"/>
          <w:sz w:val="28"/>
          <w:szCs w:val="28"/>
          <w:lang w:val="en-US" w:eastAsia="zh-CN"/>
        </w:rPr>
        <w:t>：介绍查询服务系统的功能模块、操作流程、响应速度等。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2.推荐方案内容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1 \* GB3 \* MERGEFORMAT </w:instrText>
      </w:r>
      <w:r>
        <w:rPr>
          <w:rFonts w:hint="eastAsia" w:ascii="仿宋" w:hAnsi="仿宋" w:eastAsia="仿宋" w:cs="仿宋"/>
          <w:b/>
          <w:bCs/>
          <w:color w:val="auto"/>
          <w:sz w:val="28"/>
          <w:szCs w:val="28"/>
          <w:lang w:val="en-US" w:eastAsia="zh-CN"/>
        </w:rPr>
        <w:fldChar w:fldCharType="separate"/>
      </w:r>
      <w:r>
        <w:t>①</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企业年金推荐方案</w:t>
      </w:r>
      <w:r>
        <w:rPr>
          <w:rFonts w:hint="eastAsia" w:ascii="仿宋" w:hAnsi="仿宋" w:eastAsia="仿宋" w:cs="仿宋"/>
          <w:color w:val="auto"/>
          <w:sz w:val="28"/>
          <w:szCs w:val="28"/>
          <w:lang w:val="en-US" w:eastAsia="zh-CN"/>
        </w:rPr>
        <w:t>：本次推荐的企业年金方案类型、推荐原因、方案优劣势等；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fldChar w:fldCharType="begin"/>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instrText xml:space="preserve"> = 2 \* GB3 \* MERGEFORMAT </w:instrTex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fldChar w:fldCharType="separate"/>
      </w:r>
      <w:r>
        <w:rPr>
          <w:color w:val="000000" w:themeColor="text1"/>
          <w:highlight w:val="none"/>
          <w14:textFill>
            <w14:solidFill>
              <w14:schemeClr w14:val="tx1"/>
            </w14:solidFill>
          </w14:textFill>
        </w:rPr>
        <w:t>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推荐方案服务组织：</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介</w:t>
      </w:r>
      <w:r>
        <w:rPr>
          <w:rFonts w:hint="eastAsia" w:ascii="仿宋" w:hAnsi="仿宋" w:eastAsia="仿宋" w:cs="仿宋"/>
          <w:b w:val="0"/>
          <w:bCs w:val="0"/>
          <w:color w:val="auto"/>
          <w:sz w:val="28"/>
          <w:szCs w:val="28"/>
          <w:lang w:val="en-US" w:eastAsia="zh-CN"/>
        </w:rPr>
        <w:t>绍推荐方案涉及的受托人、账户管理人、托管人、投资管理人情况；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highlight w:val="none"/>
          <w:lang w:val="en-US" w:eastAsia="zh-CN"/>
        </w:rPr>
        <w:fldChar w:fldCharType="begin"/>
      </w:r>
      <w:r>
        <w:rPr>
          <w:rFonts w:hint="eastAsia" w:ascii="仿宋" w:hAnsi="仿宋" w:eastAsia="仿宋" w:cs="仿宋"/>
          <w:b/>
          <w:bCs/>
          <w:color w:val="auto"/>
          <w:sz w:val="28"/>
          <w:szCs w:val="28"/>
          <w:highlight w:val="none"/>
          <w:lang w:val="en-US" w:eastAsia="zh-CN"/>
        </w:rPr>
        <w:instrText xml:space="preserve"> = 3 \* GB3 \* MERGEFORMAT </w:instrText>
      </w:r>
      <w:r>
        <w:rPr>
          <w:rFonts w:hint="eastAsia" w:ascii="仿宋" w:hAnsi="仿宋" w:eastAsia="仿宋" w:cs="仿宋"/>
          <w:b/>
          <w:bCs/>
          <w:color w:val="auto"/>
          <w:sz w:val="28"/>
          <w:szCs w:val="28"/>
          <w:highlight w:val="none"/>
          <w:lang w:val="en-US" w:eastAsia="zh-CN"/>
        </w:rPr>
        <w:fldChar w:fldCharType="separate"/>
      </w:r>
      <w:r>
        <w:rPr>
          <w:highlight w:val="none"/>
        </w:rPr>
        <w:t>③</w:t>
      </w:r>
      <w:r>
        <w:rPr>
          <w:rFonts w:hint="eastAsia" w:ascii="仿宋" w:hAnsi="仿宋" w:eastAsia="仿宋" w:cs="仿宋"/>
          <w:b/>
          <w:bCs/>
          <w:color w:val="auto"/>
          <w:sz w:val="28"/>
          <w:szCs w:val="28"/>
          <w:highlight w:val="none"/>
          <w:lang w:val="en-US" w:eastAsia="zh-CN"/>
        </w:rPr>
        <w:fldChar w:fldCharType="end"/>
      </w:r>
      <w:r>
        <w:rPr>
          <w:rFonts w:hint="eastAsia" w:ascii="仿宋" w:hAnsi="仿宋" w:eastAsia="仿宋" w:cs="仿宋"/>
          <w:b/>
          <w:bCs/>
          <w:color w:val="auto"/>
          <w:sz w:val="28"/>
          <w:szCs w:val="28"/>
          <w:lang w:val="en-US" w:eastAsia="zh-CN"/>
        </w:rPr>
        <w:t>推荐方案目前的资产规模</w:t>
      </w:r>
      <w:r>
        <w:rPr>
          <w:rFonts w:hint="eastAsia" w:ascii="仿宋" w:hAnsi="仿宋" w:eastAsia="仿宋" w:cs="仿宋"/>
          <w:color w:val="auto"/>
          <w:sz w:val="28"/>
          <w:szCs w:val="28"/>
          <w:lang w:val="en-US" w:eastAsia="zh-CN"/>
        </w:rPr>
        <w:t>：截止至2023年第二季度的资产规模（以人社部基金监管局官方网页上公布的数据为准）；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4 \* GB3 \* MERGEFORMAT </w:instrText>
      </w:r>
      <w:r>
        <w:rPr>
          <w:rFonts w:hint="eastAsia" w:ascii="仿宋" w:hAnsi="仿宋" w:eastAsia="仿宋" w:cs="仿宋"/>
          <w:b/>
          <w:bCs/>
          <w:color w:val="auto"/>
          <w:sz w:val="28"/>
          <w:szCs w:val="28"/>
          <w:lang w:val="en-US" w:eastAsia="zh-CN"/>
        </w:rPr>
        <w:fldChar w:fldCharType="separate"/>
      </w:r>
      <w:r>
        <w:t>④</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推荐方案近五年企业年金投资收益</w:t>
      </w:r>
      <w:r>
        <w:rPr>
          <w:rFonts w:hint="eastAsia" w:ascii="仿宋" w:hAnsi="仿宋" w:eastAsia="仿宋" w:cs="仿宋"/>
          <w:color w:val="000000" w:themeColor="text1"/>
          <w:sz w:val="28"/>
          <w:szCs w:val="28"/>
          <w:highlight w:val="none"/>
          <w:lang w:val="en-US" w:eastAsia="zh-CN"/>
          <w14:textFill>
            <w14:solidFill>
              <w14:schemeClr w14:val="tx1"/>
            </w14:solidFill>
          </w14:textFill>
        </w:rPr>
        <w:t>：包括但不限于近五年每年</w:t>
      </w:r>
      <w:r>
        <w:rPr>
          <w:rFonts w:hint="eastAsia" w:ascii="仿宋" w:hAnsi="仿宋" w:eastAsia="仿宋" w:cs="仿宋"/>
          <w:color w:val="auto"/>
          <w:sz w:val="28"/>
          <w:szCs w:val="28"/>
          <w:highlight w:val="none"/>
          <w:lang w:val="en-US" w:eastAsia="zh-CN"/>
        </w:rPr>
        <w:t>收益率</w:t>
      </w:r>
      <w:r>
        <w:rPr>
          <w:rStyle w:val="15"/>
          <w:rFonts w:hint="eastAsia" w:ascii="仿宋" w:hAnsi="仿宋" w:eastAsia="仿宋" w:cs="仿宋"/>
          <w:color w:val="auto"/>
          <w:sz w:val="28"/>
          <w:szCs w:val="28"/>
          <w:highlight w:val="none"/>
          <w:lang w:val="en-US" w:eastAsia="zh-CN"/>
        </w:rPr>
        <w:footnoteReference w:id="2"/>
      </w:r>
      <w:r>
        <w:rPr>
          <w:rFonts w:hint="eastAsia" w:ascii="仿宋" w:hAnsi="仿宋" w:eastAsia="仿宋" w:cs="仿宋"/>
          <w:color w:val="auto"/>
          <w:sz w:val="28"/>
          <w:szCs w:val="28"/>
          <w:highlight w:val="none"/>
          <w:lang w:val="en-US" w:eastAsia="zh-CN"/>
        </w:rPr>
        <w:t>、累计收益率</w:t>
      </w:r>
      <w:r>
        <w:rPr>
          <w:rStyle w:val="15"/>
          <w:rFonts w:hint="eastAsia" w:ascii="仿宋" w:hAnsi="仿宋" w:eastAsia="仿宋" w:cs="仿宋"/>
          <w:color w:val="auto"/>
          <w:sz w:val="28"/>
          <w:szCs w:val="28"/>
          <w:highlight w:val="none"/>
          <w:lang w:val="en-US" w:eastAsia="zh-CN"/>
        </w:rPr>
        <w:footnoteReference w:id="3"/>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lang w:val="en-US" w:eastAsia="zh-CN"/>
        </w:rPr>
        <w:t>（以人社部基金监管局官方网页上公布的数据为准）；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5 \* GB3 \* MERGEFORMAT </w:instrText>
      </w:r>
      <w:r>
        <w:rPr>
          <w:rFonts w:hint="eastAsia" w:ascii="仿宋" w:hAnsi="仿宋" w:eastAsia="仿宋" w:cs="仿宋"/>
          <w:b/>
          <w:bCs/>
          <w:color w:val="auto"/>
          <w:sz w:val="28"/>
          <w:szCs w:val="28"/>
          <w:lang w:val="en-US" w:eastAsia="zh-CN"/>
        </w:rPr>
        <w:fldChar w:fldCharType="separate"/>
      </w:r>
      <w:r>
        <w:t>⑤</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拟投入服务团队</w:t>
      </w:r>
      <w:r>
        <w:rPr>
          <w:rFonts w:hint="eastAsia" w:ascii="仿宋" w:hAnsi="仿宋" w:eastAsia="仿宋" w:cs="仿宋"/>
          <w:color w:val="auto"/>
          <w:sz w:val="28"/>
          <w:szCs w:val="28"/>
          <w:lang w:val="en-US" w:eastAsia="zh-CN"/>
        </w:rPr>
        <w:t>：服务团队人数应不少于3人，且相关专业人员应具备丰富的企业年金项目管理经验等；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fldChar w:fldCharType="begin"/>
      </w:r>
      <w:r>
        <w:rPr>
          <w:rFonts w:hint="eastAsia" w:ascii="仿宋" w:hAnsi="仿宋" w:eastAsia="仿宋" w:cs="仿宋"/>
          <w:b/>
          <w:bCs/>
          <w:color w:val="auto"/>
          <w:sz w:val="28"/>
          <w:szCs w:val="28"/>
          <w:lang w:val="en-US" w:eastAsia="zh-CN"/>
        </w:rPr>
        <w:instrText xml:space="preserve"> = 6 \* GB3 \* MERGEFORMAT </w:instrText>
      </w:r>
      <w:r>
        <w:rPr>
          <w:rFonts w:hint="eastAsia" w:ascii="仿宋" w:hAnsi="仿宋" w:eastAsia="仿宋" w:cs="仿宋"/>
          <w:b/>
          <w:bCs/>
          <w:color w:val="auto"/>
          <w:sz w:val="28"/>
          <w:szCs w:val="28"/>
          <w:lang w:val="en-US" w:eastAsia="zh-CN"/>
        </w:rPr>
        <w:fldChar w:fldCharType="separate"/>
      </w:r>
      <w:r>
        <w:t>⑥</w:t>
      </w:r>
      <w:r>
        <w:rPr>
          <w:rFonts w:hint="eastAsia" w:ascii="仿宋" w:hAnsi="仿宋" w:eastAsia="仿宋" w:cs="仿宋"/>
          <w:b/>
          <w:bCs/>
          <w:color w:val="auto"/>
          <w:sz w:val="28"/>
          <w:szCs w:val="28"/>
          <w:lang w:val="en-US" w:eastAsia="zh-CN"/>
        </w:rPr>
        <w:fldChar w:fldCharType="end"/>
      </w:r>
      <w:r>
        <w:rPr>
          <w:rFonts w:hint="eastAsia" w:ascii="仿宋" w:hAnsi="仿宋" w:eastAsia="仿宋" w:cs="仿宋"/>
          <w:b/>
          <w:bCs/>
          <w:color w:val="auto"/>
          <w:sz w:val="28"/>
          <w:szCs w:val="28"/>
          <w:lang w:val="en-US" w:eastAsia="zh-CN"/>
        </w:rPr>
        <w:t>配套增值服务情况</w:t>
      </w:r>
      <w:r>
        <w:rPr>
          <w:rFonts w:hint="eastAsia" w:ascii="仿宋" w:hAnsi="仿宋" w:eastAsia="仿宋" w:cs="仿宋"/>
          <w:color w:val="auto"/>
          <w:sz w:val="28"/>
          <w:szCs w:val="28"/>
          <w:lang w:val="en-US" w:eastAsia="zh-CN"/>
        </w:rPr>
        <w:t>：介绍可为参与企业年金计划员工配套的增值服务项目；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⑦</w:t>
      </w:r>
      <w:r>
        <w:rPr>
          <w:rFonts w:hint="eastAsia" w:ascii="仿宋" w:hAnsi="仿宋" w:eastAsia="仿宋" w:cs="仿宋"/>
          <w:b/>
          <w:bCs/>
          <w:color w:val="auto"/>
          <w:sz w:val="28"/>
          <w:szCs w:val="28"/>
          <w:lang w:val="en-US" w:eastAsia="zh-CN"/>
        </w:rPr>
        <w:t>受托合同模板情况</w:t>
      </w:r>
      <w:r>
        <w:rPr>
          <w:rFonts w:hint="eastAsia" w:ascii="仿宋" w:hAnsi="仿宋" w:eastAsia="仿宋" w:cs="仿宋"/>
          <w:color w:val="auto"/>
          <w:sz w:val="28"/>
          <w:szCs w:val="28"/>
          <w:lang w:val="en-US" w:eastAsia="zh-CN"/>
        </w:rPr>
        <w:t>：介绍受托合同模版条款情况。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服务报价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包含账户管理费、受托管理费、托管费、投资管理费（固收组合、含权组合）。</w:t>
      </w:r>
    </w:p>
    <w:p>
      <w:pPr>
        <w:numPr>
          <w:ilvl w:val="0"/>
          <w:numId w:val="2"/>
        </w:numPr>
        <w:spacing w:line="360" w:lineRule="auto"/>
        <w:ind w:firstLine="560" w:firstLineChars="200"/>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参选单位提交的资料应保证真实有效，不得弄虚作假。我集团有权要求参选单位提供相关证明文件。若核查发现参选单位</w:t>
      </w:r>
      <w:r>
        <w:rPr>
          <w:rFonts w:hint="eastAsia" w:ascii="仿宋" w:hAnsi="仿宋" w:eastAsia="仿宋" w:cs="仿宋"/>
          <w:bCs w:val="0"/>
          <w:color w:val="000000" w:themeColor="text1"/>
          <w:kern w:val="2"/>
          <w:sz w:val="28"/>
          <w:szCs w:val="28"/>
          <w:lang w:val="en-US"/>
          <w14:textFill>
            <w14:solidFill>
              <w14:schemeClr w14:val="tx1"/>
            </w14:solidFill>
          </w14:textFill>
        </w:rPr>
        <w:t>提供虚假</w:t>
      </w:r>
      <w:r>
        <w:rPr>
          <w:rFonts w:hint="eastAsia" w:ascii="仿宋" w:hAnsi="仿宋" w:eastAsia="仿宋" w:cs="仿宋"/>
          <w:bCs w:val="0"/>
          <w:color w:val="000000" w:themeColor="text1"/>
          <w:kern w:val="2"/>
          <w:sz w:val="28"/>
          <w:szCs w:val="28"/>
          <w:lang w:val="en-US" w:eastAsia="zh-CN"/>
          <w14:textFill>
            <w14:solidFill>
              <w14:schemeClr w14:val="tx1"/>
            </w14:solidFill>
          </w14:textFill>
        </w:rPr>
        <w:t>数据、虚假</w:t>
      </w:r>
      <w:r>
        <w:rPr>
          <w:rFonts w:hint="eastAsia" w:ascii="仿宋" w:hAnsi="仿宋" w:eastAsia="仿宋" w:cs="仿宋"/>
          <w:bCs w:val="0"/>
          <w:color w:val="000000" w:themeColor="text1"/>
          <w:kern w:val="2"/>
          <w:sz w:val="28"/>
          <w:szCs w:val="28"/>
          <w:lang w:val="en-US"/>
          <w14:textFill>
            <w14:solidFill>
              <w14:schemeClr w14:val="tx1"/>
            </w14:solidFill>
          </w14:textFill>
        </w:rPr>
        <w:t>证明文件等行为骗取中</w:t>
      </w:r>
      <w:r>
        <w:rPr>
          <w:rFonts w:hint="eastAsia" w:ascii="仿宋" w:hAnsi="仿宋" w:eastAsia="仿宋" w:cs="仿宋"/>
          <w:bCs w:val="0"/>
          <w:color w:val="000000" w:themeColor="text1"/>
          <w:kern w:val="2"/>
          <w:sz w:val="28"/>
          <w:szCs w:val="28"/>
          <w:lang w:val="en-US" w:eastAsia="zh-CN"/>
          <w14:textFill>
            <w14:solidFill>
              <w14:schemeClr w14:val="tx1"/>
            </w14:solidFill>
          </w14:textFill>
        </w:rPr>
        <w:t>选</w:t>
      </w:r>
      <w:r>
        <w:rPr>
          <w:rFonts w:hint="eastAsia" w:ascii="仿宋" w:hAnsi="仿宋" w:eastAsia="仿宋" w:cs="仿宋"/>
          <w:bCs w:val="0"/>
          <w:color w:val="000000" w:themeColor="text1"/>
          <w:kern w:val="2"/>
          <w:sz w:val="28"/>
          <w:szCs w:val="28"/>
          <w:lang w:val="en-US"/>
          <w14:textFill>
            <w14:solidFill>
              <w14:schemeClr w14:val="tx1"/>
            </w14:solidFill>
          </w14:textFill>
        </w:rPr>
        <w:t>的，</w:t>
      </w:r>
      <w:r>
        <w:rPr>
          <w:rFonts w:hint="eastAsia" w:ascii="仿宋" w:hAnsi="仿宋" w:eastAsia="仿宋" w:cs="仿宋"/>
          <w:bCs w:val="0"/>
          <w:color w:val="000000" w:themeColor="text1"/>
          <w:kern w:val="2"/>
          <w:sz w:val="28"/>
          <w:szCs w:val="28"/>
          <w:lang w:val="en-US" w:eastAsia="zh-CN"/>
          <w14:textFill>
            <w14:solidFill>
              <w14:schemeClr w14:val="tx1"/>
            </w14:solidFill>
          </w14:textFill>
        </w:rPr>
        <w:t>我集团有权</w:t>
      </w:r>
      <w:r>
        <w:rPr>
          <w:rFonts w:hint="eastAsia" w:ascii="仿宋" w:hAnsi="仿宋" w:eastAsia="仿宋" w:cs="仿宋"/>
          <w:bCs w:val="0"/>
          <w:color w:val="000000" w:themeColor="text1"/>
          <w:kern w:val="2"/>
          <w:sz w:val="28"/>
          <w:szCs w:val="28"/>
          <w:lang w:val="en-US"/>
          <w14:textFill>
            <w14:solidFill>
              <w14:schemeClr w14:val="tx1"/>
            </w14:solidFill>
          </w14:textFill>
        </w:rPr>
        <w:t>取消其中</w:t>
      </w:r>
      <w:r>
        <w:rPr>
          <w:rFonts w:hint="eastAsia" w:ascii="仿宋" w:hAnsi="仿宋" w:eastAsia="仿宋" w:cs="仿宋"/>
          <w:bCs w:val="0"/>
          <w:color w:val="000000" w:themeColor="text1"/>
          <w:kern w:val="2"/>
          <w:sz w:val="28"/>
          <w:szCs w:val="28"/>
          <w:lang w:val="en-US" w:eastAsia="zh-CN"/>
          <w14:textFill>
            <w14:solidFill>
              <w14:schemeClr w14:val="tx1"/>
            </w14:solidFill>
          </w14:textFill>
        </w:rPr>
        <w:t>选</w:t>
      </w:r>
      <w:r>
        <w:rPr>
          <w:rFonts w:hint="eastAsia" w:ascii="仿宋" w:hAnsi="仿宋" w:eastAsia="仿宋" w:cs="仿宋"/>
          <w:bCs w:val="0"/>
          <w:color w:val="000000" w:themeColor="text1"/>
          <w:kern w:val="2"/>
          <w:sz w:val="28"/>
          <w:szCs w:val="28"/>
          <w:lang w:val="en-US"/>
          <w14:textFill>
            <w14:solidFill>
              <w14:schemeClr w14:val="tx1"/>
            </w14:solidFill>
          </w14:textFill>
        </w:rPr>
        <w:t>资格</w:t>
      </w:r>
      <w:r>
        <w:rPr>
          <w:rFonts w:hint="eastAsia" w:ascii="仿宋" w:hAnsi="仿宋" w:eastAsia="仿宋" w:cs="仿宋"/>
          <w:bCs w:val="0"/>
          <w:color w:val="000000" w:themeColor="text1"/>
          <w:kern w:val="2"/>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（三）确定受托人后，委托人有权要求受托人分别与委托人各子公司单独签订委托合同；</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（四）受托人提供的拟签订的受托合同不作为合同签订的正式依据，仅作为我集团确定受托机构的重要影响因素。</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确定企业年金受托机构后，我集团将另行与受托机构洽谈合同条款事项，但受托机构不得提出违反原拟签订的受托合同的条款或低于原拟签订的受托合同的条款。</w:t>
      </w:r>
    </w:p>
    <w:p>
      <w:pPr>
        <w:rPr>
          <w:rFonts w:hint="eastAsia" w:ascii="仿宋" w:hAnsi="仿宋" w:eastAsia="仿宋" w:cs="仿宋"/>
          <w:color w:val="auto"/>
          <w:sz w:val="28"/>
          <w:szCs w:val="28"/>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附件一：</w:t>
      </w:r>
    </w:p>
    <w:p>
      <w:pPr>
        <w:jc w:val="center"/>
        <w:rPr>
          <w:rFonts w:hint="eastAsia" w:ascii="仿宋" w:hAnsi="仿宋" w:eastAsia="仿宋" w:cs="仿宋"/>
          <w:b/>
          <w:bCs/>
          <w:sz w:val="36"/>
          <w:szCs w:val="36"/>
        </w:rPr>
      </w:pPr>
      <w:r>
        <w:rPr>
          <w:rFonts w:hint="eastAsia" w:ascii="仿宋" w:hAnsi="仿宋" w:eastAsia="仿宋" w:cs="仿宋"/>
          <w:b/>
          <w:bCs/>
          <w:sz w:val="36"/>
          <w:szCs w:val="36"/>
        </w:rPr>
        <w:t>东莞市水务集团有限公司企业年金基金</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rPr>
        <w:t>受托管理机构项目</w:t>
      </w:r>
      <w:r>
        <w:rPr>
          <w:rFonts w:hint="eastAsia" w:ascii="仿宋" w:hAnsi="仿宋" w:eastAsia="仿宋" w:cs="仿宋"/>
          <w:b/>
          <w:bCs/>
          <w:sz w:val="36"/>
          <w:szCs w:val="36"/>
          <w:lang w:val="en-US" w:eastAsia="zh-CN"/>
        </w:rPr>
        <w:t>参选报名表</w:t>
      </w:r>
    </w:p>
    <w:tbl>
      <w:tblPr>
        <w:tblStyle w:val="11"/>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0"/>
        <w:gridCol w:w="7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地址</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职务</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both"/>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座机：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手机：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2"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报名确认</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我单位已收到并知晓贵司</w:t>
            </w:r>
            <w:r>
              <w:rPr>
                <w:rFonts w:hint="eastAsia" w:ascii="仿宋" w:hAnsi="仿宋" w:eastAsia="仿宋" w:cs="仿宋"/>
                <w:sz w:val="24"/>
                <w:szCs w:val="24"/>
                <w:lang w:val="en-US" w:eastAsia="zh-CN"/>
              </w:rPr>
              <w:t>比选</w:t>
            </w:r>
            <w:r>
              <w:rPr>
                <w:rFonts w:hint="eastAsia" w:ascii="仿宋" w:hAnsi="仿宋" w:eastAsia="仿宋" w:cs="仿宋"/>
                <w:sz w:val="24"/>
                <w:szCs w:val="24"/>
              </w:rPr>
              <w:t>公告的相关内容。我公司确认将参选贵司关于企业年金基金受托管理机构项目的</w:t>
            </w:r>
            <w:r>
              <w:rPr>
                <w:rFonts w:hint="eastAsia" w:ascii="仿宋" w:hAnsi="仿宋" w:eastAsia="仿宋" w:cs="仿宋"/>
                <w:sz w:val="24"/>
                <w:szCs w:val="24"/>
                <w:lang w:val="en-US" w:eastAsia="zh-CN"/>
              </w:rPr>
              <w:t>比选</w:t>
            </w:r>
            <w:r>
              <w:rPr>
                <w:rFonts w:hint="eastAsia" w:ascii="仿宋" w:hAnsi="仿宋" w:eastAsia="仿宋" w:cs="仿宋"/>
                <w:sz w:val="24"/>
                <w:szCs w:val="24"/>
              </w:rPr>
              <w:t>。我司将严格按照贵司要求积极准备相关</w:t>
            </w:r>
            <w:r>
              <w:rPr>
                <w:rFonts w:hint="eastAsia" w:ascii="仿宋" w:hAnsi="仿宋" w:eastAsia="仿宋" w:cs="仿宋"/>
                <w:sz w:val="24"/>
                <w:szCs w:val="24"/>
                <w:lang w:val="en-US" w:eastAsia="zh-CN"/>
              </w:rPr>
              <w:t>竞选</w:t>
            </w:r>
            <w:r>
              <w:rPr>
                <w:rFonts w:hint="eastAsia" w:ascii="仿宋" w:hAnsi="仿宋" w:eastAsia="仿宋" w:cs="仿宋"/>
                <w:sz w:val="24"/>
                <w:szCs w:val="24"/>
              </w:rPr>
              <w:t>材料，</w:t>
            </w:r>
            <w:r>
              <w:rPr>
                <w:rFonts w:hint="eastAsia" w:ascii="仿宋" w:hAnsi="仿宋" w:eastAsia="仿宋" w:cs="仿宋"/>
                <w:sz w:val="24"/>
                <w:szCs w:val="24"/>
                <w:lang w:val="en-US" w:eastAsia="zh-CN"/>
              </w:rPr>
              <w:t>并</w:t>
            </w:r>
            <w:r>
              <w:rPr>
                <w:rFonts w:hint="eastAsia" w:ascii="仿宋" w:hAnsi="仿宋" w:eastAsia="仿宋" w:cs="仿宋"/>
                <w:sz w:val="24"/>
                <w:szCs w:val="24"/>
              </w:rPr>
              <w:t>按时参加。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8" w:hRule="atLeast"/>
          <w:jc w:val="center"/>
        </w:trPr>
        <w:tc>
          <w:tcPr>
            <w:tcW w:w="2180"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盖章</w:t>
            </w:r>
          </w:p>
        </w:tc>
        <w:tc>
          <w:tcPr>
            <w:tcW w:w="7559"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pPr>
              <w:adjustRightInd w:val="0"/>
              <w:spacing w:line="360" w:lineRule="auto"/>
              <w:jc w:val="both"/>
              <w:rPr>
                <w:rFonts w:hint="eastAsia" w:ascii="仿宋" w:hAnsi="仿宋" w:eastAsia="仿宋" w:cs="仿宋"/>
                <w:sz w:val="24"/>
                <w:szCs w:val="24"/>
              </w:rPr>
            </w:pPr>
          </w:p>
          <w:p>
            <w:pPr>
              <w:adjustRightInd w:val="0"/>
              <w:spacing w:line="360" w:lineRule="auto"/>
              <w:jc w:val="both"/>
              <w:rPr>
                <w:rFonts w:hint="eastAsia" w:ascii="仿宋" w:hAnsi="仿宋" w:eastAsia="仿宋" w:cs="仿宋"/>
                <w:sz w:val="24"/>
                <w:szCs w:val="24"/>
              </w:rPr>
            </w:pPr>
          </w:p>
          <w:p>
            <w:pPr>
              <w:adjustRightIn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参选单位</w:t>
            </w:r>
            <w:r>
              <w:rPr>
                <w:rFonts w:hint="eastAsia" w:ascii="仿宋" w:hAnsi="仿宋" w:eastAsia="仿宋" w:cs="仿宋"/>
                <w:sz w:val="24"/>
                <w:szCs w:val="24"/>
              </w:rPr>
              <w:t>（公章）</w:t>
            </w:r>
          </w:p>
        </w:tc>
      </w:tr>
    </w:tbl>
    <w:p>
      <w:pPr>
        <w:rPr>
          <w:rFonts w:hint="eastAsia" w:ascii="仿宋" w:hAnsi="仿宋" w:eastAsia="仿宋" w:cs="仿宋"/>
          <w:lang w:val="en-US" w:eastAsia="zh-CN"/>
        </w:rPr>
      </w:pPr>
    </w:p>
    <w:p>
      <w:pPr>
        <w:spacing w:line="360" w:lineRule="auto"/>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附件：1、企业营业执照扫描件（如为分支机构须</w:t>
      </w:r>
      <w:r>
        <w:rPr>
          <w:rFonts w:hint="eastAsia" w:ascii="仿宋" w:hAnsi="仿宋" w:eastAsia="仿宋" w:cs="仿宋"/>
          <w:b/>
          <w:bCs/>
          <w:color w:val="FF0000"/>
          <w:sz w:val="24"/>
          <w:szCs w:val="24"/>
          <w:highlight w:val="none"/>
          <w:u w:val="none"/>
          <w:lang w:val="en-US" w:eastAsia="zh-CN"/>
        </w:rPr>
        <w:t>同时提供总公司和</w:t>
      </w:r>
      <w:r>
        <w:rPr>
          <w:rFonts w:hint="eastAsia" w:ascii="仿宋" w:hAnsi="仿宋" w:eastAsia="仿宋" w:cs="仿宋"/>
          <w:b/>
          <w:bCs/>
          <w:color w:val="FF0000"/>
          <w:sz w:val="24"/>
          <w:szCs w:val="24"/>
          <w:highlight w:val="none"/>
          <w:lang w:val="en-US" w:eastAsia="zh-CN"/>
        </w:rPr>
        <w:t>分支机构营业执照）；</w:t>
      </w:r>
    </w:p>
    <w:p>
      <w:pPr>
        <w:numPr>
          <w:ilvl w:val="0"/>
          <w:numId w:val="3"/>
        </w:numPr>
        <w:spacing w:line="360" w:lineRule="auto"/>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企业年金基金管理机构资格证书扫描件；</w:t>
      </w:r>
    </w:p>
    <w:p>
      <w:pPr>
        <w:numPr>
          <w:ilvl w:val="0"/>
          <w:numId w:val="3"/>
        </w:numPr>
        <w:spacing w:line="360" w:lineRule="auto"/>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如分支机构参加比选，需同时出具机构总部针对分支机构参选事宜的独家授权函（格式自拟）；</w:t>
      </w:r>
      <w:bookmarkStart w:id="4" w:name="_GoBack"/>
      <w:bookmarkEnd w:id="4"/>
    </w:p>
    <w:p>
      <w:pPr>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br w:type="page"/>
      </w:r>
    </w:p>
    <w:p>
      <w:pPr>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附件二：</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highlight w:val="none"/>
          <w:lang w:val="en-US" w:eastAsia="zh-CN"/>
        </w:rPr>
        <w:t>参选单位负</w:t>
      </w:r>
      <w:r>
        <w:rPr>
          <w:rFonts w:hint="eastAsia" w:ascii="仿宋" w:hAnsi="仿宋" w:eastAsia="仿宋" w:cs="仿宋"/>
          <w:b/>
          <w:bCs/>
          <w:sz w:val="28"/>
          <w:szCs w:val="28"/>
          <w:lang w:val="en-US" w:eastAsia="zh-CN"/>
        </w:rPr>
        <w:t>责人授权书</w:t>
      </w:r>
    </w:p>
    <w:p>
      <w:pPr>
        <w:widowControl w:val="0"/>
        <w:spacing w:after="120"/>
        <w:jc w:val="both"/>
        <w:rPr>
          <w:rFonts w:hint="eastAsia" w:ascii="仿宋" w:hAnsi="仿宋" w:eastAsia="仿宋" w:cs="仿宋"/>
          <w:kern w:val="2"/>
          <w:sz w:val="28"/>
          <w:szCs w:val="28"/>
          <w:lang w:val="en-US" w:eastAsia="zh-CN" w:bidi="ar-SA"/>
        </w:rPr>
      </w:pPr>
    </w:p>
    <w:p>
      <w:pPr>
        <w:spacing w:line="600" w:lineRule="exact"/>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东莞市水务集团有限公司：</w:t>
      </w:r>
    </w:p>
    <w:p>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本授权书声明：</w:t>
      </w:r>
      <w:r>
        <w:rPr>
          <w:rFonts w:hint="eastAsia" w:ascii="仿宋" w:hAnsi="仿宋" w:eastAsia="仿宋" w:cs="仿宋"/>
          <w:sz w:val="28"/>
          <w:szCs w:val="28"/>
          <w:u w:val="none"/>
          <w:lang w:val="en-US" w:eastAsia="zh-CN"/>
        </w:rPr>
        <w:t>我公司</w:t>
      </w:r>
      <w:r>
        <w:rPr>
          <w:rFonts w:hint="eastAsia" w:ascii="仿宋" w:hAnsi="仿宋" w:eastAsia="仿宋" w:cs="仿宋"/>
          <w:sz w:val="28"/>
          <w:szCs w:val="28"/>
          <w:u w:val="none"/>
          <w:lang w:eastAsia="zh-CN"/>
        </w:rPr>
        <w:t>现授权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职务</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（联系方式）为</w:t>
      </w:r>
      <w:r>
        <w:rPr>
          <w:rFonts w:hint="eastAsia" w:ascii="仿宋" w:hAnsi="仿宋" w:eastAsia="仿宋" w:cs="仿宋"/>
          <w:sz w:val="28"/>
          <w:szCs w:val="28"/>
          <w:lang w:eastAsia="zh-CN"/>
        </w:rPr>
        <w:t>本次企业年金受托机构</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负责人</w:t>
      </w:r>
      <w:r>
        <w:rPr>
          <w:rFonts w:hint="eastAsia" w:ascii="仿宋" w:hAnsi="仿宋" w:eastAsia="仿宋" w:cs="仿宋"/>
          <w:sz w:val="28"/>
          <w:szCs w:val="28"/>
        </w:rPr>
        <w:t>，</w:t>
      </w:r>
      <w:r>
        <w:rPr>
          <w:rFonts w:hint="eastAsia" w:ascii="仿宋" w:hAnsi="仿宋" w:eastAsia="仿宋" w:cs="仿宋"/>
          <w:sz w:val="28"/>
          <w:szCs w:val="28"/>
          <w:lang w:eastAsia="zh-CN"/>
        </w:rPr>
        <w:t>由其负责本次企业年金</w:t>
      </w:r>
      <w:r>
        <w:rPr>
          <w:rFonts w:hint="eastAsia" w:ascii="仿宋" w:hAnsi="仿宋" w:eastAsia="仿宋" w:cs="仿宋"/>
          <w:sz w:val="28"/>
          <w:szCs w:val="28"/>
          <w:lang w:val="en-US" w:eastAsia="zh-CN"/>
        </w:rPr>
        <w:t>受托机构项目比选</w:t>
      </w:r>
      <w:r>
        <w:rPr>
          <w:rFonts w:hint="eastAsia" w:ascii="仿宋" w:hAnsi="仿宋" w:eastAsia="仿宋" w:cs="仿宋"/>
          <w:sz w:val="28"/>
          <w:szCs w:val="28"/>
          <w:lang w:eastAsia="zh-CN"/>
        </w:rPr>
        <w:t>并</w:t>
      </w:r>
      <w:r>
        <w:rPr>
          <w:rFonts w:hint="eastAsia" w:ascii="仿宋" w:hAnsi="仿宋" w:eastAsia="仿宋" w:cs="仿宋"/>
          <w:sz w:val="28"/>
          <w:szCs w:val="28"/>
        </w:rPr>
        <w:t>处理与此有关的一切事务。</w:t>
      </w:r>
    </w:p>
    <w:p>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被授权人无权转委，特此声明。</w:t>
      </w:r>
    </w:p>
    <w:p>
      <w:pPr>
        <w:spacing w:line="500" w:lineRule="exact"/>
        <w:ind w:firstLine="480"/>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 xml:space="preserve">法定代表人（签字或签章）：                  </w:t>
      </w:r>
    </w:p>
    <w:p>
      <w:pPr>
        <w:ind w:firstLine="4466" w:firstLineChars="1595"/>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被授权人（签字或签章）：                  </w:t>
      </w:r>
    </w:p>
    <w:p>
      <w:pPr>
        <w:ind w:firstLine="4466" w:firstLineChars="1595"/>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参选单位（公章）：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pPr>
        <w:rPr>
          <w:rFonts w:hint="eastAsia" w:ascii="仿宋" w:hAnsi="仿宋" w:eastAsia="仿宋" w:cs="仿宋"/>
          <w:sz w:val="28"/>
          <w:szCs w:val="28"/>
          <w:lang w:val="en-US" w:eastAsia="zh-CN"/>
        </w:rPr>
      </w:pPr>
    </w:p>
    <w:p>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后附法定代表人和</w:t>
      </w:r>
      <w:r>
        <w:rPr>
          <w:rFonts w:hint="eastAsia" w:ascii="仿宋" w:hAnsi="仿宋" w:eastAsia="仿宋" w:cs="仿宋"/>
          <w:b w:val="0"/>
          <w:bCs w:val="0"/>
          <w:sz w:val="28"/>
          <w:szCs w:val="28"/>
        </w:rPr>
        <w:t>被授权人</w:t>
      </w:r>
      <w:r>
        <w:rPr>
          <w:rFonts w:hint="eastAsia" w:ascii="仿宋" w:hAnsi="仿宋" w:eastAsia="仿宋" w:cs="仿宋"/>
          <w:b w:val="0"/>
          <w:bCs w:val="0"/>
          <w:sz w:val="28"/>
          <w:szCs w:val="28"/>
          <w:lang w:val="en-US" w:eastAsia="zh-CN"/>
        </w:rPr>
        <w:t>身份证复印件，并加盖公章。</w:t>
      </w:r>
    </w:p>
    <w:p>
      <w:pPr>
        <w:rPr>
          <w:rFonts w:hint="eastAsia" w:ascii="仿宋" w:hAnsi="仿宋" w:eastAsia="仿宋" w:cs="仿宋"/>
          <w:sz w:val="28"/>
          <w:szCs w:val="28"/>
          <w:lang w:val="en-US" w:eastAsia="zh-CN"/>
        </w:rPr>
      </w:pPr>
    </w:p>
    <w:p>
      <w:pPr>
        <w:rPr>
          <w:rFonts w:hint="default"/>
          <w:sz w:val="24"/>
          <w:szCs w:val="24"/>
          <w:lang w:val="en-US" w:eastAsia="zh-CN"/>
        </w:rPr>
      </w:pPr>
    </w:p>
    <w:p>
      <w:pPr>
        <w:spacing w:line="360" w:lineRule="auto"/>
        <w:rPr>
          <w:rFonts w:hint="eastAsia" w:ascii="仿宋" w:hAnsi="仿宋" w:eastAsia="仿宋" w:cs="仿宋"/>
          <w:b/>
          <w:bCs/>
          <w:color w:val="FF0000"/>
          <w:sz w:val="24"/>
          <w:szCs w:val="24"/>
          <w:highlight w:val="none"/>
          <w:lang w:val="en-US" w:eastAsia="zh-CN"/>
        </w:rPr>
      </w:pPr>
    </w:p>
    <w:p>
      <w:pPr>
        <w:spacing w:line="360" w:lineRule="auto"/>
        <w:rPr>
          <w:rFonts w:hint="default" w:ascii="仿宋" w:hAnsi="仿宋" w:eastAsia="仿宋" w:cs="仿宋"/>
          <w:b/>
          <w:bCs/>
          <w:color w:val="FF0000"/>
          <w:sz w:val="24"/>
          <w:szCs w:val="24"/>
          <w:highlight w:val="none"/>
          <w:lang w:val="en-US" w:eastAsia="zh-CN"/>
        </w:rPr>
      </w:pPr>
    </w:p>
    <w:p>
      <w:pPr>
        <w:spacing w:line="360" w:lineRule="auto"/>
        <w:rPr>
          <w:rFonts w:hint="eastAsia" w:ascii="宋体" w:hAnsi="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eastAsia" w:ascii="Times New Roman" w:hAnsi="Times New Roman" w:eastAsia="仿宋_GB2312" w:cs="仿宋_GB2312"/>
          <w:color w:val="auto"/>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Times New Roman" w:hAnsi="Times New Roman" w:eastAsia="仿宋_GB2312" w:cs="仿宋"/>
          <w:color w:val="auto"/>
          <w:kern w:val="2"/>
          <w:sz w:val="28"/>
          <w:szCs w:val="28"/>
          <w:lang w:val="en-US" w:eastAsia="zh-CN" w:bidi="ar-SA"/>
        </w:rPr>
      </w:pPr>
      <w:r>
        <w:rPr>
          <w:rFonts w:hint="eastAsia" w:ascii="Times New Roman" w:hAnsi="Times New Roman" w:eastAsia="仿宋_GB2312" w:cs="仿宋"/>
          <w:color w:val="auto"/>
          <w:kern w:val="2"/>
          <w:sz w:val="28"/>
          <w:szCs w:val="28"/>
          <w:lang w:val="en-US" w:eastAsia="zh-CN" w:bidi="ar-SA"/>
        </w:rPr>
        <w:t>附件三：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center"/>
        <w:textAlignment w:val="baseline"/>
        <w:rPr>
          <w:rFonts w:hint="default" w:ascii="Times New Roman" w:hAnsi="Times New Roman" w:eastAsia="仿宋_GB2312" w:cs="仿宋"/>
          <w:color w:val="auto"/>
          <w:kern w:val="2"/>
          <w:sz w:val="36"/>
          <w:szCs w:val="36"/>
          <w:lang w:val="en-US" w:eastAsia="zh-CN" w:bidi="ar-SA"/>
        </w:rPr>
      </w:pPr>
      <w:r>
        <w:rPr>
          <w:rFonts w:hint="eastAsia" w:ascii="Times New Roman" w:hAnsi="Times New Roman" w:eastAsia="仿宋_GB2312" w:cs="仿宋"/>
          <w:b/>
          <w:bCs/>
          <w:color w:val="auto"/>
          <w:kern w:val="2"/>
          <w:sz w:val="36"/>
          <w:szCs w:val="36"/>
          <w:lang w:val="en-US" w:eastAsia="zh-CN" w:bidi="ar-SA"/>
        </w:rPr>
        <w:t>报价一览表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419" w:firstLineChars="131"/>
        <w:jc w:val="both"/>
        <w:textAlignment w:val="baseline"/>
        <w:rPr>
          <w:rFonts w:hint="default" w:ascii="Times New Roman" w:hAnsi="Times New Roman" w:eastAsia="仿宋_GB2312" w:cs="仿宋"/>
          <w:color w:val="auto"/>
          <w:kern w:val="2"/>
          <w:sz w:val="32"/>
          <w:szCs w:val="32"/>
          <w:lang w:val="en-US" w:eastAsia="zh-CN" w:bidi="ar-SA"/>
        </w:rPr>
      </w:pPr>
      <w:r>
        <w:rPr>
          <w:rFonts w:hint="eastAsia" w:ascii="Times New Roman" w:hAnsi="Times New Roman" w:eastAsia="仿宋_GB2312" w:cs="仿宋"/>
          <w:color w:val="auto"/>
          <w:kern w:val="2"/>
          <w:sz w:val="32"/>
          <w:szCs w:val="32"/>
          <w:lang w:val="en-US" w:eastAsia="zh-CN" w:bidi="ar-SA"/>
        </w:rPr>
        <w:t>项目名称：东莞市水务集团有限公司企业年金基金受托管理机构项目</w:t>
      </w:r>
    </w:p>
    <w:tbl>
      <w:tblPr>
        <w:tblStyle w:val="11"/>
        <w:tblpPr w:leftFromText="180" w:rightFromText="180" w:vertAnchor="text" w:horzAnchor="page" w:tblpXSpec="center" w:tblpY="21"/>
        <w:tblOverlap w:val="never"/>
        <w:tblW w:w="46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83"/>
        <w:gridCol w:w="9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4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1400" w:firstLineChars="50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名称</w:t>
            </w:r>
          </w:p>
        </w:tc>
        <w:tc>
          <w:tcPr>
            <w:tcW w:w="3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3" w:hRule="atLeast"/>
          <w:jc w:val="center"/>
        </w:trPr>
        <w:tc>
          <w:tcPr>
            <w:tcW w:w="14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账户管理费</w:t>
            </w:r>
          </w:p>
        </w:tc>
        <w:tc>
          <w:tcPr>
            <w:tcW w:w="3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元人民币/户/月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6" w:hRule="atLeast"/>
          <w:jc w:val="center"/>
        </w:trPr>
        <w:tc>
          <w:tcPr>
            <w:tcW w:w="14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受托管理费</w:t>
            </w:r>
          </w:p>
        </w:tc>
        <w:tc>
          <w:tcPr>
            <w:tcW w:w="3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受托管理企业年金基金财产净值的</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14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托管费</w:t>
            </w:r>
          </w:p>
        </w:tc>
        <w:tc>
          <w:tcPr>
            <w:tcW w:w="3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托管企业年金基金财产净值的</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9" w:hRule="atLeast"/>
          <w:jc w:val="center"/>
        </w:trPr>
        <w:tc>
          <w:tcPr>
            <w:tcW w:w="14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both"/>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投资管理费</w:t>
            </w:r>
          </w:p>
        </w:tc>
        <w:tc>
          <w:tcPr>
            <w:tcW w:w="3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01" w:type="dxa"/>
              <w:bottom w:w="75" w:type="dxa"/>
              <w:right w:w="101"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投资管理企业年金基金财产净值的</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%/年（固收组合）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投资管理企业年金基金财产净值的</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%/年（含权组合）</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20" w:firstLineChars="100"/>
        <w:jc w:val="both"/>
        <w:textAlignment w:val="baseline"/>
        <w:rPr>
          <w:rFonts w:hint="eastAsia" w:ascii="Times New Roman" w:hAnsi="Times New Roman" w:eastAsia="仿宋_GB2312" w:cs="仿宋"/>
          <w:color w:val="auto"/>
          <w:kern w:val="2"/>
          <w:sz w:val="32"/>
          <w:szCs w:val="32"/>
          <w:lang w:val="en-US" w:eastAsia="zh-CN" w:bidi="ar-SA"/>
        </w:rPr>
      </w:pPr>
      <w:r>
        <w:rPr>
          <w:rFonts w:hint="eastAsia" w:ascii="Times New Roman" w:hAnsi="Times New Roman" w:eastAsia="仿宋_GB2312" w:cs="仿宋"/>
          <w:color w:val="auto"/>
          <w:kern w:val="2"/>
          <w:sz w:val="32"/>
          <w:szCs w:val="32"/>
          <w:lang w:val="en-US" w:eastAsia="zh-CN" w:bidi="ar-SA"/>
        </w:rPr>
        <w:t>单位全称（盖章）：                               法定代表人或授权代表：</w:t>
      </w:r>
    </w:p>
    <w:p>
      <w:pPr>
        <w:pStyle w:val="8"/>
        <w:snapToGrid w:val="0"/>
        <w:ind w:firstLine="420" w:firstLineChars="279"/>
        <w:rPr>
          <w:rFonts w:hint="eastAsia" w:ascii="仿宋" w:hAnsi="仿宋" w:eastAsia="仿宋" w:cs="仿宋"/>
          <w:b/>
          <w:bCs/>
          <w:color w:val="000000" w:themeColor="text1"/>
          <w:sz w:val="15"/>
          <w:szCs w:val="15"/>
          <w:lang w:val="en-US" w:eastAsia="zh-CN"/>
          <w14:textFill>
            <w14:solidFill>
              <w14:schemeClr w14:val="tx1"/>
            </w14:solidFill>
          </w14:textFill>
        </w:rPr>
      </w:pPr>
    </w:p>
    <w:p>
      <w:pPr>
        <w:pStyle w:val="8"/>
        <w:snapToGrid w:val="0"/>
        <w:ind w:firstLine="421" w:firstLineChars="233"/>
        <w:jc w:val="left"/>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注：根据《企业年金基金管理办法》（人力资源和社会保障部令第11号）第七章规定如下：</w:t>
      </w:r>
    </w:p>
    <w:p>
      <w:pPr>
        <w:pStyle w:val="8"/>
        <w:snapToGrid w:val="0"/>
        <w:ind w:firstLine="421" w:firstLineChars="233"/>
        <w:jc w:val="left"/>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 xml:space="preserve">第五十五条  受托人年度提取的管理费不高于受托管理企业年金基金财产净值的0.2%。  </w:t>
      </w:r>
    </w:p>
    <w:p>
      <w:pPr>
        <w:pStyle w:val="8"/>
        <w:snapToGrid w:val="0"/>
        <w:ind w:left="0" w:leftChars="0" w:firstLine="421" w:firstLineChars="233"/>
        <w:jc w:val="left"/>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第五十六条  账户管理人的管理费按照每户每月不超过5元人民币的限额，由建立企业年金计划的企业另行缴纳。保留账户和退休人员账户的账户管理费可以按照合同约</w:t>
      </w:r>
    </w:p>
    <w:p>
      <w:pPr>
        <w:pStyle w:val="8"/>
        <w:snapToGrid w:val="0"/>
        <w:ind w:left="0" w:leftChars="0" w:firstLine="421" w:firstLineChars="233"/>
        <w:jc w:val="left"/>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 xml:space="preserve">定由受益人自行承担，从受益人个人账户中扣除。  </w:t>
      </w:r>
    </w:p>
    <w:p>
      <w:pPr>
        <w:pStyle w:val="8"/>
        <w:snapToGrid w:val="0"/>
        <w:ind w:firstLine="421" w:firstLineChars="233"/>
        <w:jc w:val="left"/>
        <w:rPr>
          <w:rFonts w:hint="eastAsia" w:ascii="仿宋" w:hAnsi="仿宋" w:eastAsia="仿宋" w:cs="仿宋"/>
          <w:b/>
          <w:bCs/>
          <w:color w:val="000000" w:themeColor="text1"/>
          <w:sz w:val="18"/>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 xml:space="preserve">第五十七条  托管人年度提取的管理费不高于托管企业年金基金财产净值的0.2%。  </w:t>
      </w:r>
    </w:p>
    <w:p>
      <w:pPr>
        <w:pStyle w:val="8"/>
        <w:ind w:firstLine="421" w:firstLineChars="233"/>
        <w:jc w:val="left"/>
        <w:rPr>
          <w:rFonts w:hint="default"/>
          <w:color w:val="000000" w:themeColor="text1"/>
          <w:szCs w:val="18"/>
          <w:lang w:val="en-US" w:eastAsia="zh-CN"/>
          <w14:textFill>
            <w14:solidFill>
              <w14:schemeClr w14:val="tx1"/>
            </w14:solidFill>
          </w14:textFill>
        </w:rPr>
      </w:pPr>
      <w:r>
        <w:rPr>
          <w:rFonts w:hint="eastAsia" w:ascii="仿宋" w:hAnsi="仿宋" w:eastAsia="仿宋" w:cs="仿宋"/>
          <w:b/>
          <w:bCs/>
          <w:color w:val="000000" w:themeColor="text1"/>
          <w:sz w:val="18"/>
          <w:szCs w:val="18"/>
          <w:lang w:val="en-US" w:eastAsia="zh-CN"/>
          <w14:textFill>
            <w14:solidFill>
              <w14:schemeClr w14:val="tx1"/>
            </w14:solidFill>
          </w14:textFill>
        </w:rPr>
        <w:t xml:space="preserve">第五十八条  投资管理人年度提取的管理费不高于投资管理企业年金基金财产净值的1.2%。  </w:t>
      </w: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8"/>
        <w:snapToGrid w:val="0"/>
        <w:rPr>
          <w:rFonts w:hint="eastAsia" w:ascii="Times New Roman" w:hAnsi="Times New Roman" w:eastAsia="仿宋_GB2312" w:cs="仿宋"/>
          <w:b w:val="0"/>
          <w:bCs w:val="0"/>
          <w:color w:val="auto"/>
          <w:sz w:val="18"/>
          <w:szCs w:val="18"/>
          <w:lang w:val="en-US" w:eastAsia="zh-CN"/>
        </w:rPr>
      </w:pPr>
      <w:r>
        <w:rPr>
          <w:rStyle w:val="15"/>
          <w:b w:val="0"/>
          <w:bCs w:val="0"/>
        </w:rPr>
        <w:footnoteRef/>
      </w:r>
      <w:r>
        <w:rPr>
          <w:b w:val="0"/>
          <w:bCs w:val="0"/>
        </w:rPr>
        <w:t xml:space="preserve"> </w:t>
      </w:r>
      <w:r>
        <w:rPr>
          <w:rFonts w:hint="eastAsia" w:ascii="Times New Roman" w:hAnsi="Times New Roman" w:eastAsia="仿宋_GB2312" w:cs="仿宋"/>
          <w:b w:val="0"/>
          <w:bCs w:val="0"/>
          <w:color w:val="auto"/>
          <w:sz w:val="18"/>
          <w:szCs w:val="18"/>
          <w:lang w:val="en-US" w:eastAsia="zh-CN"/>
        </w:rPr>
        <w:t>根据《企业年金基金管理办法》（人力资源和社会保障部令第11号）第七章规定如下：</w:t>
      </w:r>
    </w:p>
    <w:p>
      <w:pPr>
        <w:pStyle w:val="8"/>
        <w:snapToGrid w:val="0"/>
        <w:rPr>
          <w:rFonts w:hint="default" w:ascii="Times New Roman" w:hAnsi="Times New Roman" w:eastAsia="仿宋_GB2312" w:cs="仿宋"/>
          <w:b w:val="0"/>
          <w:bCs w:val="0"/>
          <w:color w:val="auto"/>
          <w:sz w:val="18"/>
          <w:szCs w:val="18"/>
          <w:lang w:val="en-US" w:eastAsia="zh-CN"/>
        </w:rPr>
      </w:pPr>
      <w:r>
        <w:rPr>
          <w:rFonts w:hint="default" w:ascii="Times New Roman" w:hAnsi="Times New Roman" w:eastAsia="仿宋_GB2312" w:cs="仿宋"/>
          <w:b w:val="0"/>
          <w:bCs w:val="0"/>
          <w:color w:val="auto"/>
          <w:sz w:val="18"/>
          <w:szCs w:val="18"/>
          <w:lang w:val="en-US" w:eastAsia="zh-CN"/>
        </w:rPr>
        <w:t xml:space="preserve">第五十五条  受托人年度提取的管理费不高于受托管理企业年金基金财产净值的0.2%。  </w:t>
      </w:r>
    </w:p>
    <w:p>
      <w:pPr>
        <w:pStyle w:val="8"/>
        <w:snapToGrid w:val="0"/>
        <w:rPr>
          <w:rFonts w:hint="default" w:ascii="Times New Roman" w:hAnsi="Times New Roman" w:eastAsia="仿宋_GB2312" w:cs="仿宋"/>
          <w:b w:val="0"/>
          <w:bCs w:val="0"/>
          <w:color w:val="auto"/>
          <w:sz w:val="18"/>
          <w:szCs w:val="18"/>
          <w:lang w:val="en-US" w:eastAsia="zh-CN"/>
        </w:rPr>
      </w:pPr>
      <w:r>
        <w:rPr>
          <w:rFonts w:hint="default" w:ascii="Times New Roman" w:hAnsi="Times New Roman" w:eastAsia="仿宋_GB2312" w:cs="仿宋"/>
          <w:b w:val="0"/>
          <w:bCs w:val="0"/>
          <w:color w:val="auto"/>
          <w:sz w:val="18"/>
          <w:szCs w:val="18"/>
          <w:lang w:val="en-US" w:eastAsia="zh-CN"/>
        </w:rPr>
        <w:t xml:space="preserve">第五十六条  账户管理人的管理费按照每户每月不超过5元人民币的限额，由建立企业年金计划的企业另行缴纳。 保留账户和退休人员账户的账户管理费可以按照合同约定由受益人自行承担，从受益人个人账户中扣除。  </w:t>
      </w:r>
    </w:p>
    <w:p>
      <w:pPr>
        <w:pStyle w:val="8"/>
        <w:snapToGrid w:val="0"/>
        <w:rPr>
          <w:rFonts w:hint="default" w:ascii="Times New Roman" w:hAnsi="Times New Roman" w:eastAsia="仿宋_GB2312" w:cs="仿宋"/>
          <w:b w:val="0"/>
          <w:bCs w:val="0"/>
          <w:color w:val="auto"/>
          <w:sz w:val="18"/>
          <w:szCs w:val="18"/>
          <w:lang w:val="en-US" w:eastAsia="zh-CN"/>
        </w:rPr>
      </w:pPr>
      <w:r>
        <w:rPr>
          <w:rFonts w:hint="default" w:ascii="Times New Roman" w:hAnsi="Times New Roman" w:eastAsia="仿宋_GB2312" w:cs="仿宋"/>
          <w:b w:val="0"/>
          <w:bCs w:val="0"/>
          <w:color w:val="auto"/>
          <w:sz w:val="18"/>
          <w:szCs w:val="18"/>
          <w:lang w:val="en-US" w:eastAsia="zh-CN"/>
        </w:rPr>
        <w:t xml:space="preserve">第五十七条  托管人年度提取的管理费不高于托管企业年金基金财产净值的0.2%。  </w:t>
      </w:r>
    </w:p>
    <w:p>
      <w:pPr>
        <w:pStyle w:val="8"/>
        <w:snapToGrid w:val="0"/>
        <w:rPr>
          <w:b w:val="0"/>
          <w:bCs w:val="0"/>
        </w:rPr>
      </w:pPr>
      <w:r>
        <w:rPr>
          <w:rFonts w:hint="default" w:ascii="Times New Roman" w:hAnsi="Times New Roman" w:eastAsia="仿宋_GB2312" w:cs="仿宋"/>
          <w:b w:val="0"/>
          <w:bCs w:val="0"/>
          <w:color w:val="auto"/>
          <w:sz w:val="18"/>
          <w:szCs w:val="18"/>
          <w:lang w:val="en-US" w:eastAsia="zh-CN"/>
        </w:rPr>
        <w:t xml:space="preserve">第五十八条  投资管理人年度提取的管理费不高于投资管理企业年金基金财产净值的1.2%。  </w:t>
      </w:r>
    </w:p>
  </w:footnote>
  <w:footnote w:id="1">
    <w:p>
      <w:pPr>
        <w:pStyle w:val="8"/>
        <w:snapToGrid w:val="0"/>
        <w:rPr>
          <w:rFonts w:hint="eastAsia" w:ascii="仿宋_GB2312" w:hAnsi="仿宋_GB2312" w:eastAsia="仿宋_GB2312" w:cs="仿宋_GB2312"/>
        </w:rPr>
      </w:pPr>
      <w:r>
        <w:rPr>
          <w:rStyle w:val="15"/>
          <w:rFonts w:hint="eastAsia" w:ascii="仿宋_GB2312" w:hAnsi="仿宋_GB2312" w:eastAsia="仿宋_GB2312" w:cs="仿宋_GB2312"/>
        </w:rPr>
        <w:footnoteRef/>
      </w:r>
      <w:r>
        <w:rPr>
          <w:rFonts w:hint="eastAsia" w:ascii="仿宋_GB2312" w:hAnsi="仿宋_GB2312" w:eastAsia="仿宋_GB2312" w:cs="仿宋_GB2312"/>
        </w:rPr>
        <w:t xml:space="preserve"> 人社部基金监管局官方</w:t>
      </w:r>
      <w:r>
        <w:rPr>
          <w:rFonts w:hint="eastAsia" w:ascii="仿宋_GB2312" w:hAnsi="仿宋_GB2312" w:eastAsia="仿宋_GB2312" w:cs="仿宋_GB2312"/>
          <w:lang w:val="en-US" w:eastAsia="zh-CN"/>
        </w:rPr>
        <w:t>网站：</w:t>
      </w:r>
      <w:r>
        <w:rPr>
          <w:rFonts w:hint="eastAsia" w:ascii="仿宋_GB2312" w:hAnsi="仿宋_GB2312" w:eastAsia="仿宋_GB2312" w:cs="仿宋_GB2312"/>
        </w:rPr>
        <w:t>http://www.mohrss.gov.cn/shbxjjjds/</w:t>
      </w:r>
    </w:p>
    <w:p>
      <w:pPr>
        <w:pStyle w:val="8"/>
        <w:snapToGrid w:val="0"/>
      </w:pPr>
    </w:p>
  </w:footnote>
  <w:footnote w:id="2">
    <w:p>
      <w:pPr>
        <w:pStyle w:val="8"/>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 xml:space="preserve"> 每年收益率：人社部公布的对应年度对应单个集合计划加权平均综合收益率；</w:t>
      </w:r>
    </w:p>
  </w:footnote>
  <w:footnote w:id="3">
    <w:p>
      <w:pPr>
        <w:pStyle w:val="8"/>
        <w:snapToGrid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ootnoteRef/>
      </w:r>
      <w:r>
        <w:rPr>
          <w:rFonts w:hint="eastAsia" w:ascii="仿宋_GB2312" w:hAnsi="仿宋_GB2312" w:eastAsia="仿宋_GB2312" w:cs="仿宋_GB2312"/>
          <w:lang w:val="en-US" w:eastAsia="zh-CN"/>
        </w:rPr>
        <w:t xml:space="preserve"> 累计收益率采用复利方式核算，计算公式为（1+R1）*(1+R2)…*（1+Rn）-1，其中R为人社部公布的对应年度对应单个集合计划加权平均综合收益率。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C29B"/>
    <w:multiLevelType w:val="singleLevel"/>
    <w:tmpl w:val="ACB2C29B"/>
    <w:lvl w:ilvl="0" w:tentative="0">
      <w:start w:val="2"/>
      <w:numFmt w:val="decimal"/>
      <w:suff w:val="nothing"/>
      <w:lvlText w:val="%1、"/>
      <w:lvlJc w:val="left"/>
    </w:lvl>
  </w:abstractNum>
  <w:abstractNum w:abstractNumId="1">
    <w:nsid w:val="3D7DA29F"/>
    <w:multiLevelType w:val="singleLevel"/>
    <w:tmpl w:val="3D7DA29F"/>
    <w:lvl w:ilvl="0" w:tentative="0">
      <w:start w:val="3"/>
      <w:numFmt w:val="decimal"/>
      <w:suff w:val="nothing"/>
      <w:lvlText w:val="%1、"/>
      <w:lvlJc w:val="left"/>
    </w:lvl>
  </w:abstractNum>
  <w:abstractNum w:abstractNumId="2">
    <w:nsid w:val="783367FD"/>
    <w:multiLevelType w:val="singleLevel"/>
    <w:tmpl w:val="783367FD"/>
    <w:lvl w:ilvl="0" w:tentative="0">
      <w:start w:val="2"/>
      <w:numFmt w:val="chineseCounting"/>
      <w:suff w:val="nothing"/>
      <w:lvlText w:val="（%1）"/>
      <w:lvlJc w:val="left"/>
      <w:rPr>
        <w:rFonts w:hint="eastAsia" w:ascii="仿宋" w:hAnsi="仿宋" w:eastAsia="仿宋" w:cs="仿宋"/>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1CC800D9"/>
    <w:rsid w:val="009049D8"/>
    <w:rsid w:val="01AE27B1"/>
    <w:rsid w:val="027D2BCD"/>
    <w:rsid w:val="02F92D08"/>
    <w:rsid w:val="033C070B"/>
    <w:rsid w:val="038D634B"/>
    <w:rsid w:val="0451743B"/>
    <w:rsid w:val="04C335CE"/>
    <w:rsid w:val="04CE1F73"/>
    <w:rsid w:val="04F9253B"/>
    <w:rsid w:val="054A7CC1"/>
    <w:rsid w:val="05DC421B"/>
    <w:rsid w:val="06AB256C"/>
    <w:rsid w:val="074E2EF7"/>
    <w:rsid w:val="077E1A2E"/>
    <w:rsid w:val="080B067B"/>
    <w:rsid w:val="083A66F1"/>
    <w:rsid w:val="097053A7"/>
    <w:rsid w:val="09E84BE1"/>
    <w:rsid w:val="0A213833"/>
    <w:rsid w:val="0AC0235E"/>
    <w:rsid w:val="0B4647DA"/>
    <w:rsid w:val="0B8B296C"/>
    <w:rsid w:val="0C5C1755"/>
    <w:rsid w:val="0C6F3C65"/>
    <w:rsid w:val="0C7B451A"/>
    <w:rsid w:val="0E1706CD"/>
    <w:rsid w:val="0E611762"/>
    <w:rsid w:val="0E9D1359"/>
    <w:rsid w:val="0F0100B0"/>
    <w:rsid w:val="0FC2730A"/>
    <w:rsid w:val="0FDF6447"/>
    <w:rsid w:val="108D4874"/>
    <w:rsid w:val="1092654A"/>
    <w:rsid w:val="10EA78F2"/>
    <w:rsid w:val="11FC011F"/>
    <w:rsid w:val="130F5C30"/>
    <w:rsid w:val="156E30E2"/>
    <w:rsid w:val="15DD54D9"/>
    <w:rsid w:val="1686445B"/>
    <w:rsid w:val="16AE6160"/>
    <w:rsid w:val="174D31CB"/>
    <w:rsid w:val="17514A69"/>
    <w:rsid w:val="189B3AC2"/>
    <w:rsid w:val="196F11D7"/>
    <w:rsid w:val="19AF5A77"/>
    <w:rsid w:val="1A2975D8"/>
    <w:rsid w:val="1B495A57"/>
    <w:rsid w:val="1C6C7C4F"/>
    <w:rsid w:val="1CC800D9"/>
    <w:rsid w:val="1CFD2F9D"/>
    <w:rsid w:val="1D0F5303"/>
    <w:rsid w:val="1D6C390C"/>
    <w:rsid w:val="1E730528"/>
    <w:rsid w:val="1E8020D0"/>
    <w:rsid w:val="1E9E6BE7"/>
    <w:rsid w:val="1EB85D76"/>
    <w:rsid w:val="1F6966C8"/>
    <w:rsid w:val="208D5321"/>
    <w:rsid w:val="20914128"/>
    <w:rsid w:val="20E71F9A"/>
    <w:rsid w:val="21E32762"/>
    <w:rsid w:val="226C6D7C"/>
    <w:rsid w:val="23A4747F"/>
    <w:rsid w:val="240B2444"/>
    <w:rsid w:val="24181C6F"/>
    <w:rsid w:val="24C11243"/>
    <w:rsid w:val="25A90765"/>
    <w:rsid w:val="26064C71"/>
    <w:rsid w:val="26260BC7"/>
    <w:rsid w:val="270F71DF"/>
    <w:rsid w:val="277857E2"/>
    <w:rsid w:val="28877790"/>
    <w:rsid w:val="29A7676B"/>
    <w:rsid w:val="2A506E02"/>
    <w:rsid w:val="2ACD0453"/>
    <w:rsid w:val="2AF849C9"/>
    <w:rsid w:val="2B1E480B"/>
    <w:rsid w:val="2C1D6B98"/>
    <w:rsid w:val="2F452CAE"/>
    <w:rsid w:val="2F7361BF"/>
    <w:rsid w:val="2FAB0637"/>
    <w:rsid w:val="2FB35E69"/>
    <w:rsid w:val="300A51CF"/>
    <w:rsid w:val="301937F3"/>
    <w:rsid w:val="308E41E1"/>
    <w:rsid w:val="312132A7"/>
    <w:rsid w:val="316078B5"/>
    <w:rsid w:val="31FA167C"/>
    <w:rsid w:val="331F7372"/>
    <w:rsid w:val="332826CA"/>
    <w:rsid w:val="337F4F76"/>
    <w:rsid w:val="338D4C23"/>
    <w:rsid w:val="34806536"/>
    <w:rsid w:val="34CF1E83"/>
    <w:rsid w:val="35810843"/>
    <w:rsid w:val="35C015AD"/>
    <w:rsid w:val="36835E6A"/>
    <w:rsid w:val="36F51F89"/>
    <w:rsid w:val="36FA437E"/>
    <w:rsid w:val="37B32A9B"/>
    <w:rsid w:val="384A6C3F"/>
    <w:rsid w:val="38F60B75"/>
    <w:rsid w:val="39810D86"/>
    <w:rsid w:val="39A21E60"/>
    <w:rsid w:val="3AE025FA"/>
    <w:rsid w:val="3B246918"/>
    <w:rsid w:val="3B8E32E7"/>
    <w:rsid w:val="3BA56FA3"/>
    <w:rsid w:val="3BA91388"/>
    <w:rsid w:val="3C1D1B1D"/>
    <w:rsid w:val="3C4936B2"/>
    <w:rsid w:val="3DC06319"/>
    <w:rsid w:val="3DFB5345"/>
    <w:rsid w:val="3DFC6A27"/>
    <w:rsid w:val="3F651A3C"/>
    <w:rsid w:val="40556D00"/>
    <w:rsid w:val="4134048C"/>
    <w:rsid w:val="421D7172"/>
    <w:rsid w:val="422E5823"/>
    <w:rsid w:val="42310E70"/>
    <w:rsid w:val="42A425DF"/>
    <w:rsid w:val="436D3188"/>
    <w:rsid w:val="43A044FF"/>
    <w:rsid w:val="43F62371"/>
    <w:rsid w:val="44AC2A30"/>
    <w:rsid w:val="44C1730F"/>
    <w:rsid w:val="44D75CFE"/>
    <w:rsid w:val="45C142B9"/>
    <w:rsid w:val="45E45F46"/>
    <w:rsid w:val="46503FBA"/>
    <w:rsid w:val="468772B0"/>
    <w:rsid w:val="46F5246C"/>
    <w:rsid w:val="46FF778E"/>
    <w:rsid w:val="475D7651"/>
    <w:rsid w:val="47CD4348"/>
    <w:rsid w:val="482C6361"/>
    <w:rsid w:val="4860367B"/>
    <w:rsid w:val="48BE539E"/>
    <w:rsid w:val="48DD3AFF"/>
    <w:rsid w:val="48EE3617"/>
    <w:rsid w:val="4925103F"/>
    <w:rsid w:val="4947224E"/>
    <w:rsid w:val="496D4EEE"/>
    <w:rsid w:val="49FE3D2D"/>
    <w:rsid w:val="4A2E2625"/>
    <w:rsid w:val="4A407EA2"/>
    <w:rsid w:val="4AE20F59"/>
    <w:rsid w:val="4BD27975"/>
    <w:rsid w:val="4C14267B"/>
    <w:rsid w:val="4C431ECB"/>
    <w:rsid w:val="4C8A682C"/>
    <w:rsid w:val="4CA23096"/>
    <w:rsid w:val="4CD55219"/>
    <w:rsid w:val="4CEE7349"/>
    <w:rsid w:val="4D943D6D"/>
    <w:rsid w:val="4EF63225"/>
    <w:rsid w:val="4FE47521"/>
    <w:rsid w:val="508F3931"/>
    <w:rsid w:val="5090086A"/>
    <w:rsid w:val="50FC3881"/>
    <w:rsid w:val="51644DBE"/>
    <w:rsid w:val="517D7C2E"/>
    <w:rsid w:val="536A5F90"/>
    <w:rsid w:val="553D44E1"/>
    <w:rsid w:val="55570978"/>
    <w:rsid w:val="55E579DA"/>
    <w:rsid w:val="563B3C13"/>
    <w:rsid w:val="56644F18"/>
    <w:rsid w:val="57911329"/>
    <w:rsid w:val="57995095"/>
    <w:rsid w:val="58030761"/>
    <w:rsid w:val="599E4BE5"/>
    <w:rsid w:val="59DB3743"/>
    <w:rsid w:val="5A9D2736"/>
    <w:rsid w:val="5AB11C8D"/>
    <w:rsid w:val="5B515F87"/>
    <w:rsid w:val="5B694D7F"/>
    <w:rsid w:val="5BF255C4"/>
    <w:rsid w:val="5CFA1622"/>
    <w:rsid w:val="5D38487C"/>
    <w:rsid w:val="5D5B334F"/>
    <w:rsid w:val="5D8D5D53"/>
    <w:rsid w:val="5E655CD1"/>
    <w:rsid w:val="5EAD029F"/>
    <w:rsid w:val="5EE02C40"/>
    <w:rsid w:val="5EFB03E4"/>
    <w:rsid w:val="60350178"/>
    <w:rsid w:val="606F72DB"/>
    <w:rsid w:val="60EA0710"/>
    <w:rsid w:val="61AB4343"/>
    <w:rsid w:val="61DA69D6"/>
    <w:rsid w:val="61E635CD"/>
    <w:rsid w:val="625E5966"/>
    <w:rsid w:val="626B3E51"/>
    <w:rsid w:val="62715F12"/>
    <w:rsid w:val="62E573E1"/>
    <w:rsid w:val="62F45063"/>
    <w:rsid w:val="639037F0"/>
    <w:rsid w:val="63BA261B"/>
    <w:rsid w:val="64381531"/>
    <w:rsid w:val="651B7E76"/>
    <w:rsid w:val="654C589D"/>
    <w:rsid w:val="65885013"/>
    <w:rsid w:val="659B319B"/>
    <w:rsid w:val="65C90786"/>
    <w:rsid w:val="65CB4FB4"/>
    <w:rsid w:val="663E5AA7"/>
    <w:rsid w:val="67BB1E19"/>
    <w:rsid w:val="68282249"/>
    <w:rsid w:val="689219ED"/>
    <w:rsid w:val="69F34AD9"/>
    <w:rsid w:val="69FD0B30"/>
    <w:rsid w:val="6A333127"/>
    <w:rsid w:val="6AAC198D"/>
    <w:rsid w:val="6AB0434B"/>
    <w:rsid w:val="6AC0100B"/>
    <w:rsid w:val="6ACE4BFE"/>
    <w:rsid w:val="6AE94ACD"/>
    <w:rsid w:val="6B6566FB"/>
    <w:rsid w:val="6BC4650E"/>
    <w:rsid w:val="6C2E3BA6"/>
    <w:rsid w:val="6DE76703"/>
    <w:rsid w:val="6E276AFF"/>
    <w:rsid w:val="6E677F46"/>
    <w:rsid w:val="6FB645DF"/>
    <w:rsid w:val="6FCA62DC"/>
    <w:rsid w:val="6FFA6142"/>
    <w:rsid w:val="70710ED6"/>
    <w:rsid w:val="70DC2652"/>
    <w:rsid w:val="714A1482"/>
    <w:rsid w:val="7270316B"/>
    <w:rsid w:val="72BA45C6"/>
    <w:rsid w:val="730603AB"/>
    <w:rsid w:val="746D3E66"/>
    <w:rsid w:val="74AE7F7A"/>
    <w:rsid w:val="75826D11"/>
    <w:rsid w:val="75A64AC4"/>
    <w:rsid w:val="75A90742"/>
    <w:rsid w:val="76590AD5"/>
    <w:rsid w:val="78C37D6C"/>
    <w:rsid w:val="7B58479C"/>
    <w:rsid w:val="7C6B6A40"/>
    <w:rsid w:val="7E1A769F"/>
    <w:rsid w:val="7E3434E7"/>
    <w:rsid w:val="7E3D511F"/>
    <w:rsid w:val="7E823B29"/>
    <w:rsid w:val="7F345246"/>
    <w:rsid w:val="7F3E639F"/>
    <w:rsid w:val="7F5931D8"/>
    <w:rsid w:val="7F8710AE"/>
    <w:rsid w:val="7F9A015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
    <w:pPr>
      <w:keepNext/>
      <w:keepLines/>
      <w:widowControl w:val="0"/>
      <w:jc w:val="center"/>
      <w:outlineLvl w:val="0"/>
    </w:pPr>
    <w:rPr>
      <w:rFonts w:eastAsia="宋体" w:asciiTheme="minorHAnsi" w:hAnsiTheme="minorHAnsi" w:cstheme="minorBidi"/>
      <w:b/>
      <w:bCs/>
      <w:kern w:val="44"/>
      <w:sz w:val="28"/>
      <w:szCs w:val="4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4">
    <w:name w:val="annotation text"/>
    <w:basedOn w:val="1"/>
    <w:qFormat/>
    <w:uiPriority w:val="0"/>
    <w:pPr>
      <w:jc w:val="left"/>
    </w:pPr>
  </w:style>
  <w:style w:type="paragraph" w:styleId="5">
    <w:name w:val="footer"/>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footnote text"/>
    <w:qFormat/>
    <w:uiPriority w:val="0"/>
    <w:pPr>
      <w:widowControl w:val="0"/>
      <w:snapToGrid w:val="0"/>
      <w:jc w:val="left"/>
    </w:pPr>
    <w:rPr>
      <w:rFonts w:asciiTheme="minorHAnsi" w:hAnsiTheme="minorHAnsi" w:eastAsiaTheme="minorEastAsia" w:cstheme="minorBidi"/>
      <w:kern w:val="2"/>
      <w:sz w:val="18"/>
      <w:szCs w:val="24"/>
      <w:lang w:val="en-US" w:eastAsia="zh-CN" w:bidi="ar-SA"/>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w:qFormat/>
    <w:uiPriority w:val="0"/>
    <w:pPr>
      <w:widowControl w:val="0"/>
      <w:spacing w:after="120"/>
      <w:ind w:firstLine="420" w:firstLineChars="100"/>
      <w:jc w:val="both"/>
    </w:pPr>
    <w:rPr>
      <w:rFonts w:ascii="Times New Roman" w:hAnsiTheme="minorHAnsi" w:eastAsiaTheme="minorEastAsia" w:cstheme="minorBidi"/>
      <w:kern w:val="2"/>
      <w:sz w:val="21"/>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styleId="15">
    <w:name w:val="footnote reference"/>
    <w:qFormat/>
    <w:uiPriority w:val="0"/>
    <w:rPr>
      <w:vertAlign w:val="superscript"/>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 Indent1"/>
    <w:qFormat/>
    <w:uiPriority w:val="99"/>
    <w:pPr>
      <w:widowControl w:val="0"/>
      <w:spacing w:line="360" w:lineRule="auto"/>
      <w:ind w:firstLine="200" w:firstLineChars="200"/>
      <w:jc w:val="both"/>
    </w:pPr>
    <w:rPr>
      <w:rFonts w:asciiTheme="minorHAnsi" w:hAnsiTheme="minorHAnsi" w:eastAsiaTheme="minorEastAsia" w:cstheme="minorBidi"/>
      <w:kern w:val="2"/>
      <w:sz w:val="21"/>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1630</Words>
  <Characters>1694</Characters>
  <Lines>0</Lines>
  <Paragraphs>0</Paragraphs>
  <TotalTime>22</TotalTime>
  <ScaleCrop>false</ScaleCrop>
  <LinksUpToDate>false</LinksUpToDate>
  <CharactersWithSpaces>1808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2023-09-12T03:38:00Z</dcterms:created>
  <dc:creator>XY</dc:creator>
  <cp:lastModifiedBy>王晓华</cp:lastModifiedBy>
  <cp:lastPrinted>2023-10-10T08:06:00Z</cp:lastPrinted>
  <dcterms:modified xsi:type="dcterms:W3CDTF">2023-10-10T08:26:20Z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8BCF85F4AA5A40A28F40E86449DEBB24</vt:lpwstr>
  </property>
</Properties>
</file>