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26"/>
        <w:jc w:val="center"/>
        <w:rPr>
          <w:rFonts w:hAnsi="宋体" w:cs="宋体"/>
          <w:b/>
          <w:bCs/>
          <w:color w:val="auto"/>
          <w:kern w:val="2"/>
          <w:sz w:val="44"/>
          <w:szCs w:val="44"/>
        </w:rPr>
      </w:pPr>
      <w:bookmarkStart w:id="245" w:name="_GoBack"/>
    </w:p>
    <w:p>
      <w:pPr>
        <w:spacing w:line="360" w:lineRule="auto"/>
        <w:ind w:hanging="18"/>
        <w:jc w:val="center"/>
        <w:rPr>
          <w:rFonts w:hAnsi="宋体" w:cs="宋体"/>
          <w:b/>
          <w:color w:val="auto"/>
          <w:sz w:val="50"/>
          <w:szCs w:val="50"/>
        </w:rPr>
      </w:pPr>
    </w:p>
    <w:p>
      <w:pPr>
        <w:spacing w:line="360" w:lineRule="auto"/>
        <w:ind w:hanging="18"/>
        <w:jc w:val="center"/>
        <w:rPr>
          <w:rFonts w:hAnsi="宋体" w:cs="宋体"/>
          <w:b/>
          <w:color w:val="auto"/>
          <w:sz w:val="50"/>
          <w:szCs w:val="50"/>
        </w:rPr>
      </w:pPr>
      <w:r>
        <w:rPr>
          <w:rFonts w:hint="eastAsia" w:hAnsi="宋体" w:cs="宋体"/>
          <w:b/>
          <w:color w:val="auto"/>
          <w:sz w:val="50"/>
          <w:szCs w:val="50"/>
        </w:rPr>
        <w:t>东莞市水务集团管网有限公司2022年食堂食材配送服务采购项目</w:t>
      </w:r>
    </w:p>
    <w:p>
      <w:pPr>
        <w:ind w:right="-26"/>
        <w:jc w:val="center"/>
        <w:rPr>
          <w:rFonts w:hAnsi="宋体" w:cs="宋体"/>
          <w:b/>
          <w:bCs/>
          <w:color w:val="auto"/>
          <w:kern w:val="2"/>
          <w:sz w:val="44"/>
          <w:szCs w:val="44"/>
        </w:rPr>
      </w:pPr>
    </w:p>
    <w:p>
      <w:pPr>
        <w:ind w:right="-26"/>
        <w:jc w:val="center"/>
        <w:rPr>
          <w:rFonts w:hAnsi="宋体" w:cs="宋体"/>
          <w:b/>
          <w:bCs/>
          <w:color w:val="auto"/>
          <w:kern w:val="2"/>
          <w:sz w:val="44"/>
          <w:szCs w:val="44"/>
        </w:rPr>
      </w:pPr>
    </w:p>
    <w:p>
      <w:pPr>
        <w:ind w:right="-26"/>
        <w:jc w:val="center"/>
        <w:rPr>
          <w:rFonts w:hAnsi="宋体" w:cs="宋体"/>
          <w:b/>
          <w:bCs/>
          <w:color w:val="auto"/>
          <w:kern w:val="2"/>
          <w:sz w:val="44"/>
          <w:szCs w:val="44"/>
        </w:rPr>
      </w:pPr>
    </w:p>
    <w:p>
      <w:pPr>
        <w:ind w:right="-26"/>
        <w:jc w:val="center"/>
        <w:rPr>
          <w:rFonts w:hAnsi="宋体" w:cs="宋体"/>
          <w:b/>
          <w:bCs/>
          <w:color w:val="auto"/>
          <w:kern w:val="2"/>
          <w:sz w:val="44"/>
          <w:szCs w:val="44"/>
          <w:lang w:val="zh-CN"/>
        </w:rPr>
      </w:pPr>
    </w:p>
    <w:p>
      <w:pPr>
        <w:ind w:right="-26"/>
        <w:jc w:val="center"/>
        <w:rPr>
          <w:rFonts w:hAnsi="宋体" w:cs="宋体"/>
          <w:b/>
          <w:bCs/>
          <w:color w:val="auto"/>
          <w:kern w:val="2"/>
          <w:sz w:val="72"/>
          <w:szCs w:val="72"/>
          <w:lang w:val="zh-CN"/>
        </w:rPr>
      </w:pPr>
      <w:r>
        <w:rPr>
          <w:rFonts w:hint="eastAsia" w:hAnsi="宋体" w:cs="宋体"/>
          <w:b/>
          <w:bCs/>
          <w:color w:val="auto"/>
          <w:kern w:val="2"/>
          <w:sz w:val="72"/>
          <w:szCs w:val="72"/>
          <w:lang w:val="zh-CN"/>
        </w:rPr>
        <w:t>公开招标文件</w:t>
      </w:r>
    </w:p>
    <w:p>
      <w:pPr>
        <w:ind w:right="-26"/>
        <w:jc w:val="center"/>
        <w:rPr>
          <w:rFonts w:hAnsi="宋体" w:cs="宋体"/>
          <w:b/>
          <w:bCs/>
          <w:color w:val="auto"/>
          <w:kern w:val="2"/>
          <w:sz w:val="32"/>
          <w:szCs w:val="32"/>
          <w:lang w:val="zh-CN"/>
        </w:rPr>
      </w:pPr>
    </w:p>
    <w:p>
      <w:pPr>
        <w:ind w:right="-26"/>
        <w:jc w:val="center"/>
        <w:rPr>
          <w:rFonts w:hAnsi="宋体" w:cs="宋体"/>
          <w:b/>
          <w:bCs/>
          <w:color w:val="auto"/>
          <w:kern w:val="2"/>
          <w:sz w:val="44"/>
          <w:szCs w:val="44"/>
          <w:lang w:val="zh-CN"/>
        </w:rPr>
      </w:pPr>
    </w:p>
    <w:p>
      <w:pPr>
        <w:ind w:right="-26"/>
        <w:jc w:val="center"/>
        <w:rPr>
          <w:rFonts w:hAnsi="宋体" w:cs="宋体"/>
          <w:b/>
          <w:bCs/>
          <w:color w:val="auto"/>
          <w:kern w:val="2"/>
          <w:sz w:val="44"/>
          <w:szCs w:val="44"/>
          <w:lang w:val="zh-CN"/>
        </w:rPr>
      </w:pPr>
    </w:p>
    <w:p>
      <w:pPr>
        <w:ind w:right="-26"/>
        <w:jc w:val="both"/>
        <w:rPr>
          <w:rFonts w:hAnsi="宋体" w:cs="宋体"/>
          <w:b/>
          <w:bCs/>
          <w:color w:val="auto"/>
          <w:kern w:val="2"/>
          <w:sz w:val="44"/>
          <w:szCs w:val="44"/>
          <w:lang w:val="zh-CN"/>
        </w:rPr>
      </w:pPr>
    </w:p>
    <w:p>
      <w:pPr>
        <w:ind w:right="-26"/>
        <w:jc w:val="center"/>
        <w:rPr>
          <w:rFonts w:hAnsi="宋体" w:cs="宋体"/>
          <w:b/>
          <w:bCs/>
          <w:color w:val="auto"/>
          <w:kern w:val="2"/>
          <w:sz w:val="44"/>
          <w:szCs w:val="44"/>
          <w:lang w:val="zh-CN"/>
        </w:rPr>
      </w:pPr>
    </w:p>
    <w:p>
      <w:pPr>
        <w:ind w:right="-26"/>
        <w:jc w:val="center"/>
        <w:rPr>
          <w:rFonts w:hAnsi="宋体" w:cs="宋体"/>
          <w:b/>
          <w:bCs/>
          <w:color w:val="auto"/>
          <w:kern w:val="2"/>
          <w:sz w:val="44"/>
          <w:szCs w:val="44"/>
          <w:lang w:val="zh-CN"/>
        </w:rPr>
      </w:pPr>
    </w:p>
    <w:p>
      <w:pPr>
        <w:spacing w:line="360" w:lineRule="auto"/>
        <w:ind w:left="2351" w:leftChars="349" w:hanging="1513" w:hangingChars="471"/>
        <w:rPr>
          <w:rFonts w:hAnsi="宋体" w:cs="宋体"/>
          <w:b/>
          <w:bCs/>
          <w:color w:val="auto"/>
          <w:kern w:val="2"/>
          <w:sz w:val="32"/>
          <w:szCs w:val="32"/>
          <w:lang w:val="zh-CN"/>
        </w:rPr>
      </w:pPr>
      <w:r>
        <w:rPr>
          <w:rFonts w:hint="eastAsia" w:hAnsi="宋体" w:cs="宋体"/>
          <w:b/>
          <w:bCs/>
          <w:color w:val="auto"/>
          <w:kern w:val="2"/>
          <w:sz w:val="32"/>
          <w:szCs w:val="32"/>
          <w:lang w:val="zh-CN"/>
        </w:rPr>
        <w:t>招标编号：GDHD-ST-2021-14</w:t>
      </w:r>
      <w:r>
        <w:rPr>
          <w:rFonts w:hint="eastAsia" w:hAnsi="宋体" w:cs="宋体"/>
          <w:b/>
          <w:bCs/>
          <w:color w:val="auto"/>
          <w:kern w:val="2"/>
          <w:sz w:val="32"/>
          <w:szCs w:val="32"/>
        </w:rPr>
        <w:t xml:space="preserve"> </w:t>
      </w:r>
    </w:p>
    <w:p>
      <w:pPr>
        <w:spacing w:line="360" w:lineRule="auto"/>
        <w:ind w:left="2351" w:leftChars="349" w:hanging="1513" w:hangingChars="471"/>
        <w:rPr>
          <w:rFonts w:hAnsi="宋体" w:cs="宋体"/>
          <w:b/>
          <w:bCs/>
          <w:color w:val="auto"/>
          <w:kern w:val="2"/>
          <w:sz w:val="32"/>
          <w:szCs w:val="32"/>
          <w:lang w:val="zh-CN"/>
        </w:rPr>
      </w:pPr>
      <w:r>
        <w:rPr>
          <w:rFonts w:hint="eastAsia" w:hAnsi="宋体" w:cs="宋体"/>
          <w:b/>
          <w:bCs/>
          <w:color w:val="auto"/>
          <w:kern w:val="2"/>
          <w:sz w:val="32"/>
          <w:szCs w:val="32"/>
          <w:lang w:val="zh-CN"/>
        </w:rPr>
        <w:t>招</w:t>
      </w:r>
      <w:r>
        <w:rPr>
          <w:rFonts w:hint="eastAsia" w:hAnsi="宋体" w:cs="宋体"/>
          <w:b/>
          <w:bCs/>
          <w:color w:val="auto"/>
          <w:kern w:val="2"/>
          <w:sz w:val="32"/>
          <w:szCs w:val="32"/>
        </w:rPr>
        <w:t xml:space="preserve"> </w:t>
      </w:r>
      <w:r>
        <w:rPr>
          <w:rFonts w:hint="eastAsia" w:hAnsi="宋体" w:cs="宋体"/>
          <w:b/>
          <w:bCs/>
          <w:color w:val="auto"/>
          <w:kern w:val="2"/>
          <w:sz w:val="32"/>
          <w:szCs w:val="32"/>
          <w:lang w:val="zh-CN"/>
        </w:rPr>
        <w:t>标</w:t>
      </w:r>
      <w:r>
        <w:rPr>
          <w:rFonts w:hint="eastAsia" w:hAnsi="宋体" w:cs="宋体"/>
          <w:b/>
          <w:bCs/>
          <w:color w:val="auto"/>
          <w:kern w:val="2"/>
          <w:sz w:val="32"/>
          <w:szCs w:val="32"/>
        </w:rPr>
        <w:t xml:space="preserve"> </w:t>
      </w:r>
      <w:r>
        <w:rPr>
          <w:rFonts w:hint="eastAsia" w:hAnsi="宋体" w:cs="宋体"/>
          <w:b/>
          <w:bCs/>
          <w:color w:val="auto"/>
          <w:kern w:val="2"/>
          <w:sz w:val="32"/>
          <w:szCs w:val="32"/>
          <w:lang w:val="zh-CN"/>
        </w:rPr>
        <w:t>单</w:t>
      </w:r>
      <w:r>
        <w:rPr>
          <w:rFonts w:hint="eastAsia" w:hAnsi="宋体" w:cs="宋体"/>
          <w:b/>
          <w:bCs/>
          <w:color w:val="auto"/>
          <w:kern w:val="2"/>
          <w:sz w:val="32"/>
          <w:szCs w:val="32"/>
        </w:rPr>
        <w:t xml:space="preserve"> </w:t>
      </w:r>
      <w:r>
        <w:rPr>
          <w:rFonts w:hint="eastAsia" w:hAnsi="宋体" w:cs="宋体"/>
          <w:b/>
          <w:bCs/>
          <w:color w:val="auto"/>
          <w:kern w:val="2"/>
          <w:sz w:val="32"/>
          <w:szCs w:val="32"/>
          <w:lang w:val="zh-CN"/>
        </w:rPr>
        <w:t>位：东莞市水务集团管网有限公司</w:t>
      </w:r>
    </w:p>
    <w:p>
      <w:pPr>
        <w:spacing w:line="360" w:lineRule="auto"/>
        <w:ind w:left="2351" w:leftChars="349" w:hanging="1513" w:hangingChars="471"/>
        <w:rPr>
          <w:rFonts w:hAnsi="宋体" w:cs="宋体"/>
          <w:b/>
          <w:bCs/>
          <w:color w:val="auto"/>
          <w:kern w:val="2"/>
          <w:sz w:val="32"/>
          <w:szCs w:val="32"/>
          <w:lang w:val="zh-CN"/>
        </w:rPr>
      </w:pPr>
      <w:r>
        <w:rPr>
          <w:rFonts w:hint="eastAsia" w:hAnsi="宋体" w:cs="宋体"/>
          <w:b/>
          <w:bCs/>
          <w:color w:val="auto"/>
          <w:kern w:val="2"/>
          <w:sz w:val="32"/>
          <w:szCs w:val="32"/>
          <w:lang w:val="zh-CN"/>
        </w:rPr>
        <w:t>招标代理机构：广东华迪工程管理有限公司</w:t>
      </w:r>
    </w:p>
    <w:p>
      <w:pPr>
        <w:pStyle w:val="19"/>
        <w:jc w:val="left"/>
        <w:rPr>
          <w:rFonts w:hAnsi="宋体" w:cs="宋体"/>
          <w:color w:val="auto"/>
          <w:sz w:val="32"/>
          <w:szCs w:val="32"/>
        </w:rPr>
      </w:pPr>
    </w:p>
    <w:p>
      <w:pPr>
        <w:pStyle w:val="19"/>
        <w:rPr>
          <w:rFonts w:hAnsi="宋体" w:cs="宋体"/>
          <w:color w:val="auto"/>
        </w:rPr>
      </w:pPr>
    </w:p>
    <w:p>
      <w:pPr>
        <w:pStyle w:val="19"/>
        <w:spacing w:line="360" w:lineRule="auto"/>
        <w:ind w:left="648" w:hanging="648"/>
        <w:rPr>
          <w:rFonts w:hAnsi="宋体" w:cs="宋体"/>
          <w:color w:val="auto"/>
          <w:sz w:val="52"/>
          <w:szCs w:val="52"/>
          <w:lang w:val="en-US"/>
        </w:rPr>
      </w:pPr>
      <w:r>
        <w:rPr>
          <w:rFonts w:hint="eastAsia" w:hAnsi="宋体" w:cs="宋体"/>
          <w:color w:val="auto"/>
          <w:kern w:val="2"/>
          <w:sz w:val="32"/>
          <w:szCs w:val="32"/>
        </w:rPr>
        <w:t>202</w:t>
      </w:r>
      <w:r>
        <w:rPr>
          <w:rFonts w:hint="eastAsia" w:hAnsi="宋体" w:cs="宋体"/>
          <w:color w:val="auto"/>
          <w:kern w:val="2"/>
          <w:sz w:val="32"/>
          <w:szCs w:val="32"/>
          <w:lang w:val="en-US"/>
        </w:rPr>
        <w:t>1</w:t>
      </w:r>
      <w:r>
        <w:rPr>
          <w:rFonts w:hint="eastAsia" w:hAnsi="宋体" w:cs="宋体"/>
          <w:color w:val="auto"/>
          <w:kern w:val="2"/>
          <w:sz w:val="32"/>
          <w:szCs w:val="32"/>
        </w:rPr>
        <w:t>年</w:t>
      </w:r>
      <w:r>
        <w:rPr>
          <w:rFonts w:hint="eastAsia" w:hAnsi="宋体" w:cs="宋体"/>
          <w:color w:val="auto"/>
          <w:kern w:val="2"/>
          <w:sz w:val="32"/>
          <w:szCs w:val="32"/>
          <w:lang w:val="en-US" w:eastAsia="zh-CN"/>
        </w:rPr>
        <w:t>12</w:t>
      </w:r>
      <w:r>
        <w:rPr>
          <w:rFonts w:hint="eastAsia" w:hAnsi="宋体" w:cs="宋体"/>
          <w:color w:val="auto"/>
          <w:kern w:val="2"/>
          <w:sz w:val="32"/>
          <w:szCs w:val="32"/>
        </w:rPr>
        <w:t>月</w:t>
      </w:r>
      <w:r>
        <w:rPr>
          <w:rFonts w:hint="eastAsia" w:hAnsi="宋体" w:cs="宋体"/>
          <w:color w:val="auto"/>
          <w:kern w:val="2"/>
          <w:sz w:val="32"/>
          <w:szCs w:val="32"/>
          <w:lang w:val="en-US" w:eastAsia="zh-CN"/>
        </w:rPr>
        <w:t>27</w:t>
      </w:r>
      <w:r>
        <w:rPr>
          <w:rFonts w:hint="eastAsia" w:hAnsi="宋体" w:cs="宋体"/>
          <w:color w:val="auto"/>
          <w:kern w:val="2"/>
          <w:sz w:val="32"/>
          <w:szCs w:val="32"/>
        </w:rPr>
        <w:t>日</w:t>
      </w:r>
    </w:p>
    <w:p>
      <w:pPr>
        <w:pageBreakBefore/>
        <w:spacing w:line="360" w:lineRule="auto"/>
        <w:ind w:right="-34"/>
        <w:jc w:val="center"/>
        <w:rPr>
          <w:rFonts w:hAnsi="宋体" w:cs="宋体"/>
          <w:b/>
          <w:bCs/>
          <w:color w:val="auto"/>
          <w:kern w:val="2"/>
          <w:sz w:val="32"/>
          <w:szCs w:val="32"/>
          <w:lang w:val="zh-CN"/>
        </w:rPr>
        <w:sectPr>
          <w:headerReference r:id="rId5" w:type="first"/>
          <w:footerReference r:id="rId8" w:type="first"/>
          <w:headerReference r:id="rId3" w:type="default"/>
          <w:footerReference r:id="rId6" w:type="default"/>
          <w:headerReference r:id="rId4" w:type="even"/>
          <w:footerReference r:id="rId7" w:type="even"/>
          <w:pgSz w:w="11907" w:h="16839"/>
          <w:pgMar w:top="1418" w:right="1418" w:bottom="1418" w:left="1418" w:header="720" w:footer="1005" w:gutter="0"/>
          <w:pgNumType w:start="1"/>
          <w:cols w:space="720" w:num="1"/>
          <w:titlePg/>
          <w:docGrid w:linePitch="326" w:charSpace="0"/>
        </w:sectPr>
      </w:pPr>
    </w:p>
    <w:p>
      <w:pPr>
        <w:pageBreakBefore/>
        <w:spacing w:line="360" w:lineRule="auto"/>
        <w:ind w:right="-34"/>
        <w:jc w:val="center"/>
        <w:rPr>
          <w:rFonts w:hAnsi="宋体" w:cs="宋体"/>
          <w:b/>
          <w:bCs/>
          <w:color w:val="auto"/>
          <w:kern w:val="2"/>
          <w:sz w:val="32"/>
          <w:szCs w:val="32"/>
          <w:lang w:val="zh-CN"/>
        </w:rPr>
      </w:pPr>
      <w:r>
        <w:rPr>
          <w:rFonts w:hint="eastAsia" w:hAnsi="宋体" w:cs="宋体"/>
          <w:b/>
          <w:bCs/>
          <w:color w:val="auto"/>
          <w:kern w:val="2"/>
          <w:sz w:val="32"/>
          <w:szCs w:val="32"/>
          <w:lang w:val="zh-CN"/>
        </w:rPr>
        <w:t>目 录</w:t>
      </w:r>
    </w:p>
    <w:p>
      <w:pPr>
        <w:pStyle w:val="34"/>
        <w:tabs>
          <w:tab w:val="right" w:leader="dot" w:pos="9214"/>
        </w:tabs>
        <w:rPr>
          <w:rFonts w:hint="eastAsia" w:ascii="宋体" w:hAnsi="宋体" w:cs="宋体"/>
          <w:color w:val="auto"/>
        </w:rPr>
      </w:pPr>
      <w:r>
        <w:rPr>
          <w:rFonts w:hint="eastAsia" w:ascii="宋体" w:hAnsi="宋体" w:cs="宋体"/>
          <w:b w:val="0"/>
          <w:caps w:val="0"/>
          <w:color w:val="auto"/>
          <w:kern w:val="2"/>
          <w:szCs w:val="21"/>
          <w:lang w:val="zh-CN"/>
        </w:rPr>
        <w:fldChar w:fldCharType="begin"/>
      </w:r>
      <w:r>
        <w:rPr>
          <w:rFonts w:hint="eastAsia" w:ascii="宋体" w:hAnsi="宋体" w:cs="宋体"/>
          <w:b w:val="0"/>
          <w:caps w:val="0"/>
          <w:color w:val="auto"/>
          <w:kern w:val="2"/>
          <w:szCs w:val="21"/>
          <w:lang w:val="zh-CN"/>
        </w:rPr>
        <w:instrText xml:space="preserve"> TOC \o "1-3" \h \z \u </w:instrText>
      </w:r>
      <w:r>
        <w:rPr>
          <w:rFonts w:hint="eastAsia" w:ascii="宋体" w:hAnsi="宋体" w:cs="宋体"/>
          <w:b w:val="0"/>
          <w:caps w:val="0"/>
          <w:color w:val="auto"/>
          <w:kern w:val="2"/>
          <w:szCs w:val="21"/>
          <w:lang w:val="zh-CN"/>
        </w:rPr>
        <w:fldChar w:fldCharType="separate"/>
      </w:r>
      <w:r>
        <w:rPr>
          <w:rFonts w:hint="eastAsia" w:ascii="宋体" w:hAnsi="宋体" w:cs="宋体"/>
          <w:caps/>
          <w:color w:val="auto"/>
          <w:kern w:val="2"/>
          <w:szCs w:val="21"/>
          <w:lang w:val="zh-CN"/>
        </w:rPr>
        <w:fldChar w:fldCharType="begin"/>
      </w:r>
      <w:r>
        <w:rPr>
          <w:rFonts w:hint="eastAsia" w:ascii="宋体" w:hAnsi="宋体" w:cs="宋体"/>
          <w:caps/>
          <w:color w:val="auto"/>
          <w:kern w:val="2"/>
          <w:szCs w:val="21"/>
          <w:lang w:val="zh-CN"/>
        </w:rPr>
        <w:instrText xml:space="preserve"> HYPERLINK \l _Toc15660 </w:instrText>
      </w:r>
      <w:r>
        <w:rPr>
          <w:rFonts w:hint="eastAsia" w:ascii="宋体" w:hAnsi="宋体" w:cs="宋体"/>
          <w:caps/>
          <w:color w:val="auto"/>
          <w:kern w:val="2"/>
          <w:szCs w:val="21"/>
          <w:lang w:val="zh-CN"/>
        </w:rPr>
        <w:fldChar w:fldCharType="separate"/>
      </w:r>
      <w:r>
        <w:rPr>
          <w:rFonts w:hint="eastAsia" w:ascii="宋体" w:hAnsi="宋体" w:cs="宋体"/>
          <w:color w:val="auto"/>
          <w:lang w:val="zh-CN"/>
        </w:rPr>
        <w:t>第一篇</w:t>
      </w:r>
      <w:r>
        <w:rPr>
          <w:rFonts w:hint="eastAsia" w:ascii="宋体" w:hAnsi="宋体" w:cs="宋体"/>
          <w:color w:val="auto"/>
        </w:rPr>
        <w:t xml:space="preserve"> </w:t>
      </w:r>
      <w:r>
        <w:rPr>
          <w:rFonts w:hint="eastAsia" w:ascii="宋体" w:hAnsi="宋体" w:cs="宋体"/>
          <w:color w:val="auto"/>
          <w:lang w:val="zh-CN"/>
        </w:rPr>
        <w:t>招标公告</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_Toc15660 \h </w:instrText>
      </w:r>
      <w:r>
        <w:rPr>
          <w:rFonts w:hint="eastAsia" w:ascii="宋体" w:hAnsi="宋体" w:cs="宋体"/>
          <w:color w:val="auto"/>
        </w:rPr>
        <w:fldChar w:fldCharType="separate"/>
      </w:r>
      <w:r>
        <w:rPr>
          <w:rFonts w:hint="eastAsia" w:ascii="宋体" w:hAnsi="宋体" w:cs="宋体"/>
          <w:color w:val="auto"/>
        </w:rPr>
        <w:t>4</w:t>
      </w:r>
      <w:r>
        <w:rPr>
          <w:rFonts w:hint="eastAsia" w:ascii="宋体" w:hAnsi="宋体" w:cs="宋体"/>
          <w:color w:val="auto"/>
        </w:rPr>
        <w:fldChar w:fldCharType="end"/>
      </w:r>
      <w:r>
        <w:rPr>
          <w:rFonts w:hint="eastAsia" w:ascii="宋体" w:hAnsi="宋体" w:cs="宋体"/>
          <w:caps/>
          <w:color w:val="auto"/>
          <w:kern w:val="2"/>
          <w:szCs w:val="21"/>
          <w:lang w:val="zh-CN"/>
        </w:rPr>
        <w:fldChar w:fldCharType="end"/>
      </w:r>
    </w:p>
    <w:p>
      <w:pPr>
        <w:pStyle w:val="34"/>
        <w:tabs>
          <w:tab w:val="right" w:leader="dot" w:pos="9214"/>
        </w:tabs>
        <w:rPr>
          <w:rFonts w:hint="eastAsia" w:ascii="宋体" w:hAnsi="宋体" w:cs="宋体"/>
          <w:color w:val="auto"/>
        </w:rPr>
      </w:pPr>
      <w:r>
        <w:rPr>
          <w:rFonts w:hint="eastAsia" w:ascii="宋体" w:hAnsi="宋体" w:cs="宋体"/>
          <w:caps/>
          <w:color w:val="auto"/>
          <w:kern w:val="2"/>
          <w:szCs w:val="21"/>
          <w:lang w:val="zh-CN"/>
        </w:rPr>
        <w:fldChar w:fldCharType="begin"/>
      </w:r>
      <w:r>
        <w:rPr>
          <w:rFonts w:hint="eastAsia" w:ascii="宋体" w:hAnsi="宋体" w:cs="宋体"/>
          <w:caps/>
          <w:color w:val="auto"/>
          <w:kern w:val="2"/>
          <w:szCs w:val="21"/>
          <w:lang w:val="zh-CN"/>
        </w:rPr>
        <w:instrText xml:space="preserve"> HYPERLINK \l _Toc4815 </w:instrText>
      </w:r>
      <w:r>
        <w:rPr>
          <w:rFonts w:hint="eastAsia" w:ascii="宋体" w:hAnsi="宋体" w:cs="宋体"/>
          <w:caps/>
          <w:color w:val="auto"/>
          <w:kern w:val="2"/>
          <w:szCs w:val="21"/>
          <w:lang w:val="zh-CN"/>
        </w:rPr>
        <w:fldChar w:fldCharType="separate"/>
      </w:r>
      <w:r>
        <w:rPr>
          <w:rFonts w:hint="eastAsia" w:ascii="宋体" w:hAnsi="宋体" w:cs="宋体"/>
          <w:color w:val="auto"/>
          <w:lang w:val="zh-CN"/>
        </w:rPr>
        <w:t>第二篇</w:t>
      </w:r>
      <w:r>
        <w:rPr>
          <w:rFonts w:hint="eastAsia" w:ascii="宋体" w:hAnsi="宋体" w:cs="宋体"/>
          <w:color w:val="auto"/>
        </w:rPr>
        <w:t xml:space="preserve"> </w:t>
      </w:r>
      <w:r>
        <w:rPr>
          <w:rFonts w:hint="eastAsia" w:ascii="宋体" w:hAnsi="宋体" w:cs="宋体"/>
          <w:color w:val="auto"/>
          <w:lang w:val="zh-CN"/>
        </w:rPr>
        <w:t>投标人须知</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_Toc4815 \h </w:instrText>
      </w:r>
      <w:r>
        <w:rPr>
          <w:rFonts w:hint="eastAsia" w:ascii="宋体" w:hAnsi="宋体" w:cs="宋体"/>
          <w:color w:val="auto"/>
        </w:rPr>
        <w:fldChar w:fldCharType="separate"/>
      </w:r>
      <w:r>
        <w:rPr>
          <w:rFonts w:hint="eastAsia" w:ascii="宋体" w:hAnsi="宋体" w:cs="宋体"/>
          <w:color w:val="auto"/>
        </w:rPr>
        <w:t>6</w:t>
      </w:r>
      <w:r>
        <w:rPr>
          <w:rFonts w:hint="eastAsia" w:ascii="宋体" w:hAnsi="宋体" w:cs="宋体"/>
          <w:color w:val="auto"/>
        </w:rPr>
        <w:fldChar w:fldCharType="end"/>
      </w:r>
      <w:r>
        <w:rPr>
          <w:rFonts w:hint="eastAsia" w:ascii="宋体" w:hAnsi="宋体" w:cs="宋体"/>
          <w:caps/>
          <w:color w:val="auto"/>
          <w:kern w:val="2"/>
          <w:szCs w:val="21"/>
          <w:lang w:val="zh-CN"/>
        </w:rPr>
        <w:fldChar w:fldCharType="end"/>
      </w:r>
    </w:p>
    <w:p>
      <w:pPr>
        <w:pStyle w:val="40"/>
        <w:tabs>
          <w:tab w:val="right" w:leader="dot" w:pos="9214"/>
          <w:tab w:val="clear" w:pos="750"/>
          <w:tab w:val="clear" w:pos="9394"/>
        </w:tabs>
        <w:rPr>
          <w:rFonts w:hint="eastAsia" w:ascii="宋体" w:hAnsi="宋体" w:cs="宋体"/>
          <w:color w:val="auto"/>
        </w:rPr>
      </w:pPr>
      <w:r>
        <w:rPr>
          <w:rFonts w:hint="eastAsia" w:ascii="宋体" w:hAnsi="宋体" w:cs="宋体"/>
          <w:caps/>
          <w:color w:val="auto"/>
          <w:kern w:val="2"/>
          <w:szCs w:val="21"/>
          <w:lang w:val="zh-CN"/>
        </w:rPr>
        <w:fldChar w:fldCharType="begin"/>
      </w:r>
      <w:r>
        <w:rPr>
          <w:rFonts w:hint="eastAsia" w:ascii="宋体" w:hAnsi="宋体" w:cs="宋体"/>
          <w:caps/>
          <w:color w:val="auto"/>
          <w:kern w:val="2"/>
          <w:szCs w:val="21"/>
          <w:lang w:val="zh-CN"/>
        </w:rPr>
        <w:instrText xml:space="preserve"> HYPERLINK \l _Toc12261 </w:instrText>
      </w:r>
      <w:r>
        <w:rPr>
          <w:rFonts w:hint="eastAsia" w:ascii="宋体" w:hAnsi="宋体" w:cs="宋体"/>
          <w:caps/>
          <w:color w:val="auto"/>
          <w:kern w:val="2"/>
          <w:szCs w:val="21"/>
          <w:lang w:val="zh-CN"/>
        </w:rPr>
        <w:fldChar w:fldCharType="separate"/>
      </w:r>
      <w:r>
        <w:rPr>
          <w:rFonts w:ascii="宋体" w:hAnsi="宋体" w:cs="宋体"/>
          <w:color w:val="auto"/>
          <w:szCs w:val="21"/>
          <w:lang w:val="zh-CN"/>
        </w:rPr>
        <w:t xml:space="preserve">一、 </w:t>
      </w:r>
      <w:r>
        <w:rPr>
          <w:rFonts w:hint="eastAsia" w:ascii="宋体" w:hAnsi="宋体" w:cs="宋体"/>
          <w:color w:val="auto"/>
          <w:szCs w:val="21"/>
          <w:lang w:val="zh-CN"/>
        </w:rPr>
        <w:t>总则</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_Toc12261 \h </w:instrText>
      </w:r>
      <w:r>
        <w:rPr>
          <w:rFonts w:hint="eastAsia" w:ascii="宋体" w:hAnsi="宋体" w:cs="宋体"/>
          <w:color w:val="auto"/>
        </w:rPr>
        <w:fldChar w:fldCharType="separate"/>
      </w:r>
      <w:r>
        <w:rPr>
          <w:rFonts w:hint="eastAsia" w:ascii="宋体" w:hAnsi="宋体" w:cs="宋体"/>
          <w:color w:val="auto"/>
        </w:rPr>
        <w:t>6</w:t>
      </w:r>
      <w:r>
        <w:rPr>
          <w:rFonts w:hint="eastAsia" w:ascii="宋体" w:hAnsi="宋体" w:cs="宋体"/>
          <w:color w:val="auto"/>
        </w:rPr>
        <w:fldChar w:fldCharType="end"/>
      </w:r>
      <w:r>
        <w:rPr>
          <w:rFonts w:hint="eastAsia" w:ascii="宋体" w:hAnsi="宋体" w:cs="宋体"/>
          <w:caps/>
          <w:color w:val="auto"/>
          <w:kern w:val="2"/>
          <w:szCs w:val="21"/>
          <w:lang w:val="zh-CN"/>
        </w:rPr>
        <w:fldChar w:fldCharType="end"/>
      </w:r>
    </w:p>
    <w:p>
      <w:pPr>
        <w:pStyle w:val="25"/>
        <w:tabs>
          <w:tab w:val="right" w:leader="dot" w:pos="9214"/>
        </w:tabs>
        <w:rPr>
          <w:rFonts w:hint="eastAsia" w:ascii="宋体" w:hAnsi="宋体" w:cs="宋体"/>
          <w:color w:val="auto"/>
        </w:rPr>
      </w:pPr>
      <w:r>
        <w:rPr>
          <w:rFonts w:hint="eastAsia" w:ascii="宋体" w:hAnsi="宋体" w:cs="宋体"/>
          <w:caps/>
          <w:color w:val="auto"/>
          <w:kern w:val="2"/>
          <w:szCs w:val="21"/>
          <w:lang w:val="zh-CN"/>
        </w:rPr>
        <w:fldChar w:fldCharType="begin"/>
      </w:r>
      <w:r>
        <w:rPr>
          <w:rFonts w:hint="eastAsia" w:ascii="宋体" w:hAnsi="宋体" w:cs="宋体"/>
          <w:caps/>
          <w:color w:val="auto"/>
          <w:kern w:val="2"/>
          <w:szCs w:val="21"/>
          <w:lang w:val="zh-CN"/>
        </w:rPr>
        <w:instrText xml:space="preserve"> HYPERLINK \l _Toc18386 </w:instrText>
      </w:r>
      <w:r>
        <w:rPr>
          <w:rFonts w:hint="eastAsia" w:ascii="宋体" w:hAnsi="宋体" w:cs="宋体"/>
          <w:caps/>
          <w:color w:val="auto"/>
          <w:kern w:val="2"/>
          <w:szCs w:val="21"/>
          <w:lang w:val="zh-CN"/>
        </w:rPr>
        <w:fldChar w:fldCharType="separate"/>
      </w:r>
      <w:r>
        <w:rPr>
          <w:rFonts w:hint="eastAsia" w:ascii="宋体" w:hAnsi="宋体" w:cs="宋体"/>
          <w:color w:val="auto"/>
          <w:kern w:val="2"/>
          <w:szCs w:val="21"/>
          <w:lang w:val="zh-CN"/>
        </w:rPr>
        <w:t xml:space="preserve">1 </w:t>
      </w:r>
      <w:r>
        <w:rPr>
          <w:rFonts w:hint="eastAsia" w:ascii="宋体" w:hAnsi="宋体" w:cs="宋体"/>
          <w:color w:val="auto"/>
          <w:kern w:val="2"/>
          <w:szCs w:val="21"/>
        </w:rPr>
        <w:t xml:space="preserve">  </w:t>
      </w:r>
      <w:r>
        <w:rPr>
          <w:rFonts w:hint="eastAsia" w:ascii="宋体" w:hAnsi="宋体" w:cs="宋体"/>
          <w:color w:val="auto"/>
          <w:kern w:val="2"/>
          <w:szCs w:val="21"/>
          <w:lang w:val="zh-CN"/>
        </w:rPr>
        <w:t>资金来源：企业自筹资金。</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_Toc18386 \h </w:instrText>
      </w:r>
      <w:r>
        <w:rPr>
          <w:rFonts w:hint="eastAsia" w:ascii="宋体" w:hAnsi="宋体" w:cs="宋体"/>
          <w:color w:val="auto"/>
        </w:rPr>
        <w:fldChar w:fldCharType="separate"/>
      </w:r>
      <w:r>
        <w:rPr>
          <w:rFonts w:hint="eastAsia" w:ascii="宋体" w:hAnsi="宋体" w:cs="宋体"/>
          <w:color w:val="auto"/>
        </w:rPr>
        <w:t>6</w:t>
      </w:r>
      <w:r>
        <w:rPr>
          <w:rFonts w:hint="eastAsia" w:ascii="宋体" w:hAnsi="宋体" w:cs="宋体"/>
          <w:color w:val="auto"/>
        </w:rPr>
        <w:fldChar w:fldCharType="end"/>
      </w:r>
      <w:r>
        <w:rPr>
          <w:rFonts w:hint="eastAsia" w:ascii="宋体" w:hAnsi="宋体" w:cs="宋体"/>
          <w:caps/>
          <w:color w:val="auto"/>
          <w:kern w:val="2"/>
          <w:szCs w:val="21"/>
          <w:lang w:val="zh-CN"/>
        </w:rPr>
        <w:fldChar w:fldCharType="end"/>
      </w:r>
    </w:p>
    <w:p>
      <w:pPr>
        <w:pStyle w:val="25"/>
        <w:tabs>
          <w:tab w:val="right" w:leader="dot" w:pos="9214"/>
        </w:tabs>
        <w:rPr>
          <w:rFonts w:hint="eastAsia" w:ascii="宋体" w:hAnsi="宋体" w:cs="宋体"/>
          <w:color w:val="auto"/>
        </w:rPr>
      </w:pPr>
      <w:r>
        <w:rPr>
          <w:rFonts w:hint="eastAsia" w:ascii="宋体" w:hAnsi="宋体" w:cs="宋体"/>
          <w:caps/>
          <w:color w:val="auto"/>
          <w:kern w:val="2"/>
          <w:szCs w:val="21"/>
          <w:lang w:val="zh-CN"/>
        </w:rPr>
        <w:fldChar w:fldCharType="begin"/>
      </w:r>
      <w:r>
        <w:rPr>
          <w:rFonts w:hint="eastAsia" w:ascii="宋体" w:hAnsi="宋体" w:cs="宋体"/>
          <w:caps/>
          <w:color w:val="auto"/>
          <w:kern w:val="2"/>
          <w:szCs w:val="21"/>
          <w:lang w:val="zh-CN"/>
        </w:rPr>
        <w:instrText xml:space="preserve"> HYPERLINK \l _Toc5872 </w:instrText>
      </w:r>
      <w:r>
        <w:rPr>
          <w:rFonts w:hint="eastAsia" w:ascii="宋体" w:hAnsi="宋体" w:cs="宋体"/>
          <w:caps/>
          <w:color w:val="auto"/>
          <w:kern w:val="2"/>
          <w:szCs w:val="21"/>
          <w:lang w:val="zh-CN"/>
        </w:rPr>
        <w:fldChar w:fldCharType="separate"/>
      </w:r>
      <w:r>
        <w:rPr>
          <w:rFonts w:hint="eastAsia" w:ascii="宋体" w:hAnsi="宋体" w:cs="宋体"/>
          <w:color w:val="auto"/>
          <w:kern w:val="2"/>
          <w:szCs w:val="21"/>
          <w:lang w:val="zh-CN"/>
        </w:rPr>
        <w:t xml:space="preserve">3 </w:t>
      </w:r>
      <w:r>
        <w:rPr>
          <w:rFonts w:hint="eastAsia" w:ascii="宋体" w:hAnsi="宋体" w:cs="宋体"/>
          <w:color w:val="auto"/>
          <w:kern w:val="2"/>
          <w:szCs w:val="21"/>
        </w:rPr>
        <w:t xml:space="preserve">   </w:t>
      </w:r>
      <w:r>
        <w:rPr>
          <w:rFonts w:hint="eastAsia" w:ascii="宋体" w:hAnsi="宋体" w:cs="宋体"/>
          <w:color w:val="auto"/>
          <w:kern w:val="2"/>
          <w:szCs w:val="21"/>
          <w:lang w:val="zh-CN"/>
        </w:rPr>
        <w:t>合格的服务和货物</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_Toc5872 \h </w:instrText>
      </w:r>
      <w:r>
        <w:rPr>
          <w:rFonts w:hint="eastAsia" w:ascii="宋体" w:hAnsi="宋体" w:cs="宋体"/>
          <w:color w:val="auto"/>
        </w:rPr>
        <w:fldChar w:fldCharType="separate"/>
      </w:r>
      <w:r>
        <w:rPr>
          <w:rFonts w:hint="eastAsia" w:ascii="宋体" w:hAnsi="宋体" w:cs="宋体"/>
          <w:color w:val="auto"/>
        </w:rPr>
        <w:t>6</w:t>
      </w:r>
      <w:r>
        <w:rPr>
          <w:rFonts w:hint="eastAsia" w:ascii="宋体" w:hAnsi="宋体" w:cs="宋体"/>
          <w:color w:val="auto"/>
        </w:rPr>
        <w:fldChar w:fldCharType="end"/>
      </w:r>
      <w:r>
        <w:rPr>
          <w:rFonts w:hint="eastAsia" w:ascii="宋体" w:hAnsi="宋体" w:cs="宋体"/>
          <w:caps/>
          <w:color w:val="auto"/>
          <w:kern w:val="2"/>
          <w:szCs w:val="21"/>
          <w:lang w:val="zh-CN"/>
        </w:rPr>
        <w:fldChar w:fldCharType="end"/>
      </w:r>
    </w:p>
    <w:p>
      <w:pPr>
        <w:pStyle w:val="25"/>
        <w:tabs>
          <w:tab w:val="right" w:leader="dot" w:pos="9214"/>
        </w:tabs>
        <w:rPr>
          <w:rFonts w:hint="eastAsia" w:ascii="宋体" w:hAnsi="宋体" w:cs="宋体"/>
          <w:color w:val="auto"/>
        </w:rPr>
      </w:pPr>
      <w:r>
        <w:rPr>
          <w:rFonts w:hint="eastAsia" w:ascii="宋体" w:hAnsi="宋体" w:cs="宋体"/>
          <w:caps/>
          <w:color w:val="auto"/>
          <w:kern w:val="2"/>
          <w:szCs w:val="21"/>
          <w:lang w:val="zh-CN"/>
        </w:rPr>
        <w:fldChar w:fldCharType="begin"/>
      </w:r>
      <w:r>
        <w:rPr>
          <w:rFonts w:hint="eastAsia" w:ascii="宋体" w:hAnsi="宋体" w:cs="宋体"/>
          <w:caps/>
          <w:color w:val="auto"/>
          <w:kern w:val="2"/>
          <w:szCs w:val="21"/>
          <w:lang w:val="zh-CN"/>
        </w:rPr>
        <w:instrText xml:space="preserve"> HYPERLINK \l _Toc30614 </w:instrText>
      </w:r>
      <w:r>
        <w:rPr>
          <w:rFonts w:hint="eastAsia" w:ascii="宋体" w:hAnsi="宋体" w:cs="宋体"/>
          <w:caps/>
          <w:color w:val="auto"/>
          <w:kern w:val="2"/>
          <w:szCs w:val="21"/>
          <w:lang w:val="zh-CN"/>
        </w:rPr>
        <w:fldChar w:fldCharType="separate"/>
      </w:r>
      <w:r>
        <w:rPr>
          <w:rFonts w:hint="eastAsia" w:ascii="宋体" w:hAnsi="宋体" w:cs="宋体"/>
          <w:color w:val="auto"/>
          <w:kern w:val="2"/>
          <w:szCs w:val="21"/>
          <w:lang w:val="zh-CN"/>
        </w:rPr>
        <w:t xml:space="preserve">4 </w:t>
      </w:r>
      <w:r>
        <w:rPr>
          <w:rFonts w:hint="eastAsia" w:ascii="宋体" w:hAnsi="宋体" w:cs="宋体"/>
          <w:color w:val="auto"/>
          <w:kern w:val="2"/>
          <w:szCs w:val="21"/>
        </w:rPr>
        <w:t xml:space="preserve">  </w:t>
      </w:r>
      <w:r>
        <w:rPr>
          <w:rFonts w:hint="eastAsia" w:ascii="宋体" w:hAnsi="宋体" w:cs="宋体"/>
          <w:color w:val="auto"/>
          <w:kern w:val="2"/>
          <w:szCs w:val="21"/>
          <w:lang w:val="zh-CN"/>
        </w:rPr>
        <w:t>其它说明</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_Toc30614 \h </w:instrText>
      </w:r>
      <w:r>
        <w:rPr>
          <w:rFonts w:hint="eastAsia" w:ascii="宋体" w:hAnsi="宋体" w:cs="宋体"/>
          <w:color w:val="auto"/>
        </w:rPr>
        <w:fldChar w:fldCharType="separate"/>
      </w:r>
      <w:r>
        <w:rPr>
          <w:rFonts w:hint="eastAsia" w:ascii="宋体" w:hAnsi="宋体" w:cs="宋体"/>
          <w:color w:val="auto"/>
        </w:rPr>
        <w:t>7</w:t>
      </w:r>
      <w:r>
        <w:rPr>
          <w:rFonts w:hint="eastAsia" w:ascii="宋体" w:hAnsi="宋体" w:cs="宋体"/>
          <w:color w:val="auto"/>
        </w:rPr>
        <w:fldChar w:fldCharType="end"/>
      </w:r>
      <w:r>
        <w:rPr>
          <w:rFonts w:hint="eastAsia" w:ascii="宋体" w:hAnsi="宋体" w:cs="宋体"/>
          <w:caps/>
          <w:color w:val="auto"/>
          <w:kern w:val="2"/>
          <w:szCs w:val="21"/>
          <w:lang w:val="zh-CN"/>
        </w:rPr>
        <w:fldChar w:fldCharType="end"/>
      </w:r>
    </w:p>
    <w:p>
      <w:pPr>
        <w:pStyle w:val="40"/>
        <w:tabs>
          <w:tab w:val="right" w:leader="dot" w:pos="9214"/>
          <w:tab w:val="clear" w:pos="750"/>
          <w:tab w:val="clear" w:pos="9394"/>
        </w:tabs>
        <w:rPr>
          <w:rFonts w:hint="eastAsia" w:ascii="宋体" w:hAnsi="宋体" w:cs="宋体"/>
          <w:color w:val="auto"/>
        </w:rPr>
      </w:pPr>
      <w:r>
        <w:rPr>
          <w:rFonts w:hint="eastAsia" w:ascii="宋体" w:hAnsi="宋体" w:cs="宋体"/>
          <w:caps/>
          <w:color w:val="auto"/>
          <w:kern w:val="2"/>
          <w:szCs w:val="21"/>
          <w:lang w:val="zh-CN"/>
        </w:rPr>
        <w:fldChar w:fldCharType="begin"/>
      </w:r>
      <w:r>
        <w:rPr>
          <w:rFonts w:hint="eastAsia" w:ascii="宋体" w:hAnsi="宋体" w:cs="宋体"/>
          <w:caps/>
          <w:color w:val="auto"/>
          <w:kern w:val="2"/>
          <w:szCs w:val="21"/>
          <w:lang w:val="zh-CN"/>
        </w:rPr>
        <w:instrText xml:space="preserve"> HYPERLINK \l _Toc29587 </w:instrText>
      </w:r>
      <w:r>
        <w:rPr>
          <w:rFonts w:hint="eastAsia" w:ascii="宋体" w:hAnsi="宋体" w:cs="宋体"/>
          <w:caps/>
          <w:color w:val="auto"/>
          <w:kern w:val="2"/>
          <w:szCs w:val="21"/>
          <w:lang w:val="zh-CN"/>
        </w:rPr>
        <w:fldChar w:fldCharType="separate"/>
      </w:r>
      <w:r>
        <w:rPr>
          <w:rFonts w:ascii="宋体" w:hAnsi="宋体" w:cs="宋体"/>
          <w:color w:val="auto"/>
          <w:szCs w:val="21"/>
          <w:lang w:val="zh-CN"/>
        </w:rPr>
        <w:t xml:space="preserve">二、 </w:t>
      </w:r>
      <w:r>
        <w:rPr>
          <w:rFonts w:hint="eastAsia" w:ascii="宋体" w:hAnsi="宋体" w:cs="宋体"/>
          <w:color w:val="auto"/>
          <w:szCs w:val="21"/>
          <w:lang w:val="zh-CN"/>
        </w:rPr>
        <w:t>招标文件</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_Toc29587 \h </w:instrText>
      </w:r>
      <w:r>
        <w:rPr>
          <w:rFonts w:hint="eastAsia" w:ascii="宋体" w:hAnsi="宋体" w:cs="宋体"/>
          <w:color w:val="auto"/>
        </w:rPr>
        <w:fldChar w:fldCharType="separate"/>
      </w:r>
      <w:r>
        <w:rPr>
          <w:rFonts w:hint="eastAsia" w:ascii="宋体" w:hAnsi="宋体" w:cs="宋体"/>
          <w:color w:val="auto"/>
        </w:rPr>
        <w:t>8</w:t>
      </w:r>
      <w:r>
        <w:rPr>
          <w:rFonts w:hint="eastAsia" w:ascii="宋体" w:hAnsi="宋体" w:cs="宋体"/>
          <w:color w:val="auto"/>
        </w:rPr>
        <w:fldChar w:fldCharType="end"/>
      </w:r>
      <w:r>
        <w:rPr>
          <w:rFonts w:hint="eastAsia" w:ascii="宋体" w:hAnsi="宋体" w:cs="宋体"/>
          <w:caps/>
          <w:color w:val="auto"/>
          <w:kern w:val="2"/>
          <w:szCs w:val="21"/>
          <w:lang w:val="zh-CN"/>
        </w:rPr>
        <w:fldChar w:fldCharType="end"/>
      </w:r>
    </w:p>
    <w:p>
      <w:pPr>
        <w:pStyle w:val="25"/>
        <w:tabs>
          <w:tab w:val="right" w:leader="dot" w:pos="9214"/>
        </w:tabs>
        <w:rPr>
          <w:rFonts w:hint="eastAsia" w:ascii="宋体" w:hAnsi="宋体" w:cs="宋体"/>
          <w:color w:val="auto"/>
        </w:rPr>
      </w:pPr>
      <w:r>
        <w:rPr>
          <w:rFonts w:hint="eastAsia" w:ascii="宋体" w:hAnsi="宋体" w:cs="宋体"/>
          <w:caps/>
          <w:color w:val="auto"/>
          <w:kern w:val="2"/>
          <w:szCs w:val="21"/>
          <w:lang w:val="zh-CN"/>
        </w:rPr>
        <w:fldChar w:fldCharType="begin"/>
      </w:r>
      <w:r>
        <w:rPr>
          <w:rFonts w:hint="eastAsia" w:ascii="宋体" w:hAnsi="宋体" w:cs="宋体"/>
          <w:caps/>
          <w:color w:val="auto"/>
          <w:kern w:val="2"/>
          <w:szCs w:val="21"/>
          <w:lang w:val="zh-CN"/>
        </w:rPr>
        <w:instrText xml:space="preserve"> HYPERLINK \l _Toc19975 </w:instrText>
      </w:r>
      <w:r>
        <w:rPr>
          <w:rFonts w:hint="eastAsia" w:ascii="宋体" w:hAnsi="宋体" w:cs="宋体"/>
          <w:caps/>
          <w:color w:val="auto"/>
          <w:kern w:val="2"/>
          <w:szCs w:val="21"/>
          <w:lang w:val="zh-CN"/>
        </w:rPr>
        <w:fldChar w:fldCharType="separate"/>
      </w:r>
      <w:r>
        <w:rPr>
          <w:rFonts w:hint="eastAsia" w:ascii="宋体" w:hAnsi="宋体" w:cs="宋体"/>
          <w:color w:val="auto"/>
          <w:kern w:val="2"/>
          <w:szCs w:val="21"/>
          <w:lang w:val="zh-CN"/>
        </w:rPr>
        <w:t xml:space="preserve">5 </w:t>
      </w:r>
      <w:r>
        <w:rPr>
          <w:rFonts w:hint="eastAsia" w:ascii="宋体" w:hAnsi="宋体" w:cs="宋体"/>
          <w:color w:val="auto"/>
          <w:kern w:val="2"/>
          <w:szCs w:val="21"/>
        </w:rPr>
        <w:t xml:space="preserve">  </w:t>
      </w:r>
      <w:r>
        <w:rPr>
          <w:rFonts w:hint="eastAsia" w:ascii="宋体" w:hAnsi="宋体" w:cs="宋体"/>
          <w:color w:val="auto"/>
          <w:kern w:val="2"/>
          <w:szCs w:val="21"/>
          <w:lang w:val="zh-CN"/>
        </w:rPr>
        <w:t>招标文件的构成</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_Toc19975 \h </w:instrText>
      </w:r>
      <w:r>
        <w:rPr>
          <w:rFonts w:hint="eastAsia" w:ascii="宋体" w:hAnsi="宋体" w:cs="宋体"/>
          <w:color w:val="auto"/>
        </w:rPr>
        <w:fldChar w:fldCharType="separate"/>
      </w:r>
      <w:r>
        <w:rPr>
          <w:rFonts w:hint="eastAsia" w:ascii="宋体" w:hAnsi="宋体" w:cs="宋体"/>
          <w:color w:val="auto"/>
        </w:rPr>
        <w:t>8</w:t>
      </w:r>
      <w:r>
        <w:rPr>
          <w:rFonts w:hint="eastAsia" w:ascii="宋体" w:hAnsi="宋体" w:cs="宋体"/>
          <w:color w:val="auto"/>
        </w:rPr>
        <w:fldChar w:fldCharType="end"/>
      </w:r>
      <w:r>
        <w:rPr>
          <w:rFonts w:hint="eastAsia" w:ascii="宋体" w:hAnsi="宋体" w:cs="宋体"/>
          <w:caps/>
          <w:color w:val="auto"/>
          <w:kern w:val="2"/>
          <w:szCs w:val="21"/>
          <w:lang w:val="zh-CN"/>
        </w:rPr>
        <w:fldChar w:fldCharType="end"/>
      </w:r>
    </w:p>
    <w:p>
      <w:pPr>
        <w:pStyle w:val="25"/>
        <w:tabs>
          <w:tab w:val="right" w:leader="dot" w:pos="9214"/>
        </w:tabs>
        <w:rPr>
          <w:rFonts w:hint="eastAsia" w:ascii="宋体" w:hAnsi="宋体" w:cs="宋体"/>
          <w:color w:val="auto"/>
        </w:rPr>
      </w:pPr>
      <w:r>
        <w:rPr>
          <w:rFonts w:hint="eastAsia" w:ascii="宋体" w:hAnsi="宋体" w:cs="宋体"/>
          <w:caps/>
          <w:color w:val="auto"/>
          <w:kern w:val="2"/>
          <w:szCs w:val="21"/>
          <w:lang w:val="zh-CN"/>
        </w:rPr>
        <w:fldChar w:fldCharType="begin"/>
      </w:r>
      <w:r>
        <w:rPr>
          <w:rFonts w:hint="eastAsia" w:ascii="宋体" w:hAnsi="宋体" w:cs="宋体"/>
          <w:caps/>
          <w:color w:val="auto"/>
          <w:kern w:val="2"/>
          <w:szCs w:val="21"/>
          <w:lang w:val="zh-CN"/>
        </w:rPr>
        <w:instrText xml:space="preserve"> HYPERLINK \l _Toc6873 </w:instrText>
      </w:r>
      <w:r>
        <w:rPr>
          <w:rFonts w:hint="eastAsia" w:ascii="宋体" w:hAnsi="宋体" w:cs="宋体"/>
          <w:caps/>
          <w:color w:val="auto"/>
          <w:kern w:val="2"/>
          <w:szCs w:val="21"/>
          <w:lang w:val="zh-CN"/>
        </w:rPr>
        <w:fldChar w:fldCharType="separate"/>
      </w:r>
      <w:r>
        <w:rPr>
          <w:rFonts w:hint="eastAsia" w:ascii="宋体" w:hAnsi="宋体" w:cs="宋体"/>
          <w:color w:val="auto"/>
          <w:kern w:val="2"/>
          <w:szCs w:val="21"/>
          <w:lang w:val="zh-CN"/>
        </w:rPr>
        <w:t xml:space="preserve">6 </w:t>
      </w:r>
      <w:r>
        <w:rPr>
          <w:rFonts w:hint="eastAsia" w:ascii="宋体" w:hAnsi="宋体" w:cs="宋体"/>
          <w:color w:val="auto"/>
          <w:kern w:val="2"/>
          <w:szCs w:val="21"/>
        </w:rPr>
        <w:t xml:space="preserve"> </w:t>
      </w:r>
      <w:r>
        <w:rPr>
          <w:rFonts w:hint="eastAsia" w:ascii="宋体" w:hAnsi="宋体" w:cs="宋体"/>
          <w:color w:val="auto"/>
          <w:kern w:val="2"/>
          <w:szCs w:val="21"/>
          <w:lang w:val="zh-CN"/>
        </w:rPr>
        <w:t>招标文件的异议</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_Toc6873 \h </w:instrText>
      </w:r>
      <w:r>
        <w:rPr>
          <w:rFonts w:hint="eastAsia" w:ascii="宋体" w:hAnsi="宋体" w:cs="宋体"/>
          <w:color w:val="auto"/>
        </w:rPr>
        <w:fldChar w:fldCharType="separate"/>
      </w:r>
      <w:r>
        <w:rPr>
          <w:rFonts w:hint="eastAsia" w:ascii="宋体" w:hAnsi="宋体" w:cs="宋体"/>
          <w:color w:val="auto"/>
        </w:rPr>
        <w:t>9</w:t>
      </w:r>
      <w:r>
        <w:rPr>
          <w:rFonts w:hint="eastAsia" w:ascii="宋体" w:hAnsi="宋体" w:cs="宋体"/>
          <w:color w:val="auto"/>
        </w:rPr>
        <w:fldChar w:fldCharType="end"/>
      </w:r>
      <w:r>
        <w:rPr>
          <w:rFonts w:hint="eastAsia" w:ascii="宋体" w:hAnsi="宋体" w:cs="宋体"/>
          <w:caps/>
          <w:color w:val="auto"/>
          <w:kern w:val="2"/>
          <w:szCs w:val="21"/>
          <w:lang w:val="zh-CN"/>
        </w:rPr>
        <w:fldChar w:fldCharType="end"/>
      </w:r>
    </w:p>
    <w:p>
      <w:pPr>
        <w:pStyle w:val="25"/>
        <w:tabs>
          <w:tab w:val="right" w:leader="dot" w:pos="9214"/>
        </w:tabs>
        <w:rPr>
          <w:rFonts w:hint="eastAsia" w:ascii="宋体" w:hAnsi="宋体" w:cs="宋体"/>
          <w:color w:val="auto"/>
        </w:rPr>
      </w:pPr>
      <w:r>
        <w:rPr>
          <w:rFonts w:hint="eastAsia" w:ascii="宋体" w:hAnsi="宋体" w:cs="宋体"/>
          <w:caps/>
          <w:color w:val="auto"/>
          <w:kern w:val="2"/>
          <w:szCs w:val="21"/>
          <w:lang w:val="zh-CN"/>
        </w:rPr>
        <w:fldChar w:fldCharType="begin"/>
      </w:r>
      <w:r>
        <w:rPr>
          <w:rFonts w:hint="eastAsia" w:ascii="宋体" w:hAnsi="宋体" w:cs="宋体"/>
          <w:caps/>
          <w:color w:val="auto"/>
          <w:kern w:val="2"/>
          <w:szCs w:val="21"/>
          <w:lang w:val="zh-CN"/>
        </w:rPr>
        <w:instrText xml:space="preserve"> HYPERLINK \l _Toc2437 </w:instrText>
      </w:r>
      <w:r>
        <w:rPr>
          <w:rFonts w:hint="eastAsia" w:ascii="宋体" w:hAnsi="宋体" w:cs="宋体"/>
          <w:caps/>
          <w:color w:val="auto"/>
          <w:kern w:val="2"/>
          <w:szCs w:val="21"/>
          <w:lang w:val="zh-CN"/>
        </w:rPr>
        <w:fldChar w:fldCharType="separate"/>
      </w:r>
      <w:r>
        <w:rPr>
          <w:rFonts w:hint="eastAsia" w:ascii="宋体" w:hAnsi="宋体" w:cs="宋体"/>
          <w:color w:val="auto"/>
          <w:kern w:val="2"/>
          <w:szCs w:val="21"/>
          <w:lang w:val="zh-CN"/>
        </w:rPr>
        <w:t xml:space="preserve">7 </w:t>
      </w:r>
      <w:r>
        <w:rPr>
          <w:rFonts w:hint="eastAsia" w:ascii="宋体" w:hAnsi="宋体" w:cs="宋体"/>
          <w:color w:val="auto"/>
          <w:kern w:val="2"/>
          <w:szCs w:val="21"/>
        </w:rPr>
        <w:t xml:space="preserve">  </w:t>
      </w:r>
      <w:r>
        <w:rPr>
          <w:rFonts w:hint="eastAsia" w:ascii="宋体" w:hAnsi="宋体" w:cs="宋体"/>
          <w:color w:val="auto"/>
          <w:kern w:val="2"/>
          <w:szCs w:val="21"/>
          <w:lang w:val="zh-CN"/>
        </w:rPr>
        <w:t>招标文件的澄清及修改</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_Toc2437 \h </w:instrText>
      </w:r>
      <w:r>
        <w:rPr>
          <w:rFonts w:hint="eastAsia" w:ascii="宋体" w:hAnsi="宋体" w:cs="宋体"/>
          <w:color w:val="auto"/>
        </w:rPr>
        <w:fldChar w:fldCharType="separate"/>
      </w:r>
      <w:r>
        <w:rPr>
          <w:rFonts w:hint="eastAsia" w:ascii="宋体" w:hAnsi="宋体" w:cs="宋体"/>
          <w:color w:val="auto"/>
        </w:rPr>
        <w:t>9</w:t>
      </w:r>
      <w:r>
        <w:rPr>
          <w:rFonts w:hint="eastAsia" w:ascii="宋体" w:hAnsi="宋体" w:cs="宋体"/>
          <w:color w:val="auto"/>
        </w:rPr>
        <w:fldChar w:fldCharType="end"/>
      </w:r>
      <w:r>
        <w:rPr>
          <w:rFonts w:hint="eastAsia" w:ascii="宋体" w:hAnsi="宋体" w:cs="宋体"/>
          <w:caps/>
          <w:color w:val="auto"/>
          <w:kern w:val="2"/>
          <w:szCs w:val="21"/>
          <w:lang w:val="zh-CN"/>
        </w:rPr>
        <w:fldChar w:fldCharType="end"/>
      </w:r>
    </w:p>
    <w:p>
      <w:pPr>
        <w:pStyle w:val="40"/>
        <w:tabs>
          <w:tab w:val="right" w:leader="dot" w:pos="9214"/>
          <w:tab w:val="clear" w:pos="750"/>
          <w:tab w:val="clear" w:pos="9394"/>
        </w:tabs>
        <w:rPr>
          <w:rFonts w:hint="eastAsia" w:ascii="宋体" w:hAnsi="宋体" w:cs="宋体"/>
          <w:color w:val="auto"/>
        </w:rPr>
      </w:pPr>
      <w:r>
        <w:rPr>
          <w:rFonts w:hint="eastAsia" w:ascii="宋体" w:hAnsi="宋体" w:cs="宋体"/>
          <w:caps/>
          <w:color w:val="auto"/>
          <w:kern w:val="2"/>
          <w:szCs w:val="21"/>
          <w:lang w:val="zh-CN"/>
        </w:rPr>
        <w:fldChar w:fldCharType="begin"/>
      </w:r>
      <w:r>
        <w:rPr>
          <w:rFonts w:hint="eastAsia" w:ascii="宋体" w:hAnsi="宋体" w:cs="宋体"/>
          <w:caps/>
          <w:color w:val="auto"/>
          <w:kern w:val="2"/>
          <w:szCs w:val="21"/>
          <w:lang w:val="zh-CN"/>
        </w:rPr>
        <w:instrText xml:space="preserve"> HYPERLINK \l _Toc16645 </w:instrText>
      </w:r>
      <w:r>
        <w:rPr>
          <w:rFonts w:hint="eastAsia" w:ascii="宋体" w:hAnsi="宋体" w:cs="宋体"/>
          <w:caps/>
          <w:color w:val="auto"/>
          <w:kern w:val="2"/>
          <w:szCs w:val="21"/>
          <w:lang w:val="zh-CN"/>
        </w:rPr>
        <w:fldChar w:fldCharType="separate"/>
      </w:r>
      <w:r>
        <w:rPr>
          <w:rFonts w:ascii="宋体" w:hAnsi="宋体" w:cs="宋体"/>
          <w:color w:val="auto"/>
          <w:szCs w:val="21"/>
          <w:lang w:val="zh-CN"/>
        </w:rPr>
        <w:t xml:space="preserve">三、 </w:t>
      </w:r>
      <w:r>
        <w:rPr>
          <w:rFonts w:hint="eastAsia" w:ascii="宋体" w:hAnsi="宋体" w:cs="宋体"/>
          <w:color w:val="auto"/>
          <w:szCs w:val="21"/>
          <w:lang w:val="zh-CN"/>
        </w:rPr>
        <w:t>投标文件的编制</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_Toc16645 \h </w:instrText>
      </w:r>
      <w:r>
        <w:rPr>
          <w:rFonts w:hint="eastAsia" w:ascii="宋体" w:hAnsi="宋体" w:cs="宋体"/>
          <w:color w:val="auto"/>
        </w:rPr>
        <w:fldChar w:fldCharType="separate"/>
      </w:r>
      <w:r>
        <w:rPr>
          <w:rFonts w:hint="eastAsia" w:ascii="宋体" w:hAnsi="宋体" w:cs="宋体"/>
          <w:color w:val="auto"/>
        </w:rPr>
        <w:t>9</w:t>
      </w:r>
      <w:r>
        <w:rPr>
          <w:rFonts w:hint="eastAsia" w:ascii="宋体" w:hAnsi="宋体" w:cs="宋体"/>
          <w:color w:val="auto"/>
        </w:rPr>
        <w:fldChar w:fldCharType="end"/>
      </w:r>
      <w:r>
        <w:rPr>
          <w:rFonts w:hint="eastAsia" w:ascii="宋体" w:hAnsi="宋体" w:cs="宋体"/>
          <w:caps/>
          <w:color w:val="auto"/>
          <w:kern w:val="2"/>
          <w:szCs w:val="21"/>
          <w:lang w:val="zh-CN"/>
        </w:rPr>
        <w:fldChar w:fldCharType="end"/>
      </w:r>
    </w:p>
    <w:p>
      <w:pPr>
        <w:pStyle w:val="25"/>
        <w:tabs>
          <w:tab w:val="right" w:leader="dot" w:pos="9214"/>
        </w:tabs>
        <w:rPr>
          <w:rFonts w:hint="eastAsia" w:ascii="宋体" w:hAnsi="宋体" w:cs="宋体"/>
          <w:color w:val="auto"/>
        </w:rPr>
      </w:pPr>
      <w:r>
        <w:rPr>
          <w:rFonts w:hint="eastAsia" w:ascii="宋体" w:hAnsi="宋体" w:cs="宋体"/>
          <w:caps/>
          <w:color w:val="auto"/>
          <w:kern w:val="2"/>
          <w:szCs w:val="21"/>
          <w:lang w:val="zh-CN"/>
        </w:rPr>
        <w:fldChar w:fldCharType="begin"/>
      </w:r>
      <w:r>
        <w:rPr>
          <w:rFonts w:hint="eastAsia" w:ascii="宋体" w:hAnsi="宋体" w:cs="宋体"/>
          <w:caps/>
          <w:color w:val="auto"/>
          <w:kern w:val="2"/>
          <w:szCs w:val="21"/>
          <w:lang w:val="zh-CN"/>
        </w:rPr>
        <w:instrText xml:space="preserve"> HYPERLINK \l _Toc18218 </w:instrText>
      </w:r>
      <w:r>
        <w:rPr>
          <w:rFonts w:hint="eastAsia" w:ascii="宋体" w:hAnsi="宋体" w:cs="宋体"/>
          <w:caps/>
          <w:color w:val="auto"/>
          <w:kern w:val="2"/>
          <w:szCs w:val="21"/>
          <w:lang w:val="zh-CN"/>
        </w:rPr>
        <w:fldChar w:fldCharType="separate"/>
      </w:r>
      <w:r>
        <w:rPr>
          <w:rFonts w:hint="eastAsia" w:ascii="宋体" w:hAnsi="宋体" w:cs="宋体"/>
          <w:color w:val="auto"/>
          <w:kern w:val="2"/>
          <w:szCs w:val="21"/>
          <w:lang w:val="zh-CN"/>
        </w:rPr>
        <w:t>8   投标使用的文字及度量衡单位</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_Toc18218 \h </w:instrText>
      </w:r>
      <w:r>
        <w:rPr>
          <w:rFonts w:hint="eastAsia" w:ascii="宋体" w:hAnsi="宋体" w:cs="宋体"/>
          <w:color w:val="auto"/>
        </w:rPr>
        <w:fldChar w:fldCharType="separate"/>
      </w:r>
      <w:r>
        <w:rPr>
          <w:rFonts w:hint="eastAsia" w:ascii="宋体" w:hAnsi="宋体" w:cs="宋体"/>
          <w:color w:val="auto"/>
        </w:rPr>
        <w:t>9</w:t>
      </w:r>
      <w:r>
        <w:rPr>
          <w:rFonts w:hint="eastAsia" w:ascii="宋体" w:hAnsi="宋体" w:cs="宋体"/>
          <w:color w:val="auto"/>
        </w:rPr>
        <w:fldChar w:fldCharType="end"/>
      </w:r>
      <w:r>
        <w:rPr>
          <w:rFonts w:hint="eastAsia" w:ascii="宋体" w:hAnsi="宋体" w:cs="宋体"/>
          <w:caps/>
          <w:color w:val="auto"/>
          <w:kern w:val="2"/>
          <w:szCs w:val="21"/>
          <w:lang w:val="zh-CN"/>
        </w:rPr>
        <w:fldChar w:fldCharType="end"/>
      </w:r>
    </w:p>
    <w:p>
      <w:pPr>
        <w:pStyle w:val="25"/>
        <w:tabs>
          <w:tab w:val="right" w:leader="dot" w:pos="9214"/>
        </w:tabs>
        <w:rPr>
          <w:rFonts w:hint="eastAsia" w:ascii="宋体" w:hAnsi="宋体" w:cs="宋体"/>
          <w:color w:val="auto"/>
        </w:rPr>
      </w:pPr>
      <w:r>
        <w:rPr>
          <w:rFonts w:hint="eastAsia" w:ascii="宋体" w:hAnsi="宋体" w:cs="宋体"/>
          <w:caps/>
          <w:color w:val="auto"/>
          <w:kern w:val="2"/>
          <w:szCs w:val="21"/>
          <w:lang w:val="zh-CN"/>
        </w:rPr>
        <w:fldChar w:fldCharType="begin"/>
      </w:r>
      <w:r>
        <w:rPr>
          <w:rFonts w:hint="eastAsia" w:ascii="宋体" w:hAnsi="宋体" w:cs="宋体"/>
          <w:caps/>
          <w:color w:val="auto"/>
          <w:kern w:val="2"/>
          <w:szCs w:val="21"/>
          <w:lang w:val="zh-CN"/>
        </w:rPr>
        <w:instrText xml:space="preserve"> HYPERLINK \l _Toc18752 </w:instrText>
      </w:r>
      <w:r>
        <w:rPr>
          <w:rFonts w:hint="eastAsia" w:ascii="宋体" w:hAnsi="宋体" w:cs="宋体"/>
          <w:caps/>
          <w:color w:val="auto"/>
          <w:kern w:val="2"/>
          <w:szCs w:val="21"/>
          <w:lang w:val="zh-CN"/>
        </w:rPr>
        <w:fldChar w:fldCharType="separate"/>
      </w:r>
      <w:r>
        <w:rPr>
          <w:rFonts w:hint="eastAsia" w:ascii="宋体" w:hAnsi="宋体" w:cs="宋体"/>
          <w:color w:val="auto"/>
          <w:kern w:val="2"/>
          <w:szCs w:val="21"/>
          <w:lang w:val="zh-CN"/>
        </w:rPr>
        <w:t>9   投标文件的组成</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_Toc18752 \h </w:instrText>
      </w:r>
      <w:r>
        <w:rPr>
          <w:rFonts w:hint="eastAsia" w:ascii="宋体" w:hAnsi="宋体" w:cs="宋体"/>
          <w:color w:val="auto"/>
        </w:rPr>
        <w:fldChar w:fldCharType="separate"/>
      </w:r>
      <w:r>
        <w:rPr>
          <w:rFonts w:hint="eastAsia" w:ascii="宋体" w:hAnsi="宋体" w:cs="宋体"/>
          <w:color w:val="auto"/>
        </w:rPr>
        <w:t>9</w:t>
      </w:r>
      <w:r>
        <w:rPr>
          <w:rFonts w:hint="eastAsia" w:ascii="宋体" w:hAnsi="宋体" w:cs="宋体"/>
          <w:color w:val="auto"/>
        </w:rPr>
        <w:fldChar w:fldCharType="end"/>
      </w:r>
      <w:r>
        <w:rPr>
          <w:rFonts w:hint="eastAsia" w:ascii="宋体" w:hAnsi="宋体" w:cs="宋体"/>
          <w:caps/>
          <w:color w:val="auto"/>
          <w:kern w:val="2"/>
          <w:szCs w:val="21"/>
          <w:lang w:val="zh-CN"/>
        </w:rPr>
        <w:fldChar w:fldCharType="end"/>
      </w:r>
    </w:p>
    <w:p>
      <w:pPr>
        <w:pStyle w:val="25"/>
        <w:tabs>
          <w:tab w:val="right" w:leader="dot" w:pos="9214"/>
        </w:tabs>
        <w:rPr>
          <w:rFonts w:hint="eastAsia" w:ascii="宋体" w:hAnsi="宋体" w:cs="宋体"/>
          <w:color w:val="auto"/>
        </w:rPr>
      </w:pPr>
      <w:r>
        <w:rPr>
          <w:rFonts w:hint="eastAsia" w:ascii="宋体" w:hAnsi="宋体" w:cs="宋体"/>
          <w:caps/>
          <w:color w:val="auto"/>
          <w:kern w:val="2"/>
          <w:szCs w:val="21"/>
          <w:lang w:val="zh-CN"/>
        </w:rPr>
        <w:fldChar w:fldCharType="begin"/>
      </w:r>
      <w:r>
        <w:rPr>
          <w:rFonts w:hint="eastAsia" w:ascii="宋体" w:hAnsi="宋体" w:cs="宋体"/>
          <w:caps/>
          <w:color w:val="auto"/>
          <w:kern w:val="2"/>
          <w:szCs w:val="21"/>
          <w:lang w:val="zh-CN"/>
        </w:rPr>
        <w:instrText xml:space="preserve"> HYPERLINK \l _Toc30239 </w:instrText>
      </w:r>
      <w:r>
        <w:rPr>
          <w:rFonts w:hint="eastAsia" w:ascii="宋体" w:hAnsi="宋体" w:cs="宋体"/>
          <w:caps/>
          <w:color w:val="auto"/>
          <w:kern w:val="2"/>
          <w:szCs w:val="21"/>
          <w:lang w:val="zh-CN"/>
        </w:rPr>
        <w:fldChar w:fldCharType="separate"/>
      </w:r>
      <w:r>
        <w:rPr>
          <w:rFonts w:hint="eastAsia" w:ascii="宋体" w:hAnsi="宋体" w:cs="宋体"/>
          <w:color w:val="auto"/>
          <w:kern w:val="2"/>
          <w:szCs w:val="21"/>
          <w:lang w:val="zh-CN"/>
        </w:rPr>
        <w:t xml:space="preserve">10 </w:t>
      </w:r>
      <w:r>
        <w:rPr>
          <w:rFonts w:hint="eastAsia" w:ascii="宋体" w:hAnsi="宋体" w:cs="宋体"/>
          <w:color w:val="auto"/>
          <w:kern w:val="2"/>
          <w:szCs w:val="21"/>
        </w:rPr>
        <w:t xml:space="preserve">  </w:t>
      </w:r>
      <w:r>
        <w:rPr>
          <w:rFonts w:hint="eastAsia" w:ascii="宋体" w:hAnsi="宋体" w:cs="宋体"/>
          <w:color w:val="auto"/>
          <w:kern w:val="2"/>
          <w:szCs w:val="21"/>
          <w:lang w:val="zh-CN"/>
        </w:rPr>
        <w:t>投标函</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_Toc30239 \h </w:instrText>
      </w:r>
      <w:r>
        <w:rPr>
          <w:rFonts w:hint="eastAsia" w:ascii="宋体" w:hAnsi="宋体" w:cs="宋体"/>
          <w:color w:val="auto"/>
        </w:rPr>
        <w:fldChar w:fldCharType="separate"/>
      </w:r>
      <w:r>
        <w:rPr>
          <w:rFonts w:hint="eastAsia" w:ascii="宋体" w:hAnsi="宋体" w:cs="宋体"/>
          <w:color w:val="auto"/>
        </w:rPr>
        <w:t>11</w:t>
      </w:r>
      <w:r>
        <w:rPr>
          <w:rFonts w:hint="eastAsia" w:ascii="宋体" w:hAnsi="宋体" w:cs="宋体"/>
          <w:color w:val="auto"/>
        </w:rPr>
        <w:fldChar w:fldCharType="end"/>
      </w:r>
      <w:r>
        <w:rPr>
          <w:rFonts w:hint="eastAsia" w:ascii="宋体" w:hAnsi="宋体" w:cs="宋体"/>
          <w:caps/>
          <w:color w:val="auto"/>
          <w:kern w:val="2"/>
          <w:szCs w:val="21"/>
          <w:lang w:val="zh-CN"/>
        </w:rPr>
        <w:fldChar w:fldCharType="end"/>
      </w:r>
    </w:p>
    <w:p>
      <w:pPr>
        <w:pStyle w:val="25"/>
        <w:tabs>
          <w:tab w:val="right" w:leader="dot" w:pos="9214"/>
        </w:tabs>
        <w:rPr>
          <w:rFonts w:hint="eastAsia" w:ascii="宋体" w:hAnsi="宋体" w:cs="宋体"/>
          <w:color w:val="auto"/>
        </w:rPr>
      </w:pPr>
      <w:r>
        <w:rPr>
          <w:rFonts w:hint="eastAsia" w:ascii="宋体" w:hAnsi="宋体" w:cs="宋体"/>
          <w:caps/>
          <w:color w:val="auto"/>
          <w:kern w:val="2"/>
          <w:szCs w:val="21"/>
          <w:lang w:val="zh-CN"/>
        </w:rPr>
        <w:fldChar w:fldCharType="begin"/>
      </w:r>
      <w:r>
        <w:rPr>
          <w:rFonts w:hint="eastAsia" w:ascii="宋体" w:hAnsi="宋体" w:cs="宋体"/>
          <w:caps/>
          <w:color w:val="auto"/>
          <w:kern w:val="2"/>
          <w:szCs w:val="21"/>
          <w:lang w:val="zh-CN"/>
        </w:rPr>
        <w:instrText xml:space="preserve"> HYPERLINK \l _Toc17418 </w:instrText>
      </w:r>
      <w:r>
        <w:rPr>
          <w:rFonts w:hint="eastAsia" w:ascii="宋体" w:hAnsi="宋体" w:cs="宋体"/>
          <w:caps/>
          <w:color w:val="auto"/>
          <w:kern w:val="2"/>
          <w:szCs w:val="21"/>
          <w:lang w:val="zh-CN"/>
        </w:rPr>
        <w:fldChar w:fldCharType="separate"/>
      </w:r>
      <w:r>
        <w:rPr>
          <w:rFonts w:hint="eastAsia" w:ascii="宋体" w:hAnsi="宋体" w:cs="宋体"/>
          <w:color w:val="auto"/>
          <w:kern w:val="2"/>
          <w:szCs w:val="21"/>
          <w:lang w:val="zh-CN"/>
        </w:rPr>
        <w:t xml:space="preserve">11 </w:t>
      </w:r>
      <w:r>
        <w:rPr>
          <w:rFonts w:hint="eastAsia" w:ascii="宋体" w:hAnsi="宋体" w:cs="宋体"/>
          <w:color w:val="auto"/>
          <w:kern w:val="2"/>
          <w:szCs w:val="21"/>
        </w:rPr>
        <w:t xml:space="preserve">  </w:t>
      </w:r>
      <w:r>
        <w:rPr>
          <w:rFonts w:hint="eastAsia" w:ascii="宋体" w:hAnsi="宋体" w:cs="宋体"/>
          <w:color w:val="auto"/>
          <w:kern w:val="2"/>
          <w:szCs w:val="21"/>
          <w:lang w:val="zh-CN"/>
        </w:rPr>
        <w:t>供货价格</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_Toc17418 \h </w:instrText>
      </w:r>
      <w:r>
        <w:rPr>
          <w:rFonts w:hint="eastAsia" w:ascii="宋体" w:hAnsi="宋体" w:cs="宋体"/>
          <w:color w:val="auto"/>
        </w:rPr>
        <w:fldChar w:fldCharType="separate"/>
      </w:r>
      <w:r>
        <w:rPr>
          <w:rFonts w:hint="eastAsia" w:ascii="宋体" w:hAnsi="宋体" w:cs="宋体"/>
          <w:color w:val="auto"/>
        </w:rPr>
        <w:t>11</w:t>
      </w:r>
      <w:r>
        <w:rPr>
          <w:rFonts w:hint="eastAsia" w:ascii="宋体" w:hAnsi="宋体" w:cs="宋体"/>
          <w:color w:val="auto"/>
        </w:rPr>
        <w:fldChar w:fldCharType="end"/>
      </w:r>
      <w:r>
        <w:rPr>
          <w:rFonts w:hint="eastAsia" w:ascii="宋体" w:hAnsi="宋体" w:cs="宋体"/>
          <w:caps/>
          <w:color w:val="auto"/>
          <w:kern w:val="2"/>
          <w:szCs w:val="21"/>
          <w:lang w:val="zh-CN"/>
        </w:rPr>
        <w:fldChar w:fldCharType="end"/>
      </w:r>
    </w:p>
    <w:p>
      <w:pPr>
        <w:pStyle w:val="25"/>
        <w:tabs>
          <w:tab w:val="right" w:leader="dot" w:pos="9214"/>
        </w:tabs>
        <w:rPr>
          <w:rFonts w:hint="eastAsia" w:ascii="宋体" w:hAnsi="宋体" w:cs="宋体"/>
          <w:color w:val="auto"/>
        </w:rPr>
      </w:pPr>
      <w:r>
        <w:rPr>
          <w:rFonts w:hint="eastAsia" w:ascii="宋体" w:hAnsi="宋体" w:cs="宋体"/>
          <w:caps/>
          <w:color w:val="auto"/>
          <w:kern w:val="2"/>
          <w:szCs w:val="21"/>
          <w:lang w:val="zh-CN"/>
        </w:rPr>
        <w:fldChar w:fldCharType="begin"/>
      </w:r>
      <w:r>
        <w:rPr>
          <w:rFonts w:hint="eastAsia" w:ascii="宋体" w:hAnsi="宋体" w:cs="宋体"/>
          <w:caps/>
          <w:color w:val="auto"/>
          <w:kern w:val="2"/>
          <w:szCs w:val="21"/>
          <w:lang w:val="zh-CN"/>
        </w:rPr>
        <w:instrText xml:space="preserve"> HYPERLINK \l _Toc21218 </w:instrText>
      </w:r>
      <w:r>
        <w:rPr>
          <w:rFonts w:hint="eastAsia" w:ascii="宋体" w:hAnsi="宋体" w:cs="宋体"/>
          <w:caps/>
          <w:color w:val="auto"/>
          <w:kern w:val="2"/>
          <w:szCs w:val="21"/>
          <w:lang w:val="zh-CN"/>
        </w:rPr>
        <w:fldChar w:fldCharType="separate"/>
      </w:r>
      <w:r>
        <w:rPr>
          <w:rFonts w:hint="eastAsia" w:ascii="宋体" w:hAnsi="宋体" w:cs="宋体"/>
          <w:color w:val="auto"/>
          <w:kern w:val="2"/>
          <w:szCs w:val="21"/>
          <w:lang w:val="zh-CN"/>
        </w:rPr>
        <w:t>12   投标报价货币</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_Toc21218 \h </w:instrText>
      </w:r>
      <w:r>
        <w:rPr>
          <w:rFonts w:hint="eastAsia" w:ascii="宋体" w:hAnsi="宋体" w:cs="宋体"/>
          <w:color w:val="auto"/>
        </w:rPr>
        <w:fldChar w:fldCharType="separate"/>
      </w:r>
      <w:r>
        <w:rPr>
          <w:rFonts w:hint="eastAsia" w:ascii="宋体" w:hAnsi="宋体" w:cs="宋体"/>
          <w:color w:val="auto"/>
        </w:rPr>
        <w:t>11</w:t>
      </w:r>
      <w:r>
        <w:rPr>
          <w:rFonts w:hint="eastAsia" w:ascii="宋体" w:hAnsi="宋体" w:cs="宋体"/>
          <w:color w:val="auto"/>
        </w:rPr>
        <w:fldChar w:fldCharType="end"/>
      </w:r>
      <w:r>
        <w:rPr>
          <w:rFonts w:hint="eastAsia" w:ascii="宋体" w:hAnsi="宋体" w:cs="宋体"/>
          <w:caps/>
          <w:color w:val="auto"/>
          <w:kern w:val="2"/>
          <w:szCs w:val="21"/>
          <w:lang w:val="zh-CN"/>
        </w:rPr>
        <w:fldChar w:fldCharType="end"/>
      </w:r>
    </w:p>
    <w:p>
      <w:pPr>
        <w:pStyle w:val="25"/>
        <w:tabs>
          <w:tab w:val="right" w:leader="dot" w:pos="9214"/>
        </w:tabs>
        <w:rPr>
          <w:rFonts w:hint="eastAsia" w:ascii="宋体" w:hAnsi="宋体" w:cs="宋体"/>
          <w:color w:val="auto"/>
        </w:rPr>
      </w:pPr>
      <w:r>
        <w:rPr>
          <w:rFonts w:hint="eastAsia" w:ascii="宋体" w:hAnsi="宋体" w:cs="宋体"/>
          <w:caps/>
          <w:color w:val="auto"/>
          <w:kern w:val="2"/>
          <w:szCs w:val="21"/>
          <w:lang w:val="zh-CN"/>
        </w:rPr>
        <w:fldChar w:fldCharType="begin"/>
      </w:r>
      <w:r>
        <w:rPr>
          <w:rFonts w:hint="eastAsia" w:ascii="宋体" w:hAnsi="宋体" w:cs="宋体"/>
          <w:caps/>
          <w:color w:val="auto"/>
          <w:kern w:val="2"/>
          <w:szCs w:val="21"/>
          <w:lang w:val="zh-CN"/>
        </w:rPr>
        <w:instrText xml:space="preserve"> HYPERLINK \l _Toc6655 </w:instrText>
      </w:r>
      <w:r>
        <w:rPr>
          <w:rFonts w:hint="eastAsia" w:ascii="宋体" w:hAnsi="宋体" w:cs="宋体"/>
          <w:caps/>
          <w:color w:val="auto"/>
          <w:kern w:val="2"/>
          <w:szCs w:val="21"/>
          <w:lang w:val="zh-CN"/>
        </w:rPr>
        <w:fldChar w:fldCharType="separate"/>
      </w:r>
      <w:r>
        <w:rPr>
          <w:rFonts w:hint="eastAsia" w:ascii="宋体" w:hAnsi="宋体" w:cs="宋体"/>
          <w:color w:val="auto"/>
          <w:kern w:val="2"/>
          <w:szCs w:val="21"/>
          <w:lang w:val="zh-CN"/>
        </w:rPr>
        <w:t>13   证明投标人的合格性和资格的声明文件</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_Toc6655 \h </w:instrText>
      </w:r>
      <w:r>
        <w:rPr>
          <w:rFonts w:hint="eastAsia" w:ascii="宋体" w:hAnsi="宋体" w:cs="宋体"/>
          <w:color w:val="auto"/>
        </w:rPr>
        <w:fldChar w:fldCharType="separate"/>
      </w:r>
      <w:r>
        <w:rPr>
          <w:rFonts w:hint="eastAsia" w:ascii="宋体" w:hAnsi="宋体" w:cs="宋体"/>
          <w:color w:val="auto"/>
        </w:rPr>
        <w:t>11</w:t>
      </w:r>
      <w:r>
        <w:rPr>
          <w:rFonts w:hint="eastAsia" w:ascii="宋体" w:hAnsi="宋体" w:cs="宋体"/>
          <w:color w:val="auto"/>
        </w:rPr>
        <w:fldChar w:fldCharType="end"/>
      </w:r>
      <w:r>
        <w:rPr>
          <w:rFonts w:hint="eastAsia" w:ascii="宋体" w:hAnsi="宋体" w:cs="宋体"/>
          <w:caps/>
          <w:color w:val="auto"/>
          <w:kern w:val="2"/>
          <w:szCs w:val="21"/>
          <w:lang w:val="zh-CN"/>
        </w:rPr>
        <w:fldChar w:fldCharType="end"/>
      </w:r>
    </w:p>
    <w:p>
      <w:pPr>
        <w:pStyle w:val="25"/>
        <w:tabs>
          <w:tab w:val="right" w:leader="dot" w:pos="9214"/>
        </w:tabs>
        <w:rPr>
          <w:rFonts w:hint="eastAsia" w:ascii="宋体" w:hAnsi="宋体" w:cs="宋体"/>
          <w:color w:val="auto"/>
        </w:rPr>
      </w:pPr>
      <w:r>
        <w:rPr>
          <w:rFonts w:hint="eastAsia" w:ascii="宋体" w:hAnsi="宋体" w:cs="宋体"/>
          <w:caps/>
          <w:color w:val="auto"/>
          <w:kern w:val="2"/>
          <w:szCs w:val="21"/>
          <w:lang w:val="zh-CN"/>
        </w:rPr>
        <w:fldChar w:fldCharType="begin"/>
      </w:r>
      <w:r>
        <w:rPr>
          <w:rFonts w:hint="eastAsia" w:ascii="宋体" w:hAnsi="宋体" w:cs="宋体"/>
          <w:caps/>
          <w:color w:val="auto"/>
          <w:kern w:val="2"/>
          <w:szCs w:val="21"/>
          <w:lang w:val="zh-CN"/>
        </w:rPr>
        <w:instrText xml:space="preserve"> HYPERLINK \l _Toc4454 </w:instrText>
      </w:r>
      <w:r>
        <w:rPr>
          <w:rFonts w:hint="eastAsia" w:ascii="宋体" w:hAnsi="宋体" w:cs="宋体"/>
          <w:caps/>
          <w:color w:val="auto"/>
          <w:kern w:val="2"/>
          <w:szCs w:val="21"/>
          <w:lang w:val="zh-CN"/>
        </w:rPr>
        <w:fldChar w:fldCharType="separate"/>
      </w:r>
      <w:r>
        <w:rPr>
          <w:rFonts w:hint="eastAsia" w:ascii="宋体" w:hAnsi="宋体" w:cs="宋体"/>
          <w:color w:val="auto"/>
          <w:kern w:val="2"/>
          <w:szCs w:val="21"/>
          <w:lang w:val="zh-CN"/>
        </w:rPr>
        <w:t xml:space="preserve">14 </w:t>
      </w:r>
      <w:r>
        <w:rPr>
          <w:rFonts w:hint="eastAsia" w:ascii="宋体" w:hAnsi="宋体" w:cs="宋体"/>
          <w:color w:val="auto"/>
          <w:kern w:val="2"/>
          <w:szCs w:val="21"/>
        </w:rPr>
        <w:t xml:space="preserve">  </w:t>
      </w:r>
      <w:r>
        <w:rPr>
          <w:rFonts w:hint="eastAsia" w:ascii="宋体" w:hAnsi="宋体" w:cs="宋体"/>
          <w:color w:val="auto"/>
          <w:kern w:val="2"/>
          <w:szCs w:val="21"/>
          <w:lang w:val="zh-CN"/>
        </w:rPr>
        <w:t>证明服务的合格性并符合招标文件规定的声明文件</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_Toc4454 \h </w:instrText>
      </w:r>
      <w:r>
        <w:rPr>
          <w:rFonts w:hint="eastAsia" w:ascii="宋体" w:hAnsi="宋体" w:cs="宋体"/>
          <w:color w:val="auto"/>
        </w:rPr>
        <w:fldChar w:fldCharType="separate"/>
      </w:r>
      <w:r>
        <w:rPr>
          <w:rFonts w:hint="eastAsia" w:ascii="宋体" w:hAnsi="宋体" w:cs="宋体"/>
          <w:color w:val="auto"/>
        </w:rPr>
        <w:t>12</w:t>
      </w:r>
      <w:r>
        <w:rPr>
          <w:rFonts w:hint="eastAsia" w:ascii="宋体" w:hAnsi="宋体" w:cs="宋体"/>
          <w:color w:val="auto"/>
        </w:rPr>
        <w:fldChar w:fldCharType="end"/>
      </w:r>
      <w:r>
        <w:rPr>
          <w:rFonts w:hint="eastAsia" w:ascii="宋体" w:hAnsi="宋体" w:cs="宋体"/>
          <w:caps/>
          <w:color w:val="auto"/>
          <w:kern w:val="2"/>
          <w:szCs w:val="21"/>
          <w:lang w:val="zh-CN"/>
        </w:rPr>
        <w:fldChar w:fldCharType="end"/>
      </w:r>
    </w:p>
    <w:p>
      <w:pPr>
        <w:pStyle w:val="25"/>
        <w:tabs>
          <w:tab w:val="right" w:leader="dot" w:pos="9214"/>
        </w:tabs>
        <w:rPr>
          <w:rFonts w:hint="eastAsia" w:ascii="宋体" w:hAnsi="宋体" w:cs="宋体"/>
          <w:color w:val="auto"/>
        </w:rPr>
      </w:pPr>
      <w:r>
        <w:rPr>
          <w:rFonts w:hint="eastAsia" w:ascii="宋体" w:hAnsi="宋体" w:cs="宋体"/>
          <w:caps/>
          <w:color w:val="auto"/>
          <w:kern w:val="2"/>
          <w:szCs w:val="21"/>
          <w:lang w:val="zh-CN"/>
        </w:rPr>
        <w:fldChar w:fldCharType="begin"/>
      </w:r>
      <w:r>
        <w:rPr>
          <w:rFonts w:hint="eastAsia" w:ascii="宋体" w:hAnsi="宋体" w:cs="宋体"/>
          <w:caps/>
          <w:color w:val="auto"/>
          <w:kern w:val="2"/>
          <w:szCs w:val="21"/>
          <w:lang w:val="zh-CN"/>
        </w:rPr>
        <w:instrText xml:space="preserve"> HYPERLINK \l _Toc3560 </w:instrText>
      </w:r>
      <w:r>
        <w:rPr>
          <w:rFonts w:hint="eastAsia" w:ascii="宋体" w:hAnsi="宋体" w:cs="宋体"/>
          <w:caps/>
          <w:color w:val="auto"/>
          <w:kern w:val="2"/>
          <w:szCs w:val="21"/>
          <w:lang w:val="zh-CN"/>
        </w:rPr>
        <w:fldChar w:fldCharType="separate"/>
      </w:r>
      <w:r>
        <w:rPr>
          <w:rFonts w:hint="eastAsia" w:ascii="宋体" w:hAnsi="宋体" w:cs="宋体"/>
          <w:color w:val="auto"/>
          <w:kern w:val="2"/>
          <w:szCs w:val="21"/>
          <w:lang w:val="zh-CN"/>
        </w:rPr>
        <w:t xml:space="preserve">15 </w:t>
      </w:r>
      <w:r>
        <w:rPr>
          <w:rFonts w:hint="eastAsia" w:ascii="宋体" w:hAnsi="宋体" w:cs="宋体"/>
          <w:color w:val="auto"/>
          <w:kern w:val="2"/>
          <w:szCs w:val="21"/>
        </w:rPr>
        <w:t xml:space="preserve">  </w:t>
      </w:r>
      <w:r>
        <w:rPr>
          <w:rFonts w:hint="eastAsia" w:ascii="宋体" w:hAnsi="宋体" w:cs="宋体"/>
          <w:color w:val="auto"/>
          <w:kern w:val="2"/>
          <w:szCs w:val="21"/>
          <w:lang w:val="zh-CN"/>
        </w:rPr>
        <w:t>投标保证金</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_Toc3560 \h </w:instrText>
      </w:r>
      <w:r>
        <w:rPr>
          <w:rFonts w:hint="eastAsia" w:ascii="宋体" w:hAnsi="宋体" w:cs="宋体"/>
          <w:color w:val="auto"/>
        </w:rPr>
        <w:fldChar w:fldCharType="separate"/>
      </w:r>
      <w:r>
        <w:rPr>
          <w:rFonts w:hint="eastAsia" w:ascii="宋体" w:hAnsi="宋体" w:cs="宋体"/>
          <w:color w:val="auto"/>
        </w:rPr>
        <w:t>12</w:t>
      </w:r>
      <w:r>
        <w:rPr>
          <w:rFonts w:hint="eastAsia" w:ascii="宋体" w:hAnsi="宋体" w:cs="宋体"/>
          <w:color w:val="auto"/>
        </w:rPr>
        <w:fldChar w:fldCharType="end"/>
      </w:r>
      <w:r>
        <w:rPr>
          <w:rFonts w:hint="eastAsia" w:ascii="宋体" w:hAnsi="宋体" w:cs="宋体"/>
          <w:caps/>
          <w:color w:val="auto"/>
          <w:kern w:val="2"/>
          <w:szCs w:val="21"/>
          <w:lang w:val="zh-CN"/>
        </w:rPr>
        <w:fldChar w:fldCharType="end"/>
      </w:r>
    </w:p>
    <w:p>
      <w:pPr>
        <w:pStyle w:val="25"/>
        <w:tabs>
          <w:tab w:val="right" w:leader="dot" w:pos="9214"/>
        </w:tabs>
        <w:rPr>
          <w:rFonts w:hint="eastAsia" w:ascii="宋体" w:hAnsi="宋体" w:cs="宋体"/>
          <w:color w:val="auto"/>
        </w:rPr>
      </w:pPr>
      <w:r>
        <w:rPr>
          <w:rFonts w:hint="eastAsia" w:ascii="宋体" w:hAnsi="宋体" w:cs="宋体"/>
          <w:caps/>
          <w:color w:val="auto"/>
          <w:kern w:val="2"/>
          <w:szCs w:val="21"/>
          <w:lang w:val="zh-CN"/>
        </w:rPr>
        <w:fldChar w:fldCharType="begin"/>
      </w:r>
      <w:r>
        <w:rPr>
          <w:rFonts w:hint="eastAsia" w:ascii="宋体" w:hAnsi="宋体" w:cs="宋体"/>
          <w:caps/>
          <w:color w:val="auto"/>
          <w:kern w:val="2"/>
          <w:szCs w:val="21"/>
          <w:lang w:val="zh-CN"/>
        </w:rPr>
        <w:instrText xml:space="preserve"> HYPERLINK \l _Toc21869 </w:instrText>
      </w:r>
      <w:r>
        <w:rPr>
          <w:rFonts w:hint="eastAsia" w:ascii="宋体" w:hAnsi="宋体" w:cs="宋体"/>
          <w:caps/>
          <w:color w:val="auto"/>
          <w:kern w:val="2"/>
          <w:szCs w:val="21"/>
          <w:lang w:val="zh-CN"/>
        </w:rPr>
        <w:fldChar w:fldCharType="separate"/>
      </w:r>
      <w:r>
        <w:rPr>
          <w:rFonts w:hint="eastAsia" w:ascii="宋体" w:hAnsi="宋体" w:cs="宋体"/>
          <w:color w:val="auto"/>
          <w:kern w:val="2"/>
          <w:szCs w:val="21"/>
          <w:lang w:val="zh-CN"/>
        </w:rPr>
        <w:t xml:space="preserve">16 </w:t>
      </w:r>
      <w:r>
        <w:rPr>
          <w:rFonts w:hint="eastAsia" w:ascii="宋体" w:hAnsi="宋体" w:cs="宋体"/>
          <w:color w:val="auto"/>
          <w:kern w:val="2"/>
          <w:szCs w:val="21"/>
        </w:rPr>
        <w:t xml:space="preserve">  </w:t>
      </w:r>
      <w:r>
        <w:rPr>
          <w:rFonts w:hint="eastAsia" w:ascii="宋体" w:hAnsi="宋体" w:cs="宋体"/>
          <w:color w:val="auto"/>
          <w:kern w:val="2"/>
          <w:szCs w:val="21"/>
          <w:lang w:val="zh-CN"/>
        </w:rPr>
        <w:t>投标有效期</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_Toc21869 \h </w:instrText>
      </w:r>
      <w:r>
        <w:rPr>
          <w:rFonts w:hint="eastAsia" w:ascii="宋体" w:hAnsi="宋体" w:cs="宋体"/>
          <w:color w:val="auto"/>
        </w:rPr>
        <w:fldChar w:fldCharType="separate"/>
      </w:r>
      <w:r>
        <w:rPr>
          <w:rFonts w:hint="eastAsia" w:ascii="宋体" w:hAnsi="宋体" w:cs="宋体"/>
          <w:color w:val="auto"/>
        </w:rPr>
        <w:t>13</w:t>
      </w:r>
      <w:r>
        <w:rPr>
          <w:rFonts w:hint="eastAsia" w:ascii="宋体" w:hAnsi="宋体" w:cs="宋体"/>
          <w:color w:val="auto"/>
        </w:rPr>
        <w:fldChar w:fldCharType="end"/>
      </w:r>
      <w:r>
        <w:rPr>
          <w:rFonts w:hint="eastAsia" w:ascii="宋体" w:hAnsi="宋体" w:cs="宋体"/>
          <w:caps/>
          <w:color w:val="auto"/>
          <w:kern w:val="2"/>
          <w:szCs w:val="21"/>
          <w:lang w:val="zh-CN"/>
        </w:rPr>
        <w:fldChar w:fldCharType="end"/>
      </w:r>
    </w:p>
    <w:p>
      <w:pPr>
        <w:pStyle w:val="25"/>
        <w:tabs>
          <w:tab w:val="right" w:leader="dot" w:pos="9214"/>
        </w:tabs>
        <w:rPr>
          <w:rFonts w:hint="eastAsia" w:ascii="宋体" w:hAnsi="宋体" w:cs="宋体"/>
          <w:color w:val="auto"/>
        </w:rPr>
      </w:pPr>
      <w:r>
        <w:rPr>
          <w:rFonts w:hint="eastAsia" w:ascii="宋体" w:hAnsi="宋体" w:cs="宋体"/>
          <w:caps/>
          <w:color w:val="auto"/>
          <w:kern w:val="2"/>
          <w:szCs w:val="21"/>
          <w:lang w:val="zh-CN"/>
        </w:rPr>
        <w:fldChar w:fldCharType="begin"/>
      </w:r>
      <w:r>
        <w:rPr>
          <w:rFonts w:hint="eastAsia" w:ascii="宋体" w:hAnsi="宋体" w:cs="宋体"/>
          <w:caps/>
          <w:color w:val="auto"/>
          <w:kern w:val="2"/>
          <w:szCs w:val="21"/>
          <w:lang w:val="zh-CN"/>
        </w:rPr>
        <w:instrText xml:space="preserve"> HYPERLINK \l _Toc22579 </w:instrText>
      </w:r>
      <w:r>
        <w:rPr>
          <w:rFonts w:hint="eastAsia" w:ascii="宋体" w:hAnsi="宋体" w:cs="宋体"/>
          <w:caps/>
          <w:color w:val="auto"/>
          <w:kern w:val="2"/>
          <w:szCs w:val="21"/>
          <w:lang w:val="zh-CN"/>
        </w:rPr>
        <w:fldChar w:fldCharType="separate"/>
      </w:r>
      <w:r>
        <w:rPr>
          <w:rFonts w:hint="eastAsia" w:ascii="宋体" w:hAnsi="宋体" w:cs="宋体"/>
          <w:color w:val="auto"/>
          <w:kern w:val="2"/>
          <w:szCs w:val="21"/>
          <w:lang w:val="zh-CN"/>
        </w:rPr>
        <w:t xml:space="preserve">17 </w:t>
      </w:r>
      <w:r>
        <w:rPr>
          <w:rFonts w:hint="eastAsia" w:ascii="宋体" w:hAnsi="宋体" w:cs="宋体"/>
          <w:color w:val="auto"/>
          <w:kern w:val="2"/>
          <w:szCs w:val="21"/>
        </w:rPr>
        <w:t xml:space="preserve">  </w:t>
      </w:r>
      <w:r>
        <w:rPr>
          <w:rFonts w:hint="eastAsia" w:ascii="宋体" w:hAnsi="宋体" w:cs="宋体"/>
          <w:color w:val="auto"/>
          <w:kern w:val="2"/>
          <w:szCs w:val="21"/>
          <w:lang w:val="zh-CN"/>
        </w:rPr>
        <w:t>投标文件的式样和签署</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_Toc22579 \h </w:instrText>
      </w:r>
      <w:r>
        <w:rPr>
          <w:rFonts w:hint="eastAsia" w:ascii="宋体" w:hAnsi="宋体" w:cs="宋体"/>
          <w:color w:val="auto"/>
        </w:rPr>
        <w:fldChar w:fldCharType="separate"/>
      </w:r>
      <w:r>
        <w:rPr>
          <w:rFonts w:hint="eastAsia" w:ascii="宋体" w:hAnsi="宋体" w:cs="宋体"/>
          <w:color w:val="auto"/>
        </w:rPr>
        <w:t>13</w:t>
      </w:r>
      <w:r>
        <w:rPr>
          <w:rFonts w:hint="eastAsia" w:ascii="宋体" w:hAnsi="宋体" w:cs="宋体"/>
          <w:color w:val="auto"/>
        </w:rPr>
        <w:fldChar w:fldCharType="end"/>
      </w:r>
      <w:r>
        <w:rPr>
          <w:rFonts w:hint="eastAsia" w:ascii="宋体" w:hAnsi="宋体" w:cs="宋体"/>
          <w:caps/>
          <w:color w:val="auto"/>
          <w:kern w:val="2"/>
          <w:szCs w:val="21"/>
          <w:lang w:val="zh-CN"/>
        </w:rPr>
        <w:fldChar w:fldCharType="end"/>
      </w:r>
    </w:p>
    <w:p>
      <w:pPr>
        <w:pStyle w:val="40"/>
        <w:tabs>
          <w:tab w:val="right" w:leader="dot" w:pos="9214"/>
          <w:tab w:val="clear" w:pos="750"/>
          <w:tab w:val="clear" w:pos="9394"/>
        </w:tabs>
        <w:rPr>
          <w:rFonts w:hint="eastAsia" w:ascii="宋体" w:hAnsi="宋体" w:cs="宋体"/>
          <w:color w:val="auto"/>
        </w:rPr>
      </w:pPr>
      <w:r>
        <w:rPr>
          <w:rFonts w:hint="eastAsia" w:ascii="宋体" w:hAnsi="宋体" w:cs="宋体"/>
          <w:caps/>
          <w:color w:val="auto"/>
          <w:kern w:val="2"/>
          <w:szCs w:val="21"/>
          <w:lang w:val="zh-CN"/>
        </w:rPr>
        <w:fldChar w:fldCharType="begin"/>
      </w:r>
      <w:r>
        <w:rPr>
          <w:rFonts w:hint="eastAsia" w:ascii="宋体" w:hAnsi="宋体" w:cs="宋体"/>
          <w:caps/>
          <w:color w:val="auto"/>
          <w:kern w:val="2"/>
          <w:szCs w:val="21"/>
          <w:lang w:val="zh-CN"/>
        </w:rPr>
        <w:instrText xml:space="preserve"> HYPERLINK \l _Toc21140 </w:instrText>
      </w:r>
      <w:r>
        <w:rPr>
          <w:rFonts w:hint="eastAsia" w:ascii="宋体" w:hAnsi="宋体" w:cs="宋体"/>
          <w:caps/>
          <w:color w:val="auto"/>
          <w:kern w:val="2"/>
          <w:szCs w:val="21"/>
          <w:lang w:val="zh-CN"/>
        </w:rPr>
        <w:fldChar w:fldCharType="separate"/>
      </w:r>
      <w:r>
        <w:rPr>
          <w:rFonts w:ascii="宋体" w:hAnsi="宋体" w:cs="宋体"/>
          <w:color w:val="auto"/>
          <w:szCs w:val="21"/>
          <w:lang w:val="zh-CN"/>
        </w:rPr>
        <w:t xml:space="preserve">四、 </w:t>
      </w:r>
      <w:r>
        <w:rPr>
          <w:rFonts w:hint="eastAsia" w:ascii="宋体" w:hAnsi="宋体" w:cs="宋体"/>
          <w:color w:val="auto"/>
          <w:szCs w:val="21"/>
          <w:lang w:val="zh-CN"/>
        </w:rPr>
        <w:t>投标文件的递交</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_Toc21140 \h </w:instrText>
      </w:r>
      <w:r>
        <w:rPr>
          <w:rFonts w:hint="eastAsia" w:ascii="宋体" w:hAnsi="宋体" w:cs="宋体"/>
          <w:color w:val="auto"/>
        </w:rPr>
        <w:fldChar w:fldCharType="separate"/>
      </w:r>
      <w:r>
        <w:rPr>
          <w:rFonts w:hint="eastAsia" w:ascii="宋体" w:hAnsi="宋体" w:cs="宋体"/>
          <w:color w:val="auto"/>
        </w:rPr>
        <w:t>14</w:t>
      </w:r>
      <w:r>
        <w:rPr>
          <w:rFonts w:hint="eastAsia" w:ascii="宋体" w:hAnsi="宋体" w:cs="宋体"/>
          <w:color w:val="auto"/>
        </w:rPr>
        <w:fldChar w:fldCharType="end"/>
      </w:r>
      <w:r>
        <w:rPr>
          <w:rFonts w:hint="eastAsia" w:ascii="宋体" w:hAnsi="宋体" w:cs="宋体"/>
          <w:caps/>
          <w:color w:val="auto"/>
          <w:kern w:val="2"/>
          <w:szCs w:val="21"/>
          <w:lang w:val="zh-CN"/>
        </w:rPr>
        <w:fldChar w:fldCharType="end"/>
      </w:r>
    </w:p>
    <w:p>
      <w:pPr>
        <w:pStyle w:val="25"/>
        <w:tabs>
          <w:tab w:val="right" w:leader="dot" w:pos="9214"/>
        </w:tabs>
        <w:rPr>
          <w:rFonts w:hint="eastAsia" w:ascii="宋体" w:hAnsi="宋体" w:cs="宋体"/>
          <w:color w:val="auto"/>
        </w:rPr>
      </w:pPr>
      <w:r>
        <w:rPr>
          <w:rFonts w:hint="eastAsia" w:ascii="宋体" w:hAnsi="宋体" w:cs="宋体"/>
          <w:caps/>
          <w:color w:val="auto"/>
          <w:kern w:val="2"/>
          <w:szCs w:val="21"/>
          <w:lang w:val="zh-CN"/>
        </w:rPr>
        <w:fldChar w:fldCharType="begin"/>
      </w:r>
      <w:r>
        <w:rPr>
          <w:rFonts w:hint="eastAsia" w:ascii="宋体" w:hAnsi="宋体" w:cs="宋体"/>
          <w:caps/>
          <w:color w:val="auto"/>
          <w:kern w:val="2"/>
          <w:szCs w:val="21"/>
          <w:lang w:val="zh-CN"/>
        </w:rPr>
        <w:instrText xml:space="preserve"> HYPERLINK \l _Toc28483 </w:instrText>
      </w:r>
      <w:r>
        <w:rPr>
          <w:rFonts w:hint="eastAsia" w:ascii="宋体" w:hAnsi="宋体" w:cs="宋体"/>
          <w:caps/>
          <w:color w:val="auto"/>
          <w:kern w:val="2"/>
          <w:szCs w:val="21"/>
          <w:lang w:val="zh-CN"/>
        </w:rPr>
        <w:fldChar w:fldCharType="separate"/>
      </w:r>
      <w:r>
        <w:rPr>
          <w:rFonts w:hint="eastAsia" w:ascii="宋体" w:hAnsi="宋体" w:cs="宋体"/>
          <w:color w:val="auto"/>
          <w:kern w:val="2"/>
          <w:szCs w:val="21"/>
          <w:lang w:val="zh-CN"/>
        </w:rPr>
        <w:t>18</w:t>
      </w:r>
      <w:r>
        <w:rPr>
          <w:rFonts w:hint="eastAsia" w:ascii="宋体" w:hAnsi="宋体" w:cs="宋体"/>
          <w:color w:val="auto"/>
          <w:kern w:val="2"/>
          <w:szCs w:val="21"/>
        </w:rPr>
        <w:t xml:space="preserve">  </w:t>
      </w:r>
      <w:r>
        <w:rPr>
          <w:rFonts w:hint="eastAsia" w:ascii="宋体" w:hAnsi="宋体" w:cs="宋体"/>
          <w:color w:val="auto"/>
          <w:kern w:val="2"/>
          <w:szCs w:val="21"/>
          <w:lang w:val="zh-CN"/>
        </w:rPr>
        <w:t xml:space="preserve"> 投标文件的密封和标记</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_Toc28483 \h </w:instrText>
      </w:r>
      <w:r>
        <w:rPr>
          <w:rFonts w:hint="eastAsia" w:ascii="宋体" w:hAnsi="宋体" w:cs="宋体"/>
          <w:color w:val="auto"/>
        </w:rPr>
        <w:fldChar w:fldCharType="separate"/>
      </w:r>
      <w:r>
        <w:rPr>
          <w:rFonts w:hint="eastAsia" w:ascii="宋体" w:hAnsi="宋体" w:cs="宋体"/>
          <w:color w:val="auto"/>
        </w:rPr>
        <w:t>14</w:t>
      </w:r>
      <w:r>
        <w:rPr>
          <w:rFonts w:hint="eastAsia" w:ascii="宋体" w:hAnsi="宋体" w:cs="宋体"/>
          <w:color w:val="auto"/>
        </w:rPr>
        <w:fldChar w:fldCharType="end"/>
      </w:r>
      <w:r>
        <w:rPr>
          <w:rFonts w:hint="eastAsia" w:ascii="宋体" w:hAnsi="宋体" w:cs="宋体"/>
          <w:caps/>
          <w:color w:val="auto"/>
          <w:kern w:val="2"/>
          <w:szCs w:val="21"/>
          <w:lang w:val="zh-CN"/>
        </w:rPr>
        <w:fldChar w:fldCharType="end"/>
      </w:r>
    </w:p>
    <w:p>
      <w:pPr>
        <w:pStyle w:val="25"/>
        <w:tabs>
          <w:tab w:val="right" w:leader="dot" w:pos="9214"/>
        </w:tabs>
        <w:rPr>
          <w:rFonts w:hint="eastAsia" w:ascii="宋体" w:hAnsi="宋体" w:cs="宋体"/>
          <w:color w:val="auto"/>
        </w:rPr>
      </w:pPr>
      <w:r>
        <w:rPr>
          <w:rFonts w:hint="eastAsia" w:ascii="宋体" w:hAnsi="宋体" w:cs="宋体"/>
          <w:caps/>
          <w:color w:val="auto"/>
          <w:kern w:val="2"/>
          <w:szCs w:val="21"/>
          <w:lang w:val="zh-CN"/>
        </w:rPr>
        <w:fldChar w:fldCharType="begin"/>
      </w:r>
      <w:r>
        <w:rPr>
          <w:rFonts w:hint="eastAsia" w:ascii="宋体" w:hAnsi="宋体" w:cs="宋体"/>
          <w:caps/>
          <w:color w:val="auto"/>
          <w:kern w:val="2"/>
          <w:szCs w:val="21"/>
          <w:lang w:val="zh-CN"/>
        </w:rPr>
        <w:instrText xml:space="preserve"> HYPERLINK \l _Toc31212 </w:instrText>
      </w:r>
      <w:r>
        <w:rPr>
          <w:rFonts w:hint="eastAsia" w:ascii="宋体" w:hAnsi="宋体" w:cs="宋体"/>
          <w:caps/>
          <w:color w:val="auto"/>
          <w:kern w:val="2"/>
          <w:szCs w:val="21"/>
          <w:lang w:val="zh-CN"/>
        </w:rPr>
        <w:fldChar w:fldCharType="separate"/>
      </w:r>
      <w:r>
        <w:rPr>
          <w:rFonts w:hint="eastAsia" w:ascii="宋体" w:hAnsi="宋体" w:cs="宋体"/>
          <w:color w:val="auto"/>
          <w:kern w:val="2"/>
          <w:szCs w:val="21"/>
          <w:lang w:val="zh-CN"/>
        </w:rPr>
        <w:t xml:space="preserve">19 </w:t>
      </w:r>
      <w:r>
        <w:rPr>
          <w:rFonts w:hint="eastAsia" w:ascii="宋体" w:hAnsi="宋体" w:cs="宋体"/>
          <w:color w:val="auto"/>
          <w:kern w:val="2"/>
          <w:szCs w:val="21"/>
        </w:rPr>
        <w:t xml:space="preserve">  </w:t>
      </w:r>
      <w:r>
        <w:rPr>
          <w:rFonts w:hint="eastAsia" w:ascii="宋体" w:hAnsi="宋体" w:cs="宋体"/>
          <w:color w:val="auto"/>
          <w:kern w:val="2"/>
          <w:szCs w:val="21"/>
          <w:lang w:val="zh-CN"/>
        </w:rPr>
        <w:t>递交投标文件的截止日期</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_Toc31212 \h </w:instrText>
      </w:r>
      <w:r>
        <w:rPr>
          <w:rFonts w:hint="eastAsia" w:ascii="宋体" w:hAnsi="宋体" w:cs="宋体"/>
          <w:color w:val="auto"/>
        </w:rPr>
        <w:fldChar w:fldCharType="separate"/>
      </w:r>
      <w:r>
        <w:rPr>
          <w:rFonts w:hint="eastAsia" w:ascii="宋体" w:hAnsi="宋体" w:cs="宋体"/>
          <w:color w:val="auto"/>
        </w:rPr>
        <w:t>14</w:t>
      </w:r>
      <w:r>
        <w:rPr>
          <w:rFonts w:hint="eastAsia" w:ascii="宋体" w:hAnsi="宋体" w:cs="宋体"/>
          <w:color w:val="auto"/>
        </w:rPr>
        <w:fldChar w:fldCharType="end"/>
      </w:r>
      <w:r>
        <w:rPr>
          <w:rFonts w:hint="eastAsia" w:ascii="宋体" w:hAnsi="宋体" w:cs="宋体"/>
          <w:caps/>
          <w:color w:val="auto"/>
          <w:kern w:val="2"/>
          <w:szCs w:val="21"/>
          <w:lang w:val="zh-CN"/>
        </w:rPr>
        <w:fldChar w:fldCharType="end"/>
      </w:r>
    </w:p>
    <w:p>
      <w:pPr>
        <w:pStyle w:val="25"/>
        <w:tabs>
          <w:tab w:val="right" w:leader="dot" w:pos="9214"/>
        </w:tabs>
        <w:rPr>
          <w:rFonts w:hint="eastAsia" w:ascii="宋体" w:hAnsi="宋体" w:cs="宋体"/>
          <w:color w:val="auto"/>
        </w:rPr>
      </w:pPr>
      <w:r>
        <w:rPr>
          <w:rFonts w:hint="eastAsia" w:ascii="宋体" w:hAnsi="宋体" w:cs="宋体"/>
          <w:caps/>
          <w:color w:val="auto"/>
          <w:kern w:val="2"/>
          <w:szCs w:val="21"/>
          <w:lang w:val="zh-CN"/>
        </w:rPr>
        <w:fldChar w:fldCharType="begin"/>
      </w:r>
      <w:r>
        <w:rPr>
          <w:rFonts w:hint="eastAsia" w:ascii="宋体" w:hAnsi="宋体" w:cs="宋体"/>
          <w:caps/>
          <w:color w:val="auto"/>
          <w:kern w:val="2"/>
          <w:szCs w:val="21"/>
          <w:lang w:val="zh-CN"/>
        </w:rPr>
        <w:instrText xml:space="preserve"> HYPERLINK \l _Toc27456 </w:instrText>
      </w:r>
      <w:r>
        <w:rPr>
          <w:rFonts w:hint="eastAsia" w:ascii="宋体" w:hAnsi="宋体" w:cs="宋体"/>
          <w:caps/>
          <w:color w:val="auto"/>
          <w:kern w:val="2"/>
          <w:szCs w:val="21"/>
          <w:lang w:val="zh-CN"/>
        </w:rPr>
        <w:fldChar w:fldCharType="separate"/>
      </w:r>
      <w:r>
        <w:rPr>
          <w:rFonts w:hint="eastAsia" w:ascii="宋体" w:hAnsi="宋体" w:cs="宋体"/>
          <w:color w:val="auto"/>
          <w:kern w:val="2"/>
          <w:szCs w:val="21"/>
          <w:lang w:val="zh-CN"/>
        </w:rPr>
        <w:t xml:space="preserve">20 </w:t>
      </w:r>
      <w:r>
        <w:rPr>
          <w:rFonts w:hint="eastAsia" w:ascii="宋体" w:hAnsi="宋体" w:cs="宋体"/>
          <w:color w:val="auto"/>
          <w:kern w:val="2"/>
          <w:szCs w:val="21"/>
        </w:rPr>
        <w:t xml:space="preserve">  </w:t>
      </w:r>
      <w:r>
        <w:rPr>
          <w:rFonts w:hint="eastAsia" w:ascii="宋体" w:hAnsi="宋体" w:cs="宋体"/>
          <w:color w:val="auto"/>
          <w:kern w:val="2"/>
          <w:szCs w:val="21"/>
          <w:lang w:val="zh-CN"/>
        </w:rPr>
        <w:t>迟交的投标文件</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_Toc27456 \h </w:instrText>
      </w:r>
      <w:r>
        <w:rPr>
          <w:rFonts w:hint="eastAsia" w:ascii="宋体" w:hAnsi="宋体" w:cs="宋体"/>
          <w:color w:val="auto"/>
        </w:rPr>
        <w:fldChar w:fldCharType="separate"/>
      </w:r>
      <w:r>
        <w:rPr>
          <w:rFonts w:hint="eastAsia" w:ascii="宋体" w:hAnsi="宋体" w:cs="宋体"/>
          <w:color w:val="auto"/>
        </w:rPr>
        <w:t>14</w:t>
      </w:r>
      <w:r>
        <w:rPr>
          <w:rFonts w:hint="eastAsia" w:ascii="宋体" w:hAnsi="宋体" w:cs="宋体"/>
          <w:color w:val="auto"/>
        </w:rPr>
        <w:fldChar w:fldCharType="end"/>
      </w:r>
      <w:r>
        <w:rPr>
          <w:rFonts w:hint="eastAsia" w:ascii="宋体" w:hAnsi="宋体" w:cs="宋体"/>
          <w:caps/>
          <w:color w:val="auto"/>
          <w:kern w:val="2"/>
          <w:szCs w:val="21"/>
          <w:lang w:val="zh-CN"/>
        </w:rPr>
        <w:fldChar w:fldCharType="end"/>
      </w:r>
    </w:p>
    <w:p>
      <w:pPr>
        <w:pStyle w:val="25"/>
        <w:tabs>
          <w:tab w:val="right" w:leader="dot" w:pos="9214"/>
        </w:tabs>
        <w:rPr>
          <w:rFonts w:hint="eastAsia" w:ascii="宋体" w:hAnsi="宋体" w:cs="宋体"/>
          <w:color w:val="auto"/>
        </w:rPr>
      </w:pPr>
      <w:r>
        <w:rPr>
          <w:rFonts w:hint="eastAsia" w:ascii="宋体" w:hAnsi="宋体" w:cs="宋体"/>
          <w:caps/>
          <w:color w:val="auto"/>
          <w:kern w:val="2"/>
          <w:szCs w:val="21"/>
          <w:lang w:val="zh-CN"/>
        </w:rPr>
        <w:fldChar w:fldCharType="begin"/>
      </w:r>
      <w:r>
        <w:rPr>
          <w:rFonts w:hint="eastAsia" w:ascii="宋体" w:hAnsi="宋体" w:cs="宋体"/>
          <w:caps/>
          <w:color w:val="auto"/>
          <w:kern w:val="2"/>
          <w:szCs w:val="21"/>
          <w:lang w:val="zh-CN"/>
        </w:rPr>
        <w:instrText xml:space="preserve"> HYPERLINK \l _Toc2316 </w:instrText>
      </w:r>
      <w:r>
        <w:rPr>
          <w:rFonts w:hint="eastAsia" w:ascii="宋体" w:hAnsi="宋体" w:cs="宋体"/>
          <w:caps/>
          <w:color w:val="auto"/>
          <w:kern w:val="2"/>
          <w:szCs w:val="21"/>
          <w:lang w:val="zh-CN"/>
        </w:rPr>
        <w:fldChar w:fldCharType="separate"/>
      </w:r>
      <w:r>
        <w:rPr>
          <w:rFonts w:hint="eastAsia" w:ascii="宋体" w:hAnsi="宋体" w:cs="宋体"/>
          <w:color w:val="auto"/>
          <w:kern w:val="2"/>
          <w:szCs w:val="21"/>
          <w:lang w:val="zh-CN"/>
        </w:rPr>
        <w:t xml:space="preserve">21 </w:t>
      </w:r>
      <w:r>
        <w:rPr>
          <w:rFonts w:hint="eastAsia" w:ascii="宋体" w:hAnsi="宋体" w:cs="宋体"/>
          <w:color w:val="auto"/>
          <w:kern w:val="2"/>
          <w:szCs w:val="21"/>
        </w:rPr>
        <w:t xml:space="preserve">  </w:t>
      </w:r>
      <w:r>
        <w:rPr>
          <w:rFonts w:hint="eastAsia" w:ascii="宋体" w:hAnsi="宋体" w:cs="宋体"/>
          <w:color w:val="auto"/>
          <w:kern w:val="2"/>
          <w:szCs w:val="21"/>
          <w:lang w:val="zh-CN"/>
        </w:rPr>
        <w:t>投标文件的修改和撤回</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_Toc2316 \h </w:instrText>
      </w:r>
      <w:r>
        <w:rPr>
          <w:rFonts w:hint="eastAsia" w:ascii="宋体" w:hAnsi="宋体" w:cs="宋体"/>
          <w:color w:val="auto"/>
        </w:rPr>
        <w:fldChar w:fldCharType="separate"/>
      </w:r>
      <w:r>
        <w:rPr>
          <w:rFonts w:hint="eastAsia" w:ascii="宋体" w:hAnsi="宋体" w:cs="宋体"/>
          <w:color w:val="auto"/>
        </w:rPr>
        <w:t>14</w:t>
      </w:r>
      <w:r>
        <w:rPr>
          <w:rFonts w:hint="eastAsia" w:ascii="宋体" w:hAnsi="宋体" w:cs="宋体"/>
          <w:color w:val="auto"/>
        </w:rPr>
        <w:fldChar w:fldCharType="end"/>
      </w:r>
      <w:r>
        <w:rPr>
          <w:rFonts w:hint="eastAsia" w:ascii="宋体" w:hAnsi="宋体" w:cs="宋体"/>
          <w:caps/>
          <w:color w:val="auto"/>
          <w:kern w:val="2"/>
          <w:szCs w:val="21"/>
          <w:lang w:val="zh-CN"/>
        </w:rPr>
        <w:fldChar w:fldCharType="end"/>
      </w:r>
    </w:p>
    <w:p>
      <w:pPr>
        <w:pStyle w:val="40"/>
        <w:tabs>
          <w:tab w:val="right" w:leader="dot" w:pos="9214"/>
          <w:tab w:val="clear" w:pos="750"/>
          <w:tab w:val="clear" w:pos="9394"/>
        </w:tabs>
        <w:rPr>
          <w:rFonts w:hint="eastAsia" w:ascii="宋体" w:hAnsi="宋体" w:cs="宋体"/>
          <w:color w:val="auto"/>
        </w:rPr>
      </w:pPr>
      <w:r>
        <w:rPr>
          <w:rFonts w:hint="eastAsia" w:ascii="宋体" w:hAnsi="宋体" w:cs="宋体"/>
          <w:caps/>
          <w:color w:val="auto"/>
          <w:kern w:val="2"/>
          <w:szCs w:val="21"/>
          <w:lang w:val="zh-CN"/>
        </w:rPr>
        <w:fldChar w:fldCharType="begin"/>
      </w:r>
      <w:r>
        <w:rPr>
          <w:rFonts w:hint="eastAsia" w:ascii="宋体" w:hAnsi="宋体" w:cs="宋体"/>
          <w:caps/>
          <w:color w:val="auto"/>
          <w:kern w:val="2"/>
          <w:szCs w:val="21"/>
          <w:lang w:val="zh-CN"/>
        </w:rPr>
        <w:instrText xml:space="preserve"> HYPERLINK \l _Toc10561 </w:instrText>
      </w:r>
      <w:r>
        <w:rPr>
          <w:rFonts w:hint="eastAsia" w:ascii="宋体" w:hAnsi="宋体" w:cs="宋体"/>
          <w:caps/>
          <w:color w:val="auto"/>
          <w:kern w:val="2"/>
          <w:szCs w:val="21"/>
          <w:lang w:val="zh-CN"/>
        </w:rPr>
        <w:fldChar w:fldCharType="separate"/>
      </w:r>
      <w:r>
        <w:rPr>
          <w:rFonts w:ascii="宋体" w:hAnsi="宋体" w:cs="宋体"/>
          <w:bCs w:val="0"/>
          <w:color w:val="auto"/>
          <w:kern w:val="44"/>
          <w:szCs w:val="21"/>
          <w:lang w:val="zh-CN"/>
        </w:rPr>
        <w:t xml:space="preserve">五、 </w:t>
      </w:r>
      <w:r>
        <w:rPr>
          <w:rFonts w:hint="eastAsia" w:ascii="宋体" w:hAnsi="宋体" w:cs="宋体"/>
          <w:bCs w:val="0"/>
          <w:color w:val="auto"/>
          <w:kern w:val="44"/>
          <w:szCs w:val="21"/>
          <w:lang w:val="zh-CN"/>
        </w:rPr>
        <w:t>开标与评标</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_Toc10561 \h </w:instrText>
      </w:r>
      <w:r>
        <w:rPr>
          <w:rFonts w:hint="eastAsia" w:ascii="宋体" w:hAnsi="宋体" w:cs="宋体"/>
          <w:color w:val="auto"/>
        </w:rPr>
        <w:fldChar w:fldCharType="separate"/>
      </w:r>
      <w:r>
        <w:rPr>
          <w:rFonts w:hint="eastAsia" w:ascii="宋体" w:hAnsi="宋体" w:cs="宋体"/>
          <w:color w:val="auto"/>
        </w:rPr>
        <w:t>15</w:t>
      </w:r>
      <w:r>
        <w:rPr>
          <w:rFonts w:hint="eastAsia" w:ascii="宋体" w:hAnsi="宋体" w:cs="宋体"/>
          <w:color w:val="auto"/>
        </w:rPr>
        <w:fldChar w:fldCharType="end"/>
      </w:r>
      <w:r>
        <w:rPr>
          <w:rFonts w:hint="eastAsia" w:ascii="宋体" w:hAnsi="宋体" w:cs="宋体"/>
          <w:caps/>
          <w:color w:val="auto"/>
          <w:kern w:val="2"/>
          <w:szCs w:val="21"/>
          <w:lang w:val="zh-CN"/>
        </w:rPr>
        <w:fldChar w:fldCharType="end"/>
      </w:r>
    </w:p>
    <w:p>
      <w:pPr>
        <w:pStyle w:val="25"/>
        <w:tabs>
          <w:tab w:val="right" w:leader="dot" w:pos="9214"/>
        </w:tabs>
        <w:rPr>
          <w:rFonts w:hint="eastAsia" w:ascii="宋体" w:hAnsi="宋体" w:cs="宋体"/>
          <w:color w:val="auto"/>
        </w:rPr>
      </w:pPr>
      <w:r>
        <w:rPr>
          <w:rFonts w:hint="eastAsia" w:ascii="宋体" w:hAnsi="宋体" w:cs="宋体"/>
          <w:caps/>
          <w:color w:val="auto"/>
          <w:kern w:val="2"/>
          <w:szCs w:val="21"/>
          <w:lang w:val="zh-CN"/>
        </w:rPr>
        <w:fldChar w:fldCharType="begin"/>
      </w:r>
      <w:r>
        <w:rPr>
          <w:rFonts w:hint="eastAsia" w:ascii="宋体" w:hAnsi="宋体" w:cs="宋体"/>
          <w:caps/>
          <w:color w:val="auto"/>
          <w:kern w:val="2"/>
          <w:szCs w:val="21"/>
          <w:lang w:val="zh-CN"/>
        </w:rPr>
        <w:instrText xml:space="preserve"> HYPERLINK \l _Toc12033 </w:instrText>
      </w:r>
      <w:r>
        <w:rPr>
          <w:rFonts w:hint="eastAsia" w:ascii="宋体" w:hAnsi="宋体" w:cs="宋体"/>
          <w:caps/>
          <w:color w:val="auto"/>
          <w:kern w:val="2"/>
          <w:szCs w:val="21"/>
          <w:lang w:val="zh-CN"/>
        </w:rPr>
        <w:fldChar w:fldCharType="separate"/>
      </w:r>
      <w:r>
        <w:rPr>
          <w:rFonts w:hint="eastAsia" w:ascii="宋体" w:hAnsi="宋体" w:cs="宋体"/>
          <w:color w:val="auto"/>
          <w:kern w:val="2"/>
          <w:szCs w:val="21"/>
          <w:lang w:val="zh-CN"/>
        </w:rPr>
        <w:t xml:space="preserve">22 </w:t>
      </w:r>
      <w:r>
        <w:rPr>
          <w:rFonts w:hint="eastAsia" w:ascii="宋体" w:hAnsi="宋体" w:cs="宋体"/>
          <w:color w:val="auto"/>
          <w:kern w:val="2"/>
          <w:szCs w:val="21"/>
        </w:rPr>
        <w:t xml:space="preserve">  </w:t>
      </w:r>
      <w:r>
        <w:rPr>
          <w:rFonts w:hint="eastAsia" w:ascii="宋体" w:hAnsi="宋体" w:cs="宋体"/>
          <w:color w:val="auto"/>
          <w:kern w:val="2"/>
          <w:szCs w:val="21"/>
          <w:lang w:val="zh-CN"/>
        </w:rPr>
        <w:t>开标</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_Toc12033 \h </w:instrText>
      </w:r>
      <w:r>
        <w:rPr>
          <w:rFonts w:hint="eastAsia" w:ascii="宋体" w:hAnsi="宋体" w:cs="宋体"/>
          <w:color w:val="auto"/>
        </w:rPr>
        <w:fldChar w:fldCharType="separate"/>
      </w:r>
      <w:r>
        <w:rPr>
          <w:rFonts w:hint="eastAsia" w:ascii="宋体" w:hAnsi="宋体" w:cs="宋体"/>
          <w:color w:val="auto"/>
        </w:rPr>
        <w:t>15</w:t>
      </w:r>
      <w:r>
        <w:rPr>
          <w:rFonts w:hint="eastAsia" w:ascii="宋体" w:hAnsi="宋体" w:cs="宋体"/>
          <w:color w:val="auto"/>
        </w:rPr>
        <w:fldChar w:fldCharType="end"/>
      </w:r>
      <w:r>
        <w:rPr>
          <w:rFonts w:hint="eastAsia" w:ascii="宋体" w:hAnsi="宋体" w:cs="宋体"/>
          <w:caps/>
          <w:color w:val="auto"/>
          <w:kern w:val="2"/>
          <w:szCs w:val="21"/>
          <w:lang w:val="zh-CN"/>
        </w:rPr>
        <w:fldChar w:fldCharType="end"/>
      </w:r>
    </w:p>
    <w:p>
      <w:pPr>
        <w:pStyle w:val="25"/>
        <w:tabs>
          <w:tab w:val="right" w:leader="dot" w:pos="9214"/>
        </w:tabs>
        <w:rPr>
          <w:rFonts w:hint="eastAsia" w:ascii="宋体" w:hAnsi="宋体" w:cs="宋体"/>
          <w:color w:val="auto"/>
        </w:rPr>
      </w:pPr>
      <w:r>
        <w:rPr>
          <w:rFonts w:hint="eastAsia" w:ascii="宋体" w:hAnsi="宋体" w:cs="宋体"/>
          <w:caps/>
          <w:color w:val="auto"/>
          <w:kern w:val="2"/>
          <w:szCs w:val="21"/>
          <w:lang w:val="zh-CN"/>
        </w:rPr>
        <w:fldChar w:fldCharType="begin"/>
      </w:r>
      <w:r>
        <w:rPr>
          <w:rFonts w:hint="eastAsia" w:ascii="宋体" w:hAnsi="宋体" w:cs="宋体"/>
          <w:caps/>
          <w:color w:val="auto"/>
          <w:kern w:val="2"/>
          <w:szCs w:val="21"/>
          <w:lang w:val="zh-CN"/>
        </w:rPr>
        <w:instrText xml:space="preserve"> HYPERLINK \l _Toc12565 </w:instrText>
      </w:r>
      <w:r>
        <w:rPr>
          <w:rFonts w:hint="eastAsia" w:ascii="宋体" w:hAnsi="宋体" w:cs="宋体"/>
          <w:caps/>
          <w:color w:val="auto"/>
          <w:kern w:val="2"/>
          <w:szCs w:val="21"/>
          <w:lang w:val="zh-CN"/>
        </w:rPr>
        <w:fldChar w:fldCharType="separate"/>
      </w:r>
      <w:r>
        <w:rPr>
          <w:rFonts w:hint="eastAsia" w:ascii="宋体" w:hAnsi="宋体" w:cs="宋体"/>
          <w:color w:val="auto"/>
          <w:kern w:val="2"/>
          <w:szCs w:val="21"/>
          <w:lang w:val="zh-CN"/>
        </w:rPr>
        <w:t>23</w:t>
      </w:r>
      <w:r>
        <w:rPr>
          <w:rFonts w:hint="eastAsia" w:ascii="宋体" w:hAnsi="宋体" w:cs="宋体"/>
          <w:color w:val="auto"/>
          <w:kern w:val="2"/>
          <w:szCs w:val="21"/>
        </w:rPr>
        <w:t xml:space="preserve">   </w:t>
      </w:r>
      <w:r>
        <w:rPr>
          <w:rFonts w:hint="eastAsia" w:ascii="宋体" w:hAnsi="宋体" w:cs="宋体"/>
          <w:color w:val="auto"/>
          <w:kern w:val="2"/>
          <w:szCs w:val="21"/>
          <w:lang w:val="zh-CN"/>
        </w:rPr>
        <w:t xml:space="preserve"> </w:t>
      </w:r>
      <w:r>
        <w:rPr>
          <w:rFonts w:hint="eastAsia" w:ascii="宋体" w:hAnsi="宋体" w:cs="宋体"/>
          <w:color w:val="auto"/>
        </w:rPr>
        <w:t>评标过程的保密性</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_Toc12565 \h </w:instrText>
      </w:r>
      <w:r>
        <w:rPr>
          <w:rFonts w:hint="eastAsia" w:ascii="宋体" w:hAnsi="宋体" w:cs="宋体"/>
          <w:color w:val="auto"/>
        </w:rPr>
        <w:fldChar w:fldCharType="separate"/>
      </w:r>
      <w:r>
        <w:rPr>
          <w:rFonts w:hint="eastAsia" w:ascii="宋体" w:hAnsi="宋体" w:cs="宋体"/>
          <w:color w:val="auto"/>
        </w:rPr>
        <w:t>15</w:t>
      </w:r>
      <w:r>
        <w:rPr>
          <w:rFonts w:hint="eastAsia" w:ascii="宋体" w:hAnsi="宋体" w:cs="宋体"/>
          <w:color w:val="auto"/>
        </w:rPr>
        <w:fldChar w:fldCharType="end"/>
      </w:r>
      <w:r>
        <w:rPr>
          <w:rFonts w:hint="eastAsia" w:ascii="宋体" w:hAnsi="宋体" w:cs="宋体"/>
          <w:caps/>
          <w:color w:val="auto"/>
          <w:kern w:val="2"/>
          <w:szCs w:val="21"/>
          <w:lang w:val="zh-CN"/>
        </w:rPr>
        <w:fldChar w:fldCharType="end"/>
      </w:r>
    </w:p>
    <w:p>
      <w:pPr>
        <w:pStyle w:val="25"/>
        <w:tabs>
          <w:tab w:val="right" w:leader="dot" w:pos="9214"/>
        </w:tabs>
        <w:rPr>
          <w:rFonts w:hint="eastAsia" w:ascii="宋体" w:hAnsi="宋体" w:cs="宋体"/>
          <w:color w:val="auto"/>
        </w:rPr>
      </w:pPr>
      <w:r>
        <w:rPr>
          <w:rFonts w:hint="eastAsia" w:ascii="宋体" w:hAnsi="宋体" w:cs="宋体"/>
          <w:caps/>
          <w:color w:val="auto"/>
          <w:kern w:val="2"/>
          <w:szCs w:val="21"/>
          <w:lang w:val="zh-CN"/>
        </w:rPr>
        <w:fldChar w:fldCharType="begin"/>
      </w:r>
      <w:r>
        <w:rPr>
          <w:rFonts w:hint="eastAsia" w:ascii="宋体" w:hAnsi="宋体" w:cs="宋体"/>
          <w:caps/>
          <w:color w:val="auto"/>
          <w:kern w:val="2"/>
          <w:szCs w:val="21"/>
          <w:lang w:val="zh-CN"/>
        </w:rPr>
        <w:instrText xml:space="preserve"> HYPERLINK \l _Toc23952 </w:instrText>
      </w:r>
      <w:r>
        <w:rPr>
          <w:rFonts w:hint="eastAsia" w:ascii="宋体" w:hAnsi="宋体" w:cs="宋体"/>
          <w:caps/>
          <w:color w:val="auto"/>
          <w:kern w:val="2"/>
          <w:szCs w:val="21"/>
          <w:lang w:val="zh-CN"/>
        </w:rPr>
        <w:fldChar w:fldCharType="separate"/>
      </w:r>
      <w:r>
        <w:rPr>
          <w:rFonts w:hint="eastAsia" w:ascii="宋体" w:hAnsi="宋体" w:cs="宋体"/>
          <w:color w:val="auto"/>
          <w:kern w:val="2"/>
          <w:szCs w:val="21"/>
          <w:lang w:val="zh-CN"/>
        </w:rPr>
        <w:t xml:space="preserve">24 </w:t>
      </w:r>
      <w:r>
        <w:rPr>
          <w:rFonts w:hint="eastAsia" w:ascii="宋体" w:hAnsi="宋体" w:cs="宋体"/>
          <w:color w:val="auto"/>
          <w:kern w:val="2"/>
          <w:szCs w:val="21"/>
        </w:rPr>
        <w:t xml:space="preserve">  </w:t>
      </w:r>
      <w:r>
        <w:rPr>
          <w:rFonts w:hint="eastAsia" w:ascii="宋体" w:hAnsi="宋体" w:cs="宋体"/>
          <w:color w:val="auto"/>
          <w:kern w:val="2"/>
          <w:szCs w:val="21"/>
          <w:lang w:val="zh-CN"/>
        </w:rPr>
        <w:t>评标委员会</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_Toc23952 \h </w:instrText>
      </w:r>
      <w:r>
        <w:rPr>
          <w:rFonts w:hint="eastAsia" w:ascii="宋体" w:hAnsi="宋体" w:cs="宋体"/>
          <w:color w:val="auto"/>
        </w:rPr>
        <w:fldChar w:fldCharType="separate"/>
      </w:r>
      <w:r>
        <w:rPr>
          <w:rFonts w:hint="eastAsia" w:ascii="宋体" w:hAnsi="宋体" w:cs="宋体"/>
          <w:color w:val="auto"/>
        </w:rPr>
        <w:t>15</w:t>
      </w:r>
      <w:r>
        <w:rPr>
          <w:rFonts w:hint="eastAsia" w:ascii="宋体" w:hAnsi="宋体" w:cs="宋体"/>
          <w:color w:val="auto"/>
        </w:rPr>
        <w:fldChar w:fldCharType="end"/>
      </w:r>
      <w:r>
        <w:rPr>
          <w:rFonts w:hint="eastAsia" w:ascii="宋体" w:hAnsi="宋体" w:cs="宋体"/>
          <w:caps/>
          <w:color w:val="auto"/>
          <w:kern w:val="2"/>
          <w:szCs w:val="21"/>
          <w:lang w:val="zh-CN"/>
        </w:rPr>
        <w:fldChar w:fldCharType="end"/>
      </w:r>
    </w:p>
    <w:p>
      <w:pPr>
        <w:pStyle w:val="25"/>
        <w:tabs>
          <w:tab w:val="right" w:leader="dot" w:pos="9214"/>
        </w:tabs>
        <w:rPr>
          <w:rFonts w:hint="eastAsia" w:ascii="宋体" w:hAnsi="宋体" w:cs="宋体"/>
          <w:color w:val="auto"/>
        </w:rPr>
      </w:pPr>
      <w:r>
        <w:rPr>
          <w:rFonts w:hint="eastAsia" w:ascii="宋体" w:hAnsi="宋体" w:cs="宋体"/>
          <w:caps/>
          <w:color w:val="auto"/>
          <w:kern w:val="2"/>
          <w:szCs w:val="21"/>
          <w:lang w:val="zh-CN"/>
        </w:rPr>
        <w:fldChar w:fldCharType="begin"/>
      </w:r>
      <w:r>
        <w:rPr>
          <w:rFonts w:hint="eastAsia" w:ascii="宋体" w:hAnsi="宋体" w:cs="宋体"/>
          <w:caps/>
          <w:color w:val="auto"/>
          <w:kern w:val="2"/>
          <w:szCs w:val="21"/>
          <w:lang w:val="zh-CN"/>
        </w:rPr>
        <w:instrText xml:space="preserve"> HYPERLINK \l _Toc14828 </w:instrText>
      </w:r>
      <w:r>
        <w:rPr>
          <w:rFonts w:hint="eastAsia" w:ascii="宋体" w:hAnsi="宋体" w:cs="宋体"/>
          <w:caps/>
          <w:color w:val="auto"/>
          <w:kern w:val="2"/>
          <w:szCs w:val="21"/>
          <w:lang w:val="zh-CN"/>
        </w:rPr>
        <w:fldChar w:fldCharType="separate"/>
      </w:r>
      <w:r>
        <w:rPr>
          <w:rFonts w:hint="eastAsia" w:ascii="宋体" w:hAnsi="宋体" w:cs="宋体"/>
          <w:color w:val="auto"/>
          <w:kern w:val="2"/>
          <w:szCs w:val="21"/>
          <w:lang w:val="zh-CN"/>
        </w:rPr>
        <w:t xml:space="preserve">25 </w:t>
      </w:r>
      <w:r>
        <w:rPr>
          <w:rFonts w:hint="eastAsia" w:ascii="宋体" w:hAnsi="宋体" w:cs="宋体"/>
          <w:color w:val="auto"/>
          <w:kern w:val="2"/>
          <w:szCs w:val="21"/>
        </w:rPr>
        <w:t xml:space="preserve">  </w:t>
      </w:r>
      <w:r>
        <w:rPr>
          <w:rFonts w:hint="eastAsia" w:ascii="宋体" w:hAnsi="宋体" w:cs="宋体"/>
          <w:color w:val="auto"/>
          <w:kern w:val="2"/>
          <w:szCs w:val="21"/>
          <w:lang w:val="zh-CN"/>
        </w:rPr>
        <w:t>投标文件的初审</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_Toc14828 \h </w:instrText>
      </w:r>
      <w:r>
        <w:rPr>
          <w:rFonts w:hint="eastAsia" w:ascii="宋体" w:hAnsi="宋体" w:cs="宋体"/>
          <w:color w:val="auto"/>
        </w:rPr>
        <w:fldChar w:fldCharType="separate"/>
      </w:r>
      <w:r>
        <w:rPr>
          <w:rFonts w:hint="eastAsia" w:ascii="宋体" w:hAnsi="宋体" w:cs="宋体"/>
          <w:color w:val="auto"/>
        </w:rPr>
        <w:t>15</w:t>
      </w:r>
      <w:r>
        <w:rPr>
          <w:rFonts w:hint="eastAsia" w:ascii="宋体" w:hAnsi="宋体" w:cs="宋体"/>
          <w:color w:val="auto"/>
        </w:rPr>
        <w:fldChar w:fldCharType="end"/>
      </w:r>
      <w:r>
        <w:rPr>
          <w:rFonts w:hint="eastAsia" w:ascii="宋体" w:hAnsi="宋体" w:cs="宋体"/>
          <w:caps/>
          <w:color w:val="auto"/>
          <w:kern w:val="2"/>
          <w:szCs w:val="21"/>
          <w:lang w:val="zh-CN"/>
        </w:rPr>
        <w:fldChar w:fldCharType="end"/>
      </w:r>
    </w:p>
    <w:p>
      <w:pPr>
        <w:pStyle w:val="25"/>
        <w:tabs>
          <w:tab w:val="right" w:leader="dot" w:pos="9214"/>
        </w:tabs>
        <w:rPr>
          <w:rFonts w:hint="eastAsia" w:ascii="宋体" w:hAnsi="宋体" w:cs="宋体"/>
          <w:color w:val="auto"/>
        </w:rPr>
      </w:pPr>
      <w:r>
        <w:rPr>
          <w:rFonts w:hint="eastAsia" w:ascii="宋体" w:hAnsi="宋体" w:cs="宋体"/>
          <w:caps/>
          <w:color w:val="auto"/>
          <w:kern w:val="2"/>
          <w:szCs w:val="21"/>
          <w:lang w:val="zh-CN"/>
        </w:rPr>
        <w:fldChar w:fldCharType="begin"/>
      </w:r>
      <w:r>
        <w:rPr>
          <w:rFonts w:hint="eastAsia" w:ascii="宋体" w:hAnsi="宋体" w:cs="宋体"/>
          <w:caps/>
          <w:color w:val="auto"/>
          <w:kern w:val="2"/>
          <w:szCs w:val="21"/>
          <w:lang w:val="zh-CN"/>
        </w:rPr>
        <w:instrText xml:space="preserve"> HYPERLINK \l _Toc20892 </w:instrText>
      </w:r>
      <w:r>
        <w:rPr>
          <w:rFonts w:hint="eastAsia" w:ascii="宋体" w:hAnsi="宋体" w:cs="宋体"/>
          <w:caps/>
          <w:color w:val="auto"/>
          <w:kern w:val="2"/>
          <w:szCs w:val="21"/>
          <w:lang w:val="zh-CN"/>
        </w:rPr>
        <w:fldChar w:fldCharType="separate"/>
      </w:r>
      <w:r>
        <w:rPr>
          <w:rFonts w:hint="eastAsia" w:ascii="宋体" w:hAnsi="宋体" w:cs="宋体"/>
          <w:color w:val="auto"/>
          <w:kern w:val="2"/>
          <w:szCs w:val="21"/>
          <w:lang w:val="zh-CN"/>
        </w:rPr>
        <w:t>26   投标文件的澄清</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_Toc20892 \h </w:instrText>
      </w:r>
      <w:r>
        <w:rPr>
          <w:rFonts w:hint="eastAsia" w:ascii="宋体" w:hAnsi="宋体" w:cs="宋体"/>
          <w:color w:val="auto"/>
        </w:rPr>
        <w:fldChar w:fldCharType="separate"/>
      </w:r>
      <w:r>
        <w:rPr>
          <w:rFonts w:hint="eastAsia" w:ascii="宋体" w:hAnsi="宋体" w:cs="宋体"/>
          <w:color w:val="auto"/>
        </w:rPr>
        <w:t>15</w:t>
      </w:r>
      <w:r>
        <w:rPr>
          <w:rFonts w:hint="eastAsia" w:ascii="宋体" w:hAnsi="宋体" w:cs="宋体"/>
          <w:color w:val="auto"/>
        </w:rPr>
        <w:fldChar w:fldCharType="end"/>
      </w:r>
      <w:r>
        <w:rPr>
          <w:rFonts w:hint="eastAsia" w:ascii="宋体" w:hAnsi="宋体" w:cs="宋体"/>
          <w:caps/>
          <w:color w:val="auto"/>
          <w:kern w:val="2"/>
          <w:szCs w:val="21"/>
          <w:lang w:val="zh-CN"/>
        </w:rPr>
        <w:fldChar w:fldCharType="end"/>
      </w:r>
    </w:p>
    <w:p>
      <w:pPr>
        <w:pStyle w:val="25"/>
        <w:tabs>
          <w:tab w:val="right" w:leader="dot" w:pos="9214"/>
        </w:tabs>
        <w:rPr>
          <w:rFonts w:hint="eastAsia" w:ascii="宋体" w:hAnsi="宋体" w:cs="宋体"/>
          <w:color w:val="auto"/>
        </w:rPr>
      </w:pPr>
      <w:r>
        <w:rPr>
          <w:rFonts w:hint="eastAsia" w:ascii="宋体" w:hAnsi="宋体" w:cs="宋体"/>
          <w:caps/>
          <w:color w:val="auto"/>
          <w:kern w:val="2"/>
          <w:szCs w:val="21"/>
          <w:lang w:val="zh-CN"/>
        </w:rPr>
        <w:fldChar w:fldCharType="begin"/>
      </w:r>
      <w:r>
        <w:rPr>
          <w:rFonts w:hint="eastAsia" w:ascii="宋体" w:hAnsi="宋体" w:cs="宋体"/>
          <w:caps/>
          <w:color w:val="auto"/>
          <w:kern w:val="2"/>
          <w:szCs w:val="21"/>
          <w:lang w:val="zh-CN"/>
        </w:rPr>
        <w:instrText xml:space="preserve"> HYPERLINK \l _Toc19889 </w:instrText>
      </w:r>
      <w:r>
        <w:rPr>
          <w:rFonts w:hint="eastAsia" w:ascii="宋体" w:hAnsi="宋体" w:cs="宋体"/>
          <w:caps/>
          <w:color w:val="auto"/>
          <w:kern w:val="2"/>
          <w:szCs w:val="21"/>
          <w:lang w:val="zh-CN"/>
        </w:rPr>
        <w:fldChar w:fldCharType="separate"/>
      </w:r>
      <w:r>
        <w:rPr>
          <w:rFonts w:hint="eastAsia" w:ascii="宋体" w:hAnsi="宋体" w:cs="宋体"/>
          <w:color w:val="auto"/>
          <w:kern w:val="2"/>
          <w:szCs w:val="21"/>
          <w:lang w:val="zh-CN"/>
        </w:rPr>
        <w:t xml:space="preserve">27 </w:t>
      </w:r>
      <w:r>
        <w:rPr>
          <w:rFonts w:hint="eastAsia" w:ascii="宋体" w:hAnsi="宋体" w:cs="宋体"/>
          <w:color w:val="auto"/>
          <w:kern w:val="2"/>
          <w:szCs w:val="21"/>
        </w:rPr>
        <w:t xml:space="preserve">  </w:t>
      </w:r>
      <w:r>
        <w:rPr>
          <w:rFonts w:hint="eastAsia" w:ascii="宋体" w:hAnsi="宋体" w:cs="宋体"/>
          <w:color w:val="auto"/>
          <w:kern w:val="2"/>
          <w:szCs w:val="21"/>
          <w:lang w:val="zh-CN"/>
        </w:rPr>
        <w:t>对投标文件的比较和评价</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_Toc19889 \h </w:instrText>
      </w:r>
      <w:r>
        <w:rPr>
          <w:rFonts w:hint="eastAsia" w:ascii="宋体" w:hAnsi="宋体" w:cs="宋体"/>
          <w:color w:val="auto"/>
        </w:rPr>
        <w:fldChar w:fldCharType="separate"/>
      </w:r>
      <w:r>
        <w:rPr>
          <w:rFonts w:hint="eastAsia" w:ascii="宋体" w:hAnsi="宋体" w:cs="宋体"/>
          <w:color w:val="auto"/>
        </w:rPr>
        <w:t>16</w:t>
      </w:r>
      <w:r>
        <w:rPr>
          <w:rFonts w:hint="eastAsia" w:ascii="宋体" w:hAnsi="宋体" w:cs="宋体"/>
          <w:color w:val="auto"/>
        </w:rPr>
        <w:fldChar w:fldCharType="end"/>
      </w:r>
      <w:r>
        <w:rPr>
          <w:rFonts w:hint="eastAsia" w:ascii="宋体" w:hAnsi="宋体" w:cs="宋体"/>
          <w:caps/>
          <w:color w:val="auto"/>
          <w:kern w:val="2"/>
          <w:szCs w:val="21"/>
          <w:lang w:val="zh-CN"/>
        </w:rPr>
        <w:fldChar w:fldCharType="end"/>
      </w:r>
    </w:p>
    <w:p>
      <w:pPr>
        <w:pStyle w:val="25"/>
        <w:tabs>
          <w:tab w:val="right" w:leader="dot" w:pos="9214"/>
        </w:tabs>
        <w:rPr>
          <w:rFonts w:hint="eastAsia" w:ascii="宋体" w:hAnsi="宋体" w:cs="宋体"/>
          <w:color w:val="auto"/>
        </w:rPr>
      </w:pPr>
      <w:r>
        <w:rPr>
          <w:rFonts w:hint="eastAsia" w:ascii="宋体" w:hAnsi="宋体" w:cs="宋体"/>
          <w:caps/>
          <w:color w:val="auto"/>
          <w:kern w:val="2"/>
          <w:szCs w:val="21"/>
          <w:lang w:val="zh-CN"/>
        </w:rPr>
        <w:fldChar w:fldCharType="begin"/>
      </w:r>
      <w:r>
        <w:rPr>
          <w:rFonts w:hint="eastAsia" w:ascii="宋体" w:hAnsi="宋体" w:cs="宋体"/>
          <w:caps/>
          <w:color w:val="auto"/>
          <w:kern w:val="2"/>
          <w:szCs w:val="21"/>
          <w:lang w:val="zh-CN"/>
        </w:rPr>
        <w:instrText xml:space="preserve"> HYPERLINK \l _Toc29620 </w:instrText>
      </w:r>
      <w:r>
        <w:rPr>
          <w:rFonts w:hint="eastAsia" w:ascii="宋体" w:hAnsi="宋体" w:cs="宋体"/>
          <w:caps/>
          <w:color w:val="auto"/>
          <w:kern w:val="2"/>
          <w:szCs w:val="21"/>
          <w:lang w:val="zh-CN"/>
        </w:rPr>
        <w:fldChar w:fldCharType="separate"/>
      </w:r>
      <w:r>
        <w:rPr>
          <w:rFonts w:hint="eastAsia" w:ascii="宋体" w:hAnsi="宋体" w:cs="宋体"/>
          <w:color w:val="auto"/>
          <w:kern w:val="2"/>
          <w:szCs w:val="21"/>
          <w:lang w:val="zh-CN"/>
        </w:rPr>
        <w:t xml:space="preserve">28 </w:t>
      </w:r>
      <w:r>
        <w:rPr>
          <w:rFonts w:hint="eastAsia" w:ascii="宋体" w:hAnsi="宋体" w:cs="宋体"/>
          <w:color w:val="auto"/>
          <w:kern w:val="2"/>
          <w:szCs w:val="21"/>
        </w:rPr>
        <w:t xml:space="preserve">  </w:t>
      </w:r>
      <w:r>
        <w:rPr>
          <w:rFonts w:hint="eastAsia" w:ascii="宋体" w:hAnsi="宋体" w:cs="宋体"/>
          <w:color w:val="auto"/>
          <w:kern w:val="2"/>
          <w:szCs w:val="21"/>
          <w:lang w:val="zh-CN"/>
        </w:rPr>
        <w:t>评标原则及方法</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_Toc29620 \h </w:instrText>
      </w:r>
      <w:r>
        <w:rPr>
          <w:rFonts w:hint="eastAsia" w:ascii="宋体" w:hAnsi="宋体" w:cs="宋体"/>
          <w:color w:val="auto"/>
        </w:rPr>
        <w:fldChar w:fldCharType="separate"/>
      </w:r>
      <w:r>
        <w:rPr>
          <w:rFonts w:hint="eastAsia" w:ascii="宋体" w:hAnsi="宋体" w:cs="宋体"/>
          <w:color w:val="auto"/>
        </w:rPr>
        <w:t>16</w:t>
      </w:r>
      <w:r>
        <w:rPr>
          <w:rFonts w:hint="eastAsia" w:ascii="宋体" w:hAnsi="宋体" w:cs="宋体"/>
          <w:color w:val="auto"/>
        </w:rPr>
        <w:fldChar w:fldCharType="end"/>
      </w:r>
      <w:r>
        <w:rPr>
          <w:rFonts w:hint="eastAsia" w:ascii="宋体" w:hAnsi="宋体" w:cs="宋体"/>
          <w:caps/>
          <w:color w:val="auto"/>
          <w:kern w:val="2"/>
          <w:szCs w:val="21"/>
          <w:lang w:val="zh-CN"/>
        </w:rPr>
        <w:fldChar w:fldCharType="end"/>
      </w:r>
    </w:p>
    <w:p>
      <w:pPr>
        <w:pStyle w:val="25"/>
        <w:tabs>
          <w:tab w:val="right" w:leader="dot" w:pos="9214"/>
        </w:tabs>
        <w:rPr>
          <w:rFonts w:hint="eastAsia" w:ascii="宋体" w:hAnsi="宋体" w:cs="宋体"/>
          <w:color w:val="auto"/>
        </w:rPr>
      </w:pPr>
      <w:r>
        <w:rPr>
          <w:rFonts w:hint="eastAsia" w:ascii="宋体" w:hAnsi="宋体" w:cs="宋体"/>
          <w:caps/>
          <w:color w:val="auto"/>
          <w:kern w:val="2"/>
          <w:szCs w:val="21"/>
          <w:lang w:val="zh-CN"/>
        </w:rPr>
        <w:fldChar w:fldCharType="begin"/>
      </w:r>
      <w:r>
        <w:rPr>
          <w:rFonts w:hint="eastAsia" w:ascii="宋体" w:hAnsi="宋体" w:cs="宋体"/>
          <w:caps/>
          <w:color w:val="auto"/>
          <w:kern w:val="2"/>
          <w:szCs w:val="21"/>
          <w:lang w:val="zh-CN"/>
        </w:rPr>
        <w:instrText xml:space="preserve"> HYPERLINK \l _Toc18392 </w:instrText>
      </w:r>
      <w:r>
        <w:rPr>
          <w:rFonts w:hint="eastAsia" w:ascii="宋体" w:hAnsi="宋体" w:cs="宋体"/>
          <w:caps/>
          <w:color w:val="auto"/>
          <w:kern w:val="2"/>
          <w:szCs w:val="21"/>
          <w:lang w:val="zh-CN"/>
        </w:rPr>
        <w:fldChar w:fldCharType="separate"/>
      </w:r>
      <w:r>
        <w:rPr>
          <w:rFonts w:hint="eastAsia" w:ascii="宋体" w:hAnsi="宋体" w:cs="宋体"/>
          <w:color w:val="auto"/>
          <w:kern w:val="2"/>
          <w:szCs w:val="21"/>
          <w:lang w:val="zh-CN"/>
        </w:rPr>
        <w:t xml:space="preserve">29 </w:t>
      </w:r>
      <w:r>
        <w:rPr>
          <w:rFonts w:hint="eastAsia" w:ascii="宋体" w:hAnsi="宋体" w:cs="宋体"/>
          <w:color w:val="auto"/>
          <w:kern w:val="2"/>
          <w:szCs w:val="21"/>
        </w:rPr>
        <w:t xml:space="preserve">  </w:t>
      </w:r>
      <w:r>
        <w:rPr>
          <w:rFonts w:hint="eastAsia" w:ascii="宋体" w:hAnsi="宋体" w:cs="宋体"/>
          <w:color w:val="auto"/>
          <w:kern w:val="2"/>
          <w:szCs w:val="21"/>
          <w:lang w:val="zh-CN"/>
        </w:rPr>
        <w:t>评标结果公示及异议、投诉</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_Toc18392 \h </w:instrText>
      </w:r>
      <w:r>
        <w:rPr>
          <w:rFonts w:hint="eastAsia" w:ascii="宋体" w:hAnsi="宋体" w:cs="宋体"/>
          <w:color w:val="auto"/>
        </w:rPr>
        <w:fldChar w:fldCharType="separate"/>
      </w:r>
      <w:r>
        <w:rPr>
          <w:rFonts w:hint="eastAsia" w:ascii="宋体" w:hAnsi="宋体" w:cs="宋体"/>
          <w:color w:val="auto"/>
        </w:rPr>
        <w:t>16</w:t>
      </w:r>
      <w:r>
        <w:rPr>
          <w:rFonts w:hint="eastAsia" w:ascii="宋体" w:hAnsi="宋体" w:cs="宋体"/>
          <w:color w:val="auto"/>
        </w:rPr>
        <w:fldChar w:fldCharType="end"/>
      </w:r>
      <w:r>
        <w:rPr>
          <w:rFonts w:hint="eastAsia" w:ascii="宋体" w:hAnsi="宋体" w:cs="宋体"/>
          <w:caps/>
          <w:color w:val="auto"/>
          <w:kern w:val="2"/>
          <w:szCs w:val="21"/>
          <w:lang w:val="zh-CN"/>
        </w:rPr>
        <w:fldChar w:fldCharType="end"/>
      </w:r>
    </w:p>
    <w:p>
      <w:pPr>
        <w:pStyle w:val="25"/>
        <w:tabs>
          <w:tab w:val="right" w:leader="dot" w:pos="9214"/>
        </w:tabs>
        <w:rPr>
          <w:rFonts w:hint="eastAsia" w:ascii="宋体" w:hAnsi="宋体" w:cs="宋体"/>
          <w:color w:val="auto"/>
        </w:rPr>
      </w:pPr>
      <w:r>
        <w:rPr>
          <w:rFonts w:hint="eastAsia" w:ascii="宋体" w:hAnsi="宋体" w:cs="宋体"/>
          <w:caps/>
          <w:color w:val="auto"/>
          <w:kern w:val="2"/>
          <w:szCs w:val="21"/>
          <w:lang w:val="zh-CN"/>
        </w:rPr>
        <w:fldChar w:fldCharType="begin"/>
      </w:r>
      <w:r>
        <w:rPr>
          <w:rFonts w:hint="eastAsia" w:ascii="宋体" w:hAnsi="宋体" w:cs="宋体"/>
          <w:caps/>
          <w:color w:val="auto"/>
          <w:kern w:val="2"/>
          <w:szCs w:val="21"/>
          <w:lang w:val="zh-CN"/>
        </w:rPr>
        <w:instrText xml:space="preserve"> HYPERLINK \l _Toc31250 </w:instrText>
      </w:r>
      <w:r>
        <w:rPr>
          <w:rFonts w:hint="eastAsia" w:ascii="宋体" w:hAnsi="宋体" w:cs="宋体"/>
          <w:caps/>
          <w:color w:val="auto"/>
          <w:kern w:val="2"/>
          <w:szCs w:val="21"/>
          <w:lang w:val="zh-CN"/>
        </w:rPr>
        <w:fldChar w:fldCharType="separate"/>
      </w:r>
      <w:r>
        <w:rPr>
          <w:rFonts w:hint="eastAsia" w:ascii="宋体" w:hAnsi="宋体" w:cs="宋体"/>
          <w:color w:val="auto"/>
          <w:kern w:val="2"/>
          <w:szCs w:val="21"/>
          <w:lang w:val="zh-CN"/>
        </w:rPr>
        <w:t xml:space="preserve">30 </w:t>
      </w:r>
      <w:r>
        <w:rPr>
          <w:rFonts w:hint="eastAsia" w:ascii="宋体" w:hAnsi="宋体" w:cs="宋体"/>
          <w:color w:val="auto"/>
          <w:kern w:val="2"/>
          <w:szCs w:val="21"/>
        </w:rPr>
        <w:t xml:space="preserve">  </w:t>
      </w:r>
      <w:r>
        <w:rPr>
          <w:rFonts w:hint="eastAsia" w:ascii="宋体" w:hAnsi="宋体" w:cs="宋体"/>
          <w:color w:val="auto"/>
          <w:kern w:val="2"/>
          <w:szCs w:val="21"/>
          <w:lang w:val="zh-CN"/>
        </w:rPr>
        <w:t>真实性审查</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_Toc31250 \h </w:instrText>
      </w:r>
      <w:r>
        <w:rPr>
          <w:rFonts w:hint="eastAsia" w:ascii="宋体" w:hAnsi="宋体" w:cs="宋体"/>
          <w:color w:val="auto"/>
        </w:rPr>
        <w:fldChar w:fldCharType="separate"/>
      </w:r>
      <w:r>
        <w:rPr>
          <w:rFonts w:hint="eastAsia" w:ascii="宋体" w:hAnsi="宋体" w:cs="宋体"/>
          <w:color w:val="auto"/>
        </w:rPr>
        <w:t>17</w:t>
      </w:r>
      <w:r>
        <w:rPr>
          <w:rFonts w:hint="eastAsia" w:ascii="宋体" w:hAnsi="宋体" w:cs="宋体"/>
          <w:color w:val="auto"/>
        </w:rPr>
        <w:fldChar w:fldCharType="end"/>
      </w:r>
      <w:r>
        <w:rPr>
          <w:rFonts w:hint="eastAsia" w:ascii="宋体" w:hAnsi="宋体" w:cs="宋体"/>
          <w:caps/>
          <w:color w:val="auto"/>
          <w:kern w:val="2"/>
          <w:szCs w:val="21"/>
          <w:lang w:val="zh-CN"/>
        </w:rPr>
        <w:fldChar w:fldCharType="end"/>
      </w:r>
    </w:p>
    <w:p>
      <w:pPr>
        <w:pStyle w:val="40"/>
        <w:tabs>
          <w:tab w:val="right" w:leader="dot" w:pos="9214"/>
          <w:tab w:val="clear" w:pos="750"/>
          <w:tab w:val="clear" w:pos="9394"/>
        </w:tabs>
        <w:rPr>
          <w:rFonts w:hint="eastAsia" w:ascii="宋体" w:hAnsi="宋体" w:cs="宋体"/>
          <w:color w:val="auto"/>
        </w:rPr>
      </w:pPr>
      <w:r>
        <w:rPr>
          <w:rFonts w:hint="eastAsia" w:ascii="宋体" w:hAnsi="宋体" w:cs="宋体"/>
          <w:caps/>
          <w:color w:val="auto"/>
          <w:kern w:val="2"/>
          <w:szCs w:val="21"/>
          <w:lang w:val="zh-CN"/>
        </w:rPr>
        <w:fldChar w:fldCharType="begin"/>
      </w:r>
      <w:r>
        <w:rPr>
          <w:rFonts w:hint="eastAsia" w:ascii="宋体" w:hAnsi="宋体" w:cs="宋体"/>
          <w:caps/>
          <w:color w:val="auto"/>
          <w:kern w:val="2"/>
          <w:szCs w:val="21"/>
          <w:lang w:val="zh-CN"/>
        </w:rPr>
        <w:instrText xml:space="preserve"> HYPERLINK \l _Toc5093 </w:instrText>
      </w:r>
      <w:r>
        <w:rPr>
          <w:rFonts w:hint="eastAsia" w:ascii="宋体" w:hAnsi="宋体" w:cs="宋体"/>
          <w:caps/>
          <w:color w:val="auto"/>
          <w:kern w:val="2"/>
          <w:szCs w:val="21"/>
          <w:lang w:val="zh-CN"/>
        </w:rPr>
        <w:fldChar w:fldCharType="separate"/>
      </w:r>
      <w:r>
        <w:rPr>
          <w:rFonts w:ascii="宋体" w:hAnsi="宋体" w:cs="宋体"/>
          <w:color w:val="auto"/>
          <w:szCs w:val="21"/>
          <w:lang w:val="zh-CN"/>
        </w:rPr>
        <w:t xml:space="preserve">六、 </w:t>
      </w:r>
      <w:r>
        <w:rPr>
          <w:rFonts w:hint="eastAsia" w:ascii="宋体" w:hAnsi="宋体" w:cs="宋体"/>
          <w:color w:val="auto"/>
          <w:szCs w:val="21"/>
          <w:lang w:val="zh-CN"/>
        </w:rPr>
        <w:t>授予合同</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_Toc5093 \h </w:instrText>
      </w:r>
      <w:r>
        <w:rPr>
          <w:rFonts w:hint="eastAsia" w:ascii="宋体" w:hAnsi="宋体" w:cs="宋体"/>
          <w:color w:val="auto"/>
        </w:rPr>
        <w:fldChar w:fldCharType="separate"/>
      </w:r>
      <w:r>
        <w:rPr>
          <w:rFonts w:hint="eastAsia" w:ascii="宋体" w:hAnsi="宋体" w:cs="宋体"/>
          <w:color w:val="auto"/>
        </w:rPr>
        <w:t>18</w:t>
      </w:r>
      <w:r>
        <w:rPr>
          <w:rFonts w:hint="eastAsia" w:ascii="宋体" w:hAnsi="宋体" w:cs="宋体"/>
          <w:color w:val="auto"/>
        </w:rPr>
        <w:fldChar w:fldCharType="end"/>
      </w:r>
      <w:r>
        <w:rPr>
          <w:rFonts w:hint="eastAsia" w:ascii="宋体" w:hAnsi="宋体" w:cs="宋体"/>
          <w:caps/>
          <w:color w:val="auto"/>
          <w:kern w:val="2"/>
          <w:szCs w:val="21"/>
          <w:lang w:val="zh-CN"/>
        </w:rPr>
        <w:fldChar w:fldCharType="end"/>
      </w:r>
    </w:p>
    <w:p>
      <w:pPr>
        <w:pStyle w:val="25"/>
        <w:tabs>
          <w:tab w:val="right" w:leader="dot" w:pos="9214"/>
        </w:tabs>
        <w:rPr>
          <w:rFonts w:hint="eastAsia" w:ascii="宋体" w:hAnsi="宋体" w:cs="宋体"/>
          <w:color w:val="auto"/>
        </w:rPr>
      </w:pPr>
      <w:r>
        <w:rPr>
          <w:rFonts w:hint="eastAsia" w:ascii="宋体" w:hAnsi="宋体" w:cs="宋体"/>
          <w:caps/>
          <w:color w:val="auto"/>
          <w:kern w:val="2"/>
          <w:szCs w:val="21"/>
          <w:lang w:val="zh-CN"/>
        </w:rPr>
        <w:fldChar w:fldCharType="begin"/>
      </w:r>
      <w:r>
        <w:rPr>
          <w:rFonts w:hint="eastAsia" w:ascii="宋体" w:hAnsi="宋体" w:cs="宋体"/>
          <w:caps/>
          <w:color w:val="auto"/>
          <w:kern w:val="2"/>
          <w:szCs w:val="21"/>
          <w:lang w:val="zh-CN"/>
        </w:rPr>
        <w:instrText xml:space="preserve"> HYPERLINK \l _Toc16275 </w:instrText>
      </w:r>
      <w:r>
        <w:rPr>
          <w:rFonts w:hint="eastAsia" w:ascii="宋体" w:hAnsi="宋体" w:cs="宋体"/>
          <w:caps/>
          <w:color w:val="auto"/>
          <w:kern w:val="2"/>
          <w:szCs w:val="21"/>
          <w:lang w:val="zh-CN"/>
        </w:rPr>
        <w:fldChar w:fldCharType="separate"/>
      </w:r>
      <w:r>
        <w:rPr>
          <w:rFonts w:hint="eastAsia" w:ascii="宋体" w:hAnsi="宋体" w:cs="宋体"/>
          <w:color w:val="auto"/>
          <w:kern w:val="2"/>
          <w:szCs w:val="21"/>
          <w:lang w:val="zh-CN"/>
        </w:rPr>
        <w:t>3</w:t>
      </w:r>
      <w:r>
        <w:rPr>
          <w:rFonts w:hint="eastAsia" w:ascii="宋体" w:hAnsi="宋体" w:cs="宋体"/>
          <w:color w:val="auto"/>
          <w:kern w:val="2"/>
          <w:szCs w:val="21"/>
        </w:rPr>
        <w:t xml:space="preserve">1  </w:t>
      </w:r>
      <w:r>
        <w:rPr>
          <w:rFonts w:hint="eastAsia" w:ascii="宋体" w:hAnsi="宋体" w:cs="宋体"/>
          <w:color w:val="auto"/>
          <w:kern w:val="2"/>
          <w:szCs w:val="21"/>
          <w:lang w:val="zh-CN"/>
        </w:rPr>
        <w:t xml:space="preserve"> 授予合同的准则</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_Toc16275 \h </w:instrText>
      </w:r>
      <w:r>
        <w:rPr>
          <w:rFonts w:hint="eastAsia" w:ascii="宋体" w:hAnsi="宋体" w:cs="宋体"/>
          <w:color w:val="auto"/>
        </w:rPr>
        <w:fldChar w:fldCharType="separate"/>
      </w:r>
      <w:r>
        <w:rPr>
          <w:rFonts w:hint="eastAsia" w:ascii="宋体" w:hAnsi="宋体" w:cs="宋体"/>
          <w:color w:val="auto"/>
        </w:rPr>
        <w:t>18</w:t>
      </w:r>
      <w:r>
        <w:rPr>
          <w:rFonts w:hint="eastAsia" w:ascii="宋体" w:hAnsi="宋体" w:cs="宋体"/>
          <w:color w:val="auto"/>
        </w:rPr>
        <w:fldChar w:fldCharType="end"/>
      </w:r>
      <w:r>
        <w:rPr>
          <w:rFonts w:hint="eastAsia" w:ascii="宋体" w:hAnsi="宋体" w:cs="宋体"/>
          <w:caps/>
          <w:color w:val="auto"/>
          <w:kern w:val="2"/>
          <w:szCs w:val="21"/>
          <w:lang w:val="zh-CN"/>
        </w:rPr>
        <w:fldChar w:fldCharType="end"/>
      </w:r>
    </w:p>
    <w:p>
      <w:pPr>
        <w:pStyle w:val="25"/>
        <w:tabs>
          <w:tab w:val="right" w:leader="dot" w:pos="9214"/>
        </w:tabs>
        <w:rPr>
          <w:rFonts w:hint="eastAsia" w:ascii="宋体" w:hAnsi="宋体" w:cs="宋体"/>
          <w:color w:val="auto"/>
        </w:rPr>
      </w:pPr>
      <w:r>
        <w:rPr>
          <w:rFonts w:hint="eastAsia" w:ascii="宋体" w:hAnsi="宋体" w:cs="宋体"/>
          <w:caps/>
          <w:color w:val="auto"/>
          <w:kern w:val="2"/>
          <w:szCs w:val="21"/>
          <w:lang w:val="zh-CN"/>
        </w:rPr>
        <w:fldChar w:fldCharType="begin"/>
      </w:r>
      <w:r>
        <w:rPr>
          <w:rFonts w:hint="eastAsia" w:ascii="宋体" w:hAnsi="宋体" w:cs="宋体"/>
          <w:caps/>
          <w:color w:val="auto"/>
          <w:kern w:val="2"/>
          <w:szCs w:val="21"/>
          <w:lang w:val="zh-CN"/>
        </w:rPr>
        <w:instrText xml:space="preserve"> HYPERLINK \l _Toc28933 </w:instrText>
      </w:r>
      <w:r>
        <w:rPr>
          <w:rFonts w:hint="eastAsia" w:ascii="宋体" w:hAnsi="宋体" w:cs="宋体"/>
          <w:caps/>
          <w:color w:val="auto"/>
          <w:kern w:val="2"/>
          <w:szCs w:val="21"/>
          <w:lang w:val="zh-CN"/>
        </w:rPr>
        <w:fldChar w:fldCharType="separate"/>
      </w:r>
      <w:r>
        <w:rPr>
          <w:rFonts w:hint="eastAsia" w:ascii="宋体" w:hAnsi="宋体" w:cs="宋体"/>
          <w:color w:val="auto"/>
          <w:kern w:val="2"/>
          <w:szCs w:val="21"/>
          <w:lang w:val="zh-CN"/>
        </w:rPr>
        <w:t>3</w:t>
      </w:r>
      <w:r>
        <w:rPr>
          <w:rFonts w:hint="eastAsia" w:ascii="宋体" w:hAnsi="宋体" w:cs="宋体"/>
          <w:color w:val="auto"/>
          <w:kern w:val="2"/>
          <w:szCs w:val="21"/>
        </w:rPr>
        <w:t>2</w:t>
      </w:r>
      <w:r>
        <w:rPr>
          <w:rFonts w:hint="eastAsia" w:ascii="宋体" w:hAnsi="宋体" w:cs="宋体"/>
          <w:color w:val="auto"/>
          <w:kern w:val="2"/>
          <w:szCs w:val="21"/>
          <w:lang w:val="zh-CN"/>
        </w:rPr>
        <w:t xml:space="preserve"> </w:t>
      </w:r>
      <w:r>
        <w:rPr>
          <w:rFonts w:hint="eastAsia" w:ascii="宋体" w:hAnsi="宋体" w:cs="宋体"/>
          <w:color w:val="auto"/>
          <w:kern w:val="2"/>
          <w:szCs w:val="21"/>
        </w:rPr>
        <w:t xml:space="preserve">  </w:t>
      </w:r>
      <w:r>
        <w:rPr>
          <w:rFonts w:hint="eastAsia" w:ascii="宋体" w:hAnsi="宋体" w:cs="宋体"/>
          <w:color w:val="auto"/>
          <w:kern w:val="2"/>
          <w:szCs w:val="21"/>
          <w:lang w:val="zh-CN"/>
        </w:rPr>
        <w:t>中标通知</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_Toc28933 \h </w:instrText>
      </w:r>
      <w:r>
        <w:rPr>
          <w:rFonts w:hint="eastAsia" w:ascii="宋体" w:hAnsi="宋体" w:cs="宋体"/>
          <w:color w:val="auto"/>
        </w:rPr>
        <w:fldChar w:fldCharType="separate"/>
      </w:r>
      <w:r>
        <w:rPr>
          <w:rFonts w:hint="eastAsia" w:ascii="宋体" w:hAnsi="宋体" w:cs="宋体"/>
          <w:color w:val="auto"/>
        </w:rPr>
        <w:t>18</w:t>
      </w:r>
      <w:r>
        <w:rPr>
          <w:rFonts w:hint="eastAsia" w:ascii="宋体" w:hAnsi="宋体" w:cs="宋体"/>
          <w:color w:val="auto"/>
        </w:rPr>
        <w:fldChar w:fldCharType="end"/>
      </w:r>
      <w:r>
        <w:rPr>
          <w:rFonts w:hint="eastAsia" w:ascii="宋体" w:hAnsi="宋体" w:cs="宋体"/>
          <w:caps/>
          <w:color w:val="auto"/>
          <w:kern w:val="2"/>
          <w:szCs w:val="21"/>
          <w:lang w:val="zh-CN"/>
        </w:rPr>
        <w:fldChar w:fldCharType="end"/>
      </w:r>
    </w:p>
    <w:p>
      <w:pPr>
        <w:pStyle w:val="25"/>
        <w:tabs>
          <w:tab w:val="right" w:leader="dot" w:pos="9214"/>
        </w:tabs>
        <w:rPr>
          <w:rFonts w:hint="eastAsia" w:ascii="宋体" w:hAnsi="宋体" w:cs="宋体"/>
          <w:color w:val="auto"/>
        </w:rPr>
      </w:pPr>
      <w:r>
        <w:rPr>
          <w:rFonts w:hint="eastAsia" w:ascii="宋体" w:hAnsi="宋体" w:cs="宋体"/>
          <w:caps/>
          <w:color w:val="auto"/>
          <w:kern w:val="2"/>
          <w:szCs w:val="21"/>
          <w:lang w:val="zh-CN"/>
        </w:rPr>
        <w:fldChar w:fldCharType="begin"/>
      </w:r>
      <w:r>
        <w:rPr>
          <w:rFonts w:hint="eastAsia" w:ascii="宋体" w:hAnsi="宋体" w:cs="宋体"/>
          <w:caps/>
          <w:color w:val="auto"/>
          <w:kern w:val="2"/>
          <w:szCs w:val="21"/>
          <w:lang w:val="zh-CN"/>
        </w:rPr>
        <w:instrText xml:space="preserve"> HYPERLINK \l _Toc8048 </w:instrText>
      </w:r>
      <w:r>
        <w:rPr>
          <w:rFonts w:hint="eastAsia" w:ascii="宋体" w:hAnsi="宋体" w:cs="宋体"/>
          <w:caps/>
          <w:color w:val="auto"/>
          <w:kern w:val="2"/>
          <w:szCs w:val="21"/>
          <w:lang w:val="zh-CN"/>
        </w:rPr>
        <w:fldChar w:fldCharType="separate"/>
      </w:r>
      <w:r>
        <w:rPr>
          <w:rFonts w:hint="eastAsia" w:ascii="宋体" w:hAnsi="宋体" w:cs="宋体"/>
          <w:color w:val="auto"/>
          <w:kern w:val="2"/>
          <w:szCs w:val="21"/>
          <w:lang w:val="zh-CN"/>
        </w:rPr>
        <w:t>3</w:t>
      </w:r>
      <w:r>
        <w:rPr>
          <w:rFonts w:hint="eastAsia" w:ascii="宋体" w:hAnsi="宋体" w:cs="宋体"/>
          <w:color w:val="auto"/>
          <w:kern w:val="2"/>
          <w:szCs w:val="21"/>
        </w:rPr>
        <w:t>3</w:t>
      </w:r>
      <w:r>
        <w:rPr>
          <w:rFonts w:hint="eastAsia" w:ascii="宋体" w:hAnsi="宋体" w:cs="宋体"/>
          <w:color w:val="auto"/>
          <w:kern w:val="2"/>
          <w:szCs w:val="21"/>
          <w:lang w:val="zh-CN"/>
        </w:rPr>
        <w:t xml:space="preserve"> </w:t>
      </w:r>
      <w:r>
        <w:rPr>
          <w:rFonts w:hint="eastAsia" w:ascii="宋体" w:hAnsi="宋体" w:cs="宋体"/>
          <w:color w:val="auto"/>
          <w:kern w:val="2"/>
          <w:szCs w:val="21"/>
        </w:rPr>
        <w:t xml:space="preserve">  </w:t>
      </w:r>
      <w:r>
        <w:rPr>
          <w:rFonts w:hint="eastAsia" w:ascii="宋体" w:hAnsi="宋体" w:cs="宋体"/>
          <w:color w:val="auto"/>
          <w:kern w:val="2"/>
          <w:szCs w:val="21"/>
          <w:lang w:val="zh-CN"/>
        </w:rPr>
        <w:t>签署合同</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_Toc8048 \h </w:instrText>
      </w:r>
      <w:r>
        <w:rPr>
          <w:rFonts w:hint="eastAsia" w:ascii="宋体" w:hAnsi="宋体" w:cs="宋体"/>
          <w:color w:val="auto"/>
        </w:rPr>
        <w:fldChar w:fldCharType="separate"/>
      </w:r>
      <w:r>
        <w:rPr>
          <w:rFonts w:hint="eastAsia" w:ascii="宋体" w:hAnsi="宋体" w:cs="宋体"/>
          <w:color w:val="auto"/>
        </w:rPr>
        <w:t>18</w:t>
      </w:r>
      <w:r>
        <w:rPr>
          <w:rFonts w:hint="eastAsia" w:ascii="宋体" w:hAnsi="宋体" w:cs="宋体"/>
          <w:color w:val="auto"/>
        </w:rPr>
        <w:fldChar w:fldCharType="end"/>
      </w:r>
      <w:r>
        <w:rPr>
          <w:rFonts w:hint="eastAsia" w:ascii="宋体" w:hAnsi="宋体" w:cs="宋体"/>
          <w:caps/>
          <w:color w:val="auto"/>
          <w:kern w:val="2"/>
          <w:szCs w:val="21"/>
          <w:lang w:val="zh-CN"/>
        </w:rPr>
        <w:fldChar w:fldCharType="end"/>
      </w:r>
    </w:p>
    <w:p>
      <w:pPr>
        <w:pStyle w:val="25"/>
        <w:tabs>
          <w:tab w:val="right" w:leader="dot" w:pos="9214"/>
        </w:tabs>
        <w:rPr>
          <w:rFonts w:hint="eastAsia" w:ascii="宋体" w:hAnsi="宋体" w:cs="宋体"/>
          <w:color w:val="auto"/>
        </w:rPr>
      </w:pPr>
      <w:r>
        <w:rPr>
          <w:rFonts w:hint="eastAsia" w:ascii="宋体" w:hAnsi="宋体" w:cs="宋体"/>
          <w:caps/>
          <w:color w:val="auto"/>
          <w:kern w:val="2"/>
          <w:szCs w:val="21"/>
          <w:lang w:val="zh-CN"/>
        </w:rPr>
        <w:fldChar w:fldCharType="begin"/>
      </w:r>
      <w:r>
        <w:rPr>
          <w:rFonts w:hint="eastAsia" w:ascii="宋体" w:hAnsi="宋体" w:cs="宋体"/>
          <w:caps/>
          <w:color w:val="auto"/>
          <w:kern w:val="2"/>
          <w:szCs w:val="21"/>
          <w:lang w:val="zh-CN"/>
        </w:rPr>
        <w:instrText xml:space="preserve"> HYPERLINK \l _Toc27484 </w:instrText>
      </w:r>
      <w:r>
        <w:rPr>
          <w:rFonts w:hint="eastAsia" w:ascii="宋体" w:hAnsi="宋体" w:cs="宋体"/>
          <w:caps/>
          <w:color w:val="auto"/>
          <w:kern w:val="2"/>
          <w:szCs w:val="21"/>
          <w:lang w:val="zh-CN"/>
        </w:rPr>
        <w:fldChar w:fldCharType="separate"/>
      </w:r>
      <w:r>
        <w:rPr>
          <w:rFonts w:hint="eastAsia" w:ascii="宋体" w:hAnsi="宋体" w:cs="宋体"/>
          <w:color w:val="auto"/>
          <w:kern w:val="2"/>
          <w:szCs w:val="21"/>
          <w:lang w:val="zh-CN"/>
        </w:rPr>
        <w:t>3</w:t>
      </w:r>
      <w:r>
        <w:rPr>
          <w:rFonts w:hint="eastAsia" w:ascii="宋体" w:hAnsi="宋体" w:cs="宋体"/>
          <w:color w:val="auto"/>
          <w:kern w:val="2"/>
          <w:szCs w:val="21"/>
        </w:rPr>
        <w:t>4</w:t>
      </w:r>
      <w:r>
        <w:rPr>
          <w:rFonts w:hint="eastAsia" w:ascii="宋体" w:hAnsi="宋体" w:cs="宋体"/>
          <w:color w:val="auto"/>
          <w:kern w:val="2"/>
          <w:szCs w:val="21"/>
          <w:lang w:val="zh-CN"/>
        </w:rPr>
        <w:t xml:space="preserve"> </w:t>
      </w:r>
      <w:r>
        <w:rPr>
          <w:rFonts w:hint="eastAsia" w:ascii="宋体" w:hAnsi="宋体" w:cs="宋体"/>
          <w:color w:val="auto"/>
          <w:kern w:val="2"/>
          <w:szCs w:val="21"/>
        </w:rPr>
        <w:t xml:space="preserve">  </w:t>
      </w:r>
      <w:r>
        <w:rPr>
          <w:rFonts w:hint="eastAsia" w:ascii="宋体" w:hAnsi="宋体" w:cs="宋体"/>
          <w:color w:val="auto"/>
          <w:kern w:val="2"/>
          <w:szCs w:val="21"/>
          <w:lang w:val="zh-CN"/>
        </w:rPr>
        <w:t>履约担保</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_Toc27484 \h </w:instrText>
      </w:r>
      <w:r>
        <w:rPr>
          <w:rFonts w:hint="eastAsia" w:ascii="宋体" w:hAnsi="宋体" w:cs="宋体"/>
          <w:color w:val="auto"/>
        </w:rPr>
        <w:fldChar w:fldCharType="separate"/>
      </w:r>
      <w:r>
        <w:rPr>
          <w:rFonts w:hint="eastAsia" w:ascii="宋体" w:hAnsi="宋体" w:cs="宋体"/>
          <w:color w:val="auto"/>
        </w:rPr>
        <w:t>18</w:t>
      </w:r>
      <w:r>
        <w:rPr>
          <w:rFonts w:hint="eastAsia" w:ascii="宋体" w:hAnsi="宋体" w:cs="宋体"/>
          <w:color w:val="auto"/>
        </w:rPr>
        <w:fldChar w:fldCharType="end"/>
      </w:r>
      <w:r>
        <w:rPr>
          <w:rFonts w:hint="eastAsia" w:ascii="宋体" w:hAnsi="宋体" w:cs="宋体"/>
          <w:caps/>
          <w:color w:val="auto"/>
          <w:kern w:val="2"/>
          <w:szCs w:val="21"/>
          <w:lang w:val="zh-CN"/>
        </w:rPr>
        <w:fldChar w:fldCharType="end"/>
      </w:r>
    </w:p>
    <w:p>
      <w:pPr>
        <w:pStyle w:val="25"/>
        <w:tabs>
          <w:tab w:val="right" w:leader="dot" w:pos="9214"/>
        </w:tabs>
        <w:rPr>
          <w:rFonts w:hint="eastAsia" w:ascii="宋体" w:hAnsi="宋体" w:cs="宋体"/>
          <w:color w:val="auto"/>
        </w:rPr>
      </w:pPr>
      <w:r>
        <w:rPr>
          <w:rFonts w:hint="eastAsia" w:ascii="宋体" w:hAnsi="宋体" w:cs="宋体"/>
          <w:caps/>
          <w:color w:val="auto"/>
          <w:kern w:val="2"/>
          <w:szCs w:val="21"/>
          <w:lang w:val="zh-CN"/>
        </w:rPr>
        <w:fldChar w:fldCharType="begin"/>
      </w:r>
      <w:r>
        <w:rPr>
          <w:rFonts w:hint="eastAsia" w:ascii="宋体" w:hAnsi="宋体" w:cs="宋体"/>
          <w:caps/>
          <w:color w:val="auto"/>
          <w:kern w:val="2"/>
          <w:szCs w:val="21"/>
          <w:lang w:val="zh-CN"/>
        </w:rPr>
        <w:instrText xml:space="preserve"> HYPERLINK \l _Toc25536 </w:instrText>
      </w:r>
      <w:r>
        <w:rPr>
          <w:rFonts w:hint="eastAsia" w:ascii="宋体" w:hAnsi="宋体" w:cs="宋体"/>
          <w:caps/>
          <w:color w:val="auto"/>
          <w:kern w:val="2"/>
          <w:szCs w:val="21"/>
          <w:lang w:val="zh-CN"/>
        </w:rPr>
        <w:fldChar w:fldCharType="separate"/>
      </w:r>
      <w:r>
        <w:rPr>
          <w:rFonts w:hint="eastAsia" w:ascii="宋体" w:hAnsi="宋体" w:cs="宋体"/>
          <w:color w:val="auto"/>
          <w:kern w:val="2"/>
          <w:szCs w:val="21"/>
          <w:lang w:val="zh-CN"/>
        </w:rPr>
        <w:t>3</w:t>
      </w:r>
      <w:r>
        <w:rPr>
          <w:rFonts w:hint="eastAsia" w:ascii="宋体" w:hAnsi="宋体" w:cs="宋体"/>
          <w:color w:val="auto"/>
          <w:kern w:val="2"/>
          <w:szCs w:val="21"/>
        </w:rPr>
        <w:t>5</w:t>
      </w:r>
      <w:r>
        <w:rPr>
          <w:rFonts w:hint="eastAsia" w:ascii="宋体" w:hAnsi="宋体" w:cs="宋体"/>
          <w:color w:val="auto"/>
          <w:kern w:val="2"/>
          <w:szCs w:val="21"/>
          <w:lang w:val="zh-CN"/>
        </w:rPr>
        <w:t xml:space="preserve"> </w:t>
      </w:r>
      <w:r>
        <w:rPr>
          <w:rFonts w:hint="eastAsia" w:ascii="宋体" w:hAnsi="宋体" w:cs="宋体"/>
          <w:color w:val="auto"/>
          <w:kern w:val="2"/>
          <w:szCs w:val="21"/>
        </w:rPr>
        <w:t xml:space="preserve">  </w:t>
      </w:r>
      <w:r>
        <w:rPr>
          <w:rFonts w:hint="eastAsia" w:ascii="宋体" w:hAnsi="宋体" w:cs="宋体"/>
          <w:color w:val="auto"/>
          <w:kern w:val="2"/>
          <w:szCs w:val="21"/>
          <w:lang w:val="zh-CN"/>
        </w:rPr>
        <w:t>在合同履行中变更采购服务范围的权利</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_Toc25536 \h </w:instrText>
      </w:r>
      <w:r>
        <w:rPr>
          <w:rFonts w:hint="eastAsia" w:ascii="宋体" w:hAnsi="宋体" w:cs="宋体"/>
          <w:color w:val="auto"/>
        </w:rPr>
        <w:fldChar w:fldCharType="separate"/>
      </w:r>
      <w:r>
        <w:rPr>
          <w:rFonts w:hint="eastAsia" w:ascii="宋体" w:hAnsi="宋体" w:cs="宋体"/>
          <w:color w:val="auto"/>
        </w:rPr>
        <w:t>20</w:t>
      </w:r>
      <w:r>
        <w:rPr>
          <w:rFonts w:hint="eastAsia" w:ascii="宋体" w:hAnsi="宋体" w:cs="宋体"/>
          <w:color w:val="auto"/>
        </w:rPr>
        <w:fldChar w:fldCharType="end"/>
      </w:r>
      <w:r>
        <w:rPr>
          <w:rFonts w:hint="eastAsia" w:ascii="宋体" w:hAnsi="宋体" w:cs="宋体"/>
          <w:caps/>
          <w:color w:val="auto"/>
          <w:kern w:val="2"/>
          <w:szCs w:val="21"/>
          <w:lang w:val="zh-CN"/>
        </w:rPr>
        <w:fldChar w:fldCharType="end"/>
      </w:r>
    </w:p>
    <w:p>
      <w:pPr>
        <w:pStyle w:val="25"/>
        <w:tabs>
          <w:tab w:val="right" w:leader="dot" w:pos="9214"/>
        </w:tabs>
        <w:rPr>
          <w:rFonts w:hint="eastAsia" w:ascii="宋体" w:hAnsi="宋体" w:cs="宋体"/>
          <w:color w:val="auto"/>
        </w:rPr>
      </w:pPr>
      <w:r>
        <w:rPr>
          <w:rFonts w:hint="eastAsia" w:ascii="宋体" w:hAnsi="宋体" w:cs="宋体"/>
          <w:caps/>
          <w:color w:val="auto"/>
          <w:kern w:val="2"/>
          <w:szCs w:val="21"/>
          <w:lang w:val="zh-CN"/>
        </w:rPr>
        <w:fldChar w:fldCharType="begin"/>
      </w:r>
      <w:r>
        <w:rPr>
          <w:rFonts w:hint="eastAsia" w:ascii="宋体" w:hAnsi="宋体" w:cs="宋体"/>
          <w:caps/>
          <w:color w:val="auto"/>
          <w:kern w:val="2"/>
          <w:szCs w:val="21"/>
          <w:lang w:val="zh-CN"/>
        </w:rPr>
        <w:instrText xml:space="preserve"> HYPERLINK \l _Toc262 </w:instrText>
      </w:r>
      <w:r>
        <w:rPr>
          <w:rFonts w:hint="eastAsia" w:ascii="宋体" w:hAnsi="宋体" w:cs="宋体"/>
          <w:caps/>
          <w:color w:val="auto"/>
          <w:kern w:val="2"/>
          <w:szCs w:val="21"/>
          <w:lang w:val="zh-CN"/>
        </w:rPr>
        <w:fldChar w:fldCharType="separate"/>
      </w:r>
      <w:r>
        <w:rPr>
          <w:rFonts w:hint="eastAsia" w:ascii="宋体" w:hAnsi="宋体" w:cs="宋体"/>
          <w:color w:val="auto"/>
          <w:kern w:val="2"/>
          <w:szCs w:val="21"/>
          <w:lang w:val="zh-CN"/>
        </w:rPr>
        <w:t>3</w:t>
      </w:r>
      <w:r>
        <w:rPr>
          <w:rFonts w:hint="eastAsia" w:ascii="宋体" w:hAnsi="宋体" w:cs="宋体"/>
          <w:color w:val="auto"/>
          <w:kern w:val="2"/>
          <w:szCs w:val="21"/>
        </w:rPr>
        <w:t>6</w:t>
      </w:r>
      <w:r>
        <w:rPr>
          <w:rFonts w:hint="eastAsia" w:ascii="宋体" w:hAnsi="宋体" w:cs="宋体"/>
          <w:color w:val="auto"/>
          <w:kern w:val="2"/>
          <w:szCs w:val="21"/>
          <w:lang w:val="zh-CN"/>
        </w:rPr>
        <w:t xml:space="preserve"> </w:t>
      </w:r>
      <w:r>
        <w:rPr>
          <w:rFonts w:hint="eastAsia" w:ascii="宋体" w:hAnsi="宋体" w:cs="宋体"/>
          <w:color w:val="auto"/>
          <w:kern w:val="2"/>
          <w:szCs w:val="21"/>
        </w:rPr>
        <w:t xml:space="preserve">  </w:t>
      </w:r>
      <w:r>
        <w:rPr>
          <w:rFonts w:hint="eastAsia" w:ascii="宋体" w:hAnsi="宋体" w:cs="宋体"/>
          <w:color w:val="auto"/>
          <w:kern w:val="2"/>
          <w:szCs w:val="21"/>
          <w:lang w:val="zh-CN"/>
        </w:rPr>
        <w:t>中标服务费</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_Toc262 \h </w:instrText>
      </w:r>
      <w:r>
        <w:rPr>
          <w:rFonts w:hint="eastAsia" w:ascii="宋体" w:hAnsi="宋体" w:cs="宋体"/>
          <w:color w:val="auto"/>
        </w:rPr>
        <w:fldChar w:fldCharType="separate"/>
      </w:r>
      <w:r>
        <w:rPr>
          <w:rFonts w:hint="eastAsia" w:ascii="宋体" w:hAnsi="宋体" w:cs="宋体"/>
          <w:color w:val="auto"/>
        </w:rPr>
        <w:t>20</w:t>
      </w:r>
      <w:r>
        <w:rPr>
          <w:rFonts w:hint="eastAsia" w:ascii="宋体" w:hAnsi="宋体" w:cs="宋体"/>
          <w:color w:val="auto"/>
        </w:rPr>
        <w:fldChar w:fldCharType="end"/>
      </w:r>
      <w:r>
        <w:rPr>
          <w:rFonts w:hint="eastAsia" w:ascii="宋体" w:hAnsi="宋体" w:cs="宋体"/>
          <w:caps/>
          <w:color w:val="auto"/>
          <w:kern w:val="2"/>
          <w:szCs w:val="21"/>
          <w:lang w:val="zh-CN"/>
        </w:rPr>
        <w:fldChar w:fldCharType="end"/>
      </w:r>
    </w:p>
    <w:p>
      <w:pPr>
        <w:pStyle w:val="25"/>
        <w:tabs>
          <w:tab w:val="right" w:leader="dot" w:pos="9214"/>
        </w:tabs>
        <w:rPr>
          <w:rFonts w:hint="eastAsia" w:ascii="宋体" w:hAnsi="宋体" w:cs="宋体"/>
          <w:color w:val="auto"/>
        </w:rPr>
      </w:pPr>
      <w:r>
        <w:rPr>
          <w:rFonts w:hint="eastAsia" w:ascii="宋体" w:hAnsi="宋体" w:cs="宋体"/>
          <w:caps/>
          <w:color w:val="auto"/>
          <w:kern w:val="2"/>
          <w:szCs w:val="21"/>
          <w:lang w:val="zh-CN"/>
        </w:rPr>
        <w:fldChar w:fldCharType="begin"/>
      </w:r>
      <w:r>
        <w:rPr>
          <w:rFonts w:hint="eastAsia" w:ascii="宋体" w:hAnsi="宋体" w:cs="宋体"/>
          <w:caps/>
          <w:color w:val="auto"/>
          <w:kern w:val="2"/>
          <w:szCs w:val="21"/>
          <w:lang w:val="zh-CN"/>
        </w:rPr>
        <w:instrText xml:space="preserve"> HYPERLINK \l _Toc1294 </w:instrText>
      </w:r>
      <w:r>
        <w:rPr>
          <w:rFonts w:hint="eastAsia" w:ascii="宋体" w:hAnsi="宋体" w:cs="宋体"/>
          <w:caps/>
          <w:color w:val="auto"/>
          <w:kern w:val="2"/>
          <w:szCs w:val="21"/>
          <w:lang w:val="zh-CN"/>
        </w:rPr>
        <w:fldChar w:fldCharType="separate"/>
      </w:r>
      <w:r>
        <w:rPr>
          <w:rFonts w:hint="eastAsia" w:ascii="宋体" w:hAnsi="宋体" w:cs="宋体"/>
          <w:color w:val="auto"/>
          <w:kern w:val="2"/>
          <w:szCs w:val="21"/>
          <w:lang w:val="zh-CN"/>
        </w:rPr>
        <w:t>3</w:t>
      </w:r>
      <w:r>
        <w:rPr>
          <w:rFonts w:hint="eastAsia" w:ascii="宋体" w:hAnsi="宋体" w:cs="宋体"/>
          <w:color w:val="auto"/>
          <w:kern w:val="2"/>
          <w:szCs w:val="21"/>
        </w:rPr>
        <w:t>7</w:t>
      </w:r>
      <w:r>
        <w:rPr>
          <w:rFonts w:hint="eastAsia" w:ascii="宋体" w:hAnsi="宋体" w:cs="宋体"/>
          <w:color w:val="auto"/>
          <w:kern w:val="2"/>
          <w:szCs w:val="21"/>
          <w:lang w:val="zh-CN"/>
        </w:rPr>
        <w:t xml:space="preserve"> </w:t>
      </w:r>
      <w:r>
        <w:rPr>
          <w:rFonts w:hint="eastAsia" w:ascii="宋体" w:hAnsi="宋体" w:cs="宋体"/>
          <w:color w:val="auto"/>
          <w:kern w:val="2"/>
          <w:szCs w:val="21"/>
        </w:rPr>
        <w:t xml:space="preserve">  </w:t>
      </w:r>
      <w:r>
        <w:rPr>
          <w:rFonts w:hint="eastAsia" w:ascii="宋体" w:hAnsi="宋体" w:cs="宋体"/>
          <w:color w:val="auto"/>
          <w:kern w:val="2"/>
          <w:szCs w:val="21"/>
          <w:lang w:val="zh-CN"/>
        </w:rPr>
        <w:t>发票</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_Toc1294 \h </w:instrText>
      </w:r>
      <w:r>
        <w:rPr>
          <w:rFonts w:hint="eastAsia" w:ascii="宋体" w:hAnsi="宋体" w:cs="宋体"/>
          <w:color w:val="auto"/>
        </w:rPr>
        <w:fldChar w:fldCharType="separate"/>
      </w:r>
      <w:r>
        <w:rPr>
          <w:rFonts w:hint="eastAsia" w:ascii="宋体" w:hAnsi="宋体" w:cs="宋体"/>
          <w:color w:val="auto"/>
        </w:rPr>
        <w:t>21</w:t>
      </w:r>
      <w:r>
        <w:rPr>
          <w:rFonts w:hint="eastAsia" w:ascii="宋体" w:hAnsi="宋体" w:cs="宋体"/>
          <w:color w:val="auto"/>
        </w:rPr>
        <w:fldChar w:fldCharType="end"/>
      </w:r>
      <w:r>
        <w:rPr>
          <w:rFonts w:hint="eastAsia" w:ascii="宋体" w:hAnsi="宋体" w:cs="宋体"/>
          <w:caps/>
          <w:color w:val="auto"/>
          <w:kern w:val="2"/>
          <w:szCs w:val="21"/>
          <w:lang w:val="zh-CN"/>
        </w:rPr>
        <w:fldChar w:fldCharType="end"/>
      </w:r>
    </w:p>
    <w:p>
      <w:pPr>
        <w:pStyle w:val="34"/>
        <w:tabs>
          <w:tab w:val="right" w:leader="dot" w:pos="9214"/>
        </w:tabs>
        <w:rPr>
          <w:rFonts w:hint="eastAsia" w:ascii="宋体" w:hAnsi="宋体" w:cs="宋体"/>
          <w:color w:val="auto"/>
        </w:rPr>
      </w:pPr>
      <w:r>
        <w:rPr>
          <w:rFonts w:hint="eastAsia" w:ascii="宋体" w:hAnsi="宋体" w:cs="宋体"/>
          <w:caps/>
          <w:color w:val="auto"/>
          <w:kern w:val="2"/>
          <w:szCs w:val="21"/>
          <w:lang w:val="zh-CN"/>
        </w:rPr>
        <w:fldChar w:fldCharType="begin"/>
      </w:r>
      <w:r>
        <w:rPr>
          <w:rFonts w:hint="eastAsia" w:ascii="宋体" w:hAnsi="宋体" w:cs="宋体"/>
          <w:caps/>
          <w:color w:val="auto"/>
          <w:kern w:val="2"/>
          <w:szCs w:val="21"/>
          <w:lang w:val="zh-CN"/>
        </w:rPr>
        <w:instrText xml:space="preserve"> HYPERLINK \l _Toc22490 </w:instrText>
      </w:r>
      <w:r>
        <w:rPr>
          <w:rFonts w:hint="eastAsia" w:ascii="宋体" w:hAnsi="宋体" w:cs="宋体"/>
          <w:caps/>
          <w:color w:val="auto"/>
          <w:kern w:val="2"/>
          <w:szCs w:val="21"/>
          <w:lang w:val="zh-CN"/>
        </w:rPr>
        <w:fldChar w:fldCharType="separate"/>
      </w:r>
      <w:r>
        <w:rPr>
          <w:rFonts w:hint="eastAsia" w:ascii="宋体" w:hAnsi="宋体" w:cs="宋体"/>
          <w:color w:val="auto"/>
          <w:lang w:val="zh-CN"/>
        </w:rPr>
        <w:t>第三篇</w:t>
      </w:r>
      <w:r>
        <w:rPr>
          <w:rFonts w:hint="eastAsia" w:ascii="宋体" w:hAnsi="宋体" w:cs="宋体"/>
          <w:color w:val="auto"/>
        </w:rPr>
        <w:t xml:space="preserve"> </w:t>
      </w:r>
      <w:r>
        <w:rPr>
          <w:rFonts w:hint="eastAsia" w:ascii="宋体" w:hAnsi="宋体" w:cs="宋体"/>
          <w:color w:val="auto"/>
          <w:lang w:val="zh-CN"/>
        </w:rPr>
        <w:t>用户需求书</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_Toc22490 \h </w:instrText>
      </w:r>
      <w:r>
        <w:rPr>
          <w:rFonts w:hint="eastAsia" w:ascii="宋体" w:hAnsi="宋体" w:cs="宋体"/>
          <w:color w:val="auto"/>
        </w:rPr>
        <w:fldChar w:fldCharType="separate"/>
      </w:r>
      <w:r>
        <w:rPr>
          <w:rFonts w:hint="eastAsia" w:ascii="宋体" w:hAnsi="宋体" w:cs="宋体"/>
          <w:color w:val="auto"/>
        </w:rPr>
        <w:t>22</w:t>
      </w:r>
      <w:r>
        <w:rPr>
          <w:rFonts w:hint="eastAsia" w:ascii="宋体" w:hAnsi="宋体" w:cs="宋体"/>
          <w:color w:val="auto"/>
        </w:rPr>
        <w:fldChar w:fldCharType="end"/>
      </w:r>
      <w:r>
        <w:rPr>
          <w:rFonts w:hint="eastAsia" w:ascii="宋体" w:hAnsi="宋体" w:cs="宋体"/>
          <w:caps/>
          <w:color w:val="auto"/>
          <w:kern w:val="2"/>
          <w:szCs w:val="21"/>
          <w:lang w:val="zh-CN"/>
        </w:rPr>
        <w:fldChar w:fldCharType="end"/>
      </w:r>
    </w:p>
    <w:p>
      <w:pPr>
        <w:pStyle w:val="34"/>
        <w:tabs>
          <w:tab w:val="right" w:leader="dot" w:pos="9214"/>
        </w:tabs>
        <w:rPr>
          <w:rFonts w:hint="eastAsia" w:ascii="宋体" w:hAnsi="宋体" w:cs="宋体"/>
          <w:color w:val="auto"/>
        </w:rPr>
      </w:pPr>
      <w:r>
        <w:rPr>
          <w:rFonts w:hint="eastAsia" w:ascii="宋体" w:hAnsi="宋体" w:cs="宋体"/>
          <w:caps/>
          <w:color w:val="auto"/>
          <w:kern w:val="2"/>
          <w:szCs w:val="21"/>
          <w:lang w:val="zh-CN"/>
        </w:rPr>
        <w:fldChar w:fldCharType="begin"/>
      </w:r>
      <w:r>
        <w:rPr>
          <w:rFonts w:hint="eastAsia" w:ascii="宋体" w:hAnsi="宋体" w:cs="宋体"/>
          <w:caps/>
          <w:color w:val="auto"/>
          <w:kern w:val="2"/>
          <w:szCs w:val="21"/>
          <w:lang w:val="zh-CN"/>
        </w:rPr>
        <w:instrText xml:space="preserve"> HYPERLINK \l _Toc11136 </w:instrText>
      </w:r>
      <w:r>
        <w:rPr>
          <w:rFonts w:hint="eastAsia" w:ascii="宋体" w:hAnsi="宋体" w:cs="宋体"/>
          <w:caps/>
          <w:color w:val="auto"/>
          <w:kern w:val="2"/>
          <w:szCs w:val="21"/>
          <w:lang w:val="zh-CN"/>
        </w:rPr>
        <w:fldChar w:fldCharType="separate"/>
      </w:r>
      <w:r>
        <w:rPr>
          <w:rFonts w:hint="eastAsia" w:ascii="宋体" w:hAnsi="宋体" w:cs="宋体"/>
          <w:bCs/>
          <w:color w:val="auto"/>
          <w:szCs w:val="32"/>
          <w:lang w:val="en-US" w:eastAsia="zh-CN"/>
        </w:rPr>
        <w:t xml:space="preserve">第四篇 </w:t>
      </w:r>
      <w:r>
        <w:rPr>
          <w:rFonts w:hint="eastAsia" w:ascii="宋体" w:hAnsi="宋体" w:cs="宋体"/>
          <w:bCs/>
          <w:color w:val="auto"/>
          <w:szCs w:val="32"/>
        </w:rPr>
        <w:t>合同条款</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_Toc11136 \h </w:instrText>
      </w:r>
      <w:r>
        <w:rPr>
          <w:rFonts w:hint="eastAsia" w:ascii="宋体" w:hAnsi="宋体" w:cs="宋体"/>
          <w:color w:val="auto"/>
        </w:rPr>
        <w:fldChar w:fldCharType="separate"/>
      </w:r>
      <w:r>
        <w:rPr>
          <w:rFonts w:hint="eastAsia" w:ascii="宋体" w:hAnsi="宋体" w:cs="宋体"/>
          <w:color w:val="auto"/>
        </w:rPr>
        <w:t>31</w:t>
      </w:r>
      <w:r>
        <w:rPr>
          <w:rFonts w:hint="eastAsia" w:ascii="宋体" w:hAnsi="宋体" w:cs="宋体"/>
          <w:color w:val="auto"/>
        </w:rPr>
        <w:fldChar w:fldCharType="end"/>
      </w:r>
      <w:r>
        <w:rPr>
          <w:rFonts w:hint="eastAsia" w:ascii="宋体" w:hAnsi="宋体" w:cs="宋体"/>
          <w:caps/>
          <w:color w:val="auto"/>
          <w:kern w:val="2"/>
          <w:szCs w:val="21"/>
          <w:lang w:val="zh-CN"/>
        </w:rPr>
        <w:fldChar w:fldCharType="end"/>
      </w:r>
    </w:p>
    <w:p>
      <w:pPr>
        <w:pStyle w:val="34"/>
        <w:tabs>
          <w:tab w:val="right" w:leader="dot" w:pos="9214"/>
        </w:tabs>
        <w:rPr>
          <w:rFonts w:hint="eastAsia" w:ascii="宋体" w:hAnsi="宋体" w:cs="宋体"/>
          <w:color w:val="auto"/>
        </w:rPr>
      </w:pPr>
      <w:r>
        <w:rPr>
          <w:rFonts w:hint="eastAsia" w:ascii="宋体" w:hAnsi="宋体" w:cs="宋体"/>
          <w:caps/>
          <w:color w:val="auto"/>
          <w:kern w:val="2"/>
          <w:szCs w:val="21"/>
          <w:lang w:val="zh-CN"/>
        </w:rPr>
        <w:fldChar w:fldCharType="begin"/>
      </w:r>
      <w:r>
        <w:rPr>
          <w:rFonts w:hint="eastAsia" w:ascii="宋体" w:hAnsi="宋体" w:cs="宋体"/>
          <w:caps/>
          <w:color w:val="auto"/>
          <w:kern w:val="2"/>
          <w:szCs w:val="21"/>
          <w:lang w:val="zh-CN"/>
        </w:rPr>
        <w:instrText xml:space="preserve"> HYPERLINK \l _Toc21091 </w:instrText>
      </w:r>
      <w:r>
        <w:rPr>
          <w:rFonts w:hint="eastAsia" w:ascii="宋体" w:hAnsi="宋体" w:cs="宋体"/>
          <w:caps/>
          <w:color w:val="auto"/>
          <w:kern w:val="2"/>
          <w:szCs w:val="21"/>
          <w:lang w:val="zh-CN"/>
        </w:rPr>
        <w:fldChar w:fldCharType="separate"/>
      </w:r>
      <w:r>
        <w:rPr>
          <w:rFonts w:hint="eastAsia" w:ascii="宋体" w:hAnsi="宋体" w:cs="宋体"/>
          <w:bCs/>
          <w:color w:val="auto"/>
          <w:szCs w:val="32"/>
          <w:lang w:val="zh-CN"/>
        </w:rPr>
        <w:t>第五篇</w:t>
      </w:r>
      <w:r>
        <w:rPr>
          <w:rFonts w:hint="eastAsia" w:ascii="宋体" w:hAnsi="宋体" w:cs="宋体"/>
          <w:bCs/>
          <w:color w:val="auto"/>
          <w:szCs w:val="32"/>
        </w:rPr>
        <w:t xml:space="preserve"> </w:t>
      </w:r>
      <w:r>
        <w:rPr>
          <w:rFonts w:hint="eastAsia" w:ascii="宋体" w:hAnsi="宋体" w:cs="宋体"/>
          <w:bCs/>
          <w:color w:val="auto"/>
          <w:szCs w:val="32"/>
          <w:lang w:val="zh-CN"/>
        </w:rPr>
        <w:t>相关保函格式</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_Toc21091 \h </w:instrText>
      </w:r>
      <w:r>
        <w:rPr>
          <w:rFonts w:hint="eastAsia" w:ascii="宋体" w:hAnsi="宋体" w:cs="宋体"/>
          <w:color w:val="auto"/>
        </w:rPr>
        <w:fldChar w:fldCharType="separate"/>
      </w:r>
      <w:r>
        <w:rPr>
          <w:rFonts w:hint="eastAsia" w:ascii="宋体" w:hAnsi="宋体" w:cs="宋体"/>
          <w:color w:val="auto"/>
        </w:rPr>
        <w:t>47</w:t>
      </w:r>
      <w:r>
        <w:rPr>
          <w:rFonts w:hint="eastAsia" w:ascii="宋体" w:hAnsi="宋体" w:cs="宋体"/>
          <w:color w:val="auto"/>
        </w:rPr>
        <w:fldChar w:fldCharType="end"/>
      </w:r>
      <w:r>
        <w:rPr>
          <w:rFonts w:hint="eastAsia" w:ascii="宋体" w:hAnsi="宋体" w:cs="宋体"/>
          <w:caps/>
          <w:color w:val="auto"/>
          <w:kern w:val="2"/>
          <w:szCs w:val="21"/>
          <w:lang w:val="zh-CN"/>
        </w:rPr>
        <w:fldChar w:fldCharType="end"/>
      </w:r>
    </w:p>
    <w:p>
      <w:pPr>
        <w:pStyle w:val="34"/>
        <w:tabs>
          <w:tab w:val="right" w:leader="dot" w:pos="9214"/>
        </w:tabs>
        <w:rPr>
          <w:rFonts w:hint="eastAsia" w:ascii="宋体" w:hAnsi="宋体" w:cs="宋体"/>
          <w:color w:val="auto"/>
        </w:rPr>
      </w:pPr>
      <w:r>
        <w:rPr>
          <w:rFonts w:hint="eastAsia" w:ascii="宋体" w:hAnsi="宋体" w:cs="宋体"/>
          <w:caps/>
          <w:color w:val="auto"/>
          <w:kern w:val="2"/>
          <w:szCs w:val="21"/>
          <w:lang w:val="zh-CN"/>
        </w:rPr>
        <w:fldChar w:fldCharType="begin"/>
      </w:r>
      <w:r>
        <w:rPr>
          <w:rFonts w:hint="eastAsia" w:ascii="宋体" w:hAnsi="宋体" w:cs="宋体"/>
          <w:caps/>
          <w:color w:val="auto"/>
          <w:kern w:val="2"/>
          <w:szCs w:val="21"/>
          <w:lang w:val="zh-CN"/>
        </w:rPr>
        <w:instrText xml:space="preserve"> HYPERLINK \l _Toc9831 </w:instrText>
      </w:r>
      <w:r>
        <w:rPr>
          <w:rFonts w:hint="eastAsia" w:ascii="宋体" w:hAnsi="宋体" w:cs="宋体"/>
          <w:caps/>
          <w:color w:val="auto"/>
          <w:kern w:val="2"/>
          <w:szCs w:val="21"/>
          <w:lang w:val="zh-CN"/>
        </w:rPr>
        <w:fldChar w:fldCharType="separate"/>
      </w:r>
      <w:r>
        <w:rPr>
          <w:rFonts w:hint="eastAsia" w:ascii="宋体" w:hAnsi="宋体" w:cs="宋体"/>
          <w:color w:val="auto"/>
          <w:lang w:val="zh-CN"/>
        </w:rPr>
        <w:t>第六篇</w:t>
      </w:r>
      <w:r>
        <w:rPr>
          <w:rFonts w:hint="eastAsia" w:ascii="宋体" w:hAnsi="宋体" w:cs="宋体"/>
          <w:color w:val="auto"/>
        </w:rPr>
        <w:t xml:space="preserve"> </w:t>
      </w:r>
      <w:r>
        <w:rPr>
          <w:rFonts w:hint="eastAsia" w:ascii="宋体" w:hAnsi="宋体" w:cs="宋体"/>
          <w:color w:val="auto"/>
          <w:lang w:val="zh-CN"/>
        </w:rPr>
        <w:t>投标文件格式</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_Toc9831 \h </w:instrText>
      </w:r>
      <w:r>
        <w:rPr>
          <w:rFonts w:hint="eastAsia" w:ascii="宋体" w:hAnsi="宋体" w:cs="宋体"/>
          <w:color w:val="auto"/>
        </w:rPr>
        <w:fldChar w:fldCharType="separate"/>
      </w:r>
      <w:r>
        <w:rPr>
          <w:rFonts w:hint="eastAsia" w:ascii="宋体" w:hAnsi="宋体" w:cs="宋体"/>
          <w:color w:val="auto"/>
        </w:rPr>
        <w:t>50</w:t>
      </w:r>
      <w:r>
        <w:rPr>
          <w:rFonts w:hint="eastAsia" w:ascii="宋体" w:hAnsi="宋体" w:cs="宋体"/>
          <w:color w:val="auto"/>
        </w:rPr>
        <w:fldChar w:fldCharType="end"/>
      </w:r>
      <w:r>
        <w:rPr>
          <w:rFonts w:hint="eastAsia" w:ascii="宋体" w:hAnsi="宋体" w:cs="宋体"/>
          <w:caps/>
          <w:color w:val="auto"/>
          <w:kern w:val="2"/>
          <w:szCs w:val="21"/>
          <w:lang w:val="zh-CN"/>
        </w:rPr>
        <w:fldChar w:fldCharType="end"/>
      </w:r>
    </w:p>
    <w:p>
      <w:pPr>
        <w:pStyle w:val="34"/>
        <w:tabs>
          <w:tab w:val="right" w:leader="dot" w:pos="9214"/>
        </w:tabs>
        <w:rPr>
          <w:rFonts w:hint="eastAsia" w:ascii="宋体" w:hAnsi="宋体" w:cs="宋体"/>
          <w:color w:val="auto"/>
        </w:rPr>
      </w:pPr>
      <w:r>
        <w:rPr>
          <w:rFonts w:hint="eastAsia" w:ascii="宋体" w:hAnsi="宋体" w:cs="宋体"/>
          <w:caps/>
          <w:color w:val="auto"/>
          <w:kern w:val="2"/>
          <w:szCs w:val="21"/>
          <w:lang w:val="zh-CN"/>
        </w:rPr>
        <w:fldChar w:fldCharType="begin"/>
      </w:r>
      <w:r>
        <w:rPr>
          <w:rFonts w:hint="eastAsia" w:ascii="宋体" w:hAnsi="宋体" w:cs="宋体"/>
          <w:caps/>
          <w:color w:val="auto"/>
          <w:kern w:val="2"/>
          <w:szCs w:val="21"/>
          <w:lang w:val="zh-CN"/>
        </w:rPr>
        <w:instrText xml:space="preserve"> HYPERLINK \l _Toc30294 </w:instrText>
      </w:r>
      <w:r>
        <w:rPr>
          <w:rFonts w:hint="eastAsia" w:ascii="宋体" w:hAnsi="宋体" w:cs="宋体"/>
          <w:caps/>
          <w:color w:val="auto"/>
          <w:kern w:val="2"/>
          <w:szCs w:val="21"/>
          <w:lang w:val="zh-CN"/>
        </w:rPr>
        <w:fldChar w:fldCharType="separate"/>
      </w:r>
      <w:r>
        <w:rPr>
          <w:rFonts w:hint="eastAsia" w:ascii="宋体" w:hAnsi="宋体" w:cs="宋体"/>
          <w:bCs/>
          <w:color w:val="auto"/>
          <w:kern w:val="2"/>
          <w:szCs w:val="32"/>
          <w:lang w:val="zh-CN"/>
        </w:rPr>
        <w:t>附件一：评标工作大纲</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_Toc30294 \h </w:instrText>
      </w:r>
      <w:r>
        <w:rPr>
          <w:rFonts w:hint="eastAsia" w:ascii="宋体" w:hAnsi="宋体" w:cs="宋体"/>
          <w:color w:val="auto"/>
        </w:rPr>
        <w:fldChar w:fldCharType="separate"/>
      </w:r>
      <w:r>
        <w:rPr>
          <w:rFonts w:hint="eastAsia" w:ascii="宋体" w:hAnsi="宋体" w:cs="宋体"/>
          <w:color w:val="auto"/>
        </w:rPr>
        <w:t>84</w:t>
      </w:r>
      <w:r>
        <w:rPr>
          <w:rFonts w:hint="eastAsia" w:ascii="宋体" w:hAnsi="宋体" w:cs="宋体"/>
          <w:color w:val="auto"/>
        </w:rPr>
        <w:fldChar w:fldCharType="end"/>
      </w:r>
      <w:r>
        <w:rPr>
          <w:rFonts w:hint="eastAsia" w:ascii="宋体" w:hAnsi="宋体" w:cs="宋体"/>
          <w:caps/>
          <w:color w:val="auto"/>
          <w:kern w:val="2"/>
          <w:szCs w:val="21"/>
          <w:lang w:val="zh-CN"/>
        </w:rPr>
        <w:fldChar w:fldCharType="end"/>
      </w:r>
    </w:p>
    <w:p>
      <w:pPr>
        <w:pStyle w:val="46"/>
        <w:pageBreakBefore w:val="0"/>
        <w:spacing w:beforeLines="50" w:afterLines="50" w:line="460" w:lineRule="exact"/>
        <w:rPr>
          <w:rFonts w:hint="eastAsia" w:ascii="宋体" w:hAnsi="宋体" w:cs="宋体"/>
          <w:caps/>
          <w:color w:val="auto"/>
          <w:kern w:val="2"/>
          <w:szCs w:val="21"/>
          <w:lang w:val="zh-CN"/>
        </w:rPr>
      </w:pPr>
      <w:r>
        <w:rPr>
          <w:rFonts w:hint="eastAsia" w:ascii="宋体" w:hAnsi="宋体" w:cs="宋体"/>
          <w:caps/>
          <w:color w:val="auto"/>
          <w:kern w:val="2"/>
          <w:szCs w:val="21"/>
          <w:lang w:val="zh-CN"/>
        </w:rPr>
        <w:fldChar w:fldCharType="end"/>
      </w:r>
      <w:bookmarkStart w:id="0" w:name="_Toc447045078"/>
      <w:bookmarkStart w:id="1" w:name="_Toc447044591"/>
      <w:bookmarkStart w:id="2" w:name="_Toc447044467"/>
      <w:bookmarkStart w:id="3" w:name="_Toc7341"/>
    </w:p>
    <w:p>
      <w:pPr>
        <w:pageBreakBefore/>
        <w:spacing w:beforeLines="50" w:afterLines="50" w:line="460" w:lineRule="exact"/>
        <w:rPr>
          <w:rFonts w:hint="eastAsia" w:ascii="宋体" w:hAnsi="宋体" w:cs="宋体"/>
          <w:caps/>
          <w:color w:val="auto"/>
          <w:kern w:val="2"/>
          <w:szCs w:val="21"/>
          <w:lang w:val="zh-CN"/>
        </w:rPr>
      </w:pPr>
    </w:p>
    <w:p>
      <w:pPr>
        <w:pStyle w:val="46"/>
        <w:pageBreakBefore w:val="0"/>
        <w:spacing w:beforeLines="50" w:afterLines="50" w:line="460" w:lineRule="exact"/>
        <w:rPr>
          <w:rFonts w:ascii="宋体" w:hAnsi="宋体" w:cs="宋体"/>
          <w:color w:val="auto"/>
          <w:lang w:val="zh-CN"/>
        </w:rPr>
      </w:pPr>
      <w:bookmarkStart w:id="4" w:name="_Toc15660"/>
      <w:r>
        <w:rPr>
          <w:rFonts w:hint="eastAsia" w:ascii="宋体" w:hAnsi="宋体" w:cs="宋体"/>
          <w:color w:val="auto"/>
          <w:lang w:val="zh-CN"/>
        </w:rPr>
        <w:t>第一篇</w:t>
      </w:r>
      <w:bookmarkEnd w:id="0"/>
      <w:bookmarkEnd w:id="1"/>
      <w:bookmarkEnd w:id="2"/>
      <w:r>
        <w:rPr>
          <w:rFonts w:hint="eastAsia" w:ascii="宋体" w:hAnsi="宋体" w:cs="宋体"/>
          <w:color w:val="auto"/>
        </w:rPr>
        <w:t xml:space="preserve"> </w:t>
      </w:r>
      <w:r>
        <w:rPr>
          <w:rFonts w:hint="eastAsia" w:ascii="宋体" w:hAnsi="宋体" w:cs="宋体"/>
          <w:color w:val="auto"/>
          <w:lang w:val="zh-CN"/>
        </w:rPr>
        <w:t>招标公告</w:t>
      </w:r>
      <w:bookmarkEnd w:id="3"/>
      <w:bookmarkEnd w:id="4"/>
    </w:p>
    <w:p>
      <w:pPr>
        <w:spacing w:line="360" w:lineRule="auto"/>
        <w:ind w:right="-34"/>
        <w:jc w:val="both"/>
        <w:rPr>
          <w:rFonts w:hAnsi="宋体" w:cs="宋体"/>
          <w:color w:val="auto"/>
          <w:kern w:val="2"/>
          <w:sz w:val="21"/>
          <w:szCs w:val="21"/>
          <w:lang w:val="zh-CN"/>
        </w:rPr>
      </w:pPr>
    </w:p>
    <w:p>
      <w:pPr>
        <w:spacing w:line="360" w:lineRule="auto"/>
        <w:ind w:right="-34" w:firstLine="420" w:firstLineChars="200"/>
        <w:jc w:val="both"/>
        <w:rPr>
          <w:rFonts w:hAnsi="宋体" w:cs="宋体"/>
          <w:color w:val="auto"/>
          <w:kern w:val="2"/>
          <w:sz w:val="21"/>
          <w:szCs w:val="21"/>
          <w:lang w:val="zh-CN"/>
        </w:rPr>
      </w:pPr>
      <w:r>
        <w:rPr>
          <w:rFonts w:hint="eastAsia" w:hAnsi="宋体" w:cs="宋体"/>
          <w:color w:val="auto"/>
          <w:kern w:val="2"/>
          <w:sz w:val="21"/>
          <w:szCs w:val="21"/>
          <w:lang w:val="zh-CN"/>
        </w:rPr>
        <w:t>广东华迪工程管理有限公司（以下简称“招标代理机构”）受东莞市水务集团管网有限公司（以下简称“招标人”）的委托，对</w:t>
      </w:r>
      <w:r>
        <w:rPr>
          <w:rFonts w:hint="eastAsia" w:hAnsi="宋体" w:cs="宋体"/>
          <w:color w:val="auto"/>
          <w:sz w:val="21"/>
          <w:szCs w:val="21"/>
        </w:rPr>
        <w:t>东莞市水务集团管网有限公司2022年食堂食材配送服务采购项目</w:t>
      </w:r>
      <w:r>
        <w:rPr>
          <w:rFonts w:hint="eastAsia" w:hAnsi="宋体" w:cs="宋体"/>
          <w:color w:val="auto"/>
          <w:kern w:val="2"/>
          <w:sz w:val="21"/>
          <w:szCs w:val="21"/>
          <w:lang w:val="zh-CN"/>
        </w:rPr>
        <w:t>(招标编号：GDHD-ST-2021-14)进行国内公开招标，</w:t>
      </w:r>
      <w:r>
        <w:rPr>
          <w:rFonts w:hint="eastAsia" w:hAnsi="宋体" w:cs="宋体"/>
          <w:bCs/>
          <w:color w:val="auto"/>
          <w:sz w:val="21"/>
          <w:szCs w:val="21"/>
        </w:rPr>
        <w:t>详情请参见本招标文件。</w:t>
      </w:r>
      <w:r>
        <w:rPr>
          <w:rFonts w:hint="eastAsia" w:hAnsi="宋体" w:cs="宋体"/>
          <w:color w:val="auto"/>
          <w:sz w:val="21"/>
          <w:szCs w:val="21"/>
        </w:rPr>
        <w:t>欢迎符合条件的合格投标人参加投标，</w:t>
      </w:r>
      <w:r>
        <w:rPr>
          <w:rFonts w:hint="eastAsia" w:hAnsi="宋体" w:cs="宋体"/>
          <w:bCs/>
          <w:color w:val="auto"/>
          <w:sz w:val="21"/>
          <w:szCs w:val="21"/>
        </w:rPr>
        <w:t>有关事项如下：</w:t>
      </w:r>
    </w:p>
    <w:p>
      <w:pPr>
        <w:spacing w:line="360" w:lineRule="auto"/>
        <w:ind w:right="-34"/>
        <w:jc w:val="both"/>
        <w:rPr>
          <w:rFonts w:hAnsi="宋体" w:cs="宋体"/>
          <w:color w:val="auto"/>
          <w:kern w:val="2"/>
          <w:sz w:val="21"/>
          <w:szCs w:val="21"/>
          <w:lang w:val="zh-CN"/>
        </w:rPr>
      </w:pPr>
    </w:p>
    <w:p>
      <w:pPr>
        <w:pStyle w:val="102"/>
        <w:numPr>
          <w:ilvl w:val="0"/>
          <w:numId w:val="1"/>
        </w:numPr>
        <w:spacing w:line="360" w:lineRule="auto"/>
        <w:ind w:right="-34" w:firstLineChars="0"/>
        <w:jc w:val="both"/>
        <w:rPr>
          <w:rFonts w:hint="eastAsia" w:hAnsi="宋体" w:cs="宋体"/>
          <w:color w:val="auto"/>
          <w:kern w:val="2"/>
          <w:sz w:val="21"/>
          <w:szCs w:val="21"/>
          <w:lang w:val="zh-CN"/>
        </w:rPr>
      </w:pPr>
      <w:r>
        <w:rPr>
          <w:rFonts w:hint="eastAsia" w:hAnsi="宋体" w:cs="宋体"/>
          <w:color w:val="auto"/>
          <w:kern w:val="2"/>
          <w:sz w:val="21"/>
          <w:szCs w:val="21"/>
          <w:lang w:val="zh-CN"/>
        </w:rPr>
        <w:t>招标范围：</w:t>
      </w:r>
    </w:p>
    <w:p>
      <w:pPr>
        <w:snapToGrid w:val="0"/>
        <w:spacing w:line="360" w:lineRule="auto"/>
        <w:ind w:left="360" w:leftChars="150" w:firstLine="420" w:firstLineChars="200"/>
        <w:jc w:val="both"/>
        <w:rPr>
          <w:rFonts w:hint="eastAsia" w:hAnsi="宋体" w:cs="宋体"/>
          <w:color w:val="auto"/>
          <w:sz w:val="21"/>
          <w:szCs w:val="21"/>
        </w:rPr>
      </w:pPr>
      <w:r>
        <w:rPr>
          <w:rFonts w:hint="eastAsia" w:hAnsi="宋体" w:cs="宋体"/>
          <w:color w:val="auto"/>
          <w:sz w:val="21"/>
          <w:szCs w:val="21"/>
        </w:rPr>
        <w:t>东莞市水务集团管网有限公司本部及其下属第一、二、三、四、五、六分公司食堂食材配送服务。（具体内容详见：第三篇用户需求书）。</w:t>
      </w:r>
    </w:p>
    <w:p>
      <w:pPr>
        <w:spacing w:line="360" w:lineRule="auto"/>
        <w:ind w:right="-34"/>
        <w:jc w:val="both"/>
        <w:rPr>
          <w:rFonts w:hAnsi="宋体" w:cs="宋体"/>
          <w:color w:val="auto"/>
          <w:sz w:val="21"/>
          <w:szCs w:val="21"/>
        </w:rPr>
      </w:pPr>
    </w:p>
    <w:p>
      <w:pPr>
        <w:pStyle w:val="102"/>
        <w:numPr>
          <w:ilvl w:val="0"/>
          <w:numId w:val="1"/>
        </w:numPr>
        <w:spacing w:line="360" w:lineRule="auto"/>
        <w:ind w:right="-34" w:firstLineChars="0"/>
        <w:jc w:val="both"/>
        <w:rPr>
          <w:rFonts w:hAnsi="宋体" w:cs="宋体"/>
          <w:b/>
          <w:color w:val="auto"/>
          <w:sz w:val="21"/>
          <w:szCs w:val="21"/>
        </w:rPr>
      </w:pPr>
      <w:r>
        <w:rPr>
          <w:rFonts w:hint="eastAsia" w:hAnsi="宋体" w:cs="宋体"/>
          <w:b/>
          <w:color w:val="auto"/>
          <w:sz w:val="21"/>
          <w:szCs w:val="21"/>
        </w:rPr>
        <w:t>合格投标人资格要求：</w:t>
      </w:r>
    </w:p>
    <w:p>
      <w:pPr>
        <w:pStyle w:val="102"/>
        <w:numPr>
          <w:ilvl w:val="0"/>
          <w:numId w:val="2"/>
        </w:numPr>
        <w:tabs>
          <w:tab w:val="left" w:pos="426"/>
        </w:tabs>
        <w:spacing w:line="360" w:lineRule="auto"/>
        <w:ind w:firstLineChars="0"/>
        <w:jc w:val="both"/>
        <w:rPr>
          <w:rFonts w:hAnsi="宋体" w:cs="宋体"/>
          <w:b/>
          <w:color w:val="auto"/>
          <w:sz w:val="21"/>
          <w:szCs w:val="21"/>
        </w:rPr>
      </w:pPr>
      <w:r>
        <w:rPr>
          <w:rFonts w:hint="eastAsia" w:hAnsi="宋体" w:cs="宋体"/>
          <w:b/>
          <w:color w:val="auto"/>
          <w:sz w:val="21"/>
          <w:szCs w:val="21"/>
        </w:rPr>
        <w:t>投标人是在中华人民共和国境内登记注册的、合法存续、正常经营且具有独立承担民事责任能力的法人或其他组织；</w:t>
      </w:r>
    </w:p>
    <w:p>
      <w:pPr>
        <w:pStyle w:val="102"/>
        <w:numPr>
          <w:ilvl w:val="0"/>
          <w:numId w:val="2"/>
        </w:numPr>
        <w:tabs>
          <w:tab w:val="left" w:pos="426"/>
        </w:tabs>
        <w:spacing w:line="360" w:lineRule="auto"/>
        <w:ind w:firstLineChars="0"/>
        <w:jc w:val="both"/>
        <w:rPr>
          <w:rFonts w:hAnsi="宋体" w:cs="宋体"/>
          <w:b/>
          <w:color w:val="auto"/>
          <w:sz w:val="21"/>
          <w:szCs w:val="21"/>
        </w:rPr>
      </w:pPr>
      <w:r>
        <w:rPr>
          <w:rFonts w:hint="eastAsia" w:hAnsi="宋体" w:cs="宋体"/>
          <w:b/>
          <w:color w:val="auto"/>
          <w:sz w:val="21"/>
          <w:szCs w:val="21"/>
        </w:rPr>
        <w:t>投标人须具有食品药品监督管理部门或市场监督管理部门颁发并在有效期内的食品经营许可证；</w:t>
      </w:r>
    </w:p>
    <w:p>
      <w:pPr>
        <w:pStyle w:val="102"/>
        <w:numPr>
          <w:ilvl w:val="0"/>
          <w:numId w:val="2"/>
        </w:numPr>
        <w:tabs>
          <w:tab w:val="left" w:pos="426"/>
        </w:tabs>
        <w:spacing w:line="360" w:lineRule="auto"/>
        <w:ind w:firstLineChars="0"/>
        <w:jc w:val="both"/>
        <w:rPr>
          <w:rFonts w:hAnsi="宋体" w:cs="宋体"/>
          <w:b/>
          <w:color w:val="auto"/>
          <w:sz w:val="21"/>
          <w:szCs w:val="21"/>
        </w:rPr>
      </w:pPr>
      <w:r>
        <w:rPr>
          <w:rFonts w:hint="eastAsia" w:hAnsi="宋体" w:cs="宋体"/>
          <w:b/>
          <w:color w:val="auto"/>
          <w:kern w:val="2"/>
          <w:sz w:val="21"/>
          <w:szCs w:val="21"/>
          <w:lang w:val="zh-CN"/>
        </w:rPr>
        <w:t>本项目不接受联合体投标。</w:t>
      </w:r>
    </w:p>
    <w:p>
      <w:pPr>
        <w:spacing w:line="360" w:lineRule="auto"/>
        <w:ind w:right="-34"/>
        <w:jc w:val="both"/>
        <w:rPr>
          <w:rFonts w:hAnsi="宋体" w:cs="宋体"/>
          <w:color w:val="auto"/>
          <w:kern w:val="2"/>
          <w:sz w:val="21"/>
          <w:szCs w:val="21"/>
          <w:lang w:val="zh-CN"/>
        </w:rPr>
      </w:pPr>
    </w:p>
    <w:p>
      <w:pPr>
        <w:pStyle w:val="102"/>
        <w:numPr>
          <w:ilvl w:val="0"/>
          <w:numId w:val="1"/>
        </w:numPr>
        <w:spacing w:line="360" w:lineRule="auto"/>
        <w:ind w:right="-34" w:firstLineChars="0"/>
        <w:jc w:val="both"/>
        <w:rPr>
          <w:rFonts w:hAnsi="宋体" w:cs="宋体"/>
          <w:color w:val="auto"/>
          <w:sz w:val="21"/>
          <w:szCs w:val="21"/>
        </w:rPr>
      </w:pPr>
      <w:r>
        <w:rPr>
          <w:rFonts w:hint="eastAsia" w:hAnsi="宋体" w:cs="宋体"/>
          <w:color w:val="auto"/>
          <w:sz w:val="21"/>
          <w:szCs w:val="21"/>
        </w:rPr>
        <w:t>获取招标文件的时间、地点、方式及招标文件售价：</w:t>
      </w:r>
    </w:p>
    <w:p>
      <w:pPr>
        <w:pStyle w:val="102"/>
        <w:numPr>
          <w:ilvl w:val="0"/>
          <w:numId w:val="3"/>
        </w:numPr>
        <w:spacing w:line="360" w:lineRule="auto"/>
        <w:ind w:right="-34" w:firstLineChars="0"/>
        <w:jc w:val="both"/>
        <w:rPr>
          <w:rFonts w:hAnsi="宋体" w:cs="宋体"/>
          <w:color w:val="auto"/>
          <w:sz w:val="21"/>
          <w:szCs w:val="21"/>
        </w:rPr>
      </w:pPr>
      <w:r>
        <w:rPr>
          <w:rFonts w:hint="eastAsia" w:hAnsi="宋体" w:cs="宋体"/>
          <w:color w:val="auto"/>
          <w:sz w:val="21"/>
          <w:szCs w:val="21"/>
        </w:rPr>
        <w:t>获取</w:t>
      </w:r>
      <w:r>
        <w:rPr>
          <w:rFonts w:hint="eastAsia" w:hAnsi="宋体" w:cs="宋体"/>
          <w:color w:val="auto"/>
          <w:kern w:val="2"/>
          <w:sz w:val="21"/>
          <w:szCs w:val="21"/>
          <w:lang w:val="zh-CN"/>
        </w:rPr>
        <w:t>招标文件</w:t>
      </w:r>
      <w:r>
        <w:rPr>
          <w:rFonts w:hint="eastAsia" w:hAnsi="宋体" w:cs="宋体"/>
          <w:color w:val="auto"/>
          <w:sz w:val="21"/>
          <w:szCs w:val="21"/>
        </w:rPr>
        <w:t>时间：2021年</w:t>
      </w:r>
      <w:r>
        <w:rPr>
          <w:rFonts w:hint="eastAsia" w:hAnsi="宋体" w:cs="宋体"/>
          <w:color w:val="auto"/>
          <w:sz w:val="21"/>
          <w:szCs w:val="21"/>
          <w:lang w:val="en-US" w:eastAsia="zh-CN"/>
        </w:rPr>
        <w:t>12</w:t>
      </w:r>
      <w:r>
        <w:rPr>
          <w:rFonts w:hint="eastAsia" w:hAnsi="宋体" w:cs="宋体"/>
          <w:color w:val="auto"/>
          <w:sz w:val="21"/>
          <w:szCs w:val="21"/>
        </w:rPr>
        <w:t>月</w:t>
      </w:r>
      <w:r>
        <w:rPr>
          <w:rFonts w:hint="eastAsia" w:hAnsi="宋体" w:cs="宋体"/>
          <w:color w:val="auto"/>
          <w:sz w:val="21"/>
          <w:szCs w:val="21"/>
          <w:lang w:val="en-US" w:eastAsia="zh-CN"/>
        </w:rPr>
        <w:t>27</w:t>
      </w:r>
      <w:r>
        <w:rPr>
          <w:rFonts w:hint="eastAsia" w:hAnsi="宋体" w:cs="宋体"/>
          <w:color w:val="auto"/>
          <w:sz w:val="21"/>
          <w:szCs w:val="21"/>
        </w:rPr>
        <w:t>日至202</w:t>
      </w:r>
      <w:r>
        <w:rPr>
          <w:rFonts w:hint="eastAsia" w:hAnsi="宋体" w:cs="宋体"/>
          <w:color w:val="auto"/>
          <w:sz w:val="21"/>
          <w:szCs w:val="21"/>
          <w:lang w:val="en-US" w:eastAsia="zh-CN"/>
        </w:rPr>
        <w:t>2</w:t>
      </w:r>
      <w:r>
        <w:rPr>
          <w:rFonts w:hint="eastAsia" w:hAnsi="宋体" w:cs="宋体"/>
          <w:color w:val="auto"/>
          <w:sz w:val="21"/>
          <w:szCs w:val="21"/>
        </w:rPr>
        <w:t>年</w:t>
      </w:r>
      <w:r>
        <w:rPr>
          <w:rFonts w:hint="eastAsia" w:hAnsi="宋体" w:cs="宋体"/>
          <w:color w:val="auto"/>
          <w:sz w:val="21"/>
          <w:szCs w:val="21"/>
          <w:lang w:val="en-US" w:eastAsia="zh-CN"/>
        </w:rPr>
        <w:t>1</w:t>
      </w:r>
      <w:r>
        <w:rPr>
          <w:rFonts w:hint="eastAsia" w:hAnsi="宋体" w:cs="宋体"/>
          <w:color w:val="auto"/>
          <w:sz w:val="21"/>
          <w:szCs w:val="21"/>
        </w:rPr>
        <w:t>月</w:t>
      </w:r>
      <w:r>
        <w:rPr>
          <w:rFonts w:hint="eastAsia" w:hAnsi="宋体" w:cs="宋体"/>
          <w:color w:val="auto"/>
          <w:sz w:val="21"/>
          <w:szCs w:val="21"/>
          <w:lang w:val="en-US" w:eastAsia="zh-CN"/>
        </w:rPr>
        <w:t>14</w:t>
      </w:r>
      <w:r>
        <w:rPr>
          <w:rFonts w:hint="eastAsia" w:hAnsi="宋体" w:cs="宋体"/>
          <w:color w:val="auto"/>
          <w:sz w:val="21"/>
          <w:szCs w:val="21"/>
        </w:rPr>
        <w:t>日，工作日9:00-12:00，14:00-17:00（法定节假日除外）</w:t>
      </w:r>
    </w:p>
    <w:p>
      <w:pPr>
        <w:pStyle w:val="102"/>
        <w:numPr>
          <w:ilvl w:val="0"/>
          <w:numId w:val="3"/>
        </w:numPr>
        <w:spacing w:line="360" w:lineRule="auto"/>
        <w:ind w:right="-34" w:firstLineChars="0"/>
        <w:jc w:val="both"/>
        <w:rPr>
          <w:rFonts w:hAnsi="宋体" w:cs="宋体"/>
          <w:color w:val="auto"/>
          <w:sz w:val="21"/>
          <w:szCs w:val="21"/>
        </w:rPr>
      </w:pPr>
      <w:r>
        <w:rPr>
          <w:rFonts w:hint="eastAsia" w:hAnsi="宋体" w:cs="宋体"/>
          <w:color w:val="auto"/>
          <w:sz w:val="21"/>
          <w:szCs w:val="21"/>
        </w:rPr>
        <w:t>获取</w:t>
      </w:r>
      <w:r>
        <w:rPr>
          <w:rFonts w:hint="eastAsia" w:hAnsi="宋体" w:cs="宋体"/>
          <w:color w:val="auto"/>
          <w:kern w:val="2"/>
          <w:sz w:val="21"/>
          <w:szCs w:val="21"/>
          <w:lang w:val="zh-CN"/>
        </w:rPr>
        <w:t>招标文件</w:t>
      </w:r>
      <w:r>
        <w:rPr>
          <w:rFonts w:hint="eastAsia" w:hAnsi="宋体" w:cs="宋体"/>
          <w:color w:val="auto"/>
          <w:sz w:val="21"/>
          <w:szCs w:val="21"/>
        </w:rPr>
        <w:t>地点：东莞市南城街道雅园工业区富丽大厦A502；</w:t>
      </w:r>
    </w:p>
    <w:p>
      <w:pPr>
        <w:pStyle w:val="102"/>
        <w:numPr>
          <w:ilvl w:val="0"/>
          <w:numId w:val="3"/>
        </w:numPr>
        <w:spacing w:line="360" w:lineRule="auto"/>
        <w:ind w:right="-34" w:firstLineChars="0"/>
        <w:jc w:val="both"/>
        <w:rPr>
          <w:rFonts w:hAnsi="宋体" w:cs="宋体"/>
          <w:color w:val="auto"/>
          <w:sz w:val="21"/>
          <w:szCs w:val="21"/>
        </w:rPr>
      </w:pPr>
      <w:r>
        <w:rPr>
          <w:rFonts w:hint="eastAsia" w:hAnsi="宋体" w:cs="宋体"/>
          <w:color w:val="auto"/>
          <w:sz w:val="21"/>
          <w:szCs w:val="21"/>
        </w:rPr>
        <w:t>获取</w:t>
      </w:r>
      <w:r>
        <w:rPr>
          <w:rFonts w:hint="eastAsia" w:hAnsi="宋体" w:cs="宋体"/>
          <w:color w:val="auto"/>
          <w:kern w:val="2"/>
          <w:sz w:val="21"/>
          <w:szCs w:val="21"/>
          <w:lang w:val="zh-CN"/>
        </w:rPr>
        <w:t>招标文件</w:t>
      </w:r>
      <w:r>
        <w:rPr>
          <w:rFonts w:hint="eastAsia" w:hAnsi="宋体" w:cs="宋体"/>
          <w:color w:val="auto"/>
          <w:sz w:val="21"/>
          <w:szCs w:val="21"/>
        </w:rPr>
        <w:t>方式：（潜在投标人凭以下资料的复印件加盖法人公章购买招标文件）；</w:t>
      </w:r>
    </w:p>
    <w:p>
      <w:pPr>
        <w:tabs>
          <w:tab w:val="left" w:pos="1418"/>
        </w:tabs>
        <w:autoSpaceDE/>
        <w:autoSpaceDN/>
        <w:adjustRightInd/>
        <w:snapToGrid w:val="0"/>
        <w:spacing w:line="360" w:lineRule="auto"/>
        <w:ind w:left="489" w:hanging="489" w:hangingChars="233"/>
        <w:jc w:val="both"/>
        <w:rPr>
          <w:rFonts w:hAnsi="宋体" w:cs="宋体"/>
          <w:color w:val="auto"/>
          <w:sz w:val="21"/>
          <w:szCs w:val="21"/>
        </w:rPr>
      </w:pPr>
      <w:r>
        <w:rPr>
          <w:rFonts w:hint="eastAsia" w:hAnsi="宋体" w:cs="宋体"/>
          <w:color w:val="auto"/>
          <w:sz w:val="21"/>
          <w:szCs w:val="21"/>
        </w:rPr>
        <w:t>（1）多证合一营业执照（或事业单位法人证书）复印件；</w:t>
      </w:r>
    </w:p>
    <w:p>
      <w:pPr>
        <w:tabs>
          <w:tab w:val="left" w:pos="1418"/>
        </w:tabs>
        <w:autoSpaceDE/>
        <w:autoSpaceDN/>
        <w:adjustRightInd/>
        <w:snapToGrid w:val="0"/>
        <w:spacing w:line="360" w:lineRule="auto"/>
        <w:ind w:left="489" w:hanging="489" w:hangingChars="233"/>
        <w:jc w:val="both"/>
        <w:rPr>
          <w:rFonts w:hAnsi="宋体" w:cs="宋体"/>
          <w:color w:val="auto"/>
          <w:sz w:val="21"/>
          <w:szCs w:val="21"/>
        </w:rPr>
      </w:pPr>
      <w:r>
        <w:rPr>
          <w:rFonts w:hint="eastAsia" w:hAnsi="宋体" w:cs="宋体"/>
          <w:color w:val="auto"/>
          <w:sz w:val="21"/>
          <w:szCs w:val="21"/>
        </w:rPr>
        <w:t>（2）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r>
        <w:rPr>
          <w:rFonts w:hint="eastAsia" w:hAnsi="宋体" w:cs="宋体"/>
          <w:bCs/>
          <w:color w:val="auto"/>
          <w:sz w:val="21"/>
          <w:szCs w:val="21"/>
        </w:rPr>
        <w:t>；</w:t>
      </w:r>
    </w:p>
    <w:p>
      <w:pPr>
        <w:tabs>
          <w:tab w:val="left" w:pos="1418"/>
        </w:tabs>
        <w:autoSpaceDE/>
        <w:autoSpaceDN/>
        <w:adjustRightInd/>
        <w:snapToGrid w:val="0"/>
        <w:spacing w:line="360" w:lineRule="auto"/>
        <w:ind w:left="489" w:hanging="489" w:hangingChars="233"/>
        <w:jc w:val="both"/>
        <w:rPr>
          <w:rFonts w:hAnsi="宋体" w:cs="宋体"/>
          <w:bCs/>
          <w:color w:val="auto"/>
          <w:sz w:val="21"/>
          <w:szCs w:val="21"/>
        </w:rPr>
      </w:pPr>
      <w:r>
        <w:rPr>
          <w:rFonts w:hint="eastAsia" w:hAnsi="宋体" w:cs="宋体"/>
          <w:bCs/>
          <w:color w:val="auto"/>
          <w:sz w:val="21"/>
          <w:szCs w:val="21"/>
        </w:rPr>
        <w:t>（3）</w:t>
      </w:r>
      <w:r>
        <w:rPr>
          <w:rFonts w:hint="eastAsia" w:hAnsi="宋体" w:cs="宋体"/>
          <w:color w:val="auto"/>
          <w:sz w:val="21"/>
          <w:szCs w:val="21"/>
        </w:rPr>
        <w:t>食品药品监督管理部门或市场监督管理部门颁发的有效的食品经营许可证复印件；</w:t>
      </w:r>
    </w:p>
    <w:p>
      <w:pPr>
        <w:tabs>
          <w:tab w:val="left" w:pos="1418"/>
        </w:tabs>
        <w:autoSpaceDE/>
        <w:autoSpaceDN/>
        <w:adjustRightInd/>
        <w:snapToGrid w:val="0"/>
        <w:spacing w:line="360" w:lineRule="auto"/>
        <w:ind w:left="489" w:hanging="489" w:hangingChars="233"/>
        <w:jc w:val="both"/>
        <w:rPr>
          <w:rFonts w:hAnsi="宋体" w:cs="宋体"/>
          <w:bCs/>
          <w:color w:val="auto"/>
          <w:sz w:val="21"/>
          <w:szCs w:val="21"/>
        </w:rPr>
      </w:pPr>
      <w:r>
        <w:rPr>
          <w:rFonts w:hint="eastAsia" w:hAnsi="宋体" w:cs="宋体"/>
          <w:bCs/>
          <w:color w:val="auto"/>
          <w:sz w:val="21"/>
          <w:szCs w:val="21"/>
        </w:rPr>
        <w:t>（4）购买招标文件经办人，需提供：</w:t>
      </w:r>
    </w:p>
    <w:p>
      <w:pPr>
        <w:pStyle w:val="102"/>
        <w:autoSpaceDE/>
        <w:autoSpaceDN/>
        <w:adjustRightInd/>
        <w:snapToGrid w:val="0"/>
        <w:spacing w:line="360" w:lineRule="auto"/>
        <w:ind w:left="425" w:firstLine="0" w:firstLineChars="0"/>
        <w:jc w:val="both"/>
        <w:rPr>
          <w:rFonts w:hAnsi="宋体" w:cs="宋体"/>
          <w:color w:val="auto"/>
          <w:sz w:val="21"/>
          <w:szCs w:val="21"/>
        </w:rPr>
      </w:pPr>
      <w:r>
        <w:rPr>
          <w:rFonts w:hint="eastAsia" w:hAnsi="宋体" w:cs="宋体"/>
          <w:bCs/>
          <w:color w:val="auto"/>
          <w:sz w:val="21"/>
          <w:szCs w:val="21"/>
        </w:rPr>
        <w:t>经办人如是法定代表人，需提供法定代表人证明书及法定代表人身份证复印件</w:t>
      </w:r>
      <w:r>
        <w:rPr>
          <w:rFonts w:hint="eastAsia" w:hAnsi="宋体" w:cs="宋体"/>
          <w:color w:val="auto"/>
          <w:sz w:val="21"/>
          <w:szCs w:val="21"/>
        </w:rPr>
        <w:t>；</w:t>
      </w:r>
      <w:r>
        <w:rPr>
          <w:rFonts w:hint="eastAsia" w:hAnsi="宋体" w:cs="宋体"/>
          <w:bCs/>
          <w:color w:val="auto"/>
          <w:sz w:val="21"/>
          <w:szCs w:val="21"/>
        </w:rPr>
        <w:t>经办人</w:t>
      </w:r>
      <w:r>
        <w:rPr>
          <w:rFonts w:hint="eastAsia" w:hAnsi="宋体" w:cs="宋体"/>
          <w:color w:val="auto"/>
          <w:sz w:val="21"/>
          <w:szCs w:val="21"/>
        </w:rPr>
        <w:t>如是投标人授权代表</w:t>
      </w:r>
      <w:r>
        <w:rPr>
          <w:rFonts w:hint="eastAsia" w:hAnsi="宋体" w:cs="宋体"/>
          <w:bCs/>
          <w:color w:val="auto"/>
          <w:sz w:val="21"/>
          <w:szCs w:val="21"/>
        </w:rPr>
        <w:t>，需提供法定代表人授权委托书及</w:t>
      </w:r>
      <w:r>
        <w:rPr>
          <w:rFonts w:hint="eastAsia" w:hAnsi="宋体" w:cs="宋体"/>
          <w:color w:val="auto"/>
          <w:sz w:val="21"/>
          <w:szCs w:val="21"/>
        </w:rPr>
        <w:t>授权代表</w:t>
      </w:r>
      <w:r>
        <w:rPr>
          <w:rFonts w:hint="eastAsia" w:hAnsi="宋体" w:cs="宋体"/>
          <w:bCs/>
          <w:color w:val="auto"/>
          <w:sz w:val="21"/>
          <w:szCs w:val="21"/>
        </w:rPr>
        <w:t>身份证复印件</w:t>
      </w:r>
      <w:r>
        <w:rPr>
          <w:rFonts w:hint="eastAsia" w:hAnsi="宋体" w:cs="宋体"/>
          <w:color w:val="auto"/>
          <w:sz w:val="21"/>
          <w:szCs w:val="21"/>
        </w:rPr>
        <w:t>。</w:t>
      </w:r>
    </w:p>
    <w:p>
      <w:pPr>
        <w:pStyle w:val="102"/>
        <w:numPr>
          <w:ilvl w:val="0"/>
          <w:numId w:val="3"/>
        </w:numPr>
        <w:spacing w:line="360" w:lineRule="auto"/>
        <w:ind w:right="-34" w:firstLineChars="0"/>
        <w:jc w:val="both"/>
        <w:rPr>
          <w:rFonts w:hAnsi="宋体" w:cs="宋体"/>
          <w:color w:val="auto"/>
          <w:sz w:val="21"/>
          <w:szCs w:val="21"/>
        </w:rPr>
      </w:pPr>
      <w:r>
        <w:rPr>
          <w:rFonts w:hint="eastAsia" w:hAnsi="宋体" w:cs="宋体"/>
          <w:color w:val="auto"/>
          <w:sz w:val="21"/>
          <w:szCs w:val="21"/>
        </w:rPr>
        <w:t>招标文件售价：招标文件每份人民币150.00元整，售后不退。</w:t>
      </w:r>
    </w:p>
    <w:p>
      <w:pPr>
        <w:pStyle w:val="102"/>
        <w:numPr>
          <w:ilvl w:val="0"/>
          <w:numId w:val="3"/>
        </w:numPr>
        <w:spacing w:line="360" w:lineRule="auto"/>
        <w:ind w:right="-34" w:firstLineChars="0"/>
        <w:jc w:val="both"/>
        <w:rPr>
          <w:rFonts w:hAnsi="宋体" w:cs="宋体"/>
          <w:color w:val="auto"/>
          <w:kern w:val="2"/>
          <w:sz w:val="21"/>
          <w:szCs w:val="21"/>
          <w:lang w:val="zh-CN"/>
        </w:rPr>
      </w:pPr>
      <w:r>
        <w:rPr>
          <w:rFonts w:hint="eastAsia" w:hAnsi="宋体" w:cs="宋体"/>
          <w:color w:val="auto"/>
          <w:kern w:val="2"/>
          <w:sz w:val="21"/>
          <w:szCs w:val="21"/>
          <w:lang w:val="zh-CN"/>
        </w:rPr>
        <w:t>购买了</w:t>
      </w:r>
      <w:r>
        <w:rPr>
          <w:rFonts w:hint="eastAsia" w:hAnsi="宋体" w:cs="宋体"/>
          <w:color w:val="auto"/>
          <w:sz w:val="21"/>
          <w:szCs w:val="21"/>
        </w:rPr>
        <w:t>招标文件</w:t>
      </w:r>
      <w:r>
        <w:rPr>
          <w:rFonts w:hint="eastAsia" w:hAnsi="宋体" w:cs="宋体"/>
          <w:color w:val="auto"/>
          <w:kern w:val="2"/>
          <w:sz w:val="21"/>
          <w:szCs w:val="21"/>
          <w:lang w:val="zh-CN"/>
        </w:rPr>
        <w:t>，而不参加投标的潜在投标人，请在开标日期三日前以书面形式通知招标代理机构。</w:t>
      </w:r>
    </w:p>
    <w:p>
      <w:pPr>
        <w:pStyle w:val="102"/>
        <w:numPr>
          <w:ilvl w:val="0"/>
          <w:numId w:val="1"/>
        </w:numPr>
        <w:spacing w:line="360" w:lineRule="auto"/>
        <w:ind w:right="-34" w:firstLineChars="0"/>
        <w:rPr>
          <w:rFonts w:hAnsi="宋体" w:cs="宋体"/>
          <w:color w:val="auto"/>
          <w:kern w:val="2"/>
          <w:sz w:val="21"/>
          <w:szCs w:val="21"/>
          <w:lang w:val="zh-CN"/>
        </w:rPr>
      </w:pPr>
      <w:r>
        <w:rPr>
          <w:rFonts w:hint="eastAsia" w:hAnsi="宋体" w:cs="宋体"/>
          <w:color w:val="auto"/>
          <w:kern w:val="2"/>
          <w:sz w:val="21"/>
          <w:szCs w:val="21"/>
          <w:lang w:val="zh-CN"/>
        </w:rPr>
        <w:t>招标代理机构在递交投标文件截止时间前通过“信用中国”网站（www.creditchina.gov.cn）查询投标人（含其不具有独立法人资格的分支机构）信用记录。招标代理机构对投标人信用记录进行甄别，对列入失信被执行人、重大税收违法案件当事人名单、严重违法失信行为记录名单的投标人，做好相关记录（处罚期限届满的除外）。</w:t>
      </w:r>
    </w:p>
    <w:p>
      <w:pPr>
        <w:spacing w:line="360" w:lineRule="auto"/>
        <w:jc w:val="both"/>
        <w:rPr>
          <w:rFonts w:hAnsi="宋体" w:cs="宋体"/>
          <w:color w:val="auto"/>
          <w:kern w:val="2"/>
          <w:sz w:val="21"/>
          <w:szCs w:val="21"/>
        </w:rPr>
      </w:pPr>
    </w:p>
    <w:p>
      <w:pPr>
        <w:pStyle w:val="102"/>
        <w:numPr>
          <w:ilvl w:val="0"/>
          <w:numId w:val="1"/>
        </w:numPr>
        <w:spacing w:line="360" w:lineRule="auto"/>
        <w:ind w:right="-34" w:firstLineChars="0"/>
        <w:jc w:val="both"/>
        <w:rPr>
          <w:rFonts w:hAnsi="宋体" w:cs="宋体"/>
          <w:bCs/>
          <w:color w:val="auto"/>
          <w:sz w:val="21"/>
          <w:szCs w:val="21"/>
        </w:rPr>
      </w:pPr>
      <w:r>
        <w:rPr>
          <w:rFonts w:hint="eastAsia" w:hAnsi="宋体" w:cs="宋体"/>
          <w:bCs/>
          <w:color w:val="auto"/>
          <w:sz w:val="21"/>
          <w:szCs w:val="21"/>
        </w:rPr>
        <w:t>投标、</w:t>
      </w:r>
      <w:r>
        <w:rPr>
          <w:rFonts w:hint="eastAsia" w:hAnsi="宋体" w:cs="宋体"/>
          <w:color w:val="auto"/>
          <w:sz w:val="21"/>
          <w:szCs w:val="21"/>
        </w:rPr>
        <w:t>开标</w:t>
      </w:r>
      <w:r>
        <w:rPr>
          <w:rFonts w:hint="eastAsia" w:hAnsi="宋体" w:cs="宋体"/>
          <w:bCs/>
          <w:color w:val="auto"/>
          <w:sz w:val="21"/>
          <w:szCs w:val="21"/>
        </w:rPr>
        <w:t>时间及地点：</w:t>
      </w:r>
    </w:p>
    <w:p>
      <w:pPr>
        <w:numPr>
          <w:ilvl w:val="0"/>
          <w:numId w:val="4"/>
        </w:numPr>
        <w:tabs>
          <w:tab w:val="left" w:pos="426"/>
        </w:tabs>
        <w:spacing w:line="360" w:lineRule="auto"/>
        <w:jc w:val="both"/>
        <w:rPr>
          <w:rFonts w:hAnsi="宋体" w:cs="宋体"/>
          <w:bCs/>
          <w:color w:val="auto"/>
          <w:sz w:val="21"/>
          <w:szCs w:val="21"/>
        </w:rPr>
      </w:pPr>
      <w:r>
        <w:rPr>
          <w:rFonts w:hint="eastAsia" w:hAnsi="宋体" w:cs="宋体"/>
          <w:color w:val="auto"/>
          <w:sz w:val="21"/>
          <w:szCs w:val="21"/>
        </w:rPr>
        <w:t>投标</w:t>
      </w:r>
      <w:r>
        <w:rPr>
          <w:rFonts w:hint="eastAsia" w:hAnsi="宋体" w:cs="宋体"/>
          <w:bCs/>
          <w:color w:val="auto"/>
          <w:sz w:val="21"/>
          <w:szCs w:val="21"/>
        </w:rPr>
        <w:t>文件</w:t>
      </w:r>
      <w:r>
        <w:rPr>
          <w:rFonts w:hint="eastAsia" w:hAnsi="宋体" w:cs="宋体"/>
          <w:color w:val="auto"/>
          <w:sz w:val="21"/>
          <w:szCs w:val="21"/>
        </w:rPr>
        <w:t>递交时间</w:t>
      </w:r>
      <w:r>
        <w:rPr>
          <w:rFonts w:hint="eastAsia" w:hAnsi="宋体" w:cs="宋体"/>
          <w:bCs/>
          <w:color w:val="auto"/>
          <w:sz w:val="21"/>
          <w:szCs w:val="21"/>
        </w:rPr>
        <w:t>：202</w:t>
      </w:r>
      <w:r>
        <w:rPr>
          <w:rFonts w:hint="eastAsia" w:hAnsi="宋体" w:cs="宋体"/>
          <w:bCs/>
          <w:color w:val="auto"/>
          <w:sz w:val="21"/>
          <w:szCs w:val="21"/>
          <w:lang w:val="en-US" w:eastAsia="zh-CN"/>
        </w:rPr>
        <w:t>2</w:t>
      </w:r>
      <w:r>
        <w:rPr>
          <w:rFonts w:hint="eastAsia" w:hAnsi="宋体" w:cs="宋体"/>
          <w:bCs/>
          <w:color w:val="auto"/>
          <w:sz w:val="21"/>
          <w:szCs w:val="21"/>
        </w:rPr>
        <w:t>年</w:t>
      </w:r>
      <w:r>
        <w:rPr>
          <w:rFonts w:hint="eastAsia" w:hAnsi="宋体" w:cs="宋体"/>
          <w:bCs/>
          <w:color w:val="auto"/>
          <w:sz w:val="21"/>
          <w:szCs w:val="21"/>
          <w:lang w:val="en-US" w:eastAsia="zh-CN"/>
        </w:rPr>
        <w:t>1</w:t>
      </w:r>
      <w:r>
        <w:rPr>
          <w:rFonts w:hint="eastAsia" w:hAnsi="宋体" w:cs="宋体"/>
          <w:bCs/>
          <w:color w:val="auto"/>
          <w:sz w:val="21"/>
          <w:szCs w:val="21"/>
        </w:rPr>
        <w:t>月</w:t>
      </w:r>
      <w:r>
        <w:rPr>
          <w:rFonts w:hint="eastAsia" w:hAnsi="宋体" w:cs="宋体"/>
          <w:bCs/>
          <w:color w:val="auto"/>
          <w:sz w:val="21"/>
          <w:szCs w:val="21"/>
          <w:lang w:val="en-US" w:eastAsia="zh-CN"/>
        </w:rPr>
        <w:t>18</w:t>
      </w:r>
      <w:r>
        <w:rPr>
          <w:rFonts w:hint="eastAsia" w:hAnsi="宋体" w:cs="宋体"/>
          <w:bCs/>
          <w:color w:val="auto"/>
          <w:sz w:val="21"/>
          <w:szCs w:val="21"/>
        </w:rPr>
        <w:t>日上午</w:t>
      </w:r>
      <w:r>
        <w:rPr>
          <w:rFonts w:hAnsi="宋体" w:cs="宋体"/>
          <w:bCs/>
          <w:color w:val="auto"/>
          <w:sz w:val="21"/>
          <w:szCs w:val="21"/>
        </w:rPr>
        <w:t>09</w:t>
      </w:r>
      <w:r>
        <w:rPr>
          <w:rFonts w:hint="eastAsia" w:hAnsi="宋体" w:cs="宋体"/>
          <w:bCs/>
          <w:color w:val="auto"/>
          <w:sz w:val="21"/>
          <w:szCs w:val="21"/>
        </w:rPr>
        <w:t>：00-</w:t>
      </w:r>
      <w:r>
        <w:rPr>
          <w:rFonts w:hAnsi="宋体" w:cs="宋体"/>
          <w:bCs/>
          <w:color w:val="auto"/>
          <w:sz w:val="21"/>
          <w:szCs w:val="21"/>
        </w:rPr>
        <w:t>09</w:t>
      </w:r>
      <w:r>
        <w:rPr>
          <w:rFonts w:hint="eastAsia" w:hAnsi="宋体" w:cs="宋体"/>
          <w:bCs/>
          <w:color w:val="auto"/>
          <w:sz w:val="21"/>
          <w:szCs w:val="21"/>
        </w:rPr>
        <w:t xml:space="preserve">：30  </w:t>
      </w:r>
    </w:p>
    <w:p>
      <w:pPr>
        <w:numPr>
          <w:ilvl w:val="0"/>
          <w:numId w:val="4"/>
        </w:numPr>
        <w:tabs>
          <w:tab w:val="left" w:pos="426"/>
        </w:tabs>
        <w:spacing w:line="360" w:lineRule="auto"/>
        <w:jc w:val="both"/>
        <w:rPr>
          <w:rFonts w:hAnsi="宋体" w:cs="宋体"/>
          <w:bCs/>
          <w:color w:val="auto"/>
          <w:sz w:val="21"/>
          <w:szCs w:val="21"/>
        </w:rPr>
      </w:pPr>
      <w:r>
        <w:rPr>
          <w:rFonts w:hint="eastAsia" w:hAnsi="宋体" w:cs="宋体"/>
          <w:bCs/>
          <w:color w:val="auto"/>
          <w:sz w:val="21"/>
          <w:szCs w:val="21"/>
        </w:rPr>
        <w:t>投标截止及开标时间：202</w:t>
      </w:r>
      <w:r>
        <w:rPr>
          <w:rFonts w:hint="eastAsia" w:hAnsi="宋体" w:cs="宋体"/>
          <w:bCs/>
          <w:color w:val="auto"/>
          <w:sz w:val="21"/>
          <w:szCs w:val="21"/>
          <w:lang w:val="en-US" w:eastAsia="zh-CN"/>
        </w:rPr>
        <w:t>2</w:t>
      </w:r>
      <w:r>
        <w:rPr>
          <w:rFonts w:hint="eastAsia" w:hAnsi="宋体" w:cs="宋体"/>
          <w:bCs/>
          <w:color w:val="auto"/>
          <w:sz w:val="21"/>
          <w:szCs w:val="21"/>
        </w:rPr>
        <w:t>年</w:t>
      </w:r>
      <w:r>
        <w:rPr>
          <w:rFonts w:hint="eastAsia" w:hAnsi="宋体" w:cs="宋体"/>
          <w:bCs/>
          <w:color w:val="auto"/>
          <w:sz w:val="21"/>
          <w:szCs w:val="21"/>
          <w:lang w:val="en-US" w:eastAsia="zh-CN"/>
        </w:rPr>
        <w:t>1</w:t>
      </w:r>
      <w:r>
        <w:rPr>
          <w:rFonts w:hint="eastAsia" w:hAnsi="宋体" w:cs="宋体"/>
          <w:bCs/>
          <w:color w:val="auto"/>
          <w:sz w:val="21"/>
          <w:szCs w:val="21"/>
        </w:rPr>
        <w:t>月</w:t>
      </w:r>
      <w:r>
        <w:rPr>
          <w:rFonts w:hint="eastAsia" w:hAnsi="宋体" w:cs="宋体"/>
          <w:bCs/>
          <w:color w:val="auto"/>
          <w:sz w:val="21"/>
          <w:szCs w:val="21"/>
          <w:lang w:val="en-US" w:eastAsia="zh-CN"/>
        </w:rPr>
        <w:t>18</w:t>
      </w:r>
      <w:r>
        <w:rPr>
          <w:rFonts w:hint="eastAsia" w:hAnsi="宋体" w:cs="宋体"/>
          <w:bCs/>
          <w:color w:val="auto"/>
          <w:sz w:val="21"/>
          <w:szCs w:val="21"/>
        </w:rPr>
        <w:t>日上午</w:t>
      </w:r>
      <w:r>
        <w:rPr>
          <w:rFonts w:hAnsi="宋体" w:cs="宋体"/>
          <w:bCs/>
          <w:color w:val="auto"/>
          <w:sz w:val="21"/>
          <w:szCs w:val="21"/>
        </w:rPr>
        <w:t>09</w:t>
      </w:r>
      <w:r>
        <w:rPr>
          <w:rFonts w:hint="eastAsia" w:hAnsi="宋体" w:cs="宋体"/>
          <w:bCs/>
          <w:color w:val="auto"/>
          <w:sz w:val="21"/>
          <w:szCs w:val="21"/>
        </w:rPr>
        <w:t>：30</w:t>
      </w:r>
    </w:p>
    <w:p>
      <w:pPr>
        <w:numPr>
          <w:ilvl w:val="0"/>
          <w:numId w:val="4"/>
        </w:numPr>
        <w:tabs>
          <w:tab w:val="left" w:pos="426"/>
        </w:tabs>
        <w:spacing w:line="360" w:lineRule="auto"/>
        <w:jc w:val="both"/>
        <w:rPr>
          <w:rFonts w:hAnsi="宋体" w:cs="宋体"/>
          <w:bCs/>
          <w:color w:val="auto"/>
          <w:sz w:val="21"/>
          <w:szCs w:val="21"/>
        </w:rPr>
      </w:pPr>
      <w:r>
        <w:rPr>
          <w:rFonts w:hint="eastAsia" w:hAnsi="宋体" w:cs="宋体"/>
          <w:bCs/>
          <w:color w:val="auto"/>
          <w:sz w:val="21"/>
          <w:szCs w:val="21"/>
        </w:rPr>
        <w:t>投标及开标地点：</w:t>
      </w:r>
      <w:r>
        <w:rPr>
          <w:rFonts w:hint="eastAsia" w:hAnsi="宋体" w:cs="宋体"/>
          <w:color w:val="auto"/>
          <w:kern w:val="2"/>
          <w:sz w:val="21"/>
          <w:szCs w:val="21"/>
        </w:rPr>
        <w:t>东莞市南城街道雅园工业区富丽大厦A502。</w:t>
      </w:r>
    </w:p>
    <w:p>
      <w:pPr>
        <w:tabs>
          <w:tab w:val="left" w:pos="567"/>
        </w:tabs>
        <w:spacing w:line="360" w:lineRule="auto"/>
        <w:ind w:right="-34"/>
        <w:jc w:val="both"/>
        <w:rPr>
          <w:rFonts w:hAnsi="宋体" w:cs="宋体"/>
          <w:color w:val="auto"/>
          <w:kern w:val="2"/>
          <w:sz w:val="21"/>
          <w:szCs w:val="21"/>
          <w:lang w:val="zh-CN"/>
        </w:rPr>
      </w:pPr>
    </w:p>
    <w:p>
      <w:pPr>
        <w:pStyle w:val="102"/>
        <w:numPr>
          <w:ilvl w:val="0"/>
          <w:numId w:val="1"/>
        </w:numPr>
        <w:spacing w:line="360" w:lineRule="auto"/>
        <w:ind w:right="-34" w:firstLineChars="0"/>
        <w:jc w:val="both"/>
        <w:rPr>
          <w:rFonts w:hAnsi="宋体" w:cs="宋体"/>
          <w:color w:val="auto"/>
          <w:kern w:val="2"/>
          <w:sz w:val="21"/>
          <w:szCs w:val="21"/>
          <w:lang w:val="zh-CN"/>
        </w:rPr>
      </w:pPr>
      <w:r>
        <w:rPr>
          <w:rFonts w:hint="eastAsia" w:hAnsi="宋体" w:cs="宋体"/>
          <w:color w:val="auto"/>
          <w:kern w:val="2"/>
          <w:sz w:val="21"/>
          <w:szCs w:val="21"/>
          <w:lang w:val="zh-CN"/>
        </w:rPr>
        <w:t>招标代理机构只接受由投标人法定代表人或其授权代表于递交投标文件截止时间前亲自递交的投标文件。电报、传真形式的投标概不接受。</w:t>
      </w:r>
    </w:p>
    <w:p>
      <w:pPr>
        <w:tabs>
          <w:tab w:val="left" w:pos="567"/>
        </w:tabs>
        <w:spacing w:line="360" w:lineRule="auto"/>
        <w:ind w:right="-34"/>
        <w:jc w:val="both"/>
        <w:rPr>
          <w:rFonts w:hAnsi="宋体" w:cs="宋体"/>
          <w:color w:val="auto"/>
          <w:kern w:val="2"/>
          <w:sz w:val="21"/>
          <w:szCs w:val="21"/>
          <w:lang w:val="zh-CN"/>
        </w:rPr>
      </w:pPr>
    </w:p>
    <w:p>
      <w:pPr>
        <w:pStyle w:val="102"/>
        <w:numPr>
          <w:ilvl w:val="0"/>
          <w:numId w:val="1"/>
        </w:numPr>
        <w:tabs>
          <w:tab w:val="left" w:pos="426"/>
        </w:tabs>
        <w:spacing w:line="360" w:lineRule="auto"/>
        <w:ind w:firstLineChars="0"/>
        <w:jc w:val="both"/>
        <w:rPr>
          <w:rFonts w:hAnsi="宋体" w:cs="宋体"/>
          <w:color w:val="auto"/>
          <w:kern w:val="2"/>
          <w:sz w:val="21"/>
          <w:szCs w:val="21"/>
          <w:lang w:val="zh-CN"/>
        </w:rPr>
      </w:pPr>
      <w:r>
        <w:rPr>
          <w:rFonts w:hint="eastAsia" w:hAnsi="宋体" w:cs="宋体"/>
          <w:bCs/>
          <w:color w:val="auto"/>
          <w:sz w:val="21"/>
          <w:szCs w:val="21"/>
        </w:rPr>
        <w:t>项目相关公告在以下媒体发布：东莞市公共资源交易中心（ggzy.dg.gov.cn）、中国招标投标公共服务平台（</w:t>
      </w:r>
      <w:r>
        <w:rPr>
          <w:rFonts w:hint="eastAsia" w:hAnsi="宋体" w:cs="宋体"/>
          <w:color w:val="auto"/>
        </w:rPr>
        <w:fldChar w:fldCharType="begin"/>
      </w:r>
      <w:r>
        <w:rPr>
          <w:rFonts w:hint="eastAsia" w:hAnsi="宋体" w:cs="宋体"/>
          <w:color w:val="auto"/>
        </w:rPr>
        <w:instrText xml:space="preserve"> HYPERLINK "http://www.cebpubservice.com/" </w:instrText>
      </w:r>
      <w:r>
        <w:rPr>
          <w:rFonts w:hint="eastAsia" w:hAnsi="宋体" w:cs="宋体"/>
          <w:color w:val="auto"/>
        </w:rPr>
        <w:fldChar w:fldCharType="separate"/>
      </w:r>
      <w:r>
        <w:rPr>
          <w:rFonts w:hint="eastAsia" w:hAnsi="宋体" w:cs="宋体"/>
          <w:bCs/>
          <w:color w:val="auto"/>
          <w:sz w:val="21"/>
          <w:szCs w:val="21"/>
        </w:rPr>
        <w:t>www.cebpubservice.com</w:t>
      </w:r>
      <w:r>
        <w:rPr>
          <w:rFonts w:hint="eastAsia" w:hAnsi="宋体" w:cs="宋体"/>
          <w:bCs/>
          <w:color w:val="auto"/>
          <w:sz w:val="21"/>
          <w:szCs w:val="21"/>
        </w:rPr>
        <w:fldChar w:fldCharType="end"/>
      </w:r>
      <w:r>
        <w:rPr>
          <w:rFonts w:hint="eastAsia" w:hAnsi="宋体" w:cs="宋体"/>
          <w:bCs/>
          <w:color w:val="auto"/>
          <w:sz w:val="21"/>
          <w:szCs w:val="21"/>
        </w:rPr>
        <w:t>）、东莞市水务集团有限公司网（http://www.dgswjt.cn）</w:t>
      </w:r>
      <w:r>
        <w:rPr>
          <w:rFonts w:hint="eastAsia" w:hAnsi="宋体" w:cs="宋体"/>
          <w:color w:val="auto"/>
          <w:kern w:val="2"/>
          <w:sz w:val="21"/>
          <w:szCs w:val="21"/>
        </w:rPr>
        <w:t>、</w:t>
      </w:r>
      <w:r>
        <w:rPr>
          <w:rFonts w:hint="eastAsia" w:hAnsi="宋体" w:cs="宋体"/>
          <w:bCs/>
          <w:color w:val="auto"/>
          <w:sz w:val="21"/>
          <w:szCs w:val="21"/>
        </w:rPr>
        <w:t>招标代理公司网站（http://www.gd-huadi.com/）上发布。</w:t>
      </w:r>
    </w:p>
    <w:p>
      <w:pPr>
        <w:pStyle w:val="102"/>
        <w:tabs>
          <w:tab w:val="left" w:pos="567"/>
        </w:tabs>
        <w:spacing w:line="360" w:lineRule="auto"/>
        <w:ind w:right="-34" w:firstLine="0" w:firstLineChars="0"/>
        <w:jc w:val="both"/>
        <w:rPr>
          <w:rFonts w:hAnsi="宋体" w:cs="宋体"/>
          <w:color w:val="auto"/>
          <w:kern w:val="2"/>
          <w:sz w:val="21"/>
          <w:szCs w:val="21"/>
          <w:lang w:val="zh-CN"/>
        </w:rPr>
      </w:pPr>
    </w:p>
    <w:p>
      <w:pPr>
        <w:pStyle w:val="102"/>
        <w:numPr>
          <w:ilvl w:val="0"/>
          <w:numId w:val="1"/>
        </w:numPr>
        <w:spacing w:line="360" w:lineRule="auto"/>
        <w:ind w:right="-34" w:firstLineChars="0"/>
        <w:jc w:val="both"/>
        <w:rPr>
          <w:rFonts w:hAnsi="宋体" w:cs="宋体"/>
          <w:bCs/>
          <w:color w:val="auto"/>
          <w:sz w:val="21"/>
          <w:szCs w:val="21"/>
        </w:rPr>
      </w:pPr>
      <w:r>
        <w:rPr>
          <w:rFonts w:hint="eastAsia" w:hAnsi="宋体" w:cs="宋体"/>
          <w:color w:val="auto"/>
          <w:sz w:val="21"/>
          <w:szCs w:val="21"/>
        </w:rPr>
        <w:t>招标人联系方式</w:t>
      </w:r>
    </w:p>
    <w:p>
      <w:pPr>
        <w:pStyle w:val="192"/>
        <w:snapToGrid w:val="0"/>
        <w:spacing w:line="360" w:lineRule="auto"/>
        <w:ind w:left="511" w:leftChars="178" w:hanging="84" w:hangingChars="40"/>
        <w:rPr>
          <w:rFonts w:ascii="宋体" w:hAnsi="宋体" w:cs="宋体"/>
          <w:color w:val="auto"/>
          <w:szCs w:val="21"/>
        </w:rPr>
      </w:pPr>
      <w:r>
        <w:rPr>
          <w:rFonts w:hint="eastAsia" w:ascii="宋体" w:hAnsi="宋体" w:cs="宋体"/>
          <w:color w:val="auto"/>
          <w:szCs w:val="21"/>
        </w:rPr>
        <w:t>招标人：东莞市水务集团管网有限公司</w:t>
      </w:r>
    </w:p>
    <w:p>
      <w:pPr>
        <w:pStyle w:val="192"/>
        <w:numPr>
          <w:ilvl w:val="3"/>
          <w:numId w:val="0"/>
        </w:numPr>
        <w:snapToGrid w:val="0"/>
        <w:spacing w:line="360" w:lineRule="auto"/>
        <w:ind w:left="1211" w:leftChars="150"/>
        <w:jc w:val="left"/>
        <w:rPr>
          <w:rFonts w:hint="eastAsia" w:ascii="宋体" w:hAnsi="宋体" w:cs="宋体"/>
          <w:color w:val="auto"/>
          <w:szCs w:val="21"/>
        </w:rPr>
      </w:pPr>
      <w:r>
        <w:rPr>
          <w:rFonts w:hint="eastAsia" w:ascii="宋体" w:hAnsi="宋体" w:cs="宋体"/>
          <w:color w:val="auto"/>
          <w:szCs w:val="21"/>
        </w:rPr>
        <w:t>地址：东莞市东城街道东城运河路5号</w:t>
      </w:r>
    </w:p>
    <w:p>
      <w:pPr>
        <w:pStyle w:val="192"/>
        <w:numPr>
          <w:ilvl w:val="3"/>
          <w:numId w:val="0"/>
        </w:numPr>
        <w:snapToGrid w:val="0"/>
        <w:spacing w:line="360" w:lineRule="auto"/>
        <w:ind w:left="1211" w:leftChars="150"/>
        <w:jc w:val="left"/>
        <w:rPr>
          <w:rFonts w:hint="eastAsia" w:ascii="宋体" w:hAnsi="宋体" w:cs="宋体"/>
          <w:color w:val="auto"/>
          <w:szCs w:val="21"/>
        </w:rPr>
      </w:pPr>
      <w:r>
        <w:rPr>
          <w:rFonts w:hint="eastAsia" w:ascii="宋体" w:hAnsi="宋体" w:cs="宋体"/>
          <w:color w:val="auto"/>
          <w:szCs w:val="21"/>
        </w:rPr>
        <w:t>联系人：许丽明</w:t>
      </w:r>
    </w:p>
    <w:p>
      <w:pPr>
        <w:pStyle w:val="192"/>
        <w:numPr>
          <w:ilvl w:val="3"/>
          <w:numId w:val="0"/>
        </w:numPr>
        <w:snapToGrid w:val="0"/>
        <w:spacing w:line="360" w:lineRule="auto"/>
        <w:ind w:left="1211" w:leftChars="150"/>
        <w:jc w:val="left"/>
        <w:rPr>
          <w:rFonts w:hint="eastAsia" w:ascii="宋体" w:hAnsi="宋体" w:cs="宋体"/>
          <w:color w:val="auto"/>
          <w:szCs w:val="21"/>
        </w:rPr>
      </w:pPr>
      <w:r>
        <w:rPr>
          <w:rFonts w:hint="eastAsia" w:ascii="宋体" w:hAnsi="宋体" w:cs="宋体"/>
          <w:color w:val="auto"/>
          <w:szCs w:val="21"/>
        </w:rPr>
        <w:t>电话：0769-23308061</w:t>
      </w:r>
    </w:p>
    <w:p>
      <w:pPr>
        <w:pStyle w:val="192"/>
        <w:snapToGrid w:val="0"/>
        <w:spacing w:line="360" w:lineRule="auto"/>
        <w:ind w:left="511" w:leftChars="178" w:hanging="84" w:hangingChars="40"/>
        <w:rPr>
          <w:rFonts w:ascii="宋体" w:hAnsi="宋体" w:cs="宋体"/>
          <w:color w:val="auto"/>
          <w:szCs w:val="21"/>
        </w:rPr>
      </w:pPr>
    </w:p>
    <w:p>
      <w:pPr>
        <w:pStyle w:val="102"/>
        <w:numPr>
          <w:ilvl w:val="0"/>
          <w:numId w:val="1"/>
        </w:numPr>
        <w:spacing w:line="360" w:lineRule="auto"/>
        <w:ind w:right="-34" w:firstLineChars="0"/>
        <w:jc w:val="both"/>
        <w:rPr>
          <w:rFonts w:hAnsi="宋体" w:cs="宋体"/>
          <w:bCs/>
          <w:color w:val="auto"/>
          <w:sz w:val="21"/>
          <w:szCs w:val="21"/>
        </w:rPr>
      </w:pPr>
      <w:r>
        <w:rPr>
          <w:rFonts w:hint="eastAsia" w:hAnsi="宋体" w:cs="宋体"/>
          <w:color w:val="auto"/>
          <w:sz w:val="21"/>
          <w:szCs w:val="21"/>
        </w:rPr>
        <w:t>招标代理机构联系方式</w:t>
      </w:r>
    </w:p>
    <w:p>
      <w:pPr>
        <w:pStyle w:val="192"/>
        <w:snapToGrid w:val="0"/>
        <w:spacing w:line="360" w:lineRule="auto"/>
        <w:ind w:left="444" w:leftChars="150" w:hanging="84" w:hangingChars="40"/>
        <w:rPr>
          <w:rFonts w:ascii="宋体" w:hAnsi="宋体" w:cs="宋体"/>
          <w:color w:val="auto"/>
          <w:szCs w:val="21"/>
        </w:rPr>
      </w:pPr>
      <w:bookmarkStart w:id="5" w:name="_Toc447044468"/>
      <w:bookmarkStart w:id="6" w:name="_Toc447045079"/>
      <w:bookmarkStart w:id="7" w:name="_Toc447044592"/>
      <w:r>
        <w:rPr>
          <w:rFonts w:hint="eastAsia" w:ascii="宋体" w:hAnsi="宋体" w:cs="宋体"/>
          <w:color w:val="auto"/>
          <w:szCs w:val="21"/>
        </w:rPr>
        <w:t>招标代理机构：广东华迪工程管理有限公司</w:t>
      </w:r>
    </w:p>
    <w:p>
      <w:pPr>
        <w:pStyle w:val="192"/>
        <w:snapToGrid w:val="0"/>
        <w:spacing w:line="360" w:lineRule="auto"/>
        <w:ind w:left="1236" w:leftChars="161" w:hanging="850" w:hangingChars="405"/>
        <w:rPr>
          <w:rFonts w:hint="eastAsia" w:ascii="宋体" w:hAnsi="宋体" w:cs="宋体"/>
          <w:color w:val="auto"/>
          <w:szCs w:val="21"/>
        </w:rPr>
      </w:pPr>
      <w:r>
        <w:rPr>
          <w:rFonts w:hint="eastAsia" w:ascii="宋体" w:hAnsi="宋体" w:cs="宋体"/>
          <w:color w:val="auto"/>
          <w:szCs w:val="21"/>
        </w:rPr>
        <w:t>地址：东莞市南城街道雅园工业区富丽大厦A502</w:t>
      </w:r>
    </w:p>
    <w:p>
      <w:pPr>
        <w:pStyle w:val="192"/>
        <w:snapToGrid w:val="0"/>
        <w:spacing w:line="360" w:lineRule="auto"/>
        <w:ind w:left="1236" w:leftChars="161" w:hanging="850" w:hangingChars="405"/>
        <w:rPr>
          <w:rFonts w:hint="eastAsia" w:ascii="宋体" w:hAnsi="宋体" w:cs="宋体"/>
          <w:color w:val="auto"/>
          <w:szCs w:val="21"/>
        </w:rPr>
      </w:pPr>
      <w:r>
        <w:rPr>
          <w:rFonts w:hint="eastAsia" w:ascii="宋体" w:hAnsi="宋体" w:cs="宋体"/>
          <w:color w:val="auto"/>
          <w:szCs w:val="21"/>
        </w:rPr>
        <w:t>联系人：李先生</w:t>
      </w:r>
    </w:p>
    <w:p>
      <w:pPr>
        <w:pStyle w:val="192"/>
        <w:snapToGrid w:val="0"/>
        <w:spacing w:line="360" w:lineRule="auto"/>
        <w:ind w:left="1236" w:leftChars="161" w:hanging="850" w:hangingChars="405"/>
        <w:rPr>
          <w:rFonts w:hint="eastAsia" w:ascii="宋体" w:hAnsi="宋体" w:cs="宋体"/>
          <w:color w:val="auto"/>
          <w:szCs w:val="21"/>
        </w:rPr>
      </w:pPr>
      <w:r>
        <w:rPr>
          <w:rFonts w:hint="eastAsia" w:ascii="宋体" w:hAnsi="宋体" w:cs="宋体"/>
          <w:color w:val="auto"/>
          <w:szCs w:val="21"/>
        </w:rPr>
        <w:t>电话：0769-23033403</w:t>
      </w:r>
    </w:p>
    <w:p>
      <w:pPr>
        <w:pStyle w:val="192"/>
        <w:snapToGrid w:val="0"/>
        <w:spacing w:line="360" w:lineRule="auto"/>
        <w:ind w:left="444" w:leftChars="150" w:hanging="84" w:hangingChars="40"/>
        <w:rPr>
          <w:rFonts w:ascii="宋体" w:hAnsi="宋体" w:cs="宋体"/>
          <w:color w:val="auto"/>
          <w:szCs w:val="21"/>
        </w:rPr>
      </w:pPr>
    </w:p>
    <w:p>
      <w:pPr>
        <w:pageBreakBefore w:val="0"/>
        <w:spacing w:beforeLines="-2147483648" w:afterLines="-2147483648" w:line="240" w:lineRule="auto"/>
        <w:rPr>
          <w:rFonts w:hint="eastAsia" w:ascii="宋体" w:hAnsi="宋体" w:cs="宋体"/>
          <w:color w:val="auto"/>
          <w:lang w:val="zh-CN"/>
        </w:rPr>
      </w:pPr>
      <w:r>
        <w:rPr>
          <w:rFonts w:ascii="宋体" w:hAnsi="宋体" w:cs="宋体"/>
          <w:color w:val="auto"/>
          <w:szCs w:val="21"/>
        </w:rPr>
        <w:br w:type="page"/>
      </w:r>
      <w:bookmarkStart w:id="8" w:name="_Toc7979"/>
    </w:p>
    <w:p>
      <w:pPr>
        <w:pStyle w:val="46"/>
        <w:pageBreakBefore w:val="0"/>
        <w:spacing w:beforeLines="50" w:afterLines="50" w:line="460" w:lineRule="exact"/>
        <w:rPr>
          <w:rFonts w:ascii="宋体" w:hAnsi="宋体" w:cs="宋体"/>
          <w:color w:val="auto"/>
          <w:lang w:val="zh-CN"/>
        </w:rPr>
      </w:pPr>
      <w:bookmarkStart w:id="9" w:name="_Toc4815"/>
      <w:r>
        <w:rPr>
          <w:rFonts w:hint="eastAsia" w:ascii="宋体" w:hAnsi="宋体" w:cs="宋体"/>
          <w:color w:val="auto"/>
          <w:lang w:val="zh-CN"/>
        </w:rPr>
        <w:t>第二篇</w:t>
      </w:r>
      <w:r>
        <w:rPr>
          <w:rFonts w:hint="eastAsia" w:ascii="宋体" w:hAnsi="宋体" w:cs="宋体"/>
          <w:color w:val="auto"/>
        </w:rPr>
        <w:t xml:space="preserve"> </w:t>
      </w:r>
      <w:r>
        <w:rPr>
          <w:rFonts w:hint="eastAsia" w:ascii="宋体" w:hAnsi="宋体" w:cs="宋体"/>
          <w:color w:val="auto"/>
          <w:lang w:val="zh-CN"/>
        </w:rPr>
        <w:t>投标人须知</w:t>
      </w:r>
      <w:bookmarkEnd w:id="5"/>
      <w:bookmarkEnd w:id="6"/>
      <w:bookmarkEnd w:id="7"/>
      <w:bookmarkEnd w:id="8"/>
      <w:bookmarkEnd w:id="9"/>
    </w:p>
    <w:p>
      <w:pPr>
        <w:pStyle w:val="36"/>
        <w:numPr>
          <w:ilvl w:val="1"/>
          <w:numId w:val="5"/>
        </w:numPr>
        <w:tabs>
          <w:tab w:val="left" w:pos="567"/>
        </w:tabs>
        <w:spacing w:before="0" w:after="0" w:line="360" w:lineRule="auto"/>
        <w:ind w:left="0" w:firstLine="0"/>
        <w:jc w:val="left"/>
        <w:rPr>
          <w:rFonts w:ascii="宋体" w:hAnsi="宋体" w:cs="宋体"/>
          <w:color w:val="auto"/>
          <w:sz w:val="21"/>
          <w:szCs w:val="21"/>
          <w:lang w:val="zh-CN"/>
        </w:rPr>
      </w:pPr>
      <w:bookmarkStart w:id="10" w:name="_Toc12261"/>
      <w:bookmarkStart w:id="11" w:name="_Toc23317"/>
      <w:bookmarkStart w:id="12" w:name="_Toc447045080"/>
      <w:bookmarkStart w:id="13" w:name="_Toc447044593"/>
      <w:bookmarkStart w:id="14" w:name="_Toc447044469"/>
      <w:r>
        <w:rPr>
          <w:rFonts w:hint="eastAsia" w:ascii="宋体" w:hAnsi="宋体" w:cs="宋体"/>
          <w:color w:val="auto"/>
          <w:sz w:val="21"/>
          <w:szCs w:val="21"/>
          <w:lang w:val="zh-CN"/>
        </w:rPr>
        <w:t>总则</w:t>
      </w:r>
      <w:bookmarkEnd w:id="10"/>
      <w:bookmarkEnd w:id="11"/>
      <w:bookmarkEnd w:id="12"/>
      <w:bookmarkEnd w:id="13"/>
      <w:bookmarkEnd w:id="14"/>
    </w:p>
    <w:p>
      <w:pPr>
        <w:tabs>
          <w:tab w:val="left" w:pos="567"/>
        </w:tabs>
        <w:spacing w:line="360" w:lineRule="auto"/>
        <w:ind w:left="496" w:hanging="495" w:hangingChars="236"/>
        <w:jc w:val="both"/>
        <w:outlineLvl w:val="2"/>
        <w:rPr>
          <w:rFonts w:hAnsi="宋体" w:cs="宋体"/>
          <w:color w:val="auto"/>
          <w:kern w:val="2"/>
          <w:sz w:val="21"/>
          <w:szCs w:val="21"/>
          <w:lang w:val="zh-CN"/>
        </w:rPr>
      </w:pPr>
      <w:bookmarkStart w:id="15" w:name="_Toc18386"/>
      <w:bookmarkStart w:id="16" w:name="_Toc25301"/>
      <w:r>
        <w:rPr>
          <w:rFonts w:hint="eastAsia" w:hAnsi="宋体" w:cs="宋体"/>
          <w:color w:val="auto"/>
          <w:kern w:val="2"/>
          <w:sz w:val="21"/>
          <w:szCs w:val="21"/>
          <w:lang w:val="zh-CN"/>
        </w:rPr>
        <w:t xml:space="preserve">1 </w:t>
      </w:r>
      <w:r>
        <w:rPr>
          <w:rFonts w:hint="eastAsia" w:hAnsi="宋体" w:cs="宋体"/>
          <w:color w:val="auto"/>
          <w:kern w:val="2"/>
          <w:sz w:val="21"/>
          <w:szCs w:val="21"/>
        </w:rPr>
        <w:t xml:space="preserve">  </w:t>
      </w:r>
      <w:r>
        <w:rPr>
          <w:rFonts w:hint="eastAsia" w:hAnsi="宋体" w:cs="宋体"/>
          <w:color w:val="auto"/>
          <w:kern w:val="2"/>
          <w:sz w:val="21"/>
          <w:szCs w:val="21"/>
          <w:lang w:val="zh-CN"/>
        </w:rPr>
        <w:t>资金来源：企业自筹资金。</w:t>
      </w:r>
      <w:bookmarkEnd w:id="15"/>
      <w:bookmarkEnd w:id="16"/>
    </w:p>
    <w:p>
      <w:pPr>
        <w:spacing w:line="360" w:lineRule="auto"/>
        <w:jc w:val="both"/>
        <w:rPr>
          <w:rFonts w:hAnsi="宋体" w:cs="宋体"/>
          <w:color w:val="auto"/>
          <w:kern w:val="2"/>
          <w:sz w:val="21"/>
          <w:szCs w:val="21"/>
          <w:lang w:val="zh-CN"/>
        </w:rPr>
      </w:pPr>
    </w:p>
    <w:p>
      <w:pPr>
        <w:spacing w:line="360" w:lineRule="auto"/>
        <w:ind w:left="420" w:hanging="420" w:hangingChars="200"/>
        <w:jc w:val="both"/>
        <w:rPr>
          <w:rFonts w:hint="eastAsia" w:hAnsi="宋体" w:cs="宋体"/>
          <w:color w:val="auto"/>
          <w:kern w:val="2"/>
          <w:sz w:val="21"/>
          <w:szCs w:val="21"/>
        </w:rPr>
      </w:pPr>
      <w:bookmarkStart w:id="17" w:name="_Toc18441"/>
      <w:r>
        <w:rPr>
          <w:rFonts w:hint="eastAsia" w:hAnsi="宋体" w:cs="宋体"/>
          <w:color w:val="auto"/>
          <w:kern w:val="2"/>
          <w:sz w:val="21"/>
          <w:szCs w:val="21"/>
        </w:rPr>
        <w:t>2   合格的投标人</w:t>
      </w:r>
      <w:bookmarkEnd w:id="17"/>
    </w:p>
    <w:p>
      <w:pPr>
        <w:spacing w:line="360" w:lineRule="auto"/>
        <w:ind w:left="420" w:hanging="420" w:hangingChars="200"/>
        <w:jc w:val="both"/>
        <w:rPr>
          <w:rFonts w:hint="eastAsia" w:hAnsi="宋体" w:cs="宋体"/>
          <w:color w:val="auto"/>
          <w:kern w:val="2"/>
          <w:sz w:val="21"/>
          <w:szCs w:val="21"/>
        </w:rPr>
      </w:pPr>
      <w:r>
        <w:rPr>
          <w:rFonts w:hint="eastAsia" w:hAnsi="宋体" w:cs="宋体"/>
          <w:color w:val="auto"/>
          <w:kern w:val="2"/>
          <w:sz w:val="21"/>
          <w:szCs w:val="21"/>
        </w:rPr>
        <w:t>2.1 合格的投标人条件见第一篇《招标公告》中第2条的“合格投标人资格要求”及本条以下2.2款至2.</w:t>
      </w:r>
      <w:r>
        <w:rPr>
          <w:rFonts w:hint="eastAsia" w:hAnsi="宋体" w:cs="宋体"/>
          <w:color w:val="auto"/>
          <w:kern w:val="2"/>
          <w:sz w:val="21"/>
          <w:szCs w:val="21"/>
          <w:lang w:val="en-US" w:eastAsia="zh-CN"/>
        </w:rPr>
        <w:t>7</w:t>
      </w:r>
      <w:r>
        <w:rPr>
          <w:rFonts w:hint="eastAsia" w:hAnsi="宋体" w:cs="宋体"/>
          <w:color w:val="auto"/>
          <w:kern w:val="2"/>
          <w:sz w:val="21"/>
          <w:szCs w:val="21"/>
        </w:rPr>
        <w:t>款的通用要求。</w:t>
      </w:r>
    </w:p>
    <w:p>
      <w:pPr>
        <w:spacing w:line="360" w:lineRule="auto"/>
        <w:ind w:left="420" w:hanging="420" w:hangingChars="200"/>
        <w:jc w:val="both"/>
        <w:rPr>
          <w:rFonts w:hint="eastAsia" w:hAnsi="宋体" w:cs="宋体"/>
          <w:color w:val="auto"/>
          <w:kern w:val="2"/>
          <w:sz w:val="21"/>
          <w:szCs w:val="21"/>
        </w:rPr>
      </w:pPr>
      <w:r>
        <w:rPr>
          <w:rFonts w:hint="eastAsia" w:hAnsi="宋体" w:cs="宋体"/>
          <w:color w:val="auto"/>
          <w:kern w:val="2"/>
          <w:sz w:val="21"/>
          <w:szCs w:val="21"/>
        </w:rPr>
        <w:t xml:space="preserve">2.2 </w:t>
      </w:r>
      <w:r>
        <w:rPr>
          <w:rFonts w:hint="eastAsia" w:hAnsi="宋体" w:cs="宋体"/>
          <w:color w:val="auto"/>
          <w:sz w:val="21"/>
          <w:szCs w:val="21"/>
        </w:rPr>
        <w:t>投标人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企业牵涉的主要诉讼案件或其他处罚（失信和违法）说明格式”，如果不主动填报而被事后发现的，将取消其投标（中标）资格，并按有关规定从重处理。</w:t>
      </w:r>
      <w:bookmarkStart w:id="18" w:name="_Toc336350154"/>
      <w:bookmarkStart w:id="19" w:name="_Toc330479464"/>
    </w:p>
    <w:p>
      <w:pPr>
        <w:spacing w:line="360" w:lineRule="auto"/>
        <w:ind w:left="420" w:hanging="420" w:hangingChars="200"/>
        <w:jc w:val="both"/>
        <w:rPr>
          <w:rFonts w:hint="eastAsia" w:hAnsi="宋体" w:cs="宋体"/>
          <w:color w:val="auto"/>
          <w:sz w:val="21"/>
          <w:szCs w:val="21"/>
        </w:rPr>
      </w:pPr>
      <w:r>
        <w:rPr>
          <w:rFonts w:hint="eastAsia" w:hAnsi="宋体" w:cs="宋体"/>
          <w:color w:val="auto"/>
          <w:kern w:val="2"/>
          <w:sz w:val="21"/>
          <w:szCs w:val="21"/>
        </w:rPr>
        <w:t xml:space="preserve">2.3 </w:t>
      </w:r>
      <w:bookmarkEnd w:id="18"/>
      <w:bookmarkEnd w:id="19"/>
      <w:r>
        <w:rPr>
          <w:rFonts w:hint="eastAsia" w:hAnsi="宋体" w:cs="宋体"/>
          <w:color w:val="auto"/>
          <w:sz w:val="21"/>
          <w:szCs w:val="21"/>
          <w:lang w:val="zh-CN"/>
        </w:rPr>
        <w:t>投</w:t>
      </w:r>
      <w:r>
        <w:rPr>
          <w:rFonts w:hint="eastAsia" w:hAnsi="宋体" w:cs="宋体"/>
          <w:color w:val="auto"/>
          <w:sz w:val="21"/>
          <w:szCs w:val="21"/>
        </w:rPr>
        <w:t>标人符合《中华人民共和国招标投标法》第二十六条的规定。</w:t>
      </w:r>
    </w:p>
    <w:p>
      <w:pPr>
        <w:spacing w:line="360" w:lineRule="auto"/>
        <w:ind w:left="567" w:hanging="567" w:hangingChars="270"/>
        <w:jc w:val="both"/>
        <w:rPr>
          <w:rFonts w:hint="eastAsia" w:hAnsi="宋体" w:cs="宋体"/>
          <w:color w:val="auto"/>
          <w:sz w:val="21"/>
          <w:szCs w:val="21"/>
        </w:rPr>
      </w:pPr>
      <w:r>
        <w:rPr>
          <w:rFonts w:hint="eastAsia" w:hAnsi="宋体" w:cs="宋体"/>
          <w:color w:val="auto"/>
          <w:kern w:val="2"/>
          <w:sz w:val="21"/>
          <w:szCs w:val="21"/>
        </w:rPr>
        <w:t>2.</w:t>
      </w:r>
      <w:r>
        <w:rPr>
          <w:rFonts w:hint="eastAsia" w:hAnsi="宋体" w:cs="宋体"/>
          <w:color w:val="auto"/>
          <w:kern w:val="2"/>
          <w:sz w:val="21"/>
          <w:szCs w:val="21"/>
          <w:lang w:val="en-US" w:eastAsia="zh-CN"/>
        </w:rPr>
        <w:t>4</w:t>
      </w:r>
      <w:r>
        <w:rPr>
          <w:rFonts w:hint="eastAsia" w:hAnsi="宋体" w:cs="宋体"/>
          <w:color w:val="auto"/>
          <w:kern w:val="2"/>
          <w:sz w:val="21"/>
          <w:szCs w:val="21"/>
        </w:rPr>
        <w:t xml:space="preserve"> </w:t>
      </w:r>
      <w:r>
        <w:rPr>
          <w:rFonts w:hint="eastAsia" w:hAnsi="宋体" w:cs="宋体"/>
          <w:color w:val="auto"/>
          <w:sz w:val="21"/>
          <w:szCs w:val="21"/>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p>
    <w:p>
      <w:pPr>
        <w:spacing w:line="360" w:lineRule="auto"/>
        <w:ind w:left="420" w:hanging="420" w:hangingChars="200"/>
        <w:jc w:val="both"/>
        <w:rPr>
          <w:rFonts w:hint="eastAsia" w:hAnsi="宋体" w:cs="宋体"/>
          <w:color w:val="auto"/>
          <w:sz w:val="21"/>
          <w:szCs w:val="21"/>
        </w:rPr>
      </w:pPr>
      <w:r>
        <w:rPr>
          <w:rFonts w:hint="eastAsia" w:hAnsi="宋体" w:cs="宋体"/>
          <w:color w:val="auto"/>
          <w:kern w:val="2"/>
          <w:sz w:val="21"/>
          <w:szCs w:val="21"/>
        </w:rPr>
        <w:t>2.</w:t>
      </w:r>
      <w:r>
        <w:rPr>
          <w:rFonts w:hint="eastAsia" w:hAnsi="宋体" w:cs="宋体"/>
          <w:color w:val="auto"/>
          <w:kern w:val="2"/>
          <w:sz w:val="21"/>
          <w:szCs w:val="21"/>
          <w:lang w:val="en-US" w:eastAsia="zh-CN"/>
        </w:rPr>
        <w:t>5</w:t>
      </w:r>
      <w:r>
        <w:rPr>
          <w:rFonts w:hint="eastAsia" w:hAnsi="宋体" w:cs="宋体"/>
          <w:color w:val="auto"/>
          <w:kern w:val="2"/>
          <w:sz w:val="21"/>
          <w:szCs w:val="21"/>
        </w:rPr>
        <w:t xml:space="preserve"> </w:t>
      </w:r>
      <w:r>
        <w:rPr>
          <w:rFonts w:hint="eastAsia" w:hAnsi="宋体" w:cs="宋体"/>
          <w:color w:val="auto"/>
          <w:sz w:val="21"/>
          <w:szCs w:val="21"/>
        </w:rPr>
        <w:t>投标人（含其不具有独立法人资格的分支机构）未被列入“信用中国”网站（www.creditchina.gov.cn）失信被执行人、重大税收违法案件当事人名单、严重违法失信行为记录名单（处罚期限届满的除外）。</w:t>
      </w:r>
    </w:p>
    <w:p>
      <w:pPr>
        <w:tabs>
          <w:tab w:val="left" w:pos="567"/>
        </w:tabs>
        <w:spacing w:line="360" w:lineRule="auto"/>
        <w:ind w:left="422" w:hanging="422" w:hangingChars="201"/>
        <w:jc w:val="both"/>
        <w:rPr>
          <w:rFonts w:hint="eastAsia" w:hAnsi="宋体" w:cs="宋体"/>
          <w:color w:val="auto"/>
          <w:sz w:val="21"/>
          <w:szCs w:val="21"/>
        </w:rPr>
      </w:pPr>
      <w:r>
        <w:rPr>
          <w:rFonts w:hint="eastAsia" w:hAnsi="宋体" w:cs="宋体"/>
          <w:color w:val="auto"/>
          <w:sz w:val="21"/>
          <w:szCs w:val="21"/>
        </w:rPr>
        <w:t>2.</w:t>
      </w:r>
      <w:r>
        <w:rPr>
          <w:rFonts w:hint="eastAsia" w:hAnsi="宋体" w:cs="宋体"/>
          <w:color w:val="auto"/>
          <w:sz w:val="21"/>
          <w:szCs w:val="21"/>
          <w:lang w:val="en-US" w:eastAsia="zh-CN"/>
        </w:rPr>
        <w:t>6</w:t>
      </w:r>
      <w:r>
        <w:rPr>
          <w:rFonts w:hint="eastAsia" w:hAnsi="宋体" w:cs="宋体"/>
          <w:color w:val="auto"/>
          <w:sz w:val="21"/>
          <w:szCs w:val="21"/>
        </w:rPr>
        <w:t xml:space="preserve"> 不存在投标人或其关联公司曾与东莞市水务集团有限公司及其下属企业签订合同，且在履约过程中因投标人或其关联公司严重违约而导致合同变更、中止、解除的情形。</w:t>
      </w:r>
    </w:p>
    <w:p>
      <w:pPr>
        <w:tabs>
          <w:tab w:val="left" w:pos="567"/>
        </w:tabs>
        <w:spacing w:line="360" w:lineRule="auto"/>
        <w:ind w:left="422" w:hanging="422" w:hangingChars="201"/>
        <w:jc w:val="both"/>
        <w:rPr>
          <w:rFonts w:hint="eastAsia" w:hAnsi="宋体" w:cs="宋体"/>
          <w:color w:val="auto"/>
          <w:sz w:val="21"/>
          <w:szCs w:val="21"/>
        </w:rPr>
      </w:pPr>
      <w:r>
        <w:rPr>
          <w:rFonts w:hint="eastAsia" w:hAnsi="宋体" w:cs="宋体"/>
          <w:color w:val="auto"/>
          <w:sz w:val="21"/>
          <w:szCs w:val="21"/>
        </w:rPr>
        <w:t>2.</w:t>
      </w:r>
      <w:r>
        <w:rPr>
          <w:rFonts w:hint="eastAsia" w:hAnsi="宋体" w:cs="宋体"/>
          <w:color w:val="auto"/>
          <w:sz w:val="21"/>
          <w:szCs w:val="21"/>
          <w:lang w:val="en-US" w:eastAsia="zh-CN"/>
        </w:rPr>
        <w:t>7</w:t>
      </w:r>
      <w:r>
        <w:rPr>
          <w:rFonts w:hint="eastAsia" w:hAnsi="宋体" w:cs="宋体"/>
          <w:color w:val="auto"/>
          <w:sz w:val="21"/>
          <w:szCs w:val="21"/>
        </w:rPr>
        <w:t xml:space="preserve"> 投标人必须在售</w:t>
      </w:r>
      <w:r>
        <w:rPr>
          <w:rFonts w:hint="eastAsia" w:hAnsi="宋体" w:cs="宋体"/>
          <w:color w:val="auto"/>
          <w:sz w:val="21"/>
        </w:rPr>
        <w:t>卖招标文件期间在招标代理机构处报名购买了招标文件，方能参与本项目的投标。</w:t>
      </w:r>
    </w:p>
    <w:p>
      <w:pPr>
        <w:pStyle w:val="19"/>
        <w:jc w:val="left"/>
        <w:rPr>
          <w:rFonts w:hint="eastAsia" w:hAnsi="宋体" w:cs="宋体"/>
          <w:b w:val="0"/>
          <w:bCs w:val="0"/>
          <w:color w:val="auto"/>
          <w:sz w:val="21"/>
          <w:szCs w:val="21"/>
          <w:lang w:val="en-US"/>
        </w:rPr>
      </w:pPr>
    </w:p>
    <w:p>
      <w:pPr>
        <w:tabs>
          <w:tab w:val="left" w:pos="567"/>
        </w:tabs>
        <w:spacing w:line="360" w:lineRule="auto"/>
        <w:ind w:left="496" w:hanging="495" w:hangingChars="236"/>
        <w:jc w:val="both"/>
        <w:outlineLvl w:val="2"/>
        <w:rPr>
          <w:rFonts w:hint="eastAsia" w:hAnsi="宋体" w:cs="宋体"/>
          <w:color w:val="auto"/>
          <w:kern w:val="2"/>
          <w:sz w:val="21"/>
          <w:szCs w:val="21"/>
          <w:lang w:val="zh-CN"/>
        </w:rPr>
      </w:pPr>
      <w:bookmarkStart w:id="20" w:name="_Toc65231246"/>
      <w:bookmarkStart w:id="21" w:name="_Toc5872"/>
      <w:r>
        <w:rPr>
          <w:rFonts w:hint="eastAsia" w:hAnsi="宋体" w:cs="宋体"/>
          <w:color w:val="auto"/>
          <w:kern w:val="2"/>
          <w:sz w:val="21"/>
          <w:szCs w:val="21"/>
          <w:lang w:val="zh-CN"/>
        </w:rPr>
        <w:t xml:space="preserve">3 </w:t>
      </w:r>
      <w:r>
        <w:rPr>
          <w:rFonts w:hint="eastAsia" w:hAnsi="宋体" w:cs="宋体"/>
          <w:color w:val="auto"/>
          <w:kern w:val="2"/>
          <w:sz w:val="21"/>
          <w:szCs w:val="21"/>
        </w:rPr>
        <w:t xml:space="preserve">   </w:t>
      </w:r>
      <w:r>
        <w:rPr>
          <w:rFonts w:hint="eastAsia" w:hAnsi="宋体" w:cs="宋体"/>
          <w:color w:val="auto"/>
          <w:kern w:val="2"/>
          <w:sz w:val="21"/>
          <w:szCs w:val="21"/>
          <w:lang w:val="zh-CN"/>
        </w:rPr>
        <w:t>合格的服务和货物</w:t>
      </w:r>
      <w:bookmarkEnd w:id="20"/>
      <w:bookmarkEnd w:id="21"/>
    </w:p>
    <w:p>
      <w:pPr>
        <w:spacing w:line="360" w:lineRule="auto"/>
        <w:ind w:left="567" w:hanging="567" w:hangingChars="270"/>
        <w:jc w:val="both"/>
        <w:rPr>
          <w:rFonts w:hint="eastAsia" w:hAnsi="宋体" w:cs="宋体"/>
          <w:color w:val="auto"/>
          <w:sz w:val="21"/>
          <w:szCs w:val="21"/>
        </w:rPr>
      </w:pPr>
      <w:r>
        <w:rPr>
          <w:rFonts w:hint="eastAsia" w:hAnsi="宋体" w:cs="宋体"/>
          <w:color w:val="auto"/>
          <w:kern w:val="2"/>
          <w:sz w:val="21"/>
          <w:szCs w:val="21"/>
          <w:lang w:val="zh-CN"/>
        </w:rPr>
        <w:t>3.1  “</w:t>
      </w:r>
      <w:r>
        <w:rPr>
          <w:rFonts w:hint="eastAsia" w:hAnsi="宋体" w:cs="宋体"/>
          <w:color w:val="auto"/>
          <w:sz w:val="21"/>
          <w:szCs w:val="21"/>
        </w:rPr>
        <w:t>服务”是指投标人按招标文件规定完成的全部服务内容，其中包括完成服务所需的货物，及须承担的技术支持、培训和其它伴随服务；</w:t>
      </w:r>
    </w:p>
    <w:p>
      <w:pPr>
        <w:spacing w:line="360" w:lineRule="auto"/>
        <w:ind w:left="567" w:hanging="567" w:hangingChars="270"/>
        <w:jc w:val="both"/>
        <w:rPr>
          <w:rFonts w:hint="eastAsia" w:hAnsi="宋体" w:cs="宋体"/>
          <w:color w:val="auto"/>
          <w:sz w:val="21"/>
          <w:szCs w:val="21"/>
        </w:rPr>
      </w:pPr>
      <w:r>
        <w:rPr>
          <w:rFonts w:hint="eastAsia" w:hAnsi="宋体" w:cs="宋体"/>
          <w:color w:val="auto"/>
          <w:sz w:val="21"/>
          <w:szCs w:val="21"/>
        </w:rPr>
        <w:t>3.2  “货物”是指必须是合法生产、合法来源的原厂生产的、全新的、未使用过的，并完全符合原厂质量检测标准和国家质量检测标准、行业标准和招标文件要求、投标文件承诺。涉及进口产品或原材料的，中标人负责办理所有货物的进口及商检手续，并承担相关费用；</w:t>
      </w:r>
    </w:p>
    <w:p>
      <w:pPr>
        <w:spacing w:line="360" w:lineRule="auto"/>
        <w:ind w:left="567" w:hanging="567" w:hangingChars="270"/>
        <w:jc w:val="both"/>
        <w:rPr>
          <w:rFonts w:hint="eastAsia" w:hAnsi="宋体" w:cs="宋体"/>
          <w:color w:val="auto"/>
          <w:sz w:val="21"/>
          <w:szCs w:val="21"/>
        </w:rPr>
      </w:pPr>
      <w:r>
        <w:rPr>
          <w:rFonts w:hint="eastAsia" w:hAnsi="宋体" w:cs="宋体"/>
          <w:color w:val="auto"/>
          <w:sz w:val="21"/>
          <w:szCs w:val="21"/>
        </w:rPr>
        <w:t>3.3  投标人必须保证提供的所有服务，其质量、技术等特征必须符合国家、行业现行法律、法规的相关标准和《中华人民共和国招标投标法》的有关规定及用户需求；</w:t>
      </w:r>
    </w:p>
    <w:p>
      <w:pPr>
        <w:spacing w:line="360" w:lineRule="auto"/>
        <w:ind w:left="567" w:hanging="567" w:hangingChars="270"/>
        <w:jc w:val="both"/>
        <w:rPr>
          <w:rFonts w:hint="eastAsia" w:hAnsi="宋体" w:cs="宋体"/>
          <w:color w:val="auto"/>
          <w:sz w:val="21"/>
          <w:szCs w:val="21"/>
        </w:rPr>
      </w:pPr>
      <w:r>
        <w:rPr>
          <w:rFonts w:hint="eastAsia" w:hAnsi="宋体" w:cs="宋体"/>
          <w:color w:val="auto"/>
          <w:sz w:val="21"/>
          <w:szCs w:val="21"/>
        </w:rPr>
        <w:t>3.4  招标人有权拒绝接受任何不合格的服务，由此产生的费用及相关后果均由投标人自行承担；</w:t>
      </w:r>
    </w:p>
    <w:p>
      <w:pPr>
        <w:spacing w:line="360" w:lineRule="auto"/>
        <w:ind w:left="567" w:hanging="567" w:hangingChars="270"/>
        <w:jc w:val="both"/>
        <w:rPr>
          <w:rFonts w:hint="eastAsia" w:hAnsi="宋体" w:cs="宋体"/>
          <w:color w:val="auto"/>
          <w:sz w:val="21"/>
          <w:szCs w:val="21"/>
        </w:rPr>
      </w:pPr>
      <w:r>
        <w:rPr>
          <w:rFonts w:hint="eastAsia" w:hAnsi="宋体" w:cs="宋体"/>
          <w:color w:val="auto"/>
          <w:sz w:val="21"/>
          <w:szCs w:val="21"/>
        </w:rPr>
        <w:t>3.5  投标人应保证本项目的技术、服务或其任何一部分免受第三方提出侵犯其专利权、商标权、著作权或其它知识产权的起诉。如果投标人不拥有相应的知识产权，则投标报价应包括合法获取该知识产权的相关费用。如有违反，造成招标人任何经济损失的，由投标人承担全部赔偿责任。</w:t>
      </w:r>
    </w:p>
    <w:p>
      <w:pPr>
        <w:spacing w:line="360" w:lineRule="auto"/>
        <w:ind w:left="567" w:hanging="567" w:hangingChars="270"/>
        <w:jc w:val="both"/>
        <w:rPr>
          <w:rFonts w:hint="eastAsia" w:hAnsi="宋体" w:cs="宋体"/>
          <w:color w:val="auto"/>
          <w:sz w:val="21"/>
          <w:szCs w:val="21"/>
        </w:rPr>
      </w:pPr>
      <w:r>
        <w:rPr>
          <w:rFonts w:hint="eastAsia" w:hAnsi="宋体" w:cs="宋体"/>
          <w:color w:val="auto"/>
          <w:sz w:val="21"/>
          <w:szCs w:val="21"/>
        </w:rPr>
        <w:t>3.6  本项目的报价已承担包含所有应支付的对专利权、商标权和版权、设计或其他知识产权而需要向其他方支付的版税和使用费。如投标人未依法向第三方支付应缴版税和使用费的，造成招标人任何经济损失的，由投标人承担全部赔偿责任。</w:t>
      </w:r>
    </w:p>
    <w:p>
      <w:pPr>
        <w:spacing w:line="360" w:lineRule="auto"/>
        <w:jc w:val="both"/>
        <w:rPr>
          <w:rFonts w:hAnsi="宋体" w:cs="宋体"/>
          <w:color w:val="auto"/>
          <w:kern w:val="2"/>
          <w:sz w:val="21"/>
          <w:szCs w:val="21"/>
          <w:lang w:val="zh-CN"/>
        </w:rPr>
      </w:pPr>
    </w:p>
    <w:p>
      <w:pPr>
        <w:tabs>
          <w:tab w:val="left" w:pos="567"/>
        </w:tabs>
        <w:spacing w:line="360" w:lineRule="auto"/>
        <w:ind w:left="496" w:hanging="495" w:hangingChars="236"/>
        <w:jc w:val="both"/>
        <w:outlineLvl w:val="2"/>
        <w:rPr>
          <w:rFonts w:hAnsi="宋体" w:cs="宋体"/>
          <w:color w:val="auto"/>
          <w:kern w:val="2"/>
          <w:sz w:val="21"/>
          <w:szCs w:val="21"/>
          <w:lang w:val="zh-CN"/>
        </w:rPr>
      </w:pPr>
      <w:bookmarkStart w:id="22" w:name="_Toc30614"/>
      <w:bookmarkStart w:id="23" w:name="_Toc6274"/>
      <w:r>
        <w:rPr>
          <w:rFonts w:hint="eastAsia" w:hAnsi="宋体" w:cs="宋体"/>
          <w:color w:val="auto"/>
          <w:kern w:val="2"/>
          <w:sz w:val="21"/>
          <w:szCs w:val="21"/>
          <w:lang w:val="zh-CN"/>
        </w:rPr>
        <w:t xml:space="preserve">4 </w:t>
      </w:r>
      <w:r>
        <w:rPr>
          <w:rFonts w:hint="eastAsia" w:hAnsi="宋体" w:cs="宋体"/>
          <w:color w:val="auto"/>
          <w:kern w:val="2"/>
          <w:sz w:val="21"/>
          <w:szCs w:val="21"/>
        </w:rPr>
        <w:t xml:space="preserve">  </w:t>
      </w:r>
      <w:r>
        <w:rPr>
          <w:rFonts w:hint="eastAsia" w:hAnsi="宋体" w:cs="宋体"/>
          <w:color w:val="auto"/>
          <w:kern w:val="2"/>
          <w:sz w:val="21"/>
          <w:szCs w:val="21"/>
          <w:lang w:val="zh-CN"/>
        </w:rPr>
        <w:t>其它说明</w:t>
      </w:r>
      <w:bookmarkEnd w:id="22"/>
      <w:bookmarkEnd w:id="23"/>
    </w:p>
    <w:p>
      <w:pPr>
        <w:tabs>
          <w:tab w:val="left" w:pos="567"/>
        </w:tabs>
        <w:spacing w:line="360" w:lineRule="auto"/>
        <w:jc w:val="both"/>
        <w:rPr>
          <w:rFonts w:hAnsi="宋体" w:cs="宋体"/>
          <w:color w:val="auto"/>
          <w:kern w:val="2"/>
          <w:sz w:val="21"/>
          <w:szCs w:val="21"/>
          <w:lang w:val="zh-CN"/>
        </w:rPr>
      </w:pPr>
      <w:r>
        <w:rPr>
          <w:rFonts w:hint="eastAsia" w:hAnsi="宋体" w:cs="宋体"/>
          <w:color w:val="auto"/>
          <w:kern w:val="2"/>
          <w:sz w:val="21"/>
          <w:szCs w:val="21"/>
          <w:lang w:val="zh-CN"/>
        </w:rPr>
        <w:t>4.1 投标费用</w:t>
      </w:r>
    </w:p>
    <w:p>
      <w:pPr>
        <w:spacing w:line="360" w:lineRule="auto"/>
        <w:ind w:left="426" w:firstLine="420" w:firstLineChars="200"/>
        <w:jc w:val="both"/>
        <w:rPr>
          <w:rFonts w:hAnsi="宋体" w:cs="宋体"/>
          <w:color w:val="auto"/>
          <w:kern w:val="2"/>
          <w:sz w:val="21"/>
          <w:szCs w:val="21"/>
          <w:lang w:val="zh-CN"/>
        </w:rPr>
      </w:pPr>
      <w:r>
        <w:rPr>
          <w:rFonts w:hint="eastAsia" w:hAnsi="宋体" w:cs="宋体"/>
          <w:color w:val="auto"/>
          <w:kern w:val="2"/>
          <w:sz w:val="21"/>
          <w:szCs w:val="21"/>
          <w:lang w:val="zh-CN"/>
        </w:rPr>
        <w:t>无论招标过程中的做法和结果如何，投标人须承担所有与编写和递交投标文件有关的费用，招标人和招标代理机构在任何情况下不负担这些费用。</w:t>
      </w:r>
    </w:p>
    <w:p>
      <w:pPr>
        <w:tabs>
          <w:tab w:val="left" w:pos="567"/>
          <w:tab w:val="left" w:pos="927"/>
        </w:tabs>
        <w:spacing w:line="360" w:lineRule="auto"/>
        <w:ind w:left="630" w:hanging="630" w:hangingChars="300"/>
        <w:jc w:val="both"/>
        <w:rPr>
          <w:rFonts w:hAnsi="宋体" w:cs="宋体"/>
          <w:color w:val="auto"/>
          <w:sz w:val="21"/>
        </w:rPr>
      </w:pPr>
      <w:r>
        <w:rPr>
          <w:rFonts w:hint="eastAsia" w:hAnsi="宋体" w:cs="宋体"/>
          <w:color w:val="auto"/>
          <w:sz w:val="21"/>
        </w:rPr>
        <w:t>4.2 踏勘现场</w:t>
      </w:r>
    </w:p>
    <w:p>
      <w:pPr>
        <w:spacing w:line="360" w:lineRule="auto"/>
        <w:ind w:left="483" w:leftChars="70" w:hanging="315" w:hangingChars="150"/>
        <w:rPr>
          <w:rFonts w:hAnsi="宋体" w:cs="宋体"/>
          <w:color w:val="auto"/>
          <w:sz w:val="21"/>
          <w:szCs w:val="21"/>
        </w:rPr>
      </w:pPr>
      <w:r>
        <w:rPr>
          <w:rFonts w:hint="eastAsia" w:hAnsi="宋体" w:cs="宋体"/>
          <w:color w:val="auto"/>
          <w:sz w:val="21"/>
          <w:szCs w:val="21"/>
        </w:rPr>
        <w:t>（1）本项目不组织集中踏勘现场和答疑，投标人报名购买招标文件后应自行到实地踏勘考察。</w:t>
      </w:r>
    </w:p>
    <w:p>
      <w:pPr>
        <w:spacing w:line="360" w:lineRule="auto"/>
        <w:ind w:left="483" w:leftChars="70" w:hanging="315" w:hangingChars="150"/>
        <w:rPr>
          <w:rFonts w:hAnsi="宋体" w:cs="宋体"/>
          <w:color w:val="auto"/>
          <w:sz w:val="21"/>
          <w:szCs w:val="21"/>
        </w:rPr>
      </w:pPr>
      <w:r>
        <w:rPr>
          <w:rFonts w:hint="eastAsia" w:hAnsi="宋体" w:cs="宋体"/>
          <w:color w:val="auto"/>
          <w:sz w:val="21"/>
          <w:szCs w:val="21"/>
        </w:rPr>
        <w:t>（2）潜在投标人应承担踏勘现场自身所发生的费用。</w:t>
      </w:r>
    </w:p>
    <w:p>
      <w:pPr>
        <w:autoSpaceDE/>
        <w:autoSpaceDN/>
        <w:adjustRightInd/>
        <w:spacing w:line="360" w:lineRule="auto"/>
        <w:ind w:left="708" w:leftChars="60" w:hanging="564" w:hangingChars="269"/>
        <w:jc w:val="both"/>
        <w:rPr>
          <w:rFonts w:hAnsi="宋体" w:cs="宋体"/>
          <w:color w:val="auto"/>
          <w:sz w:val="21"/>
          <w:szCs w:val="21"/>
          <w:lang w:val="zh-CN"/>
        </w:rPr>
      </w:pPr>
      <w:r>
        <w:rPr>
          <w:rFonts w:hint="eastAsia" w:hAnsi="宋体" w:cs="宋体"/>
          <w:color w:val="auto"/>
          <w:sz w:val="21"/>
          <w:szCs w:val="21"/>
          <w:lang w:val="zh-CN"/>
        </w:rPr>
        <w:t>（3）招标人和招标代理机构在踏勘现场中介绍的有关现场和相关的周边环境情况，供投标人在编制投标文件时参考，招标人不对投标人据此作出的判断和决策负责。</w:t>
      </w:r>
    </w:p>
    <w:p>
      <w:pPr>
        <w:autoSpaceDE/>
        <w:autoSpaceDN/>
        <w:adjustRightInd/>
        <w:spacing w:line="360" w:lineRule="auto"/>
        <w:ind w:left="707" w:leftChars="76" w:hanging="525" w:hangingChars="250"/>
        <w:jc w:val="both"/>
        <w:rPr>
          <w:rFonts w:hAnsi="宋体" w:cs="宋体"/>
          <w:color w:val="auto"/>
          <w:sz w:val="21"/>
          <w:szCs w:val="21"/>
          <w:lang w:val="zh-CN"/>
        </w:rPr>
      </w:pPr>
      <w:r>
        <w:rPr>
          <w:rFonts w:hint="eastAsia" w:hAnsi="宋体" w:cs="宋体"/>
          <w:color w:val="auto"/>
          <w:sz w:val="21"/>
          <w:szCs w:val="21"/>
          <w:lang w:val="zh-CN"/>
        </w:rPr>
        <w:t>（4）潜在投标人可为踏勘需要而进入招标人的项目现场，但潜在投标人不得因此使招标人承担有关的责任和蒙受损失。潜在投标人应承担踏勘现场的责任和风险。</w:t>
      </w:r>
    </w:p>
    <w:p>
      <w:pPr>
        <w:tabs>
          <w:tab w:val="left" w:pos="567"/>
        </w:tabs>
        <w:spacing w:line="360" w:lineRule="auto"/>
        <w:ind w:left="567" w:hanging="567"/>
        <w:jc w:val="both"/>
        <w:rPr>
          <w:rFonts w:hAnsi="宋体" w:cs="宋体"/>
          <w:b/>
          <w:bCs/>
          <w:color w:val="auto"/>
        </w:rPr>
      </w:pPr>
      <w:r>
        <w:rPr>
          <w:rFonts w:hint="eastAsia" w:hAnsi="宋体" w:cs="宋体"/>
          <w:color w:val="auto"/>
          <w:kern w:val="2"/>
          <w:sz w:val="21"/>
          <w:szCs w:val="21"/>
          <w:lang w:val="zh-CN"/>
        </w:rPr>
        <w:t>4.3 纪律与保密事项</w:t>
      </w:r>
    </w:p>
    <w:p>
      <w:pPr>
        <w:spacing w:line="360" w:lineRule="auto"/>
        <w:ind w:left="693" w:leftChars="70" w:hanging="525" w:hangingChars="250"/>
        <w:rPr>
          <w:rFonts w:hAnsi="宋体" w:cs="宋体"/>
          <w:color w:val="auto"/>
          <w:sz w:val="21"/>
          <w:szCs w:val="21"/>
        </w:rPr>
      </w:pPr>
      <w:r>
        <w:rPr>
          <w:rFonts w:hint="eastAsia" w:hAnsi="宋体" w:cs="宋体"/>
          <w:color w:val="auto"/>
          <w:sz w:val="21"/>
          <w:szCs w:val="21"/>
        </w:rPr>
        <w:t>（1）获得本招标文件的投标人，应对文件进行保密，不得用作本次投标以外的任何用途。若有要求，开标后，投标人应归还招标文件中保密的文件和资料。</w:t>
      </w:r>
    </w:p>
    <w:p>
      <w:pPr>
        <w:spacing w:line="360" w:lineRule="auto"/>
        <w:ind w:left="693" w:leftChars="70" w:hanging="525" w:hangingChars="250"/>
        <w:rPr>
          <w:rFonts w:hAnsi="宋体" w:cs="宋体"/>
          <w:color w:val="auto"/>
          <w:sz w:val="21"/>
          <w:szCs w:val="21"/>
        </w:rPr>
      </w:pPr>
      <w:r>
        <w:rPr>
          <w:rFonts w:hint="eastAsia" w:hAnsi="宋体" w:cs="宋体"/>
          <w:color w:val="auto"/>
          <w:sz w:val="21"/>
          <w:szCs w:val="21"/>
          <w:lang w:val="zh-CN"/>
        </w:rPr>
        <w:t>（2</w:t>
      </w:r>
      <w:r>
        <w:rPr>
          <w:rFonts w:hint="eastAsia" w:hAnsi="宋体" w:cs="宋体"/>
          <w:color w:val="auto"/>
          <w:sz w:val="21"/>
          <w:szCs w:val="21"/>
        </w:rPr>
        <w:t>）凡参与招标工作的有关人员均应自觉接受有关主管部门的监督，不得向他人透露已获得招标文件的潜在投标人的名称、数量以及可能影响公平竞争的有关投标的其他情况。</w:t>
      </w:r>
    </w:p>
    <w:p>
      <w:pPr>
        <w:spacing w:line="360" w:lineRule="auto"/>
        <w:ind w:left="693" w:leftChars="70" w:hanging="525" w:hangingChars="250"/>
        <w:rPr>
          <w:rFonts w:hAnsi="宋体" w:cs="宋体"/>
          <w:color w:val="auto"/>
          <w:sz w:val="21"/>
          <w:szCs w:val="21"/>
        </w:rPr>
      </w:pPr>
      <w:r>
        <w:rPr>
          <w:rFonts w:hint="eastAsia" w:hAnsi="宋体" w:cs="宋体"/>
          <w:color w:val="auto"/>
          <w:sz w:val="21"/>
          <w:szCs w:val="21"/>
        </w:rPr>
        <w:t>（3）开标后，直至向中标人发出《中标通知书》时止，凡与审查、澄清、评价的有关资料以及授标意见等，参与评标工作的有关人员均不得向投标人及与评标无关的其他人透露。</w:t>
      </w:r>
    </w:p>
    <w:p>
      <w:pPr>
        <w:spacing w:line="360" w:lineRule="auto"/>
        <w:ind w:left="693" w:leftChars="70" w:hanging="525" w:hangingChars="250"/>
        <w:rPr>
          <w:rFonts w:hAnsi="宋体" w:cs="宋体"/>
          <w:color w:val="auto"/>
          <w:sz w:val="21"/>
          <w:szCs w:val="21"/>
        </w:rPr>
      </w:pPr>
      <w:r>
        <w:rPr>
          <w:rFonts w:hint="eastAsia" w:hAnsi="宋体" w:cs="宋体"/>
          <w:color w:val="auto"/>
          <w:sz w:val="21"/>
          <w:szCs w:val="21"/>
        </w:rPr>
        <w:t>（4）除投标人被要求对投标文件进行澄清外，从递交投标文件截止之时起至授予合同期间，投标人不得就与其投标文件有关的事项主动与评标委员会、招标代理机构以及招标人联系。</w:t>
      </w:r>
    </w:p>
    <w:p>
      <w:pPr>
        <w:spacing w:line="360" w:lineRule="auto"/>
        <w:ind w:left="693" w:leftChars="70" w:hanging="525" w:hangingChars="250"/>
        <w:rPr>
          <w:rFonts w:hAnsi="宋体" w:cs="宋体"/>
          <w:color w:val="auto"/>
          <w:sz w:val="21"/>
          <w:szCs w:val="21"/>
        </w:rPr>
      </w:pPr>
      <w:r>
        <w:rPr>
          <w:rFonts w:hint="eastAsia" w:hAnsi="宋体" w:cs="宋体"/>
          <w:color w:val="auto"/>
          <w:sz w:val="21"/>
          <w:szCs w:val="21"/>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pPr>
        <w:spacing w:line="360" w:lineRule="auto"/>
        <w:ind w:left="693" w:leftChars="70" w:hanging="525" w:hangingChars="250"/>
        <w:rPr>
          <w:rFonts w:hAnsi="宋体" w:cs="宋体"/>
          <w:color w:val="auto"/>
          <w:sz w:val="21"/>
          <w:szCs w:val="21"/>
        </w:rPr>
      </w:pPr>
      <w:r>
        <w:rPr>
          <w:rFonts w:hint="eastAsia" w:hAnsi="宋体" w:cs="宋体"/>
          <w:color w:val="auto"/>
          <w:sz w:val="21"/>
          <w:szCs w:val="21"/>
        </w:rPr>
        <w:t>（6）投标人不得串通作弊，以不正当的手段妨碍、排挤其他投标人，扰乱采购市场，破坏公平竞争原则。</w:t>
      </w:r>
    </w:p>
    <w:p>
      <w:pPr>
        <w:spacing w:line="360" w:lineRule="auto"/>
        <w:ind w:left="693" w:leftChars="70" w:hanging="525" w:hangingChars="250"/>
        <w:rPr>
          <w:rFonts w:hAnsi="宋体" w:cs="宋体"/>
          <w:color w:val="auto"/>
          <w:sz w:val="21"/>
          <w:szCs w:val="21"/>
        </w:rPr>
      </w:pPr>
    </w:p>
    <w:p>
      <w:pPr>
        <w:pStyle w:val="36"/>
        <w:numPr>
          <w:ilvl w:val="1"/>
          <w:numId w:val="5"/>
        </w:numPr>
        <w:tabs>
          <w:tab w:val="left" w:pos="567"/>
        </w:tabs>
        <w:spacing w:before="0" w:after="0" w:line="360" w:lineRule="auto"/>
        <w:ind w:left="0" w:firstLine="0"/>
        <w:jc w:val="left"/>
        <w:rPr>
          <w:rFonts w:ascii="宋体" w:hAnsi="宋体" w:cs="宋体"/>
          <w:color w:val="auto"/>
          <w:sz w:val="21"/>
          <w:szCs w:val="21"/>
          <w:lang w:val="zh-CN"/>
        </w:rPr>
      </w:pPr>
      <w:bookmarkStart w:id="24" w:name="_Toc447044470"/>
      <w:bookmarkStart w:id="25" w:name="_Toc22451"/>
      <w:bookmarkStart w:id="26" w:name="_Toc29587"/>
      <w:bookmarkStart w:id="27" w:name="_Toc447044594"/>
      <w:bookmarkStart w:id="28" w:name="_Toc447045081"/>
      <w:r>
        <w:rPr>
          <w:rFonts w:hint="eastAsia" w:ascii="宋体" w:hAnsi="宋体" w:cs="宋体"/>
          <w:color w:val="auto"/>
          <w:sz w:val="21"/>
          <w:szCs w:val="21"/>
          <w:lang w:val="zh-CN"/>
        </w:rPr>
        <w:t>招标文件</w:t>
      </w:r>
      <w:bookmarkEnd w:id="24"/>
      <w:bookmarkEnd w:id="25"/>
      <w:bookmarkEnd w:id="26"/>
      <w:bookmarkEnd w:id="27"/>
      <w:bookmarkEnd w:id="28"/>
    </w:p>
    <w:p>
      <w:pPr>
        <w:tabs>
          <w:tab w:val="left" w:pos="567"/>
        </w:tabs>
        <w:spacing w:line="360" w:lineRule="auto"/>
        <w:ind w:left="496" w:hanging="495" w:hangingChars="236"/>
        <w:jc w:val="both"/>
        <w:outlineLvl w:val="2"/>
        <w:rPr>
          <w:rFonts w:hAnsi="宋体" w:cs="宋体"/>
          <w:color w:val="auto"/>
          <w:kern w:val="2"/>
          <w:sz w:val="21"/>
          <w:szCs w:val="21"/>
          <w:lang w:val="zh-CN"/>
        </w:rPr>
      </w:pPr>
      <w:bookmarkStart w:id="29" w:name="_Toc25158"/>
      <w:bookmarkStart w:id="30" w:name="_Toc19975"/>
      <w:r>
        <w:rPr>
          <w:rFonts w:hint="eastAsia" w:hAnsi="宋体" w:cs="宋体"/>
          <w:color w:val="auto"/>
          <w:kern w:val="2"/>
          <w:sz w:val="21"/>
          <w:szCs w:val="21"/>
          <w:lang w:val="zh-CN"/>
        </w:rPr>
        <w:t xml:space="preserve">5 </w:t>
      </w:r>
      <w:r>
        <w:rPr>
          <w:rFonts w:hint="eastAsia" w:hAnsi="宋体" w:cs="宋体"/>
          <w:color w:val="auto"/>
          <w:kern w:val="2"/>
          <w:sz w:val="21"/>
          <w:szCs w:val="21"/>
        </w:rPr>
        <w:t xml:space="preserve">  </w:t>
      </w:r>
      <w:r>
        <w:rPr>
          <w:rFonts w:hint="eastAsia" w:hAnsi="宋体" w:cs="宋体"/>
          <w:color w:val="auto"/>
          <w:kern w:val="2"/>
          <w:sz w:val="21"/>
          <w:szCs w:val="21"/>
          <w:lang w:val="zh-CN"/>
        </w:rPr>
        <w:t>招标文件的构成</w:t>
      </w:r>
      <w:bookmarkEnd w:id="29"/>
      <w:bookmarkEnd w:id="30"/>
    </w:p>
    <w:p>
      <w:pPr>
        <w:tabs>
          <w:tab w:val="left" w:pos="567"/>
        </w:tabs>
        <w:spacing w:line="360" w:lineRule="auto"/>
        <w:ind w:left="567" w:hanging="567"/>
        <w:jc w:val="both"/>
        <w:rPr>
          <w:rFonts w:hAnsi="宋体" w:cs="宋体"/>
          <w:color w:val="auto"/>
          <w:kern w:val="2"/>
          <w:sz w:val="21"/>
          <w:szCs w:val="21"/>
          <w:lang w:val="zh-CN"/>
        </w:rPr>
      </w:pPr>
      <w:r>
        <w:rPr>
          <w:rFonts w:hint="eastAsia" w:hAnsi="宋体" w:cs="宋体"/>
          <w:color w:val="auto"/>
          <w:kern w:val="2"/>
          <w:sz w:val="21"/>
          <w:szCs w:val="21"/>
          <w:lang w:val="zh-CN"/>
        </w:rPr>
        <w:t>5.1 招标文件包括：</w:t>
      </w:r>
    </w:p>
    <w:p>
      <w:pPr>
        <w:tabs>
          <w:tab w:val="left" w:pos="1890"/>
        </w:tabs>
        <w:spacing w:line="360" w:lineRule="auto"/>
        <w:ind w:firstLine="420" w:firstLineChars="200"/>
        <w:jc w:val="both"/>
        <w:rPr>
          <w:rFonts w:hAnsi="宋体" w:cs="宋体"/>
          <w:color w:val="auto"/>
          <w:kern w:val="2"/>
          <w:sz w:val="21"/>
          <w:szCs w:val="21"/>
          <w:lang w:val="zh-CN"/>
        </w:rPr>
      </w:pPr>
      <w:r>
        <w:rPr>
          <w:rFonts w:hint="eastAsia" w:hAnsi="宋体" w:cs="宋体"/>
          <w:color w:val="auto"/>
          <w:kern w:val="2"/>
          <w:sz w:val="21"/>
          <w:szCs w:val="21"/>
          <w:lang w:val="zh-CN"/>
        </w:rPr>
        <w:t>第一篇 招标公告</w:t>
      </w:r>
    </w:p>
    <w:p>
      <w:pPr>
        <w:tabs>
          <w:tab w:val="left" w:pos="1890"/>
        </w:tabs>
        <w:spacing w:line="360" w:lineRule="auto"/>
        <w:ind w:firstLine="420" w:firstLineChars="200"/>
        <w:jc w:val="both"/>
        <w:rPr>
          <w:rFonts w:hAnsi="宋体" w:cs="宋体"/>
          <w:color w:val="auto"/>
          <w:kern w:val="2"/>
          <w:sz w:val="21"/>
          <w:szCs w:val="21"/>
          <w:lang w:val="zh-CN"/>
        </w:rPr>
      </w:pPr>
      <w:r>
        <w:rPr>
          <w:rFonts w:hint="eastAsia" w:hAnsi="宋体" w:cs="宋体"/>
          <w:color w:val="auto"/>
          <w:kern w:val="2"/>
          <w:sz w:val="21"/>
          <w:szCs w:val="21"/>
          <w:lang w:val="zh-CN"/>
        </w:rPr>
        <w:t>第二篇 投标人须知</w:t>
      </w:r>
    </w:p>
    <w:p>
      <w:pPr>
        <w:tabs>
          <w:tab w:val="left" w:pos="1890"/>
        </w:tabs>
        <w:spacing w:line="360" w:lineRule="auto"/>
        <w:ind w:firstLine="420" w:firstLineChars="200"/>
        <w:jc w:val="both"/>
        <w:rPr>
          <w:rFonts w:hAnsi="宋体" w:cs="宋体"/>
          <w:color w:val="auto"/>
          <w:kern w:val="2"/>
          <w:sz w:val="21"/>
          <w:szCs w:val="21"/>
          <w:lang w:val="zh-CN"/>
        </w:rPr>
      </w:pPr>
      <w:r>
        <w:rPr>
          <w:rFonts w:hint="eastAsia" w:hAnsi="宋体" w:cs="宋体"/>
          <w:color w:val="auto"/>
          <w:kern w:val="2"/>
          <w:sz w:val="21"/>
          <w:szCs w:val="21"/>
          <w:lang w:val="zh-CN"/>
        </w:rPr>
        <w:t>第三篇 用户需求书</w:t>
      </w:r>
    </w:p>
    <w:p>
      <w:pPr>
        <w:tabs>
          <w:tab w:val="left" w:pos="1890"/>
        </w:tabs>
        <w:spacing w:line="360" w:lineRule="auto"/>
        <w:ind w:firstLine="420" w:firstLineChars="200"/>
        <w:jc w:val="both"/>
        <w:rPr>
          <w:rFonts w:hAnsi="宋体" w:cs="宋体"/>
          <w:color w:val="auto"/>
          <w:kern w:val="2"/>
          <w:sz w:val="21"/>
          <w:szCs w:val="21"/>
          <w:lang w:val="zh-CN"/>
        </w:rPr>
      </w:pPr>
      <w:r>
        <w:rPr>
          <w:rFonts w:hint="eastAsia" w:hAnsi="宋体" w:cs="宋体"/>
          <w:color w:val="auto"/>
          <w:kern w:val="2"/>
          <w:sz w:val="21"/>
          <w:szCs w:val="21"/>
          <w:lang w:val="zh-CN"/>
        </w:rPr>
        <w:t>第四篇 合同条款格式</w:t>
      </w:r>
    </w:p>
    <w:p>
      <w:pPr>
        <w:tabs>
          <w:tab w:val="left" w:pos="1890"/>
        </w:tabs>
        <w:spacing w:line="360" w:lineRule="auto"/>
        <w:ind w:firstLine="420" w:firstLineChars="200"/>
        <w:jc w:val="both"/>
        <w:rPr>
          <w:rFonts w:hAnsi="宋体" w:cs="宋体"/>
          <w:color w:val="auto"/>
          <w:kern w:val="2"/>
          <w:sz w:val="21"/>
          <w:szCs w:val="21"/>
          <w:lang w:val="zh-CN"/>
        </w:rPr>
      </w:pPr>
      <w:r>
        <w:rPr>
          <w:rFonts w:hint="eastAsia" w:hAnsi="宋体" w:cs="宋体"/>
          <w:color w:val="auto"/>
          <w:kern w:val="2"/>
          <w:sz w:val="21"/>
          <w:szCs w:val="21"/>
          <w:lang w:val="zh-CN"/>
        </w:rPr>
        <w:t>第五篇 相关保函格式</w:t>
      </w:r>
    </w:p>
    <w:p>
      <w:pPr>
        <w:tabs>
          <w:tab w:val="left" w:pos="1890"/>
        </w:tabs>
        <w:spacing w:line="360" w:lineRule="auto"/>
        <w:ind w:firstLine="420" w:firstLineChars="200"/>
        <w:jc w:val="both"/>
        <w:rPr>
          <w:rFonts w:hAnsi="宋体" w:cs="宋体"/>
          <w:color w:val="auto"/>
          <w:kern w:val="2"/>
          <w:sz w:val="21"/>
          <w:szCs w:val="21"/>
          <w:lang w:val="zh-CN"/>
        </w:rPr>
      </w:pPr>
      <w:r>
        <w:rPr>
          <w:rFonts w:hint="eastAsia" w:hAnsi="宋体" w:cs="宋体"/>
          <w:color w:val="auto"/>
          <w:kern w:val="2"/>
          <w:sz w:val="21"/>
          <w:szCs w:val="21"/>
          <w:lang w:val="zh-CN"/>
        </w:rPr>
        <w:t>第六篇 投标文件格式</w:t>
      </w:r>
    </w:p>
    <w:p>
      <w:pPr>
        <w:tabs>
          <w:tab w:val="left" w:pos="1890"/>
        </w:tabs>
        <w:spacing w:line="360" w:lineRule="auto"/>
        <w:ind w:firstLine="420" w:firstLineChars="200"/>
        <w:jc w:val="both"/>
        <w:rPr>
          <w:rFonts w:hAnsi="宋体" w:cs="宋体"/>
          <w:color w:val="auto"/>
          <w:kern w:val="2"/>
          <w:sz w:val="21"/>
          <w:szCs w:val="21"/>
          <w:lang w:val="zh-CN"/>
        </w:rPr>
      </w:pPr>
      <w:r>
        <w:rPr>
          <w:rFonts w:hint="eastAsia" w:hAnsi="宋体" w:cs="宋体"/>
          <w:color w:val="auto"/>
          <w:kern w:val="2"/>
          <w:sz w:val="21"/>
          <w:szCs w:val="21"/>
          <w:lang w:val="zh-CN"/>
        </w:rPr>
        <w:t>附件一：评标工作大纲</w:t>
      </w:r>
    </w:p>
    <w:p>
      <w:pPr>
        <w:spacing w:line="360" w:lineRule="auto"/>
        <w:ind w:left="422" w:hanging="422" w:hangingChars="200"/>
        <w:jc w:val="both"/>
        <w:rPr>
          <w:rFonts w:hAnsi="宋体" w:cs="宋体"/>
          <w:b/>
          <w:bCs/>
          <w:color w:val="auto"/>
          <w:kern w:val="2"/>
          <w:sz w:val="21"/>
          <w:szCs w:val="21"/>
          <w:lang w:val="zh-CN"/>
        </w:rPr>
      </w:pPr>
      <w:r>
        <w:rPr>
          <w:rFonts w:hint="eastAsia" w:hAnsi="宋体" w:cs="宋体"/>
          <w:b/>
          <w:bCs/>
          <w:color w:val="auto"/>
          <w:kern w:val="2"/>
          <w:sz w:val="21"/>
          <w:szCs w:val="21"/>
          <w:lang w:val="zh-CN"/>
        </w:rPr>
        <w:t>5.2</w:t>
      </w:r>
      <w:r>
        <w:rPr>
          <w:rFonts w:hint="eastAsia" w:hAnsi="宋体" w:cs="宋体"/>
          <w:b/>
          <w:bCs/>
          <w:color w:val="auto"/>
          <w:kern w:val="2"/>
          <w:sz w:val="21"/>
          <w:szCs w:val="21"/>
          <w:lang w:val="zh-CN"/>
        </w:rPr>
        <w:tab/>
      </w:r>
      <w:r>
        <w:rPr>
          <w:rFonts w:hint="eastAsia" w:hAnsi="宋体" w:cs="宋体"/>
          <w:b/>
          <w:bCs/>
          <w:color w:val="auto"/>
          <w:kern w:val="2"/>
          <w:sz w:val="21"/>
          <w:szCs w:val="21"/>
          <w:u w:val="single"/>
          <w:lang w:val="zh-CN"/>
        </w:rPr>
        <w:t>投标人应审阅招标文件中所有须知、格式、条款和规格。投标人未按招标文件要求提供全部资料或提交的投标文件未对招标文件作出实质性响应（★标志的部分为投标人、投标拟供货服务必备的条件或重要指示），那么投标人的投标文件将有可能被拒绝接收或评审为无效投标文件</w:t>
      </w:r>
      <w:r>
        <w:rPr>
          <w:rFonts w:hint="eastAsia" w:hAnsi="宋体" w:cs="宋体"/>
          <w:b/>
          <w:bCs/>
          <w:color w:val="auto"/>
          <w:kern w:val="2"/>
          <w:sz w:val="21"/>
          <w:szCs w:val="21"/>
          <w:lang w:val="zh-CN"/>
        </w:rPr>
        <w:t>。</w:t>
      </w:r>
    </w:p>
    <w:p>
      <w:pPr>
        <w:tabs>
          <w:tab w:val="left" w:pos="567"/>
        </w:tabs>
        <w:spacing w:line="360" w:lineRule="auto"/>
        <w:ind w:left="567" w:hanging="567"/>
        <w:jc w:val="both"/>
        <w:rPr>
          <w:rFonts w:hAnsi="宋体" w:cs="宋体"/>
          <w:color w:val="auto"/>
          <w:kern w:val="2"/>
          <w:sz w:val="21"/>
          <w:szCs w:val="21"/>
        </w:rPr>
      </w:pPr>
      <w:r>
        <w:rPr>
          <w:rFonts w:hint="eastAsia" w:hAnsi="宋体" w:cs="宋体"/>
          <w:color w:val="auto"/>
          <w:kern w:val="2"/>
          <w:sz w:val="21"/>
          <w:szCs w:val="21"/>
          <w:lang w:val="zh-CN"/>
        </w:rPr>
        <w:t>5.3 本招标文件使用的词语有如下定义：</w:t>
      </w:r>
    </w:p>
    <w:p>
      <w:pPr>
        <w:spacing w:line="360" w:lineRule="auto"/>
        <w:ind w:firstLine="210"/>
        <w:jc w:val="both"/>
        <w:rPr>
          <w:rFonts w:hAnsi="宋体" w:cs="宋体"/>
          <w:color w:val="auto"/>
          <w:kern w:val="2"/>
          <w:sz w:val="21"/>
          <w:szCs w:val="21"/>
          <w:lang w:val="zh-CN"/>
        </w:rPr>
      </w:pPr>
      <w:r>
        <w:rPr>
          <w:rFonts w:hint="eastAsia" w:hAnsi="宋体" w:cs="宋体"/>
          <w:color w:val="auto"/>
          <w:kern w:val="2"/>
          <w:sz w:val="21"/>
          <w:szCs w:val="21"/>
          <w:lang w:val="zh-CN"/>
        </w:rPr>
        <w:t>（1）“招标人”指东莞市水务集团管网有限公司；</w:t>
      </w:r>
    </w:p>
    <w:p>
      <w:pPr>
        <w:spacing w:line="360" w:lineRule="auto"/>
        <w:ind w:firstLine="210"/>
        <w:jc w:val="both"/>
        <w:rPr>
          <w:rFonts w:hAnsi="宋体" w:cs="宋体"/>
          <w:color w:val="auto"/>
          <w:kern w:val="2"/>
          <w:sz w:val="21"/>
          <w:szCs w:val="21"/>
        </w:rPr>
      </w:pPr>
      <w:r>
        <w:rPr>
          <w:rFonts w:hint="eastAsia" w:hAnsi="宋体" w:cs="宋体"/>
          <w:color w:val="auto"/>
          <w:kern w:val="2"/>
          <w:sz w:val="21"/>
          <w:szCs w:val="21"/>
          <w:lang w:val="zh-CN"/>
        </w:rPr>
        <w:t>（2）“招标代理机构”指广东华迪工程管理有限公司；</w:t>
      </w:r>
    </w:p>
    <w:p>
      <w:pPr>
        <w:spacing w:line="360" w:lineRule="auto"/>
        <w:ind w:left="673" w:leftChars="88" w:hanging="462" w:hangingChars="220"/>
        <w:jc w:val="both"/>
        <w:rPr>
          <w:rFonts w:hAnsi="宋体" w:cs="宋体"/>
          <w:color w:val="auto"/>
          <w:kern w:val="2"/>
          <w:sz w:val="21"/>
          <w:szCs w:val="21"/>
        </w:rPr>
      </w:pPr>
      <w:r>
        <w:rPr>
          <w:rFonts w:hint="eastAsia" w:hAnsi="宋体" w:cs="宋体"/>
          <w:color w:val="auto"/>
          <w:kern w:val="2"/>
          <w:sz w:val="21"/>
          <w:szCs w:val="21"/>
          <w:lang w:val="zh-CN"/>
        </w:rPr>
        <w:t>（3）“投标人”指在招标文件获取时间内从招标代理处购买了纸质招标文件，参加东莞市水务集团管网有限公司2022年食堂食材配送服务采购项目所需的有关服务的投标，并向招标代理机构提交投标文件的当事人；</w:t>
      </w:r>
    </w:p>
    <w:p>
      <w:pPr>
        <w:spacing w:line="360" w:lineRule="auto"/>
        <w:ind w:left="673" w:leftChars="88" w:hanging="462" w:hangingChars="220"/>
        <w:jc w:val="both"/>
        <w:rPr>
          <w:rFonts w:hAnsi="宋体" w:cs="宋体"/>
          <w:color w:val="auto"/>
          <w:kern w:val="2"/>
          <w:sz w:val="21"/>
          <w:szCs w:val="21"/>
        </w:rPr>
      </w:pPr>
      <w:r>
        <w:rPr>
          <w:rFonts w:hint="eastAsia" w:hAnsi="宋体" w:cs="宋体"/>
          <w:color w:val="auto"/>
          <w:kern w:val="2"/>
          <w:sz w:val="21"/>
          <w:szCs w:val="21"/>
          <w:lang w:val="zh-CN"/>
        </w:rPr>
        <w:t>（4）“评标委员会”是依照《中华人民共和国招标投标法》等法规组建的专门负责本次评标工作的临时性机构；</w:t>
      </w:r>
    </w:p>
    <w:p>
      <w:pPr>
        <w:spacing w:line="360" w:lineRule="auto"/>
        <w:ind w:left="673" w:leftChars="88" w:hanging="462" w:hangingChars="220"/>
        <w:jc w:val="both"/>
        <w:rPr>
          <w:rFonts w:hAnsi="宋体" w:cs="宋体"/>
          <w:color w:val="auto"/>
          <w:kern w:val="2"/>
          <w:sz w:val="21"/>
          <w:szCs w:val="21"/>
        </w:rPr>
      </w:pPr>
      <w:r>
        <w:rPr>
          <w:rFonts w:hint="eastAsia" w:hAnsi="宋体" w:cs="宋体"/>
          <w:color w:val="auto"/>
          <w:kern w:val="2"/>
          <w:sz w:val="21"/>
          <w:szCs w:val="21"/>
          <w:lang w:val="zh-CN"/>
        </w:rPr>
        <w:t>（5）“中标人”指其投标被招标人接受，并具有与招标人签订合同义务的当事人；</w:t>
      </w:r>
    </w:p>
    <w:p>
      <w:pPr>
        <w:spacing w:line="360" w:lineRule="auto"/>
        <w:ind w:left="673" w:leftChars="88" w:hanging="462" w:hangingChars="220"/>
        <w:jc w:val="both"/>
        <w:rPr>
          <w:rFonts w:hAnsi="宋体" w:cs="宋体"/>
          <w:color w:val="auto"/>
          <w:kern w:val="2"/>
          <w:sz w:val="21"/>
          <w:szCs w:val="21"/>
        </w:rPr>
      </w:pPr>
      <w:r>
        <w:rPr>
          <w:rFonts w:hint="eastAsia" w:hAnsi="宋体" w:cs="宋体"/>
          <w:color w:val="auto"/>
          <w:kern w:val="2"/>
          <w:sz w:val="21"/>
          <w:szCs w:val="21"/>
          <w:lang w:val="zh-CN"/>
        </w:rPr>
        <w:t>（6）“甲方”系指在合同条款中指明的购买服务的单位，即东莞市水务集团管网有限公司（含其下属分公司和子公司）；</w:t>
      </w:r>
    </w:p>
    <w:p>
      <w:pPr>
        <w:spacing w:line="360" w:lineRule="auto"/>
        <w:ind w:firstLine="210"/>
        <w:jc w:val="both"/>
        <w:rPr>
          <w:rFonts w:hAnsi="宋体" w:cs="宋体"/>
          <w:color w:val="auto"/>
          <w:kern w:val="2"/>
          <w:sz w:val="21"/>
          <w:szCs w:val="21"/>
          <w:lang w:val="zh-CN"/>
        </w:rPr>
      </w:pPr>
      <w:r>
        <w:rPr>
          <w:rFonts w:hint="eastAsia" w:hAnsi="宋体" w:cs="宋体"/>
          <w:color w:val="auto"/>
          <w:kern w:val="2"/>
          <w:sz w:val="21"/>
          <w:szCs w:val="21"/>
          <w:lang w:val="zh-CN"/>
        </w:rPr>
        <w:t>（7）“乙方”系指在合同条款中指明的本合同项下提供服务的公司或实体；</w:t>
      </w:r>
    </w:p>
    <w:p>
      <w:pPr>
        <w:spacing w:line="360" w:lineRule="auto"/>
        <w:ind w:firstLine="210"/>
        <w:jc w:val="both"/>
        <w:rPr>
          <w:rFonts w:hAnsi="宋体" w:cs="宋体"/>
          <w:color w:val="auto"/>
          <w:kern w:val="2"/>
          <w:sz w:val="21"/>
          <w:szCs w:val="21"/>
        </w:rPr>
      </w:pPr>
      <w:r>
        <w:rPr>
          <w:rFonts w:hint="eastAsia" w:hAnsi="宋体" w:cs="宋体"/>
          <w:color w:val="auto"/>
          <w:kern w:val="2"/>
          <w:sz w:val="21"/>
          <w:szCs w:val="21"/>
          <w:lang w:val="zh-CN"/>
        </w:rPr>
        <w:t>（</w:t>
      </w:r>
      <w:r>
        <w:rPr>
          <w:rFonts w:hint="eastAsia" w:hAnsi="宋体" w:cs="宋体"/>
          <w:color w:val="auto"/>
          <w:kern w:val="2"/>
          <w:sz w:val="21"/>
          <w:szCs w:val="21"/>
        </w:rPr>
        <w:t>8）</w:t>
      </w:r>
      <w:r>
        <w:rPr>
          <w:rFonts w:hint="eastAsia" w:hAnsi="宋体" w:cs="宋体"/>
          <w:color w:val="auto"/>
          <w:kern w:val="2"/>
          <w:sz w:val="21"/>
          <w:szCs w:val="21"/>
          <w:lang w:val="zh-CN"/>
        </w:rPr>
        <w:t>“招标文件”指由招标代理机构发出的本招标文件，包括全部章节和附件；</w:t>
      </w:r>
    </w:p>
    <w:p>
      <w:pPr>
        <w:spacing w:line="360" w:lineRule="auto"/>
        <w:ind w:firstLine="210"/>
        <w:jc w:val="both"/>
        <w:rPr>
          <w:rFonts w:hAnsi="宋体" w:cs="宋体"/>
          <w:color w:val="auto"/>
          <w:kern w:val="2"/>
          <w:sz w:val="21"/>
          <w:szCs w:val="21"/>
        </w:rPr>
      </w:pPr>
      <w:r>
        <w:rPr>
          <w:rFonts w:hint="eastAsia" w:hAnsi="宋体" w:cs="宋体"/>
          <w:color w:val="auto"/>
          <w:kern w:val="2"/>
          <w:sz w:val="21"/>
          <w:szCs w:val="21"/>
          <w:lang w:val="zh-CN"/>
        </w:rPr>
        <w:t>（</w:t>
      </w:r>
      <w:r>
        <w:rPr>
          <w:rFonts w:hint="eastAsia" w:hAnsi="宋体" w:cs="宋体"/>
          <w:color w:val="auto"/>
          <w:kern w:val="2"/>
          <w:sz w:val="21"/>
          <w:szCs w:val="21"/>
        </w:rPr>
        <w:t>9）“</w:t>
      </w:r>
      <w:r>
        <w:rPr>
          <w:rFonts w:hint="eastAsia" w:hAnsi="宋体" w:cs="宋体"/>
          <w:color w:val="auto"/>
          <w:kern w:val="2"/>
          <w:sz w:val="21"/>
          <w:szCs w:val="21"/>
          <w:lang w:val="zh-CN"/>
        </w:rPr>
        <w:t>投标文件”指投标人根据本招标文件向招标代理机构提交的全部文件；</w:t>
      </w:r>
    </w:p>
    <w:p>
      <w:pPr>
        <w:spacing w:line="360" w:lineRule="auto"/>
        <w:ind w:firstLine="210"/>
        <w:jc w:val="both"/>
        <w:rPr>
          <w:rFonts w:hAnsi="宋体" w:cs="宋体"/>
          <w:color w:val="auto"/>
          <w:kern w:val="2"/>
          <w:sz w:val="21"/>
          <w:szCs w:val="21"/>
        </w:rPr>
      </w:pPr>
      <w:r>
        <w:rPr>
          <w:rFonts w:hint="eastAsia" w:hAnsi="宋体" w:cs="宋体"/>
          <w:color w:val="auto"/>
          <w:kern w:val="2"/>
          <w:sz w:val="21"/>
          <w:szCs w:val="21"/>
          <w:lang w:val="zh-CN"/>
        </w:rPr>
        <w:t>（1</w:t>
      </w:r>
      <w:r>
        <w:rPr>
          <w:rFonts w:hint="eastAsia" w:hAnsi="宋体" w:cs="宋体"/>
          <w:color w:val="auto"/>
          <w:kern w:val="2"/>
          <w:sz w:val="21"/>
          <w:szCs w:val="21"/>
        </w:rPr>
        <w:t>0）</w:t>
      </w:r>
      <w:r>
        <w:rPr>
          <w:rFonts w:hint="eastAsia" w:hAnsi="宋体" w:cs="宋体"/>
          <w:color w:val="auto"/>
          <w:kern w:val="2"/>
          <w:sz w:val="21"/>
          <w:szCs w:val="21"/>
          <w:lang w:val="zh-CN"/>
        </w:rPr>
        <w:t>“书面函件”指手写、打字或印刷的函件，包括电传、电报和传真；</w:t>
      </w:r>
    </w:p>
    <w:p>
      <w:pPr>
        <w:spacing w:line="360" w:lineRule="auto"/>
        <w:ind w:firstLine="210"/>
        <w:jc w:val="both"/>
        <w:rPr>
          <w:rFonts w:hAnsi="宋体" w:cs="宋体"/>
          <w:color w:val="auto"/>
          <w:kern w:val="2"/>
          <w:sz w:val="21"/>
          <w:szCs w:val="21"/>
        </w:rPr>
      </w:pPr>
      <w:r>
        <w:rPr>
          <w:rFonts w:hint="eastAsia" w:hAnsi="宋体" w:cs="宋体"/>
          <w:color w:val="auto"/>
          <w:kern w:val="2"/>
          <w:sz w:val="21"/>
          <w:szCs w:val="21"/>
          <w:lang w:val="zh-CN"/>
        </w:rPr>
        <w:t>（1</w:t>
      </w:r>
      <w:r>
        <w:rPr>
          <w:rFonts w:hint="eastAsia" w:hAnsi="宋体" w:cs="宋体"/>
          <w:color w:val="auto"/>
          <w:kern w:val="2"/>
          <w:sz w:val="21"/>
          <w:szCs w:val="21"/>
        </w:rPr>
        <w:t>1）</w:t>
      </w:r>
      <w:r>
        <w:rPr>
          <w:rFonts w:hint="eastAsia" w:hAnsi="宋体" w:cs="宋体"/>
          <w:color w:val="auto"/>
          <w:kern w:val="2"/>
          <w:sz w:val="21"/>
          <w:szCs w:val="21"/>
          <w:lang w:val="zh-CN"/>
        </w:rPr>
        <w:t>“合同”指由本次招标所产生的合同或合约文件；</w:t>
      </w:r>
    </w:p>
    <w:p>
      <w:pPr>
        <w:spacing w:line="360" w:lineRule="auto"/>
        <w:ind w:firstLine="210"/>
        <w:jc w:val="both"/>
        <w:rPr>
          <w:rFonts w:hAnsi="宋体" w:cs="宋体"/>
          <w:color w:val="auto"/>
          <w:kern w:val="2"/>
          <w:sz w:val="21"/>
          <w:szCs w:val="21"/>
          <w:lang w:val="zh-CN"/>
        </w:rPr>
      </w:pPr>
      <w:r>
        <w:rPr>
          <w:rFonts w:hint="eastAsia" w:hAnsi="宋体" w:cs="宋体"/>
          <w:color w:val="auto"/>
          <w:kern w:val="2"/>
          <w:sz w:val="21"/>
          <w:szCs w:val="21"/>
        </w:rPr>
        <w:t>（12）“</w:t>
      </w:r>
      <w:r>
        <w:rPr>
          <w:rFonts w:hint="eastAsia" w:hAnsi="宋体" w:cs="宋体"/>
          <w:color w:val="auto"/>
          <w:kern w:val="2"/>
          <w:sz w:val="21"/>
          <w:szCs w:val="21"/>
          <w:lang w:val="zh-CN"/>
        </w:rPr>
        <w:t>日期</w:t>
      </w:r>
      <w:r>
        <w:rPr>
          <w:rFonts w:hint="eastAsia" w:hAnsi="宋体" w:cs="宋体"/>
          <w:color w:val="auto"/>
          <w:kern w:val="2"/>
          <w:sz w:val="21"/>
          <w:szCs w:val="21"/>
        </w:rPr>
        <w:t>”</w:t>
      </w:r>
      <w:r>
        <w:rPr>
          <w:rFonts w:hint="eastAsia" w:hAnsi="宋体" w:cs="宋体"/>
          <w:color w:val="auto"/>
          <w:kern w:val="2"/>
          <w:sz w:val="21"/>
          <w:szCs w:val="21"/>
          <w:lang w:val="zh-CN"/>
        </w:rPr>
        <w:t>指公历日，“时间”指北京时间；</w:t>
      </w:r>
    </w:p>
    <w:p>
      <w:pPr>
        <w:spacing w:line="360" w:lineRule="auto"/>
        <w:ind w:firstLine="210"/>
        <w:jc w:val="both"/>
        <w:rPr>
          <w:rFonts w:hAnsi="宋体" w:cs="宋体"/>
          <w:color w:val="auto"/>
          <w:kern w:val="2"/>
          <w:sz w:val="21"/>
          <w:szCs w:val="21"/>
          <w:lang w:val="zh-CN"/>
        </w:rPr>
      </w:pPr>
      <w:r>
        <w:rPr>
          <w:rFonts w:hint="eastAsia" w:hAnsi="宋体" w:cs="宋体"/>
          <w:color w:val="auto"/>
          <w:kern w:val="2"/>
          <w:sz w:val="21"/>
          <w:szCs w:val="21"/>
          <w:lang w:val="zh-CN"/>
        </w:rPr>
        <w:t>（13）本招标文件中的“境内”特指中华人民共和国海关关境以内，“境外”特指中华人民共和国海关关境以外。</w:t>
      </w:r>
    </w:p>
    <w:p>
      <w:pPr>
        <w:spacing w:line="360" w:lineRule="auto"/>
        <w:jc w:val="both"/>
        <w:rPr>
          <w:rFonts w:hAnsi="宋体" w:cs="宋体"/>
          <w:color w:val="auto"/>
          <w:kern w:val="2"/>
          <w:sz w:val="21"/>
          <w:szCs w:val="21"/>
          <w:lang w:val="zh-CN"/>
        </w:rPr>
      </w:pPr>
    </w:p>
    <w:p>
      <w:pPr>
        <w:tabs>
          <w:tab w:val="left" w:pos="567"/>
        </w:tabs>
        <w:spacing w:line="360" w:lineRule="auto"/>
        <w:jc w:val="both"/>
        <w:outlineLvl w:val="2"/>
        <w:rPr>
          <w:rFonts w:hAnsi="宋体" w:cs="宋体"/>
          <w:color w:val="auto"/>
          <w:kern w:val="2"/>
          <w:sz w:val="21"/>
          <w:szCs w:val="21"/>
          <w:lang w:val="zh-CN"/>
        </w:rPr>
      </w:pPr>
      <w:bookmarkStart w:id="31" w:name="_Toc7241"/>
      <w:bookmarkStart w:id="32" w:name="_Toc6873"/>
      <w:r>
        <w:rPr>
          <w:rFonts w:hint="eastAsia" w:hAnsi="宋体" w:cs="宋体"/>
          <w:color w:val="auto"/>
          <w:kern w:val="2"/>
          <w:sz w:val="21"/>
          <w:szCs w:val="21"/>
          <w:lang w:val="zh-CN"/>
        </w:rPr>
        <w:t xml:space="preserve">6 </w:t>
      </w:r>
      <w:r>
        <w:rPr>
          <w:rFonts w:hint="eastAsia" w:hAnsi="宋体" w:cs="宋体"/>
          <w:color w:val="auto"/>
          <w:kern w:val="2"/>
          <w:sz w:val="21"/>
          <w:szCs w:val="21"/>
        </w:rPr>
        <w:t xml:space="preserve"> </w:t>
      </w:r>
      <w:r>
        <w:rPr>
          <w:rFonts w:hint="eastAsia" w:hAnsi="宋体" w:cs="宋体"/>
          <w:color w:val="auto"/>
          <w:kern w:val="2"/>
          <w:sz w:val="21"/>
          <w:szCs w:val="21"/>
          <w:lang w:val="zh-CN"/>
        </w:rPr>
        <w:t>招标文件的异议</w:t>
      </w:r>
      <w:bookmarkEnd w:id="31"/>
      <w:bookmarkEnd w:id="32"/>
    </w:p>
    <w:p>
      <w:pPr>
        <w:spacing w:line="360" w:lineRule="auto"/>
        <w:ind w:left="284" w:firstLine="420" w:firstLineChars="200"/>
        <w:jc w:val="both"/>
        <w:rPr>
          <w:rFonts w:hAnsi="宋体" w:cs="宋体"/>
          <w:color w:val="auto"/>
          <w:kern w:val="2"/>
          <w:sz w:val="21"/>
          <w:szCs w:val="21"/>
          <w:lang w:val="zh-CN"/>
        </w:rPr>
      </w:pPr>
      <w:r>
        <w:rPr>
          <w:rFonts w:hint="eastAsia" w:hAnsi="宋体" w:cs="宋体"/>
          <w:bCs/>
          <w:color w:val="auto"/>
          <w:kern w:val="2"/>
          <w:sz w:val="21"/>
          <w:szCs w:val="21"/>
          <w:lang w:val="zh-CN"/>
        </w:rPr>
        <w:t>投标人或者其他利害关系人对招标文件有异议的，应当在投标截止时间10日前</w:t>
      </w:r>
      <w:r>
        <w:rPr>
          <w:rFonts w:hint="eastAsia" w:hAnsi="宋体" w:cs="宋体"/>
          <w:color w:val="auto"/>
          <w:kern w:val="2"/>
          <w:sz w:val="21"/>
          <w:szCs w:val="21"/>
          <w:lang w:val="zh-CN"/>
        </w:rPr>
        <w:t>以书面形式向招标代理机构提出，并将材料原件送达招标代理机构，逾期则视为对招标文件所有内容无异议。</w:t>
      </w:r>
      <w:r>
        <w:rPr>
          <w:rFonts w:hint="eastAsia" w:hAnsi="宋体" w:cs="宋体"/>
          <w:bCs/>
          <w:color w:val="auto"/>
          <w:kern w:val="2"/>
          <w:sz w:val="21"/>
          <w:szCs w:val="21"/>
          <w:lang w:val="zh-CN"/>
        </w:rPr>
        <w:t>异议</w:t>
      </w:r>
      <w:r>
        <w:rPr>
          <w:rFonts w:hint="eastAsia" w:hAnsi="宋体" w:cs="宋体"/>
          <w:color w:val="auto"/>
          <w:kern w:val="2"/>
          <w:sz w:val="21"/>
          <w:szCs w:val="21"/>
          <w:lang w:val="zh-CN"/>
        </w:rPr>
        <w:t>书面材料必须加盖投标人法人公章，并注明联系人、联系电话、联系地址。</w:t>
      </w:r>
      <w:r>
        <w:rPr>
          <w:rFonts w:hint="eastAsia" w:hAnsi="宋体" w:cs="宋体"/>
          <w:bCs/>
          <w:color w:val="auto"/>
          <w:kern w:val="2"/>
          <w:sz w:val="21"/>
          <w:szCs w:val="21"/>
          <w:lang w:val="zh-CN"/>
        </w:rPr>
        <w:t>超出</w:t>
      </w:r>
      <w:r>
        <w:rPr>
          <w:rFonts w:hint="eastAsia" w:hAnsi="宋体" w:cs="宋体"/>
          <w:color w:val="auto"/>
          <w:kern w:val="2"/>
          <w:sz w:val="21"/>
          <w:szCs w:val="21"/>
          <w:lang w:val="zh-CN"/>
        </w:rPr>
        <w:t>提交接收异议截止时间而</w:t>
      </w:r>
      <w:r>
        <w:rPr>
          <w:rFonts w:hint="eastAsia" w:hAnsi="宋体" w:cs="宋体"/>
          <w:bCs/>
          <w:color w:val="auto"/>
          <w:kern w:val="2"/>
          <w:sz w:val="21"/>
          <w:szCs w:val="21"/>
          <w:lang w:val="zh-CN"/>
        </w:rPr>
        <w:t>提出的任何疑问，招标代理机构可不予答复。</w:t>
      </w:r>
      <w:r>
        <w:rPr>
          <w:rFonts w:hint="eastAsia" w:hAnsi="宋体" w:cs="宋体"/>
          <w:b/>
          <w:bCs/>
          <w:color w:val="auto"/>
          <w:kern w:val="2"/>
          <w:sz w:val="21"/>
          <w:szCs w:val="21"/>
          <w:u w:val="single"/>
          <w:lang w:val="zh-CN"/>
        </w:rPr>
        <w:t>投标人必须在投标文件中提供投标承诺书（格式详见第六篇投标文件格式）</w:t>
      </w:r>
      <w:r>
        <w:rPr>
          <w:rFonts w:hint="eastAsia" w:hAnsi="宋体" w:cs="宋体"/>
          <w:bCs/>
          <w:color w:val="auto"/>
          <w:kern w:val="2"/>
          <w:sz w:val="21"/>
          <w:szCs w:val="21"/>
          <w:lang w:val="zh-CN"/>
        </w:rPr>
        <w:t>。</w:t>
      </w:r>
    </w:p>
    <w:p>
      <w:pPr>
        <w:spacing w:line="360" w:lineRule="auto"/>
        <w:jc w:val="both"/>
        <w:rPr>
          <w:rFonts w:hAnsi="宋体" w:cs="宋体"/>
          <w:b/>
          <w:bCs/>
          <w:color w:val="auto"/>
          <w:kern w:val="2"/>
          <w:sz w:val="21"/>
          <w:szCs w:val="21"/>
          <w:lang w:val="zh-CN"/>
        </w:rPr>
      </w:pPr>
    </w:p>
    <w:p>
      <w:pPr>
        <w:tabs>
          <w:tab w:val="left" w:pos="567"/>
        </w:tabs>
        <w:spacing w:line="360" w:lineRule="auto"/>
        <w:ind w:left="496" w:hanging="495" w:hangingChars="236"/>
        <w:jc w:val="both"/>
        <w:outlineLvl w:val="2"/>
        <w:rPr>
          <w:rFonts w:hAnsi="宋体" w:cs="宋体"/>
          <w:color w:val="auto"/>
          <w:kern w:val="2"/>
          <w:sz w:val="21"/>
          <w:szCs w:val="21"/>
          <w:lang w:val="zh-CN"/>
        </w:rPr>
      </w:pPr>
      <w:bookmarkStart w:id="33" w:name="_Toc2437"/>
      <w:bookmarkStart w:id="34" w:name="_Toc2683"/>
      <w:r>
        <w:rPr>
          <w:rFonts w:hint="eastAsia" w:hAnsi="宋体" w:cs="宋体"/>
          <w:color w:val="auto"/>
          <w:kern w:val="2"/>
          <w:sz w:val="21"/>
          <w:szCs w:val="21"/>
          <w:lang w:val="zh-CN"/>
        </w:rPr>
        <w:t xml:space="preserve">7 </w:t>
      </w:r>
      <w:r>
        <w:rPr>
          <w:rFonts w:hint="eastAsia" w:hAnsi="宋体" w:cs="宋体"/>
          <w:color w:val="auto"/>
          <w:kern w:val="2"/>
          <w:sz w:val="21"/>
          <w:szCs w:val="21"/>
        </w:rPr>
        <w:t xml:space="preserve">  </w:t>
      </w:r>
      <w:r>
        <w:rPr>
          <w:rFonts w:hint="eastAsia" w:hAnsi="宋体" w:cs="宋体"/>
          <w:color w:val="auto"/>
          <w:kern w:val="2"/>
          <w:sz w:val="21"/>
          <w:szCs w:val="21"/>
          <w:lang w:val="zh-CN"/>
        </w:rPr>
        <w:t>招标文件的澄清及修改</w:t>
      </w:r>
      <w:bookmarkEnd w:id="33"/>
      <w:bookmarkEnd w:id="34"/>
    </w:p>
    <w:p>
      <w:pPr>
        <w:spacing w:line="360" w:lineRule="auto"/>
        <w:ind w:left="420" w:hanging="420" w:hangingChars="200"/>
        <w:rPr>
          <w:rFonts w:hAnsi="宋体" w:cs="宋体"/>
          <w:color w:val="auto"/>
          <w:kern w:val="2"/>
          <w:sz w:val="21"/>
          <w:szCs w:val="21"/>
          <w:lang w:val="zh-CN"/>
        </w:rPr>
      </w:pPr>
      <w:r>
        <w:rPr>
          <w:rFonts w:hint="eastAsia" w:hAnsi="宋体" w:cs="宋体"/>
          <w:color w:val="auto"/>
          <w:kern w:val="2"/>
          <w:sz w:val="21"/>
          <w:szCs w:val="21"/>
          <w:lang w:val="zh-CN"/>
        </w:rPr>
        <w:t>7.1 招标代理机构对已发出的招标文件进行必要澄清或者修改的，将在招标文件要求提交投标文件截止时间15日前，在招标信息发布媒体上发布更正公告，并以书面形式通知所有招标文件收受人，投标人应于收到该修改文件的当日内以书面形式给予确认。该澄清或者修改的内容为招标文件的组成部分。</w:t>
      </w:r>
    </w:p>
    <w:p>
      <w:pPr>
        <w:spacing w:line="360" w:lineRule="auto"/>
        <w:ind w:left="420" w:hanging="420" w:hangingChars="200"/>
        <w:rPr>
          <w:rFonts w:hAnsi="宋体" w:cs="宋体"/>
          <w:color w:val="auto"/>
          <w:kern w:val="2"/>
          <w:sz w:val="21"/>
          <w:szCs w:val="21"/>
          <w:lang w:val="zh-CN"/>
        </w:rPr>
      </w:pPr>
      <w:r>
        <w:rPr>
          <w:rFonts w:hint="eastAsia" w:hAnsi="宋体" w:cs="宋体"/>
          <w:color w:val="auto"/>
          <w:kern w:val="2"/>
          <w:sz w:val="21"/>
          <w:szCs w:val="21"/>
          <w:lang w:val="zh-CN"/>
        </w:rPr>
        <w:t>7.2</w:t>
      </w:r>
      <w:r>
        <w:rPr>
          <w:rFonts w:hint="eastAsia" w:hAnsi="宋体" w:cs="宋体"/>
          <w:color w:val="auto"/>
          <w:kern w:val="2"/>
          <w:sz w:val="21"/>
          <w:szCs w:val="21"/>
          <w:lang w:val="zh-CN"/>
        </w:rPr>
        <w:tab/>
      </w:r>
      <w:r>
        <w:rPr>
          <w:rFonts w:hint="eastAsia" w:hAnsi="宋体" w:cs="宋体"/>
          <w:color w:val="auto"/>
          <w:kern w:val="2"/>
          <w:sz w:val="21"/>
          <w:szCs w:val="21"/>
          <w:lang w:val="zh-CN"/>
        </w:rPr>
        <w:t>项目特定情况下，招标代理机构必须延长投标截止时间和开标时间时，将在招标文件要求提交投标文件的截止时间前，将变更时间书面通知所有招标文件收受人，并在招标信息发布媒体上发布变更公告。</w:t>
      </w:r>
    </w:p>
    <w:p>
      <w:pPr>
        <w:spacing w:line="360" w:lineRule="auto"/>
        <w:ind w:left="420" w:hanging="420" w:hangingChars="200"/>
        <w:rPr>
          <w:rFonts w:hAnsi="宋体" w:cs="宋体"/>
          <w:color w:val="auto"/>
          <w:kern w:val="2"/>
          <w:sz w:val="21"/>
          <w:szCs w:val="21"/>
          <w:lang w:val="zh-CN"/>
        </w:rPr>
      </w:pPr>
      <w:r>
        <w:rPr>
          <w:rFonts w:hint="eastAsia" w:hAnsi="宋体" w:cs="宋体"/>
          <w:color w:val="auto"/>
          <w:kern w:val="2"/>
          <w:sz w:val="21"/>
          <w:szCs w:val="21"/>
          <w:lang w:val="zh-CN"/>
        </w:rPr>
        <w:t>7.3</w:t>
      </w:r>
      <w:r>
        <w:rPr>
          <w:rFonts w:hint="eastAsia" w:hAnsi="宋体" w:cs="宋体"/>
          <w:color w:val="auto"/>
          <w:kern w:val="2"/>
          <w:sz w:val="21"/>
          <w:szCs w:val="21"/>
          <w:lang w:val="zh-CN"/>
        </w:rPr>
        <w:tab/>
      </w:r>
      <w:r>
        <w:rPr>
          <w:rFonts w:hint="eastAsia" w:hAnsi="宋体" w:cs="宋体"/>
          <w:color w:val="auto"/>
          <w:sz w:val="21"/>
          <w:szCs w:val="21"/>
          <w:lang w:eastAsia="zh-TW"/>
        </w:rPr>
        <w:t>招标文件的修改、补充通知将在</w:t>
      </w:r>
      <w:r>
        <w:rPr>
          <w:rFonts w:hint="eastAsia" w:hAnsi="宋体" w:cs="宋体"/>
          <w:bCs/>
          <w:color w:val="auto"/>
          <w:sz w:val="21"/>
          <w:szCs w:val="21"/>
        </w:rPr>
        <w:t>东莞市公共资源交易中心（ggzy.dg.gov.cn）、中国招标投标公共服务平台（</w:t>
      </w:r>
      <w:r>
        <w:rPr>
          <w:rFonts w:hint="eastAsia" w:hAnsi="宋体" w:cs="宋体"/>
          <w:bCs/>
          <w:color w:val="auto"/>
          <w:sz w:val="21"/>
          <w:szCs w:val="21"/>
        </w:rPr>
        <w:fldChar w:fldCharType="begin"/>
      </w:r>
      <w:r>
        <w:rPr>
          <w:rFonts w:hint="eastAsia" w:hAnsi="宋体" w:cs="宋体"/>
          <w:bCs/>
          <w:color w:val="auto"/>
          <w:sz w:val="21"/>
          <w:szCs w:val="21"/>
        </w:rPr>
        <w:instrText xml:space="preserve"> HYPERLINK "http://www.cebpubservice.com/" </w:instrText>
      </w:r>
      <w:r>
        <w:rPr>
          <w:rFonts w:hint="eastAsia" w:hAnsi="宋体" w:cs="宋体"/>
          <w:bCs/>
          <w:color w:val="auto"/>
          <w:sz w:val="21"/>
          <w:szCs w:val="21"/>
        </w:rPr>
        <w:fldChar w:fldCharType="separate"/>
      </w:r>
      <w:r>
        <w:rPr>
          <w:rFonts w:hint="eastAsia" w:hAnsi="宋体" w:cs="宋体"/>
          <w:bCs/>
          <w:color w:val="auto"/>
          <w:sz w:val="21"/>
          <w:szCs w:val="21"/>
        </w:rPr>
        <w:t>www.cebpubservice.com</w:t>
      </w:r>
      <w:r>
        <w:rPr>
          <w:rFonts w:hint="eastAsia" w:hAnsi="宋体" w:cs="宋体"/>
          <w:bCs/>
          <w:color w:val="auto"/>
          <w:sz w:val="21"/>
          <w:szCs w:val="21"/>
        </w:rPr>
        <w:fldChar w:fldCharType="end"/>
      </w:r>
      <w:r>
        <w:rPr>
          <w:rFonts w:hint="eastAsia" w:hAnsi="宋体" w:cs="宋体"/>
          <w:bCs/>
          <w:color w:val="auto"/>
          <w:sz w:val="21"/>
          <w:szCs w:val="21"/>
        </w:rPr>
        <w:t>）、东莞市水务集团有限公司网（http://www.dgswjt.cn）</w:t>
      </w:r>
      <w:r>
        <w:rPr>
          <w:rFonts w:hint="eastAsia" w:hAnsi="宋体" w:cs="宋体"/>
          <w:color w:val="auto"/>
          <w:kern w:val="2"/>
          <w:sz w:val="21"/>
          <w:szCs w:val="21"/>
        </w:rPr>
        <w:t>、</w:t>
      </w:r>
      <w:r>
        <w:rPr>
          <w:rFonts w:hint="eastAsia" w:hAnsi="宋体" w:cs="宋体"/>
          <w:bCs/>
          <w:color w:val="auto"/>
          <w:sz w:val="21"/>
          <w:szCs w:val="21"/>
        </w:rPr>
        <w:t>招标代理公司网站（http://www.gd-huadi.com/）上发布</w:t>
      </w:r>
      <w:r>
        <w:rPr>
          <w:rFonts w:hint="eastAsia" w:hAnsi="宋体" w:cs="宋体"/>
          <w:color w:val="auto"/>
          <w:sz w:val="21"/>
          <w:szCs w:val="21"/>
          <w:lang w:eastAsia="zh-TW"/>
        </w:rPr>
        <w:t>的同时以书面形式通知所有</w:t>
      </w:r>
      <w:r>
        <w:rPr>
          <w:rFonts w:hint="eastAsia" w:hAnsi="宋体" w:cs="宋体"/>
          <w:color w:val="auto"/>
          <w:sz w:val="21"/>
          <w:szCs w:val="21"/>
        </w:rPr>
        <w:t>获取</w:t>
      </w:r>
      <w:r>
        <w:rPr>
          <w:rFonts w:hint="eastAsia" w:hAnsi="宋体" w:cs="宋体"/>
          <w:color w:val="auto"/>
          <w:sz w:val="21"/>
          <w:szCs w:val="21"/>
          <w:lang w:eastAsia="zh-TW"/>
        </w:rPr>
        <w:t>招标文件的潜在投标人。潜在投标人收到上述通知后，应立即以书面形式向招标人及招标代理机构确认。如在24小时内无书面回函则视为同意修改内容，并有责任履行相应的义务。</w:t>
      </w:r>
    </w:p>
    <w:p>
      <w:pPr>
        <w:spacing w:line="360" w:lineRule="auto"/>
        <w:ind w:left="420" w:hanging="420" w:hangingChars="200"/>
        <w:rPr>
          <w:rFonts w:hAnsi="宋体" w:cs="宋体"/>
          <w:color w:val="auto"/>
          <w:sz w:val="21"/>
          <w:szCs w:val="21"/>
        </w:rPr>
      </w:pPr>
      <w:r>
        <w:rPr>
          <w:rFonts w:hint="eastAsia" w:hAnsi="宋体" w:cs="宋体"/>
          <w:color w:val="auto"/>
          <w:kern w:val="2"/>
          <w:sz w:val="21"/>
          <w:szCs w:val="21"/>
          <w:lang w:val="zh-CN"/>
        </w:rPr>
        <w:t xml:space="preserve">7.4  </w:t>
      </w:r>
      <w:r>
        <w:rPr>
          <w:rFonts w:hint="eastAsia" w:hAnsi="宋体" w:cs="宋体"/>
          <w:color w:val="auto"/>
          <w:sz w:val="21"/>
          <w:szCs w:val="21"/>
        </w:rPr>
        <w:t>必要时，招标人及招标代理机构将召开答疑会，并将会议内容以书面形式发给每个购买招标文件的潜在投</w:t>
      </w:r>
      <w:r>
        <w:rPr>
          <w:rFonts w:hint="eastAsia" w:hAnsi="宋体" w:cs="宋体"/>
          <w:color w:val="auto"/>
          <w:sz w:val="21"/>
          <w:szCs w:val="21"/>
          <w:lang w:eastAsia="zh-TW"/>
        </w:rPr>
        <w:t>标人。</w:t>
      </w:r>
    </w:p>
    <w:p>
      <w:pPr>
        <w:snapToGrid w:val="0"/>
        <w:spacing w:line="360" w:lineRule="auto"/>
        <w:ind w:left="527" w:hanging="527" w:hangingChars="250"/>
        <w:rPr>
          <w:rFonts w:hAnsi="宋体" w:cs="宋体"/>
          <w:b/>
          <w:bCs/>
          <w:color w:val="auto"/>
          <w:sz w:val="21"/>
          <w:szCs w:val="21"/>
        </w:rPr>
      </w:pPr>
    </w:p>
    <w:p>
      <w:pPr>
        <w:pStyle w:val="36"/>
        <w:numPr>
          <w:ilvl w:val="1"/>
          <w:numId w:val="5"/>
        </w:numPr>
        <w:tabs>
          <w:tab w:val="left" w:pos="567"/>
        </w:tabs>
        <w:spacing w:before="0" w:after="0" w:line="360" w:lineRule="auto"/>
        <w:ind w:left="0" w:firstLine="0"/>
        <w:jc w:val="left"/>
        <w:rPr>
          <w:rFonts w:ascii="宋体" w:hAnsi="宋体" w:cs="宋体"/>
          <w:color w:val="auto"/>
          <w:sz w:val="21"/>
          <w:szCs w:val="21"/>
          <w:lang w:val="zh-CN"/>
        </w:rPr>
      </w:pPr>
      <w:bookmarkStart w:id="35" w:name="_Toc447044471"/>
      <w:bookmarkStart w:id="36" w:name="_Toc11998"/>
      <w:bookmarkStart w:id="37" w:name="_Toc447045082"/>
      <w:bookmarkStart w:id="38" w:name="_Toc16645"/>
      <w:bookmarkStart w:id="39" w:name="_Toc447044595"/>
      <w:r>
        <w:rPr>
          <w:rFonts w:hint="eastAsia" w:ascii="宋体" w:hAnsi="宋体" w:cs="宋体"/>
          <w:color w:val="auto"/>
          <w:sz w:val="21"/>
          <w:szCs w:val="21"/>
          <w:lang w:val="zh-CN"/>
        </w:rPr>
        <w:t>投标文件的编制</w:t>
      </w:r>
      <w:bookmarkEnd w:id="35"/>
      <w:bookmarkEnd w:id="36"/>
      <w:bookmarkEnd w:id="37"/>
      <w:bookmarkEnd w:id="38"/>
      <w:bookmarkEnd w:id="39"/>
    </w:p>
    <w:p>
      <w:pPr>
        <w:tabs>
          <w:tab w:val="left" w:pos="567"/>
        </w:tabs>
        <w:spacing w:line="360" w:lineRule="auto"/>
        <w:ind w:left="496" w:hanging="495" w:hangingChars="236"/>
        <w:jc w:val="both"/>
        <w:outlineLvl w:val="2"/>
        <w:rPr>
          <w:rFonts w:hAnsi="宋体" w:cs="宋体"/>
          <w:color w:val="auto"/>
          <w:kern w:val="2"/>
          <w:sz w:val="21"/>
          <w:szCs w:val="21"/>
          <w:lang w:val="zh-CN"/>
        </w:rPr>
      </w:pPr>
      <w:bookmarkStart w:id="40" w:name="_Toc18218"/>
      <w:bookmarkStart w:id="41" w:name="_Toc27069"/>
      <w:r>
        <w:rPr>
          <w:rFonts w:hint="eastAsia" w:hAnsi="宋体" w:cs="宋体"/>
          <w:color w:val="auto"/>
          <w:kern w:val="2"/>
          <w:sz w:val="21"/>
          <w:szCs w:val="21"/>
          <w:lang w:val="zh-CN"/>
        </w:rPr>
        <w:t>8   投标使用的文字及度量衡单位</w:t>
      </w:r>
      <w:bookmarkEnd w:id="40"/>
      <w:bookmarkEnd w:id="41"/>
    </w:p>
    <w:p>
      <w:pPr>
        <w:spacing w:line="360" w:lineRule="auto"/>
        <w:ind w:left="630" w:hanging="630" w:hangingChars="300"/>
        <w:jc w:val="both"/>
        <w:rPr>
          <w:rFonts w:hAnsi="宋体" w:cs="宋体"/>
          <w:color w:val="auto"/>
          <w:kern w:val="2"/>
          <w:sz w:val="21"/>
          <w:szCs w:val="21"/>
          <w:lang w:val="zh-CN"/>
        </w:rPr>
      </w:pPr>
      <w:r>
        <w:rPr>
          <w:rFonts w:hint="eastAsia" w:hAnsi="宋体" w:cs="宋体"/>
          <w:color w:val="auto"/>
          <w:kern w:val="2"/>
          <w:sz w:val="21"/>
          <w:szCs w:val="21"/>
          <w:lang w:val="zh-CN"/>
        </w:rPr>
        <w:t>8.1 投标人的投标文件以及投标人与招标代理机构就有关投标的所有往来函电均应使用简体中文。</w:t>
      </w:r>
    </w:p>
    <w:p>
      <w:pPr>
        <w:spacing w:line="360" w:lineRule="auto"/>
        <w:jc w:val="both"/>
        <w:rPr>
          <w:rFonts w:hAnsi="宋体" w:cs="宋体"/>
          <w:color w:val="auto"/>
          <w:kern w:val="2"/>
          <w:sz w:val="21"/>
          <w:szCs w:val="21"/>
          <w:lang w:val="zh-CN"/>
        </w:rPr>
      </w:pPr>
      <w:r>
        <w:rPr>
          <w:rFonts w:hint="eastAsia" w:hAnsi="宋体" w:cs="宋体"/>
          <w:color w:val="auto"/>
          <w:kern w:val="2"/>
          <w:sz w:val="21"/>
          <w:szCs w:val="21"/>
          <w:lang w:val="zh-CN"/>
        </w:rPr>
        <w:t>8.2 投标文件使用的度量衡单位采用中华人民共和国法定计量单位。</w:t>
      </w:r>
    </w:p>
    <w:p>
      <w:pPr>
        <w:spacing w:line="360" w:lineRule="auto"/>
        <w:jc w:val="both"/>
        <w:rPr>
          <w:rFonts w:hAnsi="宋体" w:cs="宋体"/>
          <w:color w:val="auto"/>
          <w:kern w:val="2"/>
          <w:sz w:val="21"/>
          <w:szCs w:val="21"/>
          <w:lang w:val="zh-CN"/>
        </w:rPr>
      </w:pPr>
    </w:p>
    <w:p>
      <w:pPr>
        <w:tabs>
          <w:tab w:val="left" w:pos="567"/>
        </w:tabs>
        <w:spacing w:line="360" w:lineRule="auto"/>
        <w:ind w:left="496" w:hanging="495" w:hangingChars="236"/>
        <w:jc w:val="both"/>
        <w:outlineLvl w:val="2"/>
        <w:rPr>
          <w:rFonts w:hAnsi="宋体" w:cs="宋体"/>
          <w:color w:val="auto"/>
          <w:kern w:val="2"/>
          <w:sz w:val="21"/>
          <w:szCs w:val="21"/>
          <w:lang w:val="zh-CN"/>
        </w:rPr>
      </w:pPr>
      <w:bookmarkStart w:id="42" w:name="_Toc18752"/>
      <w:bookmarkStart w:id="43" w:name="_Toc8763"/>
      <w:r>
        <w:rPr>
          <w:rFonts w:hint="eastAsia" w:hAnsi="宋体" w:cs="宋体"/>
          <w:color w:val="auto"/>
          <w:kern w:val="2"/>
          <w:sz w:val="21"/>
          <w:szCs w:val="21"/>
          <w:lang w:val="zh-CN"/>
        </w:rPr>
        <w:t>9   投标文件的组成</w:t>
      </w:r>
      <w:bookmarkEnd w:id="42"/>
      <w:bookmarkEnd w:id="43"/>
    </w:p>
    <w:p>
      <w:pPr>
        <w:spacing w:line="360" w:lineRule="auto"/>
        <w:ind w:left="420" w:hanging="420" w:hangingChars="200"/>
        <w:jc w:val="both"/>
        <w:rPr>
          <w:rFonts w:hAnsi="宋体" w:cs="宋体"/>
          <w:b/>
          <w:color w:val="auto"/>
          <w:sz w:val="21"/>
          <w:szCs w:val="21"/>
        </w:rPr>
      </w:pPr>
      <w:r>
        <w:rPr>
          <w:rFonts w:hint="eastAsia" w:hAnsi="宋体" w:cs="宋体"/>
          <w:color w:val="auto"/>
          <w:sz w:val="21"/>
          <w:szCs w:val="21"/>
        </w:rPr>
        <w:t>9.1 投标文件的组成：</w:t>
      </w:r>
      <w:r>
        <w:rPr>
          <w:rFonts w:hint="eastAsia" w:hAnsi="宋体" w:cs="宋体"/>
          <w:b/>
          <w:color w:val="auto"/>
          <w:sz w:val="21"/>
          <w:szCs w:val="21"/>
          <w:u w:val="single"/>
        </w:rPr>
        <w:t>商务文件、技术文件由投标人根据各自文件的实际情况决定是否分册装订，招标文件不做限制</w:t>
      </w:r>
      <w:r>
        <w:rPr>
          <w:rFonts w:hint="eastAsia" w:hAnsi="宋体" w:cs="宋体"/>
          <w:b/>
          <w:color w:val="auto"/>
          <w:sz w:val="21"/>
          <w:szCs w:val="21"/>
        </w:rPr>
        <w:t>。</w:t>
      </w:r>
    </w:p>
    <w:p>
      <w:pPr>
        <w:pStyle w:val="28"/>
        <w:spacing w:line="360" w:lineRule="auto"/>
        <w:ind w:left="0" w:leftChars="0"/>
        <w:rPr>
          <w:rFonts w:hAnsi="宋体" w:cs="宋体"/>
          <w:color w:val="auto"/>
          <w:sz w:val="21"/>
        </w:rPr>
      </w:pPr>
      <w:r>
        <w:rPr>
          <w:rFonts w:hint="eastAsia" w:hAnsi="宋体" w:cs="宋体"/>
          <w:color w:val="auto"/>
          <w:sz w:val="21"/>
        </w:rPr>
        <w:t>9.1.1 商务文件：</w:t>
      </w:r>
    </w:p>
    <w:p>
      <w:pPr>
        <w:pStyle w:val="26"/>
        <w:spacing w:line="360" w:lineRule="auto"/>
        <w:ind w:firstLine="422" w:firstLineChars="200"/>
        <w:rPr>
          <w:rFonts w:hAnsi="宋体" w:cs="宋体"/>
          <w:b/>
          <w:color w:val="auto"/>
          <w:sz w:val="21"/>
          <w:szCs w:val="21"/>
        </w:rPr>
      </w:pPr>
      <w:r>
        <w:rPr>
          <w:rFonts w:hint="eastAsia" w:hAnsi="宋体" w:cs="宋体"/>
          <w:b/>
          <w:color w:val="auto"/>
          <w:sz w:val="21"/>
          <w:szCs w:val="21"/>
        </w:rPr>
        <w:t>目录 ：</w:t>
      </w:r>
    </w:p>
    <w:p>
      <w:pPr>
        <w:pStyle w:val="26"/>
        <w:spacing w:line="360" w:lineRule="auto"/>
        <w:ind w:firstLine="105" w:firstLineChars="50"/>
        <w:rPr>
          <w:rFonts w:hAnsi="宋体" w:cs="宋体"/>
          <w:color w:val="auto"/>
          <w:sz w:val="21"/>
          <w:szCs w:val="21"/>
        </w:rPr>
      </w:pPr>
      <w:r>
        <w:rPr>
          <w:rFonts w:hint="eastAsia" w:hAnsi="宋体" w:cs="宋体"/>
          <w:color w:val="auto"/>
          <w:sz w:val="21"/>
          <w:szCs w:val="21"/>
        </w:rPr>
        <w:t>（1）投标函；</w:t>
      </w:r>
    </w:p>
    <w:p>
      <w:pPr>
        <w:pStyle w:val="26"/>
        <w:spacing w:line="360" w:lineRule="auto"/>
        <w:ind w:firstLine="105" w:firstLineChars="50"/>
        <w:rPr>
          <w:rFonts w:hAnsi="宋体" w:cs="宋体"/>
          <w:color w:val="auto"/>
          <w:sz w:val="21"/>
          <w:szCs w:val="21"/>
        </w:rPr>
      </w:pPr>
      <w:r>
        <w:rPr>
          <w:rFonts w:hint="eastAsia" w:hAnsi="宋体" w:cs="宋体"/>
          <w:color w:val="auto"/>
          <w:sz w:val="21"/>
          <w:szCs w:val="21"/>
        </w:rPr>
        <w:t>（2）承诺书；</w:t>
      </w:r>
    </w:p>
    <w:p>
      <w:pPr>
        <w:pStyle w:val="26"/>
        <w:spacing w:line="360" w:lineRule="auto"/>
        <w:ind w:firstLine="105" w:firstLineChars="50"/>
        <w:rPr>
          <w:rFonts w:hAnsi="宋体" w:cs="宋体"/>
          <w:color w:val="auto"/>
          <w:sz w:val="21"/>
          <w:szCs w:val="21"/>
        </w:rPr>
      </w:pPr>
      <w:r>
        <w:rPr>
          <w:rFonts w:hint="eastAsia" w:hAnsi="宋体" w:cs="宋体"/>
          <w:color w:val="auto"/>
          <w:sz w:val="21"/>
          <w:szCs w:val="21"/>
        </w:rPr>
        <w:t>（3）投标承诺书；</w:t>
      </w:r>
    </w:p>
    <w:p>
      <w:pPr>
        <w:pStyle w:val="26"/>
        <w:spacing w:line="360" w:lineRule="auto"/>
        <w:ind w:firstLine="105" w:firstLineChars="50"/>
        <w:rPr>
          <w:rFonts w:hAnsi="宋体" w:cs="宋体"/>
          <w:color w:val="auto"/>
          <w:sz w:val="21"/>
          <w:szCs w:val="21"/>
        </w:rPr>
      </w:pPr>
      <w:r>
        <w:rPr>
          <w:rFonts w:hint="eastAsia" w:hAnsi="宋体" w:cs="宋体"/>
          <w:color w:val="auto"/>
          <w:sz w:val="21"/>
          <w:szCs w:val="21"/>
        </w:rPr>
        <w:t>（4）投标报价表；</w:t>
      </w:r>
    </w:p>
    <w:p>
      <w:pPr>
        <w:pStyle w:val="26"/>
        <w:spacing w:line="360" w:lineRule="auto"/>
        <w:ind w:firstLine="105" w:firstLineChars="50"/>
        <w:rPr>
          <w:rFonts w:hAnsi="宋体" w:cs="宋体"/>
          <w:color w:val="auto"/>
          <w:sz w:val="21"/>
          <w:szCs w:val="21"/>
        </w:rPr>
      </w:pPr>
      <w:r>
        <w:rPr>
          <w:rFonts w:hint="eastAsia" w:hAnsi="宋体" w:cs="宋体"/>
          <w:color w:val="auto"/>
          <w:sz w:val="21"/>
          <w:szCs w:val="21"/>
        </w:rPr>
        <w:t>（5）投标人资格证明文件：</w:t>
      </w:r>
    </w:p>
    <w:p>
      <w:pPr>
        <w:spacing w:line="360" w:lineRule="auto"/>
        <w:ind w:left="1190" w:leftChars="377" w:hanging="285" w:hangingChars="136"/>
        <w:jc w:val="both"/>
        <w:rPr>
          <w:rFonts w:hAnsi="宋体" w:cs="宋体"/>
          <w:color w:val="auto"/>
          <w:kern w:val="2"/>
          <w:sz w:val="21"/>
          <w:szCs w:val="21"/>
        </w:rPr>
      </w:pPr>
      <w:r>
        <w:rPr>
          <w:rFonts w:hint="eastAsia" w:hAnsi="宋体" w:cs="宋体"/>
          <w:color w:val="auto"/>
          <w:kern w:val="2"/>
          <w:sz w:val="21"/>
          <w:szCs w:val="21"/>
          <w:lang w:val="zh-CN"/>
        </w:rPr>
        <w:t>1）法定代表人身份证明书和法定代表人授权书</w:t>
      </w:r>
      <w:r>
        <w:rPr>
          <w:rFonts w:hint="eastAsia" w:hAnsi="宋体" w:cs="宋体"/>
          <w:color w:val="auto"/>
          <w:kern w:val="2"/>
          <w:sz w:val="21"/>
          <w:szCs w:val="21"/>
        </w:rPr>
        <w:t>格式</w:t>
      </w:r>
      <w:r>
        <w:rPr>
          <w:rFonts w:hint="eastAsia" w:hAnsi="宋体" w:cs="宋体"/>
          <w:color w:val="auto"/>
          <w:kern w:val="2"/>
          <w:sz w:val="21"/>
          <w:szCs w:val="21"/>
          <w:lang w:val="zh-CN"/>
        </w:rPr>
        <w:t>（法定代表人投标时只提供法定代表人身份证明书，委托他人为投标代表时同时提供法定代表人授权书）</w:t>
      </w:r>
      <w:r>
        <w:rPr>
          <w:rFonts w:hint="eastAsia" w:hAnsi="宋体" w:cs="宋体"/>
          <w:color w:val="auto"/>
          <w:kern w:val="2"/>
          <w:sz w:val="21"/>
          <w:szCs w:val="21"/>
        </w:rPr>
        <w:t>；</w:t>
      </w:r>
    </w:p>
    <w:p>
      <w:pPr>
        <w:spacing w:line="360" w:lineRule="auto"/>
        <w:ind w:left="1190" w:leftChars="377" w:hanging="285" w:hangingChars="136"/>
        <w:jc w:val="both"/>
        <w:rPr>
          <w:rFonts w:hAnsi="宋体" w:cs="宋体"/>
          <w:color w:val="auto"/>
          <w:kern w:val="2"/>
          <w:sz w:val="21"/>
          <w:szCs w:val="21"/>
          <w:lang w:val="zh-CN"/>
        </w:rPr>
      </w:pPr>
      <w:r>
        <w:rPr>
          <w:rFonts w:hint="eastAsia" w:hAnsi="宋体" w:cs="宋体"/>
          <w:color w:val="auto"/>
          <w:kern w:val="2"/>
          <w:sz w:val="21"/>
          <w:szCs w:val="21"/>
        </w:rPr>
        <w:t>2</w:t>
      </w:r>
      <w:r>
        <w:rPr>
          <w:rFonts w:hint="eastAsia" w:hAnsi="宋体" w:cs="宋体"/>
          <w:color w:val="auto"/>
          <w:kern w:val="2"/>
          <w:sz w:val="21"/>
          <w:szCs w:val="21"/>
          <w:lang w:val="zh-CN"/>
        </w:rPr>
        <w:t>）多证合一营业执照</w:t>
      </w:r>
      <w:r>
        <w:rPr>
          <w:rFonts w:hint="eastAsia" w:hAnsi="宋体" w:cs="宋体"/>
          <w:color w:val="auto"/>
          <w:sz w:val="21"/>
          <w:szCs w:val="21"/>
        </w:rPr>
        <w:t>（或事业单位法人证书）</w:t>
      </w:r>
      <w:r>
        <w:rPr>
          <w:rFonts w:hint="eastAsia" w:hAnsi="宋体" w:cs="宋体"/>
          <w:color w:val="auto"/>
          <w:kern w:val="2"/>
          <w:sz w:val="21"/>
          <w:szCs w:val="21"/>
          <w:lang w:val="zh-CN"/>
        </w:rPr>
        <w:t>复印件；</w:t>
      </w:r>
    </w:p>
    <w:p>
      <w:pPr>
        <w:spacing w:line="360" w:lineRule="auto"/>
        <w:ind w:left="1190" w:leftChars="377" w:hanging="285" w:hangingChars="136"/>
        <w:jc w:val="both"/>
        <w:rPr>
          <w:rFonts w:hAnsi="宋体" w:cs="宋体"/>
          <w:color w:val="auto"/>
          <w:kern w:val="2"/>
          <w:sz w:val="21"/>
          <w:szCs w:val="21"/>
          <w:lang w:val="zh-CN"/>
        </w:rPr>
      </w:pPr>
      <w:r>
        <w:rPr>
          <w:rFonts w:hint="eastAsia" w:hAnsi="宋体" w:cs="宋体"/>
          <w:color w:val="auto"/>
          <w:kern w:val="2"/>
          <w:sz w:val="21"/>
          <w:szCs w:val="21"/>
        </w:rPr>
        <w:t>3</w:t>
      </w:r>
      <w:r>
        <w:rPr>
          <w:rFonts w:hint="eastAsia" w:hAnsi="宋体" w:cs="宋体"/>
          <w:color w:val="auto"/>
          <w:kern w:val="2"/>
          <w:sz w:val="21"/>
          <w:szCs w:val="21"/>
          <w:lang w:val="zh-CN"/>
        </w:rPr>
        <w:t>）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p>
    <w:p>
      <w:pPr>
        <w:numPr>
          <w:ilvl w:val="0"/>
          <w:numId w:val="6"/>
        </w:numPr>
        <w:spacing w:line="360" w:lineRule="auto"/>
        <w:ind w:left="1190" w:leftChars="377" w:hanging="285" w:hangingChars="136"/>
        <w:jc w:val="both"/>
        <w:rPr>
          <w:rFonts w:hAnsi="宋体" w:cs="宋体"/>
          <w:color w:val="auto"/>
          <w:kern w:val="2"/>
          <w:sz w:val="21"/>
          <w:szCs w:val="21"/>
          <w:lang w:val="zh-CN"/>
        </w:rPr>
      </w:pPr>
      <w:r>
        <w:rPr>
          <w:rFonts w:hint="eastAsia" w:hAnsi="宋体" w:cs="宋体"/>
          <w:color w:val="auto"/>
          <w:kern w:val="2"/>
          <w:sz w:val="21"/>
          <w:szCs w:val="21"/>
          <w:lang w:val="zh-CN"/>
        </w:rPr>
        <w:t>食品药品监督管理部门</w:t>
      </w:r>
      <w:r>
        <w:rPr>
          <w:rFonts w:hint="eastAsia" w:hAnsi="宋体" w:cs="宋体"/>
          <w:b w:val="0"/>
          <w:bCs/>
          <w:color w:val="auto"/>
          <w:sz w:val="21"/>
          <w:szCs w:val="21"/>
        </w:rPr>
        <w:t>或市场监督管理部门</w:t>
      </w:r>
      <w:r>
        <w:rPr>
          <w:rFonts w:hint="eastAsia" w:hAnsi="宋体" w:cs="宋体"/>
          <w:color w:val="auto"/>
          <w:kern w:val="2"/>
          <w:sz w:val="21"/>
          <w:szCs w:val="21"/>
          <w:lang w:val="zh-CN"/>
        </w:rPr>
        <w:t>颁发并在有效期</w:t>
      </w:r>
      <w:r>
        <w:rPr>
          <w:rFonts w:hint="eastAsia" w:hAnsi="宋体" w:cs="宋体"/>
          <w:color w:val="auto"/>
          <w:kern w:val="2"/>
          <w:sz w:val="21"/>
          <w:szCs w:val="21"/>
        </w:rPr>
        <w:t>内</w:t>
      </w:r>
      <w:r>
        <w:rPr>
          <w:rFonts w:hint="eastAsia" w:hAnsi="宋体" w:cs="宋体"/>
          <w:color w:val="auto"/>
          <w:kern w:val="2"/>
          <w:sz w:val="21"/>
          <w:szCs w:val="21"/>
          <w:lang w:val="zh-CN"/>
        </w:rPr>
        <w:t>的食品经营许可证</w:t>
      </w:r>
      <w:r>
        <w:rPr>
          <w:rFonts w:hint="eastAsia" w:hAnsi="宋体" w:cs="宋体"/>
          <w:color w:val="auto"/>
          <w:kern w:val="2"/>
          <w:sz w:val="21"/>
          <w:szCs w:val="21"/>
        </w:rPr>
        <w:t>复印件</w:t>
      </w:r>
      <w:r>
        <w:rPr>
          <w:rFonts w:hint="eastAsia" w:hAnsi="宋体" w:cs="宋体"/>
          <w:color w:val="auto"/>
          <w:kern w:val="2"/>
          <w:sz w:val="21"/>
          <w:szCs w:val="21"/>
          <w:lang w:val="zh-CN"/>
        </w:rPr>
        <w:t>；</w:t>
      </w:r>
    </w:p>
    <w:p>
      <w:pPr>
        <w:numPr>
          <w:ilvl w:val="0"/>
          <w:numId w:val="6"/>
        </w:numPr>
        <w:spacing w:line="360" w:lineRule="auto"/>
        <w:ind w:left="1190" w:leftChars="377" w:hanging="285" w:hangingChars="136"/>
        <w:jc w:val="both"/>
        <w:rPr>
          <w:rFonts w:hAnsi="宋体" w:cs="宋体"/>
          <w:color w:val="auto"/>
          <w:sz w:val="21"/>
          <w:szCs w:val="21"/>
        </w:rPr>
      </w:pPr>
      <w:r>
        <w:rPr>
          <w:rFonts w:hint="eastAsia" w:hAnsi="宋体" w:cs="宋体"/>
          <w:color w:val="auto"/>
          <w:sz w:val="21"/>
          <w:szCs w:val="21"/>
        </w:rPr>
        <w:t>最近3年企业牵涉的主要诉讼案件或其他处罚（失信和违法）说明。</w:t>
      </w:r>
    </w:p>
    <w:p>
      <w:pPr>
        <w:pStyle w:val="26"/>
        <w:spacing w:line="360" w:lineRule="auto"/>
        <w:ind w:left="435" w:leftChars="50" w:hanging="315" w:hangingChars="150"/>
        <w:rPr>
          <w:rFonts w:hAnsi="宋体" w:cs="宋体"/>
          <w:color w:val="auto"/>
          <w:sz w:val="21"/>
          <w:szCs w:val="21"/>
        </w:rPr>
      </w:pPr>
      <w:r>
        <w:rPr>
          <w:rFonts w:hint="eastAsia" w:hAnsi="宋体" w:cs="宋体"/>
          <w:color w:val="auto"/>
          <w:sz w:val="21"/>
          <w:szCs w:val="21"/>
          <w:lang w:val="zh-CN"/>
        </w:rPr>
        <w:t>（</w:t>
      </w:r>
      <w:r>
        <w:rPr>
          <w:rFonts w:hint="eastAsia" w:hAnsi="宋体" w:cs="宋体"/>
          <w:color w:val="auto"/>
          <w:sz w:val="21"/>
          <w:szCs w:val="21"/>
        </w:rPr>
        <w:t>6）投标人基本情况一览表；</w:t>
      </w:r>
    </w:p>
    <w:p>
      <w:pPr>
        <w:pStyle w:val="26"/>
        <w:spacing w:line="360" w:lineRule="auto"/>
        <w:ind w:left="435" w:leftChars="50" w:hanging="315" w:hangingChars="150"/>
        <w:rPr>
          <w:rFonts w:hAnsi="宋体" w:cs="宋体"/>
          <w:color w:val="auto"/>
          <w:sz w:val="21"/>
          <w:szCs w:val="21"/>
        </w:rPr>
      </w:pPr>
      <w:r>
        <w:rPr>
          <w:rFonts w:hint="eastAsia" w:hAnsi="宋体" w:cs="宋体"/>
          <w:color w:val="auto"/>
          <w:sz w:val="21"/>
          <w:szCs w:val="21"/>
        </w:rPr>
        <w:t>（7）投标人财务状况表；</w:t>
      </w:r>
    </w:p>
    <w:p>
      <w:pPr>
        <w:pStyle w:val="26"/>
        <w:spacing w:line="360" w:lineRule="auto"/>
        <w:ind w:left="435" w:leftChars="50" w:hanging="315" w:hangingChars="150"/>
        <w:rPr>
          <w:rFonts w:hAnsi="宋体" w:cs="宋体"/>
          <w:color w:val="auto"/>
          <w:sz w:val="21"/>
          <w:szCs w:val="21"/>
        </w:rPr>
      </w:pPr>
      <w:r>
        <w:rPr>
          <w:rFonts w:hint="eastAsia" w:hAnsi="宋体" w:cs="宋体"/>
          <w:color w:val="auto"/>
          <w:sz w:val="21"/>
          <w:szCs w:val="21"/>
        </w:rPr>
        <w:t>（8）合同条款响应程度（合同条款偏离表）；</w:t>
      </w:r>
    </w:p>
    <w:p>
      <w:pPr>
        <w:pStyle w:val="26"/>
        <w:spacing w:line="360" w:lineRule="auto"/>
        <w:ind w:left="645" w:leftChars="50" w:hanging="525" w:hangingChars="250"/>
        <w:rPr>
          <w:rFonts w:hAnsi="宋体" w:cs="宋体"/>
          <w:color w:val="auto"/>
          <w:sz w:val="21"/>
          <w:szCs w:val="21"/>
        </w:rPr>
      </w:pPr>
      <w:r>
        <w:rPr>
          <w:rFonts w:hint="eastAsia" w:hAnsi="宋体" w:cs="宋体"/>
          <w:color w:val="auto"/>
          <w:sz w:val="21"/>
          <w:szCs w:val="21"/>
        </w:rPr>
        <w:t>（9）业绩表；</w:t>
      </w:r>
    </w:p>
    <w:p>
      <w:pPr>
        <w:pStyle w:val="26"/>
        <w:spacing w:line="360" w:lineRule="auto"/>
        <w:ind w:left="645" w:leftChars="50" w:hanging="525" w:hangingChars="250"/>
        <w:rPr>
          <w:rFonts w:hAnsi="宋体" w:cs="宋体"/>
          <w:color w:val="auto"/>
          <w:sz w:val="21"/>
          <w:szCs w:val="21"/>
        </w:rPr>
      </w:pPr>
      <w:r>
        <w:rPr>
          <w:rFonts w:hint="eastAsia" w:hAnsi="宋体" w:cs="宋体"/>
          <w:color w:val="auto"/>
          <w:sz w:val="21"/>
          <w:szCs w:val="21"/>
        </w:rPr>
        <w:t>（10）</w:t>
      </w:r>
      <w:r>
        <w:rPr>
          <w:rFonts w:hint="eastAsia" w:hAnsi="宋体" w:cs="宋体"/>
          <w:color w:val="auto"/>
          <w:sz w:val="21"/>
          <w:szCs w:val="21"/>
          <w:lang w:val="zh-CN"/>
        </w:rPr>
        <w:t>拟投入本项目的配送场所；</w:t>
      </w:r>
    </w:p>
    <w:p>
      <w:pPr>
        <w:pStyle w:val="26"/>
        <w:spacing w:line="360" w:lineRule="auto"/>
        <w:ind w:left="435" w:leftChars="50" w:hanging="315" w:hangingChars="150"/>
        <w:rPr>
          <w:rFonts w:hAnsi="宋体" w:cs="宋体"/>
          <w:color w:val="auto"/>
          <w:sz w:val="21"/>
          <w:szCs w:val="21"/>
        </w:rPr>
      </w:pPr>
      <w:r>
        <w:rPr>
          <w:rFonts w:hint="eastAsia" w:hAnsi="宋体" w:cs="宋体"/>
          <w:color w:val="auto"/>
          <w:sz w:val="21"/>
          <w:szCs w:val="21"/>
        </w:rPr>
        <w:t>（1</w:t>
      </w:r>
      <w:r>
        <w:rPr>
          <w:rFonts w:hint="eastAsia" w:hAnsi="宋体" w:cs="宋体"/>
          <w:color w:val="auto"/>
          <w:sz w:val="21"/>
          <w:szCs w:val="21"/>
          <w:lang w:val="en-US" w:eastAsia="zh-CN"/>
        </w:rPr>
        <w:t>1</w:t>
      </w:r>
      <w:r>
        <w:rPr>
          <w:rFonts w:hint="eastAsia" w:hAnsi="宋体" w:cs="宋体"/>
          <w:color w:val="auto"/>
          <w:sz w:val="21"/>
          <w:szCs w:val="21"/>
        </w:rPr>
        <w:t>）拟供应货品来源情况；</w:t>
      </w:r>
    </w:p>
    <w:p>
      <w:pPr>
        <w:pStyle w:val="26"/>
        <w:spacing w:line="360" w:lineRule="auto"/>
        <w:ind w:left="435" w:leftChars="50" w:hanging="315" w:hangingChars="150"/>
        <w:rPr>
          <w:rFonts w:hAnsi="宋体" w:cs="宋体"/>
          <w:color w:val="auto"/>
          <w:sz w:val="21"/>
          <w:szCs w:val="21"/>
        </w:rPr>
      </w:pPr>
      <w:r>
        <w:rPr>
          <w:rFonts w:hint="eastAsia" w:hAnsi="宋体" w:cs="宋体"/>
          <w:color w:val="auto"/>
          <w:sz w:val="21"/>
          <w:szCs w:val="21"/>
        </w:rPr>
        <w:t>（1</w:t>
      </w:r>
      <w:r>
        <w:rPr>
          <w:rFonts w:hint="eastAsia" w:hAnsi="宋体" w:cs="宋体"/>
          <w:color w:val="auto"/>
          <w:sz w:val="21"/>
          <w:szCs w:val="21"/>
          <w:lang w:val="en-US" w:eastAsia="zh-CN"/>
        </w:rPr>
        <w:t>2</w:t>
      </w:r>
      <w:r>
        <w:rPr>
          <w:rFonts w:hint="eastAsia" w:hAnsi="宋体" w:cs="宋体"/>
          <w:color w:val="auto"/>
          <w:sz w:val="21"/>
          <w:szCs w:val="21"/>
        </w:rPr>
        <w:t>）中标服务费承诺书；</w:t>
      </w:r>
    </w:p>
    <w:p>
      <w:pPr>
        <w:pStyle w:val="26"/>
        <w:spacing w:line="360" w:lineRule="auto"/>
        <w:ind w:left="435" w:leftChars="50" w:hanging="315" w:hangingChars="150"/>
        <w:rPr>
          <w:rFonts w:hAnsi="宋体" w:cs="宋体"/>
          <w:color w:val="auto"/>
          <w:sz w:val="21"/>
          <w:szCs w:val="21"/>
        </w:rPr>
      </w:pPr>
      <w:r>
        <w:rPr>
          <w:rFonts w:hint="eastAsia" w:hAnsi="宋体" w:cs="宋体"/>
          <w:color w:val="auto"/>
          <w:sz w:val="21"/>
          <w:szCs w:val="21"/>
        </w:rPr>
        <w:t>（1</w:t>
      </w:r>
      <w:r>
        <w:rPr>
          <w:rFonts w:hint="eastAsia" w:hAnsi="宋体" w:cs="宋体"/>
          <w:color w:val="auto"/>
          <w:sz w:val="21"/>
          <w:szCs w:val="21"/>
          <w:lang w:val="en-US" w:eastAsia="zh-CN"/>
        </w:rPr>
        <w:t>3</w:t>
      </w:r>
      <w:r>
        <w:rPr>
          <w:rFonts w:hint="eastAsia" w:hAnsi="宋体" w:cs="宋体"/>
          <w:color w:val="auto"/>
          <w:sz w:val="21"/>
          <w:szCs w:val="21"/>
        </w:rPr>
        <w:t>）投标保证金汇入情况说明；</w:t>
      </w:r>
    </w:p>
    <w:p>
      <w:pPr>
        <w:pStyle w:val="26"/>
        <w:spacing w:line="360" w:lineRule="auto"/>
        <w:ind w:left="709" w:leftChars="59" w:hanging="567" w:hangingChars="270"/>
        <w:rPr>
          <w:rFonts w:hAnsi="宋体" w:cs="宋体"/>
          <w:color w:val="auto"/>
          <w:sz w:val="21"/>
          <w:szCs w:val="21"/>
        </w:rPr>
      </w:pPr>
      <w:r>
        <w:rPr>
          <w:rFonts w:hint="eastAsia" w:hAnsi="宋体" w:cs="宋体"/>
          <w:color w:val="auto"/>
          <w:sz w:val="21"/>
          <w:szCs w:val="21"/>
        </w:rPr>
        <w:t>（1</w:t>
      </w:r>
      <w:r>
        <w:rPr>
          <w:rFonts w:hint="eastAsia" w:hAnsi="宋体" w:cs="宋体"/>
          <w:color w:val="auto"/>
          <w:sz w:val="21"/>
          <w:szCs w:val="21"/>
          <w:lang w:val="en-US" w:eastAsia="zh-CN"/>
        </w:rPr>
        <w:t>4</w:t>
      </w:r>
      <w:r>
        <w:rPr>
          <w:rFonts w:hint="eastAsia" w:hAnsi="宋体" w:cs="宋体"/>
          <w:color w:val="auto"/>
          <w:sz w:val="21"/>
          <w:szCs w:val="21"/>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p>
    <w:p>
      <w:pPr>
        <w:spacing w:line="360" w:lineRule="auto"/>
        <w:jc w:val="both"/>
        <w:rPr>
          <w:rFonts w:hAnsi="宋体" w:cs="宋体"/>
          <w:color w:val="auto"/>
          <w:kern w:val="2"/>
          <w:sz w:val="21"/>
          <w:szCs w:val="21"/>
        </w:rPr>
      </w:pPr>
      <w:r>
        <w:rPr>
          <w:rFonts w:hint="eastAsia" w:hAnsi="宋体" w:cs="宋体"/>
          <w:b/>
          <w:bCs/>
          <w:color w:val="auto"/>
          <w:kern w:val="2"/>
          <w:sz w:val="21"/>
          <w:szCs w:val="21"/>
          <w:lang w:val="zh-CN"/>
        </w:rPr>
        <w:t>9.1.2 技术文件：</w:t>
      </w:r>
    </w:p>
    <w:p>
      <w:pPr>
        <w:pStyle w:val="26"/>
        <w:spacing w:line="360" w:lineRule="auto"/>
        <w:ind w:firstLine="632" w:firstLineChars="300"/>
        <w:rPr>
          <w:rFonts w:hAnsi="宋体" w:cs="宋体"/>
          <w:b/>
          <w:color w:val="auto"/>
          <w:sz w:val="21"/>
          <w:szCs w:val="21"/>
        </w:rPr>
      </w:pPr>
      <w:r>
        <w:rPr>
          <w:rFonts w:hint="eastAsia" w:hAnsi="宋体" w:cs="宋体"/>
          <w:b/>
          <w:color w:val="auto"/>
          <w:sz w:val="21"/>
          <w:szCs w:val="21"/>
        </w:rPr>
        <w:t>目录：</w:t>
      </w:r>
    </w:p>
    <w:p>
      <w:pPr>
        <w:pStyle w:val="26"/>
        <w:spacing w:line="360" w:lineRule="auto"/>
        <w:ind w:left="435" w:leftChars="50" w:hanging="315" w:hangingChars="150"/>
        <w:rPr>
          <w:rFonts w:hAnsi="宋体" w:cs="宋体"/>
          <w:color w:val="auto"/>
          <w:sz w:val="21"/>
          <w:szCs w:val="21"/>
          <w:lang w:val="zh-CN"/>
        </w:rPr>
      </w:pPr>
      <w:r>
        <w:rPr>
          <w:rFonts w:hint="eastAsia" w:hAnsi="宋体" w:cs="宋体"/>
          <w:color w:val="auto"/>
          <w:sz w:val="21"/>
          <w:szCs w:val="21"/>
          <w:lang w:val="zh-CN"/>
        </w:rPr>
        <w:t>（1）</w:t>
      </w:r>
      <w:r>
        <w:rPr>
          <w:rFonts w:hint="eastAsia" w:hAnsi="宋体" w:cs="宋体"/>
          <w:color w:val="auto"/>
          <w:sz w:val="21"/>
          <w:szCs w:val="21"/>
        </w:rPr>
        <w:t>用户需求的</w:t>
      </w:r>
      <w:r>
        <w:rPr>
          <w:rFonts w:hint="eastAsia" w:hAnsi="宋体" w:cs="宋体"/>
          <w:color w:val="auto"/>
          <w:sz w:val="21"/>
          <w:szCs w:val="21"/>
          <w:lang w:val="zh-CN"/>
        </w:rPr>
        <w:t>响应程度（用户需求偏离表）；</w:t>
      </w:r>
    </w:p>
    <w:p>
      <w:pPr>
        <w:pStyle w:val="26"/>
        <w:spacing w:line="360" w:lineRule="auto"/>
        <w:ind w:left="645" w:leftChars="50" w:hanging="525" w:hangingChars="250"/>
        <w:rPr>
          <w:rFonts w:hAnsi="宋体" w:cs="宋体"/>
          <w:color w:val="auto"/>
          <w:sz w:val="21"/>
          <w:szCs w:val="21"/>
          <w:lang w:val="zh-CN"/>
        </w:rPr>
      </w:pPr>
      <w:r>
        <w:rPr>
          <w:rFonts w:hint="eastAsia" w:hAnsi="宋体" w:cs="宋体"/>
          <w:color w:val="auto"/>
          <w:sz w:val="21"/>
          <w:szCs w:val="21"/>
          <w:lang w:val="zh-CN"/>
        </w:rPr>
        <w:t>（2）应急处理方案；</w:t>
      </w:r>
    </w:p>
    <w:p>
      <w:pPr>
        <w:pStyle w:val="26"/>
        <w:spacing w:line="360" w:lineRule="auto"/>
        <w:ind w:left="645" w:leftChars="50" w:hanging="525" w:hangingChars="250"/>
        <w:rPr>
          <w:rFonts w:hAnsi="宋体" w:cs="宋体"/>
          <w:color w:val="auto"/>
        </w:rPr>
      </w:pPr>
      <w:r>
        <w:rPr>
          <w:rFonts w:hint="eastAsia" w:hAnsi="宋体" w:cs="宋体"/>
          <w:color w:val="auto"/>
          <w:sz w:val="21"/>
          <w:szCs w:val="21"/>
          <w:lang w:val="zh-CN"/>
        </w:rPr>
        <w:t>（3）</w:t>
      </w:r>
      <w:r>
        <w:rPr>
          <w:rFonts w:hint="eastAsia" w:hAnsi="宋体" w:cs="宋体"/>
          <w:color w:val="auto"/>
          <w:sz w:val="21"/>
          <w:szCs w:val="21"/>
        </w:rPr>
        <w:t>总体</w:t>
      </w:r>
      <w:r>
        <w:rPr>
          <w:rFonts w:hint="eastAsia" w:hAnsi="宋体" w:cs="宋体"/>
          <w:color w:val="auto"/>
          <w:sz w:val="21"/>
          <w:szCs w:val="21"/>
          <w:lang w:val="zh-CN"/>
        </w:rPr>
        <w:t>实施方案；</w:t>
      </w:r>
    </w:p>
    <w:p>
      <w:pPr>
        <w:pStyle w:val="26"/>
        <w:spacing w:line="360" w:lineRule="auto"/>
        <w:ind w:left="435" w:leftChars="50" w:hanging="315" w:hangingChars="150"/>
        <w:rPr>
          <w:rFonts w:hint="eastAsia" w:hAnsi="宋体" w:cs="宋体"/>
          <w:color w:val="auto"/>
          <w:sz w:val="21"/>
          <w:szCs w:val="21"/>
          <w:lang w:val="zh-CN"/>
        </w:rPr>
      </w:pPr>
      <w:r>
        <w:rPr>
          <w:rFonts w:hint="eastAsia" w:hAnsi="宋体" w:cs="宋体"/>
          <w:color w:val="auto"/>
          <w:sz w:val="21"/>
          <w:szCs w:val="21"/>
          <w:lang w:val="zh-CN"/>
        </w:rPr>
        <w:t>（</w:t>
      </w:r>
      <w:r>
        <w:rPr>
          <w:rFonts w:hint="eastAsia" w:hAnsi="宋体" w:cs="宋体"/>
          <w:color w:val="auto"/>
          <w:sz w:val="21"/>
          <w:szCs w:val="21"/>
        </w:rPr>
        <w:t>4</w:t>
      </w:r>
      <w:r>
        <w:rPr>
          <w:rFonts w:hint="eastAsia" w:hAnsi="宋体" w:cs="宋体"/>
          <w:color w:val="auto"/>
          <w:sz w:val="21"/>
          <w:szCs w:val="21"/>
          <w:lang w:val="zh-CN"/>
        </w:rPr>
        <w:t>）</w:t>
      </w:r>
      <w:r>
        <w:rPr>
          <w:rFonts w:hint="eastAsia" w:hAnsi="宋体" w:cs="宋体"/>
          <w:color w:val="auto"/>
          <w:sz w:val="21"/>
          <w:szCs w:val="21"/>
        </w:rPr>
        <w:t>拟投入本项目的人员及车辆情况；</w:t>
      </w:r>
    </w:p>
    <w:p>
      <w:pPr>
        <w:pStyle w:val="26"/>
        <w:spacing w:line="360" w:lineRule="auto"/>
        <w:ind w:left="645" w:leftChars="50" w:hanging="525" w:hangingChars="250"/>
        <w:rPr>
          <w:rFonts w:hAnsi="宋体" w:cs="宋体"/>
          <w:color w:val="auto"/>
          <w:sz w:val="21"/>
          <w:szCs w:val="21"/>
          <w:lang w:val="zh-CN"/>
        </w:rPr>
      </w:pPr>
      <w:r>
        <w:rPr>
          <w:rFonts w:hint="eastAsia" w:hAnsi="宋体" w:cs="宋体"/>
          <w:color w:val="auto"/>
          <w:sz w:val="21"/>
          <w:szCs w:val="21"/>
          <w:lang w:val="zh-CN"/>
        </w:rPr>
        <w:t>（</w:t>
      </w:r>
      <w:r>
        <w:rPr>
          <w:rFonts w:hAnsi="宋体" w:cs="宋体"/>
          <w:color w:val="auto"/>
          <w:sz w:val="21"/>
          <w:szCs w:val="21"/>
        </w:rPr>
        <w:t>5</w:t>
      </w:r>
      <w:r>
        <w:rPr>
          <w:rFonts w:hint="eastAsia" w:hAnsi="宋体" w:cs="宋体"/>
          <w:color w:val="auto"/>
          <w:sz w:val="21"/>
          <w:szCs w:val="21"/>
          <w:lang w:val="zh-CN"/>
        </w:rPr>
        <w:t>）食品安全管理；</w:t>
      </w:r>
    </w:p>
    <w:p>
      <w:pPr>
        <w:pStyle w:val="26"/>
        <w:spacing w:line="360" w:lineRule="auto"/>
        <w:ind w:left="435" w:leftChars="50" w:hanging="315" w:hangingChars="150"/>
        <w:rPr>
          <w:rFonts w:hAnsi="宋体" w:cs="宋体"/>
          <w:color w:val="auto"/>
          <w:sz w:val="21"/>
          <w:szCs w:val="21"/>
        </w:rPr>
      </w:pPr>
      <w:r>
        <w:rPr>
          <w:rFonts w:hint="eastAsia" w:hAnsi="宋体" w:cs="宋体"/>
          <w:color w:val="auto"/>
          <w:sz w:val="21"/>
          <w:szCs w:val="21"/>
          <w:lang w:val="zh-CN"/>
        </w:rPr>
        <w:t>（</w:t>
      </w:r>
      <w:r>
        <w:rPr>
          <w:rFonts w:hint="eastAsia" w:hAnsi="宋体" w:cs="宋体"/>
          <w:color w:val="auto"/>
          <w:sz w:val="21"/>
          <w:szCs w:val="21"/>
          <w:lang w:val="en-US" w:eastAsia="zh-CN"/>
        </w:rPr>
        <w:t>6</w:t>
      </w:r>
      <w:r>
        <w:rPr>
          <w:rFonts w:hint="eastAsia" w:hAnsi="宋体" w:cs="宋体"/>
          <w:color w:val="auto"/>
          <w:sz w:val="21"/>
          <w:szCs w:val="21"/>
          <w:lang w:val="zh-CN"/>
        </w:rPr>
        <w:t>）投标人认为有需要提供的其他文件（不做强制性要求）</w:t>
      </w:r>
      <w:r>
        <w:rPr>
          <w:rFonts w:hint="eastAsia" w:hAnsi="宋体" w:cs="宋体"/>
          <w:color w:val="auto"/>
          <w:sz w:val="21"/>
          <w:szCs w:val="21"/>
        </w:rPr>
        <w:t>。</w:t>
      </w:r>
    </w:p>
    <w:p>
      <w:pPr>
        <w:spacing w:line="360" w:lineRule="auto"/>
        <w:jc w:val="both"/>
        <w:rPr>
          <w:rFonts w:hAnsi="宋体" w:cs="宋体"/>
          <w:b/>
          <w:bCs/>
          <w:color w:val="auto"/>
          <w:kern w:val="2"/>
          <w:sz w:val="21"/>
          <w:szCs w:val="21"/>
          <w:lang w:val="zh-CN"/>
        </w:rPr>
      </w:pPr>
      <w:r>
        <w:rPr>
          <w:rFonts w:hint="eastAsia" w:hAnsi="宋体" w:cs="宋体"/>
          <w:b/>
          <w:bCs/>
          <w:color w:val="auto"/>
          <w:kern w:val="2"/>
          <w:sz w:val="21"/>
          <w:szCs w:val="21"/>
          <w:lang w:val="zh-CN"/>
        </w:rPr>
        <w:t>9.1.3 投标文件电子文件</w:t>
      </w:r>
      <w:r>
        <w:rPr>
          <w:rFonts w:hint="eastAsia" w:hAnsi="宋体" w:cs="宋体"/>
          <w:color w:val="auto"/>
          <w:kern w:val="2"/>
          <w:sz w:val="21"/>
          <w:szCs w:val="21"/>
          <w:lang w:val="zh-CN"/>
        </w:rPr>
        <w:t>（详细要求见本篇第17.5款）</w:t>
      </w:r>
    </w:p>
    <w:p>
      <w:pPr>
        <w:pStyle w:val="26"/>
        <w:spacing w:line="360" w:lineRule="auto"/>
        <w:ind w:left="440" w:leftChars="52" w:hanging="315" w:hangingChars="150"/>
        <w:rPr>
          <w:rFonts w:hAnsi="宋体" w:cs="宋体"/>
          <w:color w:val="auto"/>
          <w:sz w:val="21"/>
          <w:szCs w:val="21"/>
          <w:lang w:val="zh-CN"/>
        </w:rPr>
      </w:pPr>
      <w:r>
        <w:rPr>
          <w:rFonts w:hint="eastAsia" w:hAnsi="宋体" w:cs="宋体"/>
          <w:color w:val="auto"/>
          <w:sz w:val="21"/>
          <w:szCs w:val="21"/>
          <w:lang w:val="zh-CN"/>
        </w:rPr>
        <w:t>（1）签字、盖章后的投标文件扫描版PDF格式电子文件。</w:t>
      </w:r>
    </w:p>
    <w:p>
      <w:pPr>
        <w:spacing w:line="360" w:lineRule="auto"/>
        <w:jc w:val="both"/>
        <w:rPr>
          <w:rFonts w:hAnsi="宋体" w:cs="宋体"/>
          <w:b/>
          <w:bCs/>
          <w:color w:val="auto"/>
          <w:kern w:val="2"/>
          <w:sz w:val="21"/>
          <w:szCs w:val="21"/>
          <w:lang w:val="zh-CN"/>
        </w:rPr>
      </w:pPr>
      <w:r>
        <w:rPr>
          <w:rFonts w:hint="eastAsia" w:hAnsi="宋体" w:cs="宋体"/>
          <w:b/>
          <w:bCs/>
          <w:color w:val="auto"/>
          <w:kern w:val="2"/>
          <w:sz w:val="21"/>
          <w:szCs w:val="21"/>
          <w:lang w:val="zh-CN"/>
        </w:rPr>
        <w:t>9.1.4 唱标信封</w:t>
      </w:r>
      <w:r>
        <w:rPr>
          <w:rFonts w:hint="eastAsia" w:hAnsi="宋体" w:cs="宋体"/>
          <w:b/>
          <w:bCs/>
          <w:color w:val="auto"/>
          <w:sz w:val="21"/>
          <w:szCs w:val="21"/>
        </w:rPr>
        <w:t>（</w:t>
      </w:r>
      <w:r>
        <w:rPr>
          <w:rFonts w:hint="eastAsia" w:hAnsi="宋体" w:cs="宋体"/>
          <w:b/>
          <w:bCs/>
          <w:color w:val="auto"/>
          <w:sz w:val="21"/>
          <w:szCs w:val="21"/>
          <w:lang w:val="zh-CN"/>
        </w:rPr>
        <w:t>单独密封）</w:t>
      </w:r>
    </w:p>
    <w:p>
      <w:pPr>
        <w:pStyle w:val="26"/>
        <w:spacing w:line="360" w:lineRule="auto"/>
        <w:ind w:left="440" w:leftChars="52" w:hanging="315" w:hangingChars="150"/>
        <w:rPr>
          <w:rFonts w:hAnsi="宋体" w:cs="宋体"/>
          <w:color w:val="auto"/>
          <w:sz w:val="21"/>
          <w:szCs w:val="21"/>
          <w:lang w:val="zh-CN"/>
        </w:rPr>
      </w:pPr>
      <w:r>
        <w:rPr>
          <w:rFonts w:hint="eastAsia" w:hAnsi="宋体" w:cs="宋体"/>
          <w:color w:val="auto"/>
          <w:sz w:val="21"/>
          <w:szCs w:val="21"/>
          <w:lang w:val="zh-CN"/>
        </w:rPr>
        <w:t>（1）投标报价表；</w:t>
      </w:r>
    </w:p>
    <w:p>
      <w:pPr>
        <w:pStyle w:val="26"/>
        <w:spacing w:line="360" w:lineRule="auto"/>
        <w:ind w:left="440" w:leftChars="52" w:hanging="315" w:hangingChars="150"/>
        <w:rPr>
          <w:rFonts w:hAnsi="宋体" w:cs="宋体"/>
          <w:color w:val="auto"/>
          <w:sz w:val="21"/>
          <w:szCs w:val="21"/>
          <w:lang w:val="zh-CN"/>
        </w:rPr>
      </w:pPr>
      <w:r>
        <w:rPr>
          <w:rFonts w:hint="eastAsia" w:hAnsi="宋体" w:cs="宋体"/>
          <w:color w:val="auto"/>
          <w:sz w:val="21"/>
          <w:szCs w:val="21"/>
          <w:lang w:val="zh-CN"/>
        </w:rPr>
        <w:t>（2）投标保证金汇入情况说明（一式两份）；</w:t>
      </w:r>
    </w:p>
    <w:p>
      <w:pPr>
        <w:spacing w:line="360" w:lineRule="auto"/>
        <w:ind w:left="525" w:hanging="525" w:hangingChars="250"/>
        <w:jc w:val="both"/>
        <w:rPr>
          <w:rFonts w:hAnsi="宋体" w:cs="宋体"/>
          <w:color w:val="auto"/>
          <w:kern w:val="2"/>
          <w:sz w:val="21"/>
          <w:szCs w:val="21"/>
          <w:lang w:val="zh-CN"/>
        </w:rPr>
      </w:pPr>
      <w:r>
        <w:rPr>
          <w:rFonts w:hint="eastAsia" w:hAnsi="宋体" w:cs="宋体"/>
          <w:color w:val="auto"/>
          <w:kern w:val="2"/>
          <w:sz w:val="21"/>
          <w:szCs w:val="21"/>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可为该资料扫描件的打印件。</w:t>
      </w:r>
    </w:p>
    <w:p>
      <w:pPr>
        <w:spacing w:line="360" w:lineRule="auto"/>
        <w:ind w:left="525" w:hanging="525" w:hangingChars="250"/>
        <w:jc w:val="both"/>
        <w:rPr>
          <w:rFonts w:hAnsi="宋体" w:cs="宋体"/>
          <w:color w:val="auto"/>
          <w:kern w:val="2"/>
          <w:sz w:val="21"/>
          <w:szCs w:val="21"/>
          <w:lang w:val="zh-CN"/>
        </w:rPr>
      </w:pPr>
      <w:r>
        <w:rPr>
          <w:rFonts w:hint="eastAsia" w:hAnsi="宋体" w:cs="宋体"/>
          <w:color w:val="auto"/>
          <w:kern w:val="2"/>
          <w:sz w:val="21"/>
          <w:szCs w:val="21"/>
          <w:lang w:val="zh-CN"/>
        </w:rPr>
        <w:t xml:space="preserve">9.3  </w:t>
      </w:r>
      <w:r>
        <w:rPr>
          <w:rFonts w:hint="eastAsia" w:hAnsi="宋体" w:cs="宋体"/>
          <w:b/>
          <w:color w:val="auto"/>
          <w:kern w:val="2"/>
          <w:sz w:val="21"/>
          <w:szCs w:val="21"/>
          <w:u w:val="single"/>
          <w:lang w:val="zh-CN"/>
        </w:rPr>
        <w:t>投标文件中相关证件、证书、合同、第三方检验报告、发票、照片等证明材料中的原始印章、签名、关键内容必须清晰、可辨认，签字、盖章真实，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hAnsi="宋体" w:cs="宋体"/>
          <w:color w:val="auto"/>
          <w:kern w:val="2"/>
          <w:sz w:val="21"/>
          <w:szCs w:val="21"/>
          <w:lang w:val="zh-CN"/>
        </w:rPr>
        <w:t>。</w:t>
      </w:r>
    </w:p>
    <w:p>
      <w:pPr>
        <w:tabs>
          <w:tab w:val="left" w:pos="567"/>
        </w:tabs>
        <w:spacing w:line="360" w:lineRule="auto"/>
        <w:ind w:left="567" w:hanging="567"/>
        <w:jc w:val="both"/>
        <w:rPr>
          <w:rFonts w:hAnsi="宋体" w:cs="宋体"/>
          <w:color w:val="auto"/>
          <w:kern w:val="2"/>
          <w:sz w:val="21"/>
          <w:szCs w:val="21"/>
        </w:rPr>
      </w:pPr>
    </w:p>
    <w:p>
      <w:pPr>
        <w:tabs>
          <w:tab w:val="left" w:pos="567"/>
        </w:tabs>
        <w:spacing w:line="360" w:lineRule="auto"/>
        <w:ind w:left="496" w:hanging="495" w:hangingChars="236"/>
        <w:jc w:val="both"/>
        <w:outlineLvl w:val="2"/>
        <w:rPr>
          <w:rFonts w:hAnsi="宋体" w:cs="宋体"/>
          <w:color w:val="auto"/>
          <w:kern w:val="2"/>
          <w:sz w:val="21"/>
          <w:szCs w:val="21"/>
          <w:lang w:val="zh-CN"/>
        </w:rPr>
      </w:pPr>
      <w:bookmarkStart w:id="44" w:name="_Toc30239"/>
      <w:bookmarkStart w:id="45" w:name="_Toc23005"/>
      <w:r>
        <w:rPr>
          <w:rFonts w:hint="eastAsia" w:hAnsi="宋体" w:cs="宋体"/>
          <w:color w:val="auto"/>
          <w:kern w:val="2"/>
          <w:sz w:val="21"/>
          <w:szCs w:val="21"/>
          <w:lang w:val="zh-CN"/>
        </w:rPr>
        <w:t xml:space="preserve">10 </w:t>
      </w:r>
      <w:r>
        <w:rPr>
          <w:rFonts w:hint="eastAsia" w:hAnsi="宋体" w:cs="宋体"/>
          <w:color w:val="auto"/>
          <w:kern w:val="2"/>
          <w:sz w:val="21"/>
          <w:szCs w:val="21"/>
        </w:rPr>
        <w:t xml:space="preserve">  </w:t>
      </w:r>
      <w:r>
        <w:rPr>
          <w:rFonts w:hint="eastAsia" w:hAnsi="宋体" w:cs="宋体"/>
          <w:color w:val="auto"/>
          <w:kern w:val="2"/>
          <w:sz w:val="21"/>
          <w:szCs w:val="21"/>
          <w:lang w:val="zh-CN"/>
        </w:rPr>
        <w:t>投标函</w:t>
      </w:r>
      <w:bookmarkEnd w:id="44"/>
      <w:bookmarkEnd w:id="45"/>
    </w:p>
    <w:p>
      <w:pPr>
        <w:spacing w:line="360" w:lineRule="auto"/>
        <w:ind w:left="540" w:hanging="15"/>
        <w:jc w:val="both"/>
        <w:rPr>
          <w:rFonts w:hAnsi="宋体" w:cs="宋体"/>
          <w:color w:val="auto"/>
          <w:kern w:val="2"/>
          <w:sz w:val="21"/>
          <w:szCs w:val="21"/>
          <w:lang w:val="zh-CN"/>
        </w:rPr>
      </w:pPr>
      <w:r>
        <w:rPr>
          <w:rFonts w:hint="eastAsia" w:hAnsi="宋体" w:cs="宋体"/>
          <w:color w:val="auto"/>
          <w:kern w:val="2"/>
          <w:sz w:val="21"/>
          <w:szCs w:val="21"/>
          <w:lang w:val="zh-CN"/>
        </w:rPr>
        <w:t>投标人应完整填写投标文件格式中规定的投标函。</w:t>
      </w:r>
    </w:p>
    <w:p>
      <w:pPr>
        <w:tabs>
          <w:tab w:val="left" w:pos="567"/>
        </w:tabs>
        <w:spacing w:line="360" w:lineRule="auto"/>
        <w:ind w:left="567" w:hanging="567"/>
        <w:jc w:val="both"/>
        <w:rPr>
          <w:rFonts w:hAnsi="宋体" w:cs="宋体"/>
          <w:color w:val="auto"/>
          <w:kern w:val="2"/>
          <w:sz w:val="21"/>
          <w:szCs w:val="21"/>
          <w:lang w:val="zh-CN"/>
        </w:rPr>
      </w:pPr>
    </w:p>
    <w:p>
      <w:pPr>
        <w:tabs>
          <w:tab w:val="left" w:pos="567"/>
        </w:tabs>
        <w:spacing w:line="360" w:lineRule="auto"/>
        <w:ind w:left="496" w:hanging="495" w:hangingChars="236"/>
        <w:jc w:val="both"/>
        <w:outlineLvl w:val="2"/>
        <w:rPr>
          <w:rFonts w:hAnsi="宋体" w:cs="宋体"/>
          <w:color w:val="auto"/>
          <w:kern w:val="2"/>
          <w:sz w:val="21"/>
          <w:szCs w:val="21"/>
          <w:lang w:val="zh-CN"/>
        </w:rPr>
      </w:pPr>
      <w:bookmarkStart w:id="46" w:name="_Toc31319"/>
      <w:bookmarkStart w:id="47" w:name="_Toc17418"/>
      <w:r>
        <w:rPr>
          <w:rFonts w:hint="eastAsia" w:hAnsi="宋体" w:cs="宋体"/>
          <w:color w:val="auto"/>
          <w:kern w:val="2"/>
          <w:sz w:val="21"/>
          <w:szCs w:val="21"/>
          <w:lang w:val="zh-CN"/>
        </w:rPr>
        <w:t xml:space="preserve">11 </w:t>
      </w:r>
      <w:r>
        <w:rPr>
          <w:rFonts w:hint="eastAsia" w:hAnsi="宋体" w:cs="宋体"/>
          <w:color w:val="auto"/>
          <w:kern w:val="2"/>
          <w:sz w:val="21"/>
          <w:szCs w:val="21"/>
        </w:rPr>
        <w:t xml:space="preserve">  </w:t>
      </w:r>
      <w:r>
        <w:rPr>
          <w:rFonts w:hint="eastAsia" w:hAnsi="宋体" w:cs="宋体"/>
          <w:color w:val="auto"/>
          <w:kern w:val="2"/>
          <w:sz w:val="21"/>
          <w:szCs w:val="21"/>
          <w:lang w:val="zh-CN"/>
        </w:rPr>
        <w:t>供货价格</w:t>
      </w:r>
      <w:bookmarkEnd w:id="46"/>
      <w:bookmarkEnd w:id="47"/>
    </w:p>
    <w:p>
      <w:pPr>
        <w:tabs>
          <w:tab w:val="left" w:pos="567"/>
        </w:tabs>
        <w:spacing w:line="360" w:lineRule="auto"/>
        <w:ind w:left="567" w:hanging="567"/>
        <w:jc w:val="both"/>
        <w:rPr>
          <w:rFonts w:hAnsi="宋体" w:cs="宋体"/>
          <w:color w:val="auto"/>
          <w:kern w:val="2"/>
          <w:sz w:val="21"/>
          <w:szCs w:val="21"/>
          <w:lang w:val="zh-CN"/>
        </w:rPr>
      </w:pPr>
      <w:r>
        <w:rPr>
          <w:rFonts w:hint="eastAsia" w:hAnsi="宋体" w:cs="宋体"/>
          <w:b/>
          <w:bCs/>
          <w:color w:val="auto"/>
          <w:kern w:val="2"/>
          <w:sz w:val="21"/>
          <w:szCs w:val="21"/>
        </w:rPr>
        <w:t xml:space="preserve">11.1 </w:t>
      </w:r>
      <w:r>
        <w:rPr>
          <w:rFonts w:hint="eastAsia" w:hAnsi="宋体" w:cs="宋体"/>
          <w:b/>
          <w:bCs/>
          <w:color w:val="auto"/>
          <w:kern w:val="2"/>
          <w:sz w:val="21"/>
          <w:szCs w:val="21"/>
          <w:lang w:val="zh-CN"/>
        </w:rPr>
        <w:t>本项目不需要进行投标报价，</w:t>
      </w:r>
      <w:r>
        <w:rPr>
          <w:rFonts w:hint="eastAsia" w:hAnsi="宋体" w:cs="宋体"/>
          <w:b/>
          <w:color w:val="auto"/>
          <w:kern w:val="2"/>
          <w:sz w:val="21"/>
          <w:szCs w:val="21"/>
          <w:lang w:val="zh-CN"/>
        </w:rPr>
        <w:t>详细定价方式见本项目用户需求书中相关约定。</w:t>
      </w:r>
    </w:p>
    <w:p>
      <w:pPr>
        <w:spacing w:line="360" w:lineRule="auto"/>
        <w:ind w:left="567" w:hanging="567"/>
        <w:jc w:val="both"/>
        <w:rPr>
          <w:rFonts w:hAnsi="宋体" w:cs="宋体"/>
          <w:color w:val="auto"/>
          <w:sz w:val="21"/>
          <w:szCs w:val="21"/>
        </w:rPr>
      </w:pPr>
      <w:r>
        <w:rPr>
          <w:rFonts w:hint="eastAsia" w:hAnsi="宋体" w:cs="宋体"/>
          <w:color w:val="auto"/>
          <w:kern w:val="2"/>
          <w:sz w:val="21"/>
          <w:szCs w:val="21"/>
          <w:lang w:val="zh-CN"/>
        </w:rPr>
        <w:t>11.2</w:t>
      </w:r>
      <w:r>
        <w:rPr>
          <w:rFonts w:hint="eastAsia" w:hAnsi="宋体" w:cs="宋体"/>
          <w:color w:val="auto"/>
          <w:kern w:val="2"/>
          <w:sz w:val="21"/>
          <w:szCs w:val="21"/>
          <w:lang w:val="zh-CN"/>
        </w:rPr>
        <w:tab/>
      </w:r>
      <w:r>
        <w:rPr>
          <w:rFonts w:hint="eastAsia" w:hAnsi="宋体" w:cs="宋体"/>
          <w:b/>
          <w:color w:val="auto"/>
          <w:kern w:val="2"/>
          <w:sz w:val="21"/>
          <w:szCs w:val="21"/>
          <w:lang w:val="zh-CN"/>
        </w:rPr>
        <w:t>本项目的价格为含税价，本招标文件所称的含税价和暂定合同价是包含了投标人完成合同义务（含投标人代缴代扣、采购货物等所产生的价税）的其他全部费用。投标报价均包括但不限于以下内容涉及的费用</w:t>
      </w:r>
      <w:r>
        <w:rPr>
          <w:rFonts w:hint="eastAsia" w:hAnsi="宋体" w:cs="宋体"/>
          <w:color w:val="auto"/>
          <w:sz w:val="21"/>
          <w:szCs w:val="21"/>
        </w:rPr>
        <w:t xml:space="preserve">： </w:t>
      </w:r>
    </w:p>
    <w:p>
      <w:pPr>
        <w:spacing w:line="360" w:lineRule="auto"/>
        <w:ind w:left="567" w:hanging="567"/>
        <w:jc w:val="both"/>
        <w:rPr>
          <w:rFonts w:hAnsi="宋体" w:cs="宋体"/>
          <w:color w:val="auto"/>
          <w:kern w:val="2"/>
          <w:sz w:val="21"/>
          <w:szCs w:val="21"/>
          <w:lang w:val="zh-CN"/>
        </w:rPr>
      </w:pPr>
      <w:r>
        <w:rPr>
          <w:rFonts w:hint="eastAsia" w:hAnsi="宋体" w:cs="宋体"/>
          <w:color w:val="auto"/>
          <w:kern w:val="2"/>
          <w:sz w:val="21"/>
          <w:szCs w:val="21"/>
          <w:lang w:val="zh-CN"/>
        </w:rPr>
        <w:t>（</w:t>
      </w:r>
      <w:r>
        <w:rPr>
          <w:rFonts w:hAnsi="宋体" w:cs="宋体"/>
          <w:color w:val="auto"/>
          <w:kern w:val="2"/>
          <w:sz w:val="21"/>
          <w:szCs w:val="21"/>
          <w:lang w:val="zh-CN"/>
        </w:rPr>
        <w:t>1</w:t>
      </w:r>
      <w:r>
        <w:rPr>
          <w:rFonts w:hint="eastAsia" w:hAnsi="宋体" w:cs="宋体"/>
          <w:color w:val="auto"/>
          <w:kern w:val="2"/>
          <w:sz w:val="21"/>
          <w:szCs w:val="21"/>
          <w:lang w:val="zh-CN"/>
        </w:rPr>
        <w:t>）合理利润、</w:t>
      </w:r>
      <w:r>
        <w:rPr>
          <w:rFonts w:hint="eastAsia" w:hAnsi="宋体" w:cs="宋体"/>
          <w:color w:val="auto"/>
          <w:sz w:val="21"/>
          <w:szCs w:val="21"/>
        </w:rPr>
        <w:t>投标人销项税额以外的税费</w:t>
      </w:r>
      <w:r>
        <w:rPr>
          <w:rFonts w:hint="eastAsia" w:hAnsi="宋体" w:cs="宋体"/>
          <w:color w:val="auto"/>
          <w:kern w:val="2"/>
          <w:sz w:val="21"/>
          <w:szCs w:val="21"/>
          <w:lang w:val="zh-CN"/>
        </w:rPr>
        <w:t>、中标服务费等；</w:t>
      </w:r>
    </w:p>
    <w:p>
      <w:pPr>
        <w:spacing w:line="360" w:lineRule="auto"/>
        <w:ind w:left="567" w:hanging="567"/>
        <w:jc w:val="both"/>
        <w:rPr>
          <w:rFonts w:hAnsi="宋体" w:cs="宋体"/>
          <w:color w:val="auto"/>
          <w:kern w:val="2"/>
          <w:sz w:val="21"/>
          <w:szCs w:val="21"/>
          <w:lang w:val="zh-CN"/>
        </w:rPr>
      </w:pPr>
      <w:r>
        <w:rPr>
          <w:rFonts w:hint="eastAsia" w:hAnsi="宋体" w:cs="宋体"/>
          <w:color w:val="auto"/>
          <w:kern w:val="2"/>
          <w:sz w:val="21"/>
          <w:szCs w:val="21"/>
          <w:lang w:val="zh-CN"/>
        </w:rPr>
        <w:t>（</w:t>
      </w:r>
      <w:r>
        <w:rPr>
          <w:rFonts w:hAnsi="宋体" w:cs="宋体"/>
          <w:color w:val="auto"/>
          <w:kern w:val="2"/>
          <w:sz w:val="21"/>
          <w:szCs w:val="21"/>
        </w:rPr>
        <w:t>2</w:t>
      </w:r>
      <w:r>
        <w:rPr>
          <w:rFonts w:hint="eastAsia" w:hAnsi="宋体" w:cs="宋体"/>
          <w:color w:val="auto"/>
          <w:kern w:val="2"/>
          <w:sz w:val="21"/>
          <w:szCs w:val="21"/>
          <w:lang w:val="zh-CN"/>
        </w:rPr>
        <w:t>）法律法规、商业公认、招标文件规定由投标人承担的其他直接及间接费用。</w:t>
      </w:r>
    </w:p>
    <w:p>
      <w:pPr>
        <w:spacing w:line="360" w:lineRule="auto"/>
        <w:ind w:left="567" w:hanging="567"/>
        <w:jc w:val="both"/>
        <w:rPr>
          <w:rFonts w:hAnsi="宋体" w:cs="宋体"/>
          <w:bCs/>
          <w:color w:val="auto"/>
          <w:sz w:val="21"/>
        </w:rPr>
      </w:pPr>
    </w:p>
    <w:p>
      <w:pPr>
        <w:tabs>
          <w:tab w:val="left" w:pos="567"/>
        </w:tabs>
        <w:spacing w:line="360" w:lineRule="auto"/>
        <w:ind w:left="496" w:hanging="495" w:hangingChars="236"/>
        <w:jc w:val="both"/>
        <w:outlineLvl w:val="2"/>
        <w:rPr>
          <w:rFonts w:hAnsi="宋体" w:cs="宋体"/>
          <w:b/>
          <w:color w:val="auto"/>
          <w:kern w:val="2"/>
          <w:sz w:val="21"/>
          <w:szCs w:val="21"/>
          <w:lang w:val="zh-CN"/>
        </w:rPr>
      </w:pPr>
      <w:bookmarkStart w:id="48" w:name="_Toc21218"/>
      <w:bookmarkStart w:id="49" w:name="_Toc17081"/>
      <w:r>
        <w:rPr>
          <w:rFonts w:hint="eastAsia" w:hAnsi="宋体" w:cs="宋体"/>
          <w:color w:val="auto"/>
          <w:kern w:val="2"/>
          <w:sz w:val="21"/>
          <w:szCs w:val="21"/>
          <w:lang w:val="zh-CN"/>
        </w:rPr>
        <w:t xml:space="preserve">12   </w:t>
      </w:r>
      <w:r>
        <w:rPr>
          <w:rFonts w:hint="eastAsia" w:hAnsi="宋体" w:cs="宋体"/>
          <w:b/>
          <w:color w:val="auto"/>
          <w:kern w:val="2"/>
          <w:sz w:val="21"/>
          <w:szCs w:val="21"/>
          <w:lang w:val="zh-CN"/>
        </w:rPr>
        <w:t>投标报价货币</w:t>
      </w:r>
      <w:bookmarkEnd w:id="48"/>
      <w:bookmarkEnd w:id="49"/>
    </w:p>
    <w:p>
      <w:pPr>
        <w:tabs>
          <w:tab w:val="left" w:pos="567"/>
        </w:tabs>
        <w:spacing w:line="360" w:lineRule="auto"/>
        <w:jc w:val="both"/>
        <w:rPr>
          <w:rFonts w:hAnsi="宋体" w:cs="宋体"/>
          <w:b/>
          <w:color w:val="auto"/>
          <w:kern w:val="2"/>
          <w:sz w:val="21"/>
          <w:szCs w:val="21"/>
        </w:rPr>
      </w:pPr>
      <w:r>
        <w:rPr>
          <w:rFonts w:hint="eastAsia" w:hAnsi="宋体" w:cs="宋体"/>
          <w:b/>
          <w:bCs/>
          <w:color w:val="auto"/>
          <w:kern w:val="2"/>
          <w:sz w:val="21"/>
          <w:szCs w:val="21"/>
        </w:rPr>
        <w:t xml:space="preserve">12.1 </w:t>
      </w:r>
      <w:r>
        <w:rPr>
          <w:rFonts w:hint="eastAsia" w:hAnsi="宋体" w:cs="宋体"/>
          <w:b/>
          <w:bCs/>
          <w:color w:val="auto"/>
          <w:kern w:val="2"/>
          <w:sz w:val="21"/>
          <w:szCs w:val="21"/>
          <w:lang w:val="zh-CN"/>
        </w:rPr>
        <w:t>本项目招标文件、合同涉及的金额均以人民币计价，</w:t>
      </w:r>
      <w:r>
        <w:rPr>
          <w:rFonts w:hint="eastAsia" w:hAnsi="宋体" w:cs="宋体"/>
          <w:b/>
          <w:color w:val="auto"/>
          <w:kern w:val="2"/>
          <w:sz w:val="21"/>
          <w:szCs w:val="21"/>
          <w:lang w:val="zh-CN"/>
        </w:rPr>
        <w:t>以其它货币标价的投标将予以拒绝。</w:t>
      </w:r>
    </w:p>
    <w:p>
      <w:pPr>
        <w:spacing w:line="360" w:lineRule="auto"/>
        <w:jc w:val="both"/>
        <w:rPr>
          <w:rFonts w:hAnsi="宋体" w:cs="宋体"/>
          <w:color w:val="auto"/>
          <w:kern w:val="2"/>
          <w:sz w:val="21"/>
          <w:szCs w:val="21"/>
        </w:rPr>
      </w:pPr>
    </w:p>
    <w:p>
      <w:pPr>
        <w:tabs>
          <w:tab w:val="left" w:pos="567"/>
        </w:tabs>
        <w:spacing w:line="360" w:lineRule="auto"/>
        <w:ind w:left="496" w:hanging="495" w:hangingChars="236"/>
        <w:jc w:val="both"/>
        <w:outlineLvl w:val="2"/>
        <w:rPr>
          <w:rFonts w:hAnsi="宋体" w:cs="宋体"/>
          <w:color w:val="auto"/>
          <w:kern w:val="2"/>
          <w:sz w:val="21"/>
          <w:szCs w:val="21"/>
          <w:lang w:val="zh-CN"/>
        </w:rPr>
      </w:pPr>
      <w:bookmarkStart w:id="50" w:name="_Toc11341"/>
      <w:bookmarkStart w:id="51" w:name="_Toc6655"/>
      <w:r>
        <w:rPr>
          <w:rFonts w:hint="eastAsia" w:hAnsi="宋体" w:cs="宋体"/>
          <w:color w:val="auto"/>
          <w:kern w:val="2"/>
          <w:sz w:val="21"/>
          <w:szCs w:val="21"/>
          <w:lang w:val="zh-CN"/>
        </w:rPr>
        <w:t>13   证明投标人的合格性和资格的声明文件</w:t>
      </w:r>
      <w:bookmarkEnd w:id="50"/>
      <w:bookmarkEnd w:id="51"/>
    </w:p>
    <w:p>
      <w:pPr>
        <w:tabs>
          <w:tab w:val="left" w:pos="567"/>
        </w:tabs>
        <w:spacing w:line="360" w:lineRule="auto"/>
        <w:ind w:left="567" w:hanging="567"/>
        <w:jc w:val="both"/>
        <w:rPr>
          <w:rFonts w:hAnsi="宋体" w:cs="宋体"/>
          <w:color w:val="auto"/>
          <w:kern w:val="2"/>
          <w:sz w:val="21"/>
          <w:szCs w:val="21"/>
          <w:lang w:val="zh-CN"/>
        </w:rPr>
      </w:pPr>
      <w:r>
        <w:rPr>
          <w:rFonts w:hint="eastAsia" w:hAnsi="宋体" w:cs="宋体"/>
          <w:color w:val="auto"/>
          <w:kern w:val="2"/>
          <w:sz w:val="21"/>
          <w:szCs w:val="21"/>
          <w:lang w:val="zh-CN"/>
        </w:rPr>
        <w:t>13.1</w:t>
      </w:r>
      <w:r>
        <w:rPr>
          <w:rFonts w:hint="eastAsia" w:hAnsi="宋体" w:cs="宋体"/>
          <w:color w:val="auto"/>
          <w:kern w:val="2"/>
          <w:sz w:val="21"/>
          <w:szCs w:val="21"/>
          <w:lang w:val="zh-CN"/>
        </w:rPr>
        <w:tab/>
      </w:r>
      <w:r>
        <w:rPr>
          <w:rFonts w:hint="eastAsia" w:hAnsi="宋体" w:cs="宋体"/>
          <w:color w:val="auto"/>
          <w:kern w:val="2"/>
          <w:sz w:val="21"/>
          <w:szCs w:val="21"/>
          <w:lang w:val="zh-CN"/>
        </w:rPr>
        <w:t>根据第2条、第13.2款规定，投标人须提交证明其有资格进行投标和有能力履行合同的文件，作为投标文件的一部分。</w:t>
      </w:r>
    </w:p>
    <w:p>
      <w:pPr>
        <w:spacing w:line="360" w:lineRule="auto"/>
        <w:ind w:left="567" w:hanging="567"/>
        <w:jc w:val="both"/>
        <w:rPr>
          <w:rFonts w:hAnsi="宋体" w:cs="宋体"/>
          <w:color w:val="auto"/>
          <w:kern w:val="2"/>
          <w:sz w:val="21"/>
          <w:szCs w:val="21"/>
          <w:lang w:val="zh-CN"/>
        </w:rPr>
      </w:pPr>
      <w:r>
        <w:rPr>
          <w:rFonts w:hint="eastAsia" w:hAnsi="宋体" w:cs="宋体"/>
          <w:color w:val="auto"/>
          <w:kern w:val="2"/>
          <w:sz w:val="21"/>
          <w:szCs w:val="21"/>
          <w:lang w:val="zh-CN"/>
        </w:rPr>
        <w:t>13.2</w:t>
      </w:r>
      <w:r>
        <w:rPr>
          <w:rFonts w:hint="eastAsia" w:hAnsi="宋体" w:cs="宋体"/>
          <w:color w:val="auto"/>
          <w:kern w:val="2"/>
          <w:sz w:val="21"/>
          <w:szCs w:val="21"/>
          <w:lang w:val="zh-CN"/>
        </w:rPr>
        <w:tab/>
      </w:r>
      <w:r>
        <w:rPr>
          <w:rFonts w:hint="eastAsia" w:hAnsi="宋体" w:cs="宋体"/>
          <w:color w:val="auto"/>
          <w:kern w:val="2"/>
          <w:sz w:val="21"/>
          <w:szCs w:val="21"/>
          <w:lang w:val="zh-CN"/>
        </w:rPr>
        <w:t>投标人提供的履行合同的资格声明文件应符合：</w:t>
      </w:r>
    </w:p>
    <w:p>
      <w:pPr>
        <w:spacing w:line="360" w:lineRule="auto"/>
        <w:ind w:left="806" w:leftChars="117" w:hanging="525" w:hangingChars="250"/>
        <w:jc w:val="both"/>
        <w:rPr>
          <w:rFonts w:hAnsi="宋体" w:cs="宋体"/>
          <w:color w:val="auto"/>
          <w:kern w:val="2"/>
          <w:sz w:val="21"/>
          <w:szCs w:val="21"/>
          <w:lang w:val="zh-CN"/>
        </w:rPr>
      </w:pPr>
      <w:r>
        <w:rPr>
          <w:rFonts w:hint="eastAsia" w:hAnsi="宋体" w:cs="宋体"/>
          <w:color w:val="auto"/>
          <w:kern w:val="2"/>
          <w:sz w:val="21"/>
          <w:szCs w:val="21"/>
          <w:lang w:val="zh-CN"/>
        </w:rPr>
        <w:t>（1）符合《中华人民共和国招标投标法》、《中华人民共和国招标投标法实施条例》投标人应当具备的条件。</w:t>
      </w:r>
    </w:p>
    <w:p>
      <w:pPr>
        <w:spacing w:line="360" w:lineRule="auto"/>
        <w:ind w:left="596" w:leftChars="117" w:hanging="315" w:hangingChars="150"/>
        <w:jc w:val="both"/>
        <w:rPr>
          <w:rFonts w:hAnsi="宋体" w:cs="宋体"/>
          <w:color w:val="auto"/>
          <w:kern w:val="2"/>
          <w:sz w:val="21"/>
          <w:szCs w:val="21"/>
          <w:lang w:val="zh-CN"/>
        </w:rPr>
      </w:pPr>
      <w:r>
        <w:rPr>
          <w:rFonts w:hint="eastAsia" w:hAnsi="宋体" w:cs="宋体"/>
          <w:color w:val="auto"/>
          <w:kern w:val="2"/>
          <w:sz w:val="21"/>
          <w:szCs w:val="21"/>
          <w:lang w:val="zh-CN"/>
        </w:rPr>
        <w:t>（2）投标人具有履行本项目所必须的服务、技术力量的证明文件。</w:t>
      </w:r>
    </w:p>
    <w:p>
      <w:pPr>
        <w:spacing w:line="360" w:lineRule="auto"/>
        <w:ind w:left="596" w:leftChars="117" w:hanging="315" w:hangingChars="150"/>
        <w:jc w:val="both"/>
        <w:rPr>
          <w:rFonts w:hAnsi="宋体" w:cs="宋体"/>
          <w:color w:val="auto"/>
          <w:kern w:val="2"/>
          <w:sz w:val="21"/>
          <w:szCs w:val="21"/>
          <w:lang w:val="zh-CN"/>
        </w:rPr>
      </w:pPr>
      <w:r>
        <w:rPr>
          <w:rFonts w:hint="eastAsia" w:hAnsi="宋体" w:cs="宋体"/>
          <w:color w:val="auto"/>
          <w:kern w:val="2"/>
          <w:sz w:val="21"/>
          <w:szCs w:val="21"/>
          <w:lang w:val="zh-CN"/>
        </w:rPr>
        <w:t>（3）投标人证明其相应资格符合或优于招标文件要求的其它文件。</w:t>
      </w:r>
    </w:p>
    <w:p>
      <w:pPr>
        <w:tabs>
          <w:tab w:val="left" w:pos="567"/>
        </w:tabs>
        <w:spacing w:line="360" w:lineRule="auto"/>
        <w:ind w:left="567" w:hanging="567"/>
        <w:jc w:val="both"/>
        <w:rPr>
          <w:rFonts w:hAnsi="宋体" w:cs="宋体"/>
          <w:color w:val="auto"/>
          <w:kern w:val="2"/>
          <w:sz w:val="21"/>
          <w:szCs w:val="21"/>
          <w:lang w:val="zh-CN"/>
        </w:rPr>
      </w:pPr>
      <w:r>
        <w:rPr>
          <w:rFonts w:hint="eastAsia" w:hAnsi="宋体" w:cs="宋体"/>
          <w:color w:val="auto"/>
          <w:kern w:val="2"/>
          <w:sz w:val="21"/>
          <w:szCs w:val="21"/>
          <w:lang w:val="zh-CN"/>
        </w:rPr>
        <w:t>13.3 投标人根据招标文件载明的服务要求的实际情况，拟在中标后将中标项目的非主体、非关键性专业工作交由他人完成的，应当在投标文件中载明，并提供他人的资质、能力证明材料。</w:t>
      </w:r>
    </w:p>
    <w:p>
      <w:pPr>
        <w:spacing w:line="360" w:lineRule="auto"/>
        <w:ind w:left="630" w:hanging="630"/>
        <w:jc w:val="both"/>
        <w:rPr>
          <w:rFonts w:hAnsi="宋体" w:cs="宋体"/>
          <w:color w:val="auto"/>
          <w:kern w:val="2"/>
          <w:sz w:val="21"/>
          <w:szCs w:val="21"/>
          <w:lang w:val="zh-CN"/>
        </w:rPr>
      </w:pPr>
    </w:p>
    <w:p>
      <w:pPr>
        <w:tabs>
          <w:tab w:val="left" w:pos="567"/>
        </w:tabs>
        <w:spacing w:line="360" w:lineRule="auto"/>
        <w:ind w:left="496" w:hanging="495" w:hangingChars="236"/>
        <w:jc w:val="both"/>
        <w:outlineLvl w:val="2"/>
        <w:rPr>
          <w:rFonts w:hAnsi="宋体" w:cs="宋体"/>
          <w:color w:val="auto"/>
          <w:kern w:val="2"/>
          <w:sz w:val="21"/>
          <w:szCs w:val="21"/>
          <w:lang w:val="zh-CN"/>
        </w:rPr>
      </w:pPr>
      <w:bookmarkStart w:id="52" w:name="_Toc4454"/>
      <w:bookmarkStart w:id="53" w:name="_Toc9942"/>
      <w:r>
        <w:rPr>
          <w:rFonts w:hint="eastAsia" w:hAnsi="宋体" w:cs="宋体"/>
          <w:color w:val="auto"/>
          <w:kern w:val="2"/>
          <w:sz w:val="21"/>
          <w:szCs w:val="21"/>
          <w:lang w:val="zh-CN"/>
        </w:rPr>
        <w:t xml:space="preserve">14 </w:t>
      </w:r>
      <w:r>
        <w:rPr>
          <w:rFonts w:hint="eastAsia" w:hAnsi="宋体" w:cs="宋体"/>
          <w:color w:val="auto"/>
          <w:kern w:val="2"/>
          <w:sz w:val="21"/>
          <w:szCs w:val="21"/>
        </w:rPr>
        <w:t xml:space="preserve">  </w:t>
      </w:r>
      <w:r>
        <w:rPr>
          <w:rFonts w:hint="eastAsia" w:hAnsi="宋体" w:cs="宋体"/>
          <w:color w:val="auto"/>
          <w:kern w:val="2"/>
          <w:sz w:val="21"/>
          <w:szCs w:val="21"/>
          <w:lang w:val="zh-CN"/>
        </w:rPr>
        <w:t>证明服务的合格性并符合招标文件规定的声明文件</w:t>
      </w:r>
      <w:bookmarkEnd w:id="52"/>
      <w:bookmarkEnd w:id="53"/>
    </w:p>
    <w:p>
      <w:pPr>
        <w:tabs>
          <w:tab w:val="left" w:pos="567"/>
        </w:tabs>
        <w:spacing w:line="360" w:lineRule="auto"/>
        <w:ind w:left="567" w:hanging="567"/>
        <w:jc w:val="both"/>
        <w:rPr>
          <w:rFonts w:hAnsi="宋体" w:cs="宋体"/>
          <w:color w:val="auto"/>
          <w:kern w:val="2"/>
          <w:sz w:val="21"/>
          <w:szCs w:val="21"/>
          <w:lang w:val="zh-CN"/>
        </w:rPr>
      </w:pPr>
      <w:r>
        <w:rPr>
          <w:rFonts w:hint="eastAsia" w:hAnsi="宋体" w:cs="宋体"/>
          <w:color w:val="auto"/>
          <w:kern w:val="2"/>
          <w:sz w:val="21"/>
          <w:szCs w:val="21"/>
          <w:lang w:val="zh-CN"/>
        </w:rPr>
        <w:t>14.1</w:t>
      </w:r>
      <w:r>
        <w:rPr>
          <w:rFonts w:hint="eastAsia" w:hAnsi="宋体" w:cs="宋体"/>
          <w:color w:val="auto"/>
          <w:kern w:val="2"/>
          <w:sz w:val="21"/>
          <w:szCs w:val="21"/>
          <w:lang w:val="zh-CN"/>
        </w:rPr>
        <w:tab/>
      </w:r>
      <w:r>
        <w:rPr>
          <w:rFonts w:hint="eastAsia" w:hAnsi="宋体" w:cs="宋体"/>
          <w:color w:val="auto"/>
          <w:kern w:val="2"/>
          <w:sz w:val="21"/>
          <w:szCs w:val="21"/>
          <w:lang w:val="zh-CN"/>
        </w:rPr>
        <w:t>根据第9条规定，投标人须提交证明其拟供服务的合格性并符合招标文件规定的声明文件，作为投标文件的一部分。</w:t>
      </w:r>
    </w:p>
    <w:p>
      <w:pPr>
        <w:tabs>
          <w:tab w:val="left" w:pos="567"/>
        </w:tabs>
        <w:spacing w:line="360" w:lineRule="auto"/>
        <w:ind w:left="567" w:hanging="567"/>
        <w:jc w:val="both"/>
        <w:rPr>
          <w:rFonts w:hAnsi="宋体" w:cs="宋体"/>
          <w:color w:val="auto"/>
          <w:kern w:val="2"/>
          <w:sz w:val="21"/>
          <w:szCs w:val="21"/>
          <w:lang w:val="zh-CN"/>
        </w:rPr>
      </w:pPr>
      <w:r>
        <w:rPr>
          <w:rFonts w:hint="eastAsia" w:hAnsi="宋体" w:cs="宋体"/>
          <w:color w:val="auto"/>
          <w:kern w:val="2"/>
          <w:sz w:val="21"/>
          <w:szCs w:val="21"/>
          <w:lang w:val="zh-CN"/>
        </w:rPr>
        <w:t>14.2 证明服务与招标文件的要求相一致的文件可以是文字资料、图纸和数据资料。</w:t>
      </w:r>
    </w:p>
    <w:p>
      <w:pPr>
        <w:tabs>
          <w:tab w:val="left" w:pos="567"/>
        </w:tabs>
        <w:spacing w:line="360" w:lineRule="auto"/>
        <w:ind w:left="567" w:hanging="567"/>
        <w:jc w:val="both"/>
        <w:rPr>
          <w:rFonts w:hAnsi="宋体" w:cs="宋体"/>
          <w:b/>
          <w:color w:val="auto"/>
          <w:kern w:val="2"/>
          <w:sz w:val="21"/>
          <w:szCs w:val="21"/>
        </w:rPr>
      </w:pPr>
      <w:r>
        <w:rPr>
          <w:rFonts w:hint="eastAsia" w:hAnsi="宋体" w:cs="宋体"/>
          <w:color w:val="auto"/>
          <w:kern w:val="2"/>
          <w:sz w:val="21"/>
          <w:szCs w:val="21"/>
          <w:lang w:val="zh-CN"/>
        </w:rPr>
        <w:t xml:space="preserve">14.3 </w:t>
      </w:r>
      <w:r>
        <w:rPr>
          <w:rFonts w:hint="eastAsia" w:hAnsi="宋体" w:cs="宋体"/>
          <w:b/>
          <w:color w:val="auto"/>
          <w:kern w:val="2"/>
          <w:sz w:val="21"/>
          <w:szCs w:val="21"/>
          <w:u w:val="single"/>
          <w:lang w:val="zh-CN"/>
        </w:rPr>
        <w:t>为说明第14.2款的规定，投标人应注意本招标文件在《用户需求书》中对服务要求所说明只是概括性的，不能理解为所需要的全部服务的要求，投标人应按国家、行业相关技术标准、规范和以往的服务经验，合格优质的完成采购内容和包含的全部服务。凡标有“★”的地方均被视为重要的技术要求或商务要求。投标人要特别加以注意，必须对此回答并完全满足这些要求，否则若有一项带“★”的条款未响应或不满足，将按无效投标处理</w:t>
      </w:r>
      <w:r>
        <w:rPr>
          <w:rFonts w:hint="eastAsia" w:hAnsi="宋体" w:cs="宋体"/>
          <w:b/>
          <w:color w:val="auto"/>
          <w:kern w:val="2"/>
          <w:sz w:val="21"/>
          <w:szCs w:val="21"/>
          <w:lang w:val="zh-CN"/>
        </w:rPr>
        <w:t>。</w:t>
      </w:r>
    </w:p>
    <w:p>
      <w:pPr>
        <w:numPr>
          <w:ilvl w:val="1"/>
          <w:numId w:val="0"/>
        </w:numPr>
        <w:tabs>
          <w:tab w:val="left" w:pos="567"/>
        </w:tabs>
        <w:spacing w:line="360" w:lineRule="auto"/>
        <w:jc w:val="both"/>
        <w:rPr>
          <w:rFonts w:hAnsi="宋体" w:cs="宋体"/>
          <w:b/>
          <w:color w:val="auto"/>
          <w:kern w:val="2"/>
          <w:sz w:val="21"/>
          <w:szCs w:val="21"/>
          <w:lang w:val="zh-CN"/>
        </w:rPr>
      </w:pPr>
    </w:p>
    <w:p>
      <w:pPr>
        <w:tabs>
          <w:tab w:val="left" w:pos="567"/>
        </w:tabs>
        <w:spacing w:line="360" w:lineRule="auto"/>
        <w:ind w:left="496" w:hanging="495" w:hangingChars="236"/>
        <w:jc w:val="both"/>
        <w:outlineLvl w:val="2"/>
        <w:rPr>
          <w:rFonts w:hAnsi="宋体" w:cs="宋体"/>
          <w:color w:val="auto"/>
          <w:kern w:val="2"/>
          <w:sz w:val="21"/>
          <w:szCs w:val="21"/>
          <w:lang w:val="zh-CN"/>
        </w:rPr>
      </w:pPr>
      <w:bookmarkStart w:id="54" w:name="_Toc21277"/>
      <w:bookmarkStart w:id="55" w:name="_Toc3560"/>
      <w:r>
        <w:rPr>
          <w:rFonts w:hint="eastAsia" w:hAnsi="宋体" w:cs="宋体"/>
          <w:color w:val="auto"/>
          <w:kern w:val="2"/>
          <w:sz w:val="21"/>
          <w:szCs w:val="21"/>
          <w:lang w:val="zh-CN"/>
        </w:rPr>
        <w:t xml:space="preserve">15 </w:t>
      </w:r>
      <w:r>
        <w:rPr>
          <w:rFonts w:hint="eastAsia" w:hAnsi="宋体" w:cs="宋体"/>
          <w:color w:val="auto"/>
          <w:kern w:val="2"/>
          <w:sz w:val="21"/>
          <w:szCs w:val="21"/>
        </w:rPr>
        <w:t xml:space="preserve">  </w:t>
      </w:r>
      <w:r>
        <w:rPr>
          <w:rFonts w:hint="eastAsia" w:hAnsi="宋体" w:cs="宋体"/>
          <w:color w:val="auto"/>
          <w:kern w:val="2"/>
          <w:sz w:val="21"/>
          <w:szCs w:val="21"/>
          <w:lang w:val="zh-CN"/>
        </w:rPr>
        <w:t>投标保证金</w:t>
      </w:r>
      <w:bookmarkEnd w:id="54"/>
      <w:bookmarkEnd w:id="55"/>
    </w:p>
    <w:p>
      <w:pPr>
        <w:tabs>
          <w:tab w:val="left" w:pos="567"/>
        </w:tabs>
        <w:spacing w:line="360" w:lineRule="auto"/>
        <w:ind w:left="567" w:hanging="567"/>
        <w:rPr>
          <w:rFonts w:hAnsi="宋体" w:cs="宋体"/>
          <w:color w:val="auto"/>
          <w:sz w:val="21"/>
          <w:szCs w:val="21"/>
        </w:rPr>
      </w:pPr>
      <w:r>
        <w:rPr>
          <w:rFonts w:hint="eastAsia" w:hAnsi="宋体" w:cs="宋体"/>
          <w:bCs/>
          <w:color w:val="auto"/>
          <w:sz w:val="21"/>
          <w:szCs w:val="21"/>
          <w:lang w:val="zh-CN"/>
        </w:rPr>
        <w:t xml:space="preserve">15.1 </w:t>
      </w:r>
      <w:r>
        <w:rPr>
          <w:rFonts w:hint="eastAsia" w:hAnsi="宋体" w:cs="宋体"/>
          <w:b/>
          <w:bCs/>
          <w:color w:val="auto"/>
          <w:sz w:val="21"/>
          <w:szCs w:val="21"/>
          <w:u w:val="single"/>
          <w:lang w:val="zh-CN"/>
        </w:rPr>
        <w:t>投标人投标时须附有投标保证金</w:t>
      </w:r>
      <w:r>
        <w:rPr>
          <w:rFonts w:hint="eastAsia" w:hAnsi="宋体" w:cs="宋体"/>
          <w:b/>
          <w:color w:val="auto"/>
          <w:sz w:val="21"/>
          <w:szCs w:val="21"/>
          <w:u w:val="single"/>
          <w:lang w:val="en-US" w:eastAsia="zh-CN"/>
        </w:rPr>
        <w:t>5</w:t>
      </w:r>
      <w:r>
        <w:rPr>
          <w:rFonts w:hAnsi="宋体" w:cs="宋体"/>
          <w:b/>
          <w:color w:val="auto"/>
          <w:sz w:val="21"/>
          <w:szCs w:val="21"/>
          <w:u w:val="single"/>
        </w:rPr>
        <w:t>0</w:t>
      </w:r>
      <w:r>
        <w:rPr>
          <w:rFonts w:hint="eastAsia" w:hAnsi="宋体" w:cs="宋体"/>
          <w:b/>
          <w:color w:val="auto"/>
          <w:sz w:val="21"/>
          <w:szCs w:val="21"/>
          <w:u w:val="single"/>
        </w:rPr>
        <w:t>,000.00元（大写：人民币</w:t>
      </w:r>
      <w:r>
        <w:rPr>
          <w:rFonts w:hint="eastAsia" w:hAnsi="宋体" w:cs="宋体"/>
          <w:b/>
          <w:color w:val="auto"/>
          <w:sz w:val="21"/>
          <w:szCs w:val="21"/>
          <w:u w:val="single"/>
          <w:lang w:val="en-US" w:eastAsia="zh-CN"/>
        </w:rPr>
        <w:t>伍</w:t>
      </w:r>
      <w:r>
        <w:rPr>
          <w:rFonts w:hint="eastAsia" w:hAnsi="宋体" w:cs="宋体"/>
          <w:b/>
          <w:color w:val="auto"/>
          <w:sz w:val="21"/>
          <w:szCs w:val="21"/>
          <w:u w:val="single"/>
        </w:rPr>
        <w:t>万元整）</w:t>
      </w:r>
      <w:r>
        <w:rPr>
          <w:rFonts w:hint="eastAsia" w:hAnsi="宋体" w:cs="宋体"/>
          <w:b/>
          <w:color w:val="auto"/>
          <w:sz w:val="21"/>
          <w:szCs w:val="21"/>
        </w:rPr>
        <w:t>。</w:t>
      </w:r>
    </w:p>
    <w:p>
      <w:pPr>
        <w:tabs>
          <w:tab w:val="left" w:pos="567"/>
        </w:tabs>
        <w:spacing w:line="360" w:lineRule="auto"/>
        <w:ind w:left="567" w:hanging="567"/>
        <w:rPr>
          <w:rFonts w:hAnsi="宋体" w:cs="宋体"/>
          <w:b/>
          <w:color w:val="auto"/>
          <w:sz w:val="21"/>
          <w:szCs w:val="21"/>
          <w:u w:val="single"/>
        </w:rPr>
      </w:pPr>
      <w:r>
        <w:rPr>
          <w:rFonts w:hint="eastAsia" w:hAnsi="宋体" w:cs="宋体"/>
          <w:bCs/>
          <w:color w:val="auto"/>
          <w:sz w:val="21"/>
          <w:szCs w:val="21"/>
          <w:lang w:val="zh-CN"/>
        </w:rPr>
        <w:t xml:space="preserve">15.2 </w:t>
      </w:r>
      <w:r>
        <w:rPr>
          <w:rFonts w:hint="eastAsia" w:hAnsi="宋体" w:cs="宋体"/>
          <w:color w:val="auto"/>
          <w:sz w:val="21"/>
          <w:szCs w:val="21"/>
          <w:u w:val="single"/>
        </w:rPr>
        <w:t>投标人应按要求提交投标保证金，</w:t>
      </w:r>
      <w:r>
        <w:rPr>
          <w:rFonts w:hint="eastAsia" w:hAnsi="宋体" w:cs="宋体"/>
          <w:b/>
          <w:color w:val="auto"/>
          <w:sz w:val="21"/>
          <w:szCs w:val="21"/>
          <w:u w:val="single"/>
        </w:rPr>
        <w:t>投标人必须通过本单位银行基本账户采用银行转账、电汇形式缴交，投标人与交款人名称必须一致，非投标人缴纳的或未通过其基本账户提交的投标保证金无效</w:t>
      </w:r>
      <w:r>
        <w:rPr>
          <w:rFonts w:hint="eastAsia" w:hAnsi="宋体" w:cs="宋体"/>
          <w:b/>
          <w:color w:val="auto"/>
          <w:sz w:val="21"/>
          <w:szCs w:val="21"/>
        </w:rPr>
        <w:t>。</w:t>
      </w:r>
    </w:p>
    <w:p>
      <w:pPr>
        <w:pStyle w:val="88"/>
        <w:spacing w:line="360" w:lineRule="auto"/>
        <w:ind w:firstLine="0" w:firstLineChars="0"/>
        <w:rPr>
          <w:rFonts w:ascii="宋体" w:eastAsia="宋体" w:cs="宋体"/>
          <w:color w:val="auto"/>
          <w:sz w:val="21"/>
          <w:szCs w:val="21"/>
        </w:rPr>
      </w:pPr>
      <w:r>
        <w:rPr>
          <w:rFonts w:hint="eastAsia" w:ascii="宋体" w:eastAsia="宋体" w:cs="宋体"/>
          <w:color w:val="auto"/>
          <w:sz w:val="21"/>
          <w:szCs w:val="21"/>
        </w:rPr>
        <w:t>15.3 提交保证金时应符合下列规定：</w:t>
      </w:r>
    </w:p>
    <w:p>
      <w:pPr>
        <w:pStyle w:val="88"/>
        <w:spacing w:line="360" w:lineRule="auto"/>
        <w:ind w:left="499" w:leftChars="208" w:firstLine="420" w:firstLineChars="200"/>
        <w:rPr>
          <w:rFonts w:ascii="宋体" w:eastAsia="宋体" w:cs="宋体"/>
          <w:color w:val="auto"/>
          <w:sz w:val="21"/>
          <w:szCs w:val="21"/>
        </w:rPr>
      </w:pPr>
      <w:r>
        <w:rPr>
          <w:rFonts w:hint="eastAsia" w:ascii="宋体" w:eastAsia="宋体" w:cs="宋体"/>
          <w:color w:val="auto"/>
          <w:sz w:val="21"/>
          <w:szCs w:val="21"/>
        </w:rPr>
        <w:t>必须通过本单位基本账户采用银行转账、电汇方式提交，且在递交投标文件截止时间前到达以下指定账号。</w:t>
      </w:r>
    </w:p>
    <w:p>
      <w:pPr>
        <w:spacing w:line="360" w:lineRule="auto"/>
        <w:ind w:left="497" w:leftChars="207" w:firstLine="102" w:firstLineChars="49"/>
        <w:rPr>
          <w:rFonts w:hint="eastAsia" w:hAnsi="宋体" w:eastAsia="宋体" w:cs="宋体"/>
          <w:b/>
          <w:color w:val="auto"/>
          <w:sz w:val="21"/>
          <w:szCs w:val="21"/>
          <w:u w:val="single"/>
          <w:lang w:val="zh-CN" w:eastAsia="zh-CN"/>
        </w:rPr>
      </w:pPr>
      <w:r>
        <w:rPr>
          <w:rFonts w:hint="eastAsia" w:hAnsi="宋体" w:cs="宋体"/>
          <w:color w:val="auto"/>
          <w:sz w:val="21"/>
          <w:szCs w:val="21"/>
          <w:lang w:val="zh-CN"/>
        </w:rPr>
        <w:t>开户名称：</w:t>
      </w:r>
      <w:r>
        <w:rPr>
          <w:rFonts w:hint="eastAsia" w:hAnsi="宋体" w:cs="宋体"/>
          <w:b/>
          <w:color w:val="auto"/>
          <w:kern w:val="2"/>
          <w:sz w:val="21"/>
          <w:szCs w:val="21"/>
          <w:u w:val="single"/>
        </w:rPr>
        <w:t>广东华迪工程管理有限公司</w:t>
      </w:r>
      <w:r>
        <w:rPr>
          <w:rFonts w:hint="eastAsia" w:hAnsi="宋体" w:cs="宋体"/>
          <w:b/>
          <w:color w:val="auto"/>
          <w:kern w:val="2"/>
          <w:sz w:val="21"/>
          <w:szCs w:val="21"/>
          <w:u w:val="single"/>
          <w:lang w:val="en-US" w:eastAsia="zh-CN"/>
        </w:rPr>
        <w:t xml:space="preserve"> </w:t>
      </w:r>
    </w:p>
    <w:p>
      <w:pPr>
        <w:spacing w:line="360" w:lineRule="auto"/>
        <w:ind w:left="497" w:leftChars="207" w:firstLine="102" w:firstLineChars="49"/>
        <w:rPr>
          <w:rFonts w:hAnsi="宋体" w:cs="宋体"/>
          <w:bCs/>
          <w:color w:val="auto"/>
          <w:szCs w:val="21"/>
          <w:u w:val="single"/>
        </w:rPr>
      </w:pPr>
      <w:r>
        <w:rPr>
          <w:rFonts w:hint="eastAsia" w:hAnsi="宋体" w:cs="宋体"/>
          <w:color w:val="auto"/>
          <w:sz w:val="21"/>
          <w:szCs w:val="21"/>
          <w:lang w:val="zh-CN"/>
        </w:rPr>
        <w:t>开户银行：</w:t>
      </w:r>
      <w:r>
        <w:rPr>
          <w:rFonts w:hint="eastAsia" w:hAnsi="宋体" w:cs="宋体"/>
          <w:b/>
          <w:bCs/>
          <w:color w:val="auto"/>
          <w:sz w:val="21"/>
          <w:szCs w:val="21"/>
          <w:u w:val="single"/>
          <w:lang w:val="zh-CN"/>
        </w:rPr>
        <w:t>中国工商银行股份有限公司广州东风东路支行</w:t>
      </w:r>
    </w:p>
    <w:p>
      <w:pPr>
        <w:spacing w:line="360" w:lineRule="auto"/>
        <w:ind w:left="497" w:leftChars="207" w:firstLine="102" w:firstLineChars="49"/>
        <w:rPr>
          <w:rFonts w:hAnsi="宋体" w:cs="宋体"/>
          <w:b/>
          <w:bCs/>
          <w:color w:val="auto"/>
          <w:sz w:val="21"/>
          <w:u w:val="single"/>
        </w:rPr>
      </w:pPr>
      <w:r>
        <w:rPr>
          <w:rFonts w:hint="eastAsia" w:hAnsi="宋体" w:cs="宋体"/>
          <w:color w:val="auto"/>
          <w:sz w:val="21"/>
          <w:szCs w:val="21"/>
          <w:lang w:val="zh-CN"/>
        </w:rPr>
        <w:t>银行账号：</w:t>
      </w:r>
      <w:r>
        <w:rPr>
          <w:rFonts w:hint="eastAsia" w:hAnsi="宋体" w:cs="宋体"/>
          <w:b/>
          <w:bCs/>
          <w:color w:val="auto"/>
          <w:sz w:val="21"/>
          <w:szCs w:val="21"/>
          <w:u w:val="single"/>
          <w:lang w:val="zh-CN"/>
        </w:rPr>
        <w:t>3602010719200390896</w:t>
      </w:r>
    </w:p>
    <w:p>
      <w:pPr>
        <w:pStyle w:val="88"/>
        <w:spacing w:line="360" w:lineRule="auto"/>
        <w:ind w:left="566" w:leftChars="236" w:firstLine="422" w:firstLineChars="200"/>
        <w:rPr>
          <w:rFonts w:ascii="宋体" w:eastAsia="宋体" w:cs="宋体"/>
          <w:b/>
          <w:color w:val="auto"/>
          <w:sz w:val="21"/>
          <w:szCs w:val="21"/>
          <w:u w:val="single"/>
        </w:rPr>
      </w:pPr>
      <w:r>
        <w:rPr>
          <w:rFonts w:hint="eastAsia" w:ascii="宋体" w:eastAsia="宋体" w:cs="宋体"/>
          <w:b/>
          <w:color w:val="auto"/>
          <w:sz w:val="21"/>
          <w:szCs w:val="21"/>
          <w:u w:val="single"/>
        </w:rPr>
        <w:t>投标保证金未按本条规定时间前到达指定账户或提交金额不足的，将被视为无效投标文件。</w:t>
      </w:r>
    </w:p>
    <w:p>
      <w:pPr>
        <w:tabs>
          <w:tab w:val="left" w:pos="567"/>
        </w:tabs>
        <w:spacing w:line="360" w:lineRule="auto"/>
        <w:ind w:left="567" w:hanging="567"/>
        <w:rPr>
          <w:rFonts w:hAnsi="宋体" w:cs="宋体"/>
          <w:b/>
          <w:bCs/>
          <w:color w:val="auto"/>
          <w:sz w:val="21"/>
        </w:rPr>
      </w:pPr>
      <w:r>
        <w:rPr>
          <w:rFonts w:hint="eastAsia" w:hAnsi="宋体" w:cs="宋体"/>
          <w:bCs/>
          <w:color w:val="auto"/>
          <w:kern w:val="2"/>
          <w:sz w:val="21"/>
          <w:szCs w:val="21"/>
          <w:lang w:val="zh-CN"/>
        </w:rPr>
        <w:t>15.</w:t>
      </w:r>
      <w:r>
        <w:rPr>
          <w:rFonts w:hint="eastAsia" w:hAnsi="宋体" w:cs="宋体"/>
          <w:bCs/>
          <w:color w:val="auto"/>
          <w:kern w:val="2"/>
          <w:sz w:val="21"/>
          <w:szCs w:val="21"/>
        </w:rPr>
        <w:t>4</w:t>
      </w:r>
      <w:r>
        <w:rPr>
          <w:rFonts w:hint="eastAsia" w:hAnsi="宋体" w:cs="宋体"/>
          <w:bCs/>
          <w:color w:val="auto"/>
          <w:kern w:val="2"/>
          <w:sz w:val="21"/>
          <w:szCs w:val="21"/>
          <w:lang w:val="zh-CN"/>
        </w:rPr>
        <w:t xml:space="preserve"> </w:t>
      </w:r>
      <w:r>
        <w:rPr>
          <w:rFonts w:hint="eastAsia" w:hAnsi="宋体" w:cs="宋体"/>
          <w:b/>
          <w:color w:val="auto"/>
          <w:sz w:val="21"/>
          <w:u w:val="single"/>
        </w:rPr>
        <w:t>任何未按第15.1款、第15.2款和第15.3款规定提交投标保证金的投标，将被视为无效投标</w:t>
      </w:r>
      <w:r>
        <w:rPr>
          <w:rFonts w:hint="eastAsia" w:hAnsi="宋体" w:cs="宋体"/>
          <w:b/>
          <w:color w:val="auto"/>
          <w:sz w:val="21"/>
        </w:rPr>
        <w:t>。</w:t>
      </w:r>
    </w:p>
    <w:p>
      <w:pPr>
        <w:tabs>
          <w:tab w:val="left" w:pos="567"/>
        </w:tabs>
        <w:spacing w:line="360" w:lineRule="auto"/>
        <w:ind w:left="567" w:hanging="567"/>
        <w:rPr>
          <w:rFonts w:hAnsi="宋体" w:cs="宋体"/>
          <w:color w:val="auto"/>
          <w:sz w:val="21"/>
          <w:szCs w:val="21"/>
        </w:rPr>
      </w:pPr>
      <w:r>
        <w:rPr>
          <w:rFonts w:hint="eastAsia" w:hAnsi="宋体" w:cs="宋体"/>
          <w:bCs/>
          <w:color w:val="auto"/>
          <w:kern w:val="2"/>
          <w:sz w:val="21"/>
          <w:szCs w:val="21"/>
          <w:lang w:val="zh-CN"/>
        </w:rPr>
        <w:t>15.</w:t>
      </w:r>
      <w:r>
        <w:rPr>
          <w:rFonts w:hint="eastAsia" w:hAnsi="宋体" w:cs="宋体"/>
          <w:bCs/>
          <w:color w:val="auto"/>
          <w:kern w:val="2"/>
          <w:sz w:val="21"/>
          <w:szCs w:val="21"/>
        </w:rPr>
        <w:t>5</w:t>
      </w:r>
      <w:r>
        <w:rPr>
          <w:rFonts w:hint="eastAsia" w:hAnsi="宋体" w:cs="宋体"/>
          <w:bCs/>
          <w:color w:val="auto"/>
          <w:kern w:val="2"/>
          <w:sz w:val="21"/>
          <w:szCs w:val="21"/>
          <w:lang w:val="zh-CN"/>
        </w:rPr>
        <w:t xml:space="preserve"> </w:t>
      </w:r>
      <w:r>
        <w:rPr>
          <w:rFonts w:hint="eastAsia" w:hAnsi="宋体" w:cs="宋体"/>
          <w:color w:val="auto"/>
          <w:sz w:val="21"/>
          <w:szCs w:val="21"/>
        </w:rPr>
        <w:t>未中标的投标人的投标保证金，将在本项目的《中标通知书》发出后5日内，按照其投标保证金支付凭证上注明的收款人名称和账号予以退还，除非投标保证金有效期已延长。</w:t>
      </w:r>
    </w:p>
    <w:p>
      <w:pPr>
        <w:tabs>
          <w:tab w:val="left" w:pos="567"/>
        </w:tabs>
        <w:spacing w:line="360" w:lineRule="auto"/>
        <w:ind w:left="567" w:hanging="567"/>
        <w:rPr>
          <w:rFonts w:hAnsi="宋体" w:cs="宋体"/>
          <w:color w:val="auto"/>
          <w:sz w:val="21"/>
          <w:szCs w:val="21"/>
        </w:rPr>
      </w:pPr>
      <w:r>
        <w:rPr>
          <w:rFonts w:hint="eastAsia" w:hAnsi="宋体" w:cs="宋体"/>
          <w:bCs/>
          <w:color w:val="auto"/>
          <w:kern w:val="2"/>
          <w:sz w:val="21"/>
          <w:szCs w:val="21"/>
          <w:lang w:val="zh-CN"/>
        </w:rPr>
        <w:t xml:space="preserve">15.6 </w:t>
      </w:r>
      <w:r>
        <w:rPr>
          <w:rFonts w:hint="eastAsia" w:hAnsi="宋体" w:cs="宋体"/>
          <w:color w:val="auto"/>
          <w:sz w:val="21"/>
          <w:szCs w:val="21"/>
        </w:rPr>
        <w:t>中标人的投标保证金，满足下列要求，并在合同签订后的5日内退还。</w:t>
      </w:r>
    </w:p>
    <w:p>
      <w:pPr>
        <w:spacing w:line="360" w:lineRule="auto"/>
        <w:ind w:left="596" w:leftChars="117" w:hanging="315" w:hangingChars="150"/>
        <w:jc w:val="both"/>
        <w:rPr>
          <w:rFonts w:hAnsi="宋体" w:cs="宋体"/>
          <w:color w:val="auto"/>
          <w:sz w:val="21"/>
          <w:szCs w:val="21"/>
        </w:rPr>
      </w:pPr>
      <w:r>
        <w:rPr>
          <w:rFonts w:hint="eastAsia" w:hAnsi="宋体" w:cs="宋体"/>
          <w:color w:val="auto"/>
          <w:sz w:val="21"/>
          <w:szCs w:val="21"/>
        </w:rPr>
        <w:t>（1）中标人提交了履约担保；</w:t>
      </w:r>
    </w:p>
    <w:p>
      <w:pPr>
        <w:spacing w:line="360" w:lineRule="auto"/>
        <w:ind w:left="596" w:leftChars="117" w:hanging="315" w:hangingChars="150"/>
        <w:jc w:val="both"/>
        <w:rPr>
          <w:rFonts w:hAnsi="宋体" w:cs="宋体"/>
          <w:color w:val="auto"/>
          <w:sz w:val="21"/>
          <w:szCs w:val="21"/>
        </w:rPr>
      </w:pPr>
      <w:r>
        <w:rPr>
          <w:rFonts w:hint="eastAsia" w:hAnsi="宋体" w:cs="宋体"/>
          <w:color w:val="auto"/>
          <w:sz w:val="21"/>
          <w:szCs w:val="21"/>
        </w:rPr>
        <w:t>（2）中标人支付了中标服务费；</w:t>
      </w:r>
    </w:p>
    <w:p>
      <w:pPr>
        <w:spacing w:line="360" w:lineRule="auto"/>
        <w:ind w:left="806" w:leftChars="117" w:hanging="525" w:hangingChars="250"/>
        <w:jc w:val="both"/>
        <w:rPr>
          <w:rFonts w:hAnsi="宋体" w:cs="宋体"/>
          <w:color w:val="auto"/>
          <w:sz w:val="21"/>
          <w:szCs w:val="21"/>
        </w:rPr>
      </w:pPr>
      <w:r>
        <w:rPr>
          <w:rFonts w:hint="eastAsia" w:hAnsi="宋体" w:cs="宋体"/>
          <w:color w:val="auto"/>
          <w:sz w:val="21"/>
          <w:szCs w:val="21"/>
        </w:rPr>
        <w:t>（3）在投标过程中不存在违反本招标文件或《中华人民共和国招标投标法》及其实施条例等规定的行为。</w:t>
      </w:r>
    </w:p>
    <w:p>
      <w:pPr>
        <w:tabs>
          <w:tab w:val="left" w:pos="567"/>
        </w:tabs>
        <w:spacing w:line="360" w:lineRule="auto"/>
        <w:ind w:left="567" w:hanging="567"/>
        <w:rPr>
          <w:rFonts w:hAnsi="宋体" w:cs="宋体"/>
          <w:b/>
          <w:bCs/>
          <w:color w:val="auto"/>
          <w:sz w:val="21"/>
        </w:rPr>
      </w:pPr>
      <w:r>
        <w:rPr>
          <w:rFonts w:hint="eastAsia" w:hAnsi="宋体" w:cs="宋体"/>
          <w:bCs/>
          <w:color w:val="auto"/>
          <w:kern w:val="2"/>
          <w:sz w:val="21"/>
          <w:szCs w:val="21"/>
          <w:lang w:val="zh-CN"/>
        </w:rPr>
        <w:t xml:space="preserve">15.7 </w:t>
      </w:r>
      <w:r>
        <w:rPr>
          <w:rFonts w:hint="eastAsia" w:hAnsi="宋体" w:cs="宋体"/>
          <w:color w:val="auto"/>
          <w:sz w:val="21"/>
        </w:rPr>
        <w:t>若发生下列情况，经招标人同意后，招标代理机构在书面通知投标人（或中标人）后有权不予退还投标保证金：</w:t>
      </w:r>
    </w:p>
    <w:p>
      <w:pPr>
        <w:numPr>
          <w:ilvl w:val="2"/>
          <w:numId w:val="0"/>
        </w:numPr>
        <w:tabs>
          <w:tab w:val="left" w:pos="1134"/>
        </w:tabs>
        <w:spacing w:line="360" w:lineRule="auto"/>
        <w:ind w:left="1134" w:hanging="567"/>
        <w:rPr>
          <w:rFonts w:hAnsi="宋体" w:cs="宋体"/>
          <w:color w:val="auto"/>
          <w:sz w:val="21"/>
        </w:rPr>
      </w:pPr>
      <w:r>
        <w:rPr>
          <w:rFonts w:hint="eastAsia" w:hAnsi="宋体" w:cs="宋体"/>
          <w:color w:val="auto"/>
          <w:sz w:val="21"/>
        </w:rPr>
        <w:t>如果投标人（或中标人）：</w:t>
      </w:r>
    </w:p>
    <w:p>
      <w:pPr>
        <w:spacing w:line="360" w:lineRule="auto"/>
        <w:ind w:left="596" w:leftChars="117" w:hanging="315" w:hangingChars="150"/>
        <w:jc w:val="both"/>
        <w:rPr>
          <w:rFonts w:hAnsi="宋体" w:cs="宋体"/>
          <w:color w:val="auto"/>
          <w:sz w:val="21"/>
          <w:szCs w:val="21"/>
        </w:rPr>
      </w:pPr>
      <w:r>
        <w:rPr>
          <w:rFonts w:hint="eastAsia" w:hAnsi="宋体" w:cs="宋体"/>
          <w:color w:val="auto"/>
          <w:sz w:val="21"/>
          <w:szCs w:val="21"/>
        </w:rPr>
        <w:t>（1）投标人在规定的投标截止时间后至投标有效期满前撤销或修改其投标文件；</w:t>
      </w:r>
    </w:p>
    <w:p>
      <w:pPr>
        <w:spacing w:line="360" w:lineRule="auto"/>
        <w:ind w:left="596" w:leftChars="117" w:hanging="315" w:hangingChars="150"/>
        <w:jc w:val="both"/>
        <w:rPr>
          <w:rFonts w:hAnsi="宋体" w:cs="宋体"/>
          <w:color w:val="auto"/>
          <w:sz w:val="21"/>
          <w:szCs w:val="21"/>
        </w:rPr>
      </w:pPr>
      <w:r>
        <w:rPr>
          <w:rFonts w:hint="eastAsia" w:hAnsi="宋体" w:cs="宋体"/>
          <w:color w:val="auto"/>
          <w:sz w:val="21"/>
          <w:szCs w:val="21"/>
        </w:rPr>
        <w:t>（2）中标人未能在规定期限内提交履约担保；</w:t>
      </w:r>
    </w:p>
    <w:p>
      <w:pPr>
        <w:spacing w:line="360" w:lineRule="auto"/>
        <w:ind w:left="596" w:leftChars="117" w:hanging="315" w:hangingChars="150"/>
        <w:jc w:val="both"/>
        <w:rPr>
          <w:rFonts w:hAnsi="宋体" w:cs="宋体"/>
          <w:color w:val="auto"/>
          <w:sz w:val="21"/>
          <w:szCs w:val="21"/>
        </w:rPr>
      </w:pPr>
      <w:r>
        <w:rPr>
          <w:rFonts w:hint="eastAsia" w:hAnsi="宋体" w:cs="宋体"/>
          <w:color w:val="auto"/>
          <w:sz w:val="21"/>
          <w:szCs w:val="21"/>
        </w:rPr>
        <w:t>（</w:t>
      </w:r>
      <w:r>
        <w:rPr>
          <w:rFonts w:hint="eastAsia" w:hAnsi="宋体" w:cs="宋体"/>
          <w:color w:val="auto"/>
          <w:sz w:val="21"/>
          <w:szCs w:val="21"/>
          <w:lang w:val="zh-CN"/>
        </w:rPr>
        <w:t>3）</w:t>
      </w:r>
      <w:r>
        <w:rPr>
          <w:rFonts w:hint="eastAsia" w:hAnsi="宋体" w:cs="宋体"/>
          <w:color w:val="auto"/>
          <w:sz w:val="21"/>
          <w:szCs w:val="21"/>
        </w:rPr>
        <w:t>未根据第34条规定签署合同；</w:t>
      </w:r>
    </w:p>
    <w:p>
      <w:pPr>
        <w:spacing w:line="360" w:lineRule="auto"/>
        <w:ind w:left="596" w:leftChars="117" w:hanging="315" w:hangingChars="150"/>
        <w:jc w:val="both"/>
        <w:rPr>
          <w:rFonts w:hAnsi="宋体" w:cs="宋体"/>
          <w:color w:val="auto"/>
          <w:sz w:val="21"/>
          <w:szCs w:val="21"/>
        </w:rPr>
      </w:pPr>
      <w:r>
        <w:rPr>
          <w:rFonts w:hint="eastAsia" w:hAnsi="宋体" w:cs="宋体"/>
          <w:color w:val="auto"/>
          <w:sz w:val="21"/>
          <w:szCs w:val="21"/>
        </w:rPr>
        <w:t>（4）拒绝履行合同义务的；</w:t>
      </w:r>
    </w:p>
    <w:p>
      <w:pPr>
        <w:spacing w:line="360" w:lineRule="auto"/>
        <w:ind w:left="806" w:leftChars="117" w:hanging="525" w:hangingChars="250"/>
        <w:jc w:val="both"/>
        <w:rPr>
          <w:rFonts w:hAnsi="宋体" w:cs="宋体"/>
          <w:color w:val="auto"/>
          <w:sz w:val="21"/>
          <w:szCs w:val="21"/>
        </w:rPr>
      </w:pPr>
      <w:r>
        <w:rPr>
          <w:rFonts w:hint="eastAsia" w:hAnsi="宋体" w:cs="宋体"/>
          <w:color w:val="auto"/>
          <w:sz w:val="21"/>
          <w:szCs w:val="21"/>
        </w:rPr>
        <w:t>（5）将中标项目转让给他人，或者在投标文件中未说明，且未经招标人同意，将</w:t>
      </w:r>
      <w:r>
        <w:rPr>
          <w:rFonts w:hint="eastAsia" w:hAnsi="宋体" w:cs="宋体"/>
          <w:color w:val="auto"/>
          <w:kern w:val="2"/>
          <w:sz w:val="21"/>
          <w:szCs w:val="21"/>
          <w:lang w:val="zh-CN"/>
        </w:rPr>
        <w:t>中标项目的合同的权利义务转让给第三方的</w:t>
      </w:r>
      <w:r>
        <w:rPr>
          <w:rFonts w:hint="eastAsia" w:hAnsi="宋体" w:cs="宋体"/>
          <w:color w:val="auto"/>
          <w:sz w:val="21"/>
          <w:szCs w:val="21"/>
        </w:rPr>
        <w:t>；</w:t>
      </w:r>
    </w:p>
    <w:p>
      <w:pPr>
        <w:spacing w:line="360" w:lineRule="auto"/>
        <w:ind w:left="806" w:leftChars="117" w:hanging="525" w:hangingChars="250"/>
        <w:jc w:val="both"/>
        <w:rPr>
          <w:rFonts w:hAnsi="宋体" w:cs="宋体"/>
          <w:color w:val="auto"/>
          <w:sz w:val="21"/>
          <w:szCs w:val="21"/>
        </w:rPr>
      </w:pPr>
      <w:r>
        <w:rPr>
          <w:rFonts w:hint="eastAsia" w:hAnsi="宋体" w:cs="宋体"/>
          <w:color w:val="auto"/>
          <w:sz w:val="21"/>
          <w:szCs w:val="21"/>
        </w:rPr>
        <w:t>（6）提供虚假投标文件或虚假补充文件的，或</w:t>
      </w:r>
      <w:r>
        <w:rPr>
          <w:rFonts w:hint="eastAsia" w:hAnsi="宋体" w:cs="宋体"/>
          <w:color w:val="auto"/>
          <w:sz w:val="21"/>
        </w:rPr>
        <w:t>违反《中华人民共和国招标投标法》等有关法律、法规、规章及招标投标相关规定的行为。</w:t>
      </w:r>
    </w:p>
    <w:p>
      <w:pPr>
        <w:tabs>
          <w:tab w:val="left" w:pos="567"/>
        </w:tabs>
        <w:spacing w:line="360" w:lineRule="auto"/>
        <w:ind w:left="567" w:hanging="567"/>
        <w:rPr>
          <w:rFonts w:hAnsi="宋体" w:cs="宋体"/>
          <w:color w:val="auto"/>
          <w:sz w:val="21"/>
        </w:rPr>
      </w:pPr>
    </w:p>
    <w:p>
      <w:pPr>
        <w:tabs>
          <w:tab w:val="left" w:pos="567"/>
        </w:tabs>
        <w:spacing w:line="360" w:lineRule="auto"/>
        <w:ind w:left="496" w:hanging="495" w:hangingChars="236"/>
        <w:jc w:val="both"/>
        <w:outlineLvl w:val="2"/>
        <w:rPr>
          <w:rFonts w:hAnsi="宋体" w:cs="宋体"/>
          <w:color w:val="auto"/>
          <w:kern w:val="2"/>
          <w:sz w:val="21"/>
          <w:szCs w:val="21"/>
          <w:lang w:val="zh-CN"/>
        </w:rPr>
      </w:pPr>
      <w:bookmarkStart w:id="56" w:name="_Toc21869"/>
      <w:bookmarkStart w:id="57" w:name="_Toc30100"/>
      <w:r>
        <w:rPr>
          <w:rFonts w:hint="eastAsia" w:hAnsi="宋体" w:cs="宋体"/>
          <w:color w:val="auto"/>
          <w:kern w:val="2"/>
          <w:sz w:val="21"/>
          <w:szCs w:val="21"/>
          <w:lang w:val="zh-CN"/>
        </w:rPr>
        <w:t xml:space="preserve">16 </w:t>
      </w:r>
      <w:r>
        <w:rPr>
          <w:rFonts w:hint="eastAsia" w:hAnsi="宋体" w:cs="宋体"/>
          <w:color w:val="auto"/>
          <w:kern w:val="2"/>
          <w:sz w:val="21"/>
          <w:szCs w:val="21"/>
        </w:rPr>
        <w:t xml:space="preserve">  </w:t>
      </w:r>
      <w:r>
        <w:rPr>
          <w:rFonts w:hint="eastAsia" w:hAnsi="宋体" w:cs="宋体"/>
          <w:color w:val="auto"/>
          <w:kern w:val="2"/>
          <w:sz w:val="21"/>
          <w:szCs w:val="21"/>
          <w:lang w:val="zh-CN"/>
        </w:rPr>
        <w:t>投标有效期</w:t>
      </w:r>
      <w:bookmarkEnd w:id="56"/>
      <w:bookmarkEnd w:id="57"/>
    </w:p>
    <w:p>
      <w:pPr>
        <w:tabs>
          <w:tab w:val="left" w:pos="567"/>
        </w:tabs>
        <w:spacing w:line="360" w:lineRule="auto"/>
        <w:ind w:left="567" w:hanging="567"/>
        <w:jc w:val="both"/>
        <w:rPr>
          <w:rFonts w:hAnsi="宋体" w:cs="宋体"/>
          <w:bCs/>
          <w:color w:val="auto"/>
          <w:kern w:val="2"/>
          <w:sz w:val="21"/>
          <w:szCs w:val="21"/>
          <w:lang w:val="zh-CN"/>
        </w:rPr>
      </w:pPr>
      <w:r>
        <w:rPr>
          <w:rFonts w:hint="eastAsia" w:hAnsi="宋体" w:cs="宋体"/>
          <w:color w:val="auto"/>
          <w:kern w:val="2"/>
          <w:sz w:val="21"/>
          <w:szCs w:val="21"/>
          <w:lang w:val="zh-CN"/>
        </w:rPr>
        <w:t>16.1</w:t>
      </w:r>
      <w:r>
        <w:rPr>
          <w:rFonts w:hint="eastAsia" w:hAnsi="宋体" w:cs="宋体"/>
          <w:color w:val="auto"/>
          <w:kern w:val="2"/>
          <w:sz w:val="21"/>
          <w:szCs w:val="21"/>
          <w:lang w:val="zh-CN"/>
        </w:rPr>
        <w:tab/>
      </w:r>
      <w:r>
        <w:rPr>
          <w:rFonts w:hint="eastAsia" w:hAnsi="宋体" w:cs="宋体"/>
          <w:b/>
          <w:bCs/>
          <w:color w:val="auto"/>
          <w:kern w:val="2"/>
          <w:sz w:val="21"/>
          <w:szCs w:val="21"/>
          <w:u w:val="single"/>
          <w:lang w:val="zh-CN"/>
        </w:rPr>
        <w:t>投标文件将在递交投标文件截止时间届满后次日起90日内有效。投标有效期比规定时间短的可以视为无效投标</w:t>
      </w:r>
      <w:r>
        <w:rPr>
          <w:rFonts w:hint="eastAsia" w:hAnsi="宋体" w:cs="宋体"/>
          <w:bCs/>
          <w:color w:val="auto"/>
          <w:kern w:val="2"/>
          <w:sz w:val="21"/>
          <w:szCs w:val="21"/>
          <w:lang w:val="zh-CN"/>
        </w:rPr>
        <w:t>。</w:t>
      </w:r>
    </w:p>
    <w:p>
      <w:pPr>
        <w:spacing w:line="360" w:lineRule="auto"/>
        <w:ind w:left="567" w:hanging="567"/>
        <w:jc w:val="both"/>
        <w:rPr>
          <w:rFonts w:hAnsi="宋体" w:cs="宋体"/>
          <w:color w:val="auto"/>
          <w:kern w:val="2"/>
          <w:sz w:val="21"/>
          <w:szCs w:val="21"/>
          <w:lang w:val="zh-CN"/>
        </w:rPr>
      </w:pPr>
      <w:r>
        <w:rPr>
          <w:rFonts w:hint="eastAsia" w:hAnsi="宋体" w:cs="宋体"/>
          <w:color w:val="auto"/>
          <w:kern w:val="2"/>
          <w:sz w:val="21"/>
          <w:szCs w:val="21"/>
          <w:lang w:val="zh-CN"/>
        </w:rPr>
        <w:t>16.2</w:t>
      </w:r>
      <w:r>
        <w:rPr>
          <w:rFonts w:hint="eastAsia" w:hAnsi="宋体" w:cs="宋体"/>
          <w:color w:val="auto"/>
          <w:kern w:val="2"/>
          <w:sz w:val="21"/>
          <w:szCs w:val="21"/>
          <w:lang w:val="zh-CN"/>
        </w:rPr>
        <w:tab/>
      </w:r>
      <w:r>
        <w:rPr>
          <w:rFonts w:hint="eastAsia" w:hAnsi="宋体" w:cs="宋体"/>
          <w:color w:val="auto"/>
          <w:kern w:val="2"/>
          <w:sz w:val="21"/>
          <w:szCs w:val="21"/>
          <w:lang w:val="zh-CN"/>
        </w:rPr>
        <w:t>中标人的投标文件作为合同附件，合同失效时同时失效。</w:t>
      </w:r>
    </w:p>
    <w:p>
      <w:pPr>
        <w:spacing w:line="360" w:lineRule="auto"/>
        <w:ind w:left="567" w:hanging="567"/>
        <w:jc w:val="both"/>
        <w:rPr>
          <w:rFonts w:hAnsi="宋体" w:cs="宋体"/>
          <w:color w:val="auto"/>
          <w:kern w:val="2"/>
          <w:sz w:val="21"/>
          <w:szCs w:val="21"/>
          <w:lang w:val="zh-CN"/>
        </w:rPr>
      </w:pPr>
      <w:r>
        <w:rPr>
          <w:rFonts w:hint="eastAsia" w:hAnsi="宋体" w:cs="宋体"/>
          <w:color w:val="auto"/>
          <w:kern w:val="2"/>
          <w:sz w:val="21"/>
          <w:szCs w:val="21"/>
          <w:lang w:val="zh-CN"/>
        </w:rPr>
        <w:t>16.3</w:t>
      </w:r>
      <w:r>
        <w:rPr>
          <w:rFonts w:hint="eastAsia" w:hAnsi="宋体" w:cs="宋体"/>
          <w:color w:val="auto"/>
          <w:kern w:val="2"/>
          <w:sz w:val="21"/>
          <w:szCs w:val="21"/>
          <w:lang w:val="zh-CN"/>
        </w:rPr>
        <w:tab/>
      </w:r>
      <w:r>
        <w:rPr>
          <w:rFonts w:hint="eastAsia" w:hAnsi="宋体" w:cs="宋体"/>
          <w:color w:val="auto"/>
          <w:kern w:val="2"/>
          <w:sz w:val="21"/>
          <w:szCs w:val="21"/>
          <w:lang w:val="zh-CN"/>
        </w:rPr>
        <w:t>在特殊情况下，招标代理机构可于投标有效期满之前要求投标人同意延长投标文件有效期。要求与答复均应为书面形式往来。投标人可以拒绝上述要求，招标代理机构将退还其投标保证金。对于同意该要求的投标人，既不要求也不允许其修改投标文件，但将要求其相应延长投标保证金的有效期。第15条投标保证金的有关规定在投标保证金延长期内仍适用。</w:t>
      </w:r>
    </w:p>
    <w:p>
      <w:pPr>
        <w:pStyle w:val="177"/>
        <w:keepNext w:val="0"/>
        <w:autoSpaceDE w:val="0"/>
        <w:autoSpaceDN w:val="0"/>
        <w:adjustRightInd w:val="0"/>
        <w:spacing w:after="0" w:line="360" w:lineRule="auto"/>
        <w:rPr>
          <w:rFonts w:ascii="宋体" w:hAnsi="宋体" w:cs="宋体"/>
          <w:color w:val="auto"/>
          <w:szCs w:val="21"/>
          <w:lang w:val="zh-CN"/>
        </w:rPr>
      </w:pPr>
    </w:p>
    <w:p>
      <w:pPr>
        <w:tabs>
          <w:tab w:val="left" w:pos="567"/>
        </w:tabs>
        <w:spacing w:line="360" w:lineRule="auto"/>
        <w:ind w:left="496" w:hanging="495" w:hangingChars="236"/>
        <w:jc w:val="both"/>
        <w:outlineLvl w:val="2"/>
        <w:rPr>
          <w:rFonts w:hAnsi="宋体" w:cs="宋体"/>
          <w:color w:val="auto"/>
          <w:kern w:val="2"/>
          <w:sz w:val="21"/>
          <w:szCs w:val="21"/>
          <w:lang w:val="zh-CN"/>
        </w:rPr>
      </w:pPr>
      <w:bookmarkStart w:id="58" w:name="_Toc22579"/>
      <w:bookmarkStart w:id="59" w:name="_Toc26496"/>
      <w:r>
        <w:rPr>
          <w:rFonts w:hint="eastAsia" w:hAnsi="宋体" w:cs="宋体"/>
          <w:color w:val="auto"/>
          <w:kern w:val="2"/>
          <w:sz w:val="21"/>
          <w:szCs w:val="21"/>
          <w:lang w:val="zh-CN"/>
        </w:rPr>
        <w:t xml:space="preserve">17 </w:t>
      </w:r>
      <w:r>
        <w:rPr>
          <w:rFonts w:hint="eastAsia" w:hAnsi="宋体" w:cs="宋体"/>
          <w:color w:val="auto"/>
          <w:kern w:val="2"/>
          <w:sz w:val="21"/>
          <w:szCs w:val="21"/>
        </w:rPr>
        <w:t xml:space="preserve">  </w:t>
      </w:r>
      <w:r>
        <w:rPr>
          <w:rFonts w:hint="eastAsia" w:hAnsi="宋体" w:cs="宋体"/>
          <w:color w:val="auto"/>
          <w:kern w:val="2"/>
          <w:sz w:val="21"/>
          <w:szCs w:val="21"/>
          <w:lang w:val="zh-CN"/>
        </w:rPr>
        <w:t>投标文件的式样和签署</w:t>
      </w:r>
      <w:bookmarkEnd w:id="58"/>
      <w:bookmarkEnd w:id="59"/>
    </w:p>
    <w:p>
      <w:pPr>
        <w:tabs>
          <w:tab w:val="left" w:pos="567"/>
        </w:tabs>
        <w:spacing w:line="360" w:lineRule="auto"/>
        <w:ind w:left="567" w:hanging="567"/>
        <w:jc w:val="both"/>
        <w:rPr>
          <w:rFonts w:hAnsi="宋体" w:cs="宋体"/>
          <w:color w:val="auto"/>
          <w:kern w:val="2"/>
          <w:sz w:val="21"/>
          <w:szCs w:val="21"/>
          <w:lang w:val="zh-CN"/>
        </w:rPr>
      </w:pPr>
      <w:r>
        <w:rPr>
          <w:rFonts w:hint="eastAsia" w:hAnsi="宋体" w:cs="宋体"/>
          <w:color w:val="auto"/>
          <w:kern w:val="2"/>
          <w:sz w:val="21"/>
          <w:szCs w:val="21"/>
          <w:lang w:val="zh-CN"/>
        </w:rPr>
        <w:t>17.1</w:t>
      </w:r>
      <w:r>
        <w:rPr>
          <w:rFonts w:hint="eastAsia" w:hAnsi="宋体" w:cs="宋体"/>
          <w:color w:val="auto"/>
          <w:kern w:val="2"/>
          <w:sz w:val="21"/>
          <w:szCs w:val="21"/>
          <w:lang w:val="zh-CN"/>
        </w:rPr>
        <w:tab/>
      </w:r>
      <w:r>
        <w:rPr>
          <w:rFonts w:hint="eastAsia" w:hAnsi="宋体" w:cs="宋体"/>
          <w:b/>
          <w:color w:val="auto"/>
          <w:kern w:val="2"/>
          <w:sz w:val="21"/>
          <w:szCs w:val="21"/>
          <w:u w:val="single"/>
          <w:lang w:val="zh-CN"/>
        </w:rPr>
        <w:t>投标人应准备一份“唱标信封”、</w:t>
      </w:r>
      <w:r>
        <w:rPr>
          <w:rFonts w:hint="eastAsia" w:hAnsi="宋体" w:cs="宋体"/>
          <w:b/>
          <w:color w:val="auto"/>
          <w:kern w:val="2"/>
          <w:sz w:val="21"/>
          <w:szCs w:val="21"/>
          <w:u w:val="single"/>
        </w:rPr>
        <w:t>一</w:t>
      </w:r>
      <w:r>
        <w:rPr>
          <w:rFonts w:hint="eastAsia" w:hAnsi="宋体" w:cs="宋体"/>
          <w:b/>
          <w:color w:val="auto"/>
          <w:kern w:val="2"/>
          <w:sz w:val="21"/>
          <w:szCs w:val="21"/>
          <w:u w:val="single"/>
          <w:lang w:val="zh-CN"/>
        </w:rPr>
        <w:t>份“投标文件电子文件”、一份正本和五份副本“投标文件”</w:t>
      </w:r>
      <w:r>
        <w:rPr>
          <w:rFonts w:hint="eastAsia" w:hAnsi="宋体" w:cs="宋体"/>
          <w:b/>
          <w:color w:val="auto"/>
          <w:kern w:val="2"/>
          <w:sz w:val="21"/>
          <w:szCs w:val="21"/>
          <w:lang w:val="zh-CN"/>
        </w:rPr>
        <w:t>。</w:t>
      </w:r>
      <w:r>
        <w:rPr>
          <w:rFonts w:hint="eastAsia" w:hAnsi="宋体" w:cs="宋体"/>
          <w:color w:val="auto"/>
          <w:kern w:val="2"/>
          <w:sz w:val="21"/>
          <w:szCs w:val="21"/>
          <w:lang w:val="zh-CN"/>
        </w:rPr>
        <w:t>在每一份投标文件上编上目录（目录内的页码必须与实际内容对应）、页次，装订成册（不允许使用活页夹），并要明确注明“正本”或“副本”，一旦正本和副本发现差异，以正本为准。</w:t>
      </w:r>
    </w:p>
    <w:p>
      <w:pPr>
        <w:tabs>
          <w:tab w:val="left" w:pos="567"/>
        </w:tabs>
        <w:spacing w:line="360" w:lineRule="auto"/>
        <w:ind w:left="567" w:hanging="567"/>
        <w:jc w:val="both"/>
        <w:rPr>
          <w:rFonts w:hAnsi="宋体" w:cs="宋体"/>
          <w:color w:val="auto"/>
          <w:kern w:val="2"/>
          <w:sz w:val="21"/>
          <w:szCs w:val="21"/>
          <w:lang w:val="zh-CN"/>
        </w:rPr>
      </w:pPr>
      <w:r>
        <w:rPr>
          <w:rFonts w:hint="eastAsia" w:hAnsi="宋体" w:cs="宋体"/>
          <w:color w:val="auto"/>
          <w:kern w:val="2"/>
          <w:sz w:val="21"/>
          <w:szCs w:val="21"/>
          <w:lang w:val="zh-CN"/>
        </w:rPr>
        <w:t>17.2</w:t>
      </w:r>
      <w:r>
        <w:rPr>
          <w:rFonts w:hint="eastAsia" w:hAnsi="宋体" w:cs="宋体"/>
          <w:color w:val="auto"/>
          <w:kern w:val="2"/>
          <w:sz w:val="21"/>
          <w:szCs w:val="21"/>
          <w:lang w:val="zh-CN"/>
        </w:rPr>
        <w:tab/>
      </w:r>
      <w:r>
        <w:rPr>
          <w:rFonts w:hint="eastAsia" w:hAnsi="宋体" w:cs="宋体"/>
          <w:bCs/>
          <w:color w:val="auto"/>
          <w:kern w:val="2"/>
          <w:sz w:val="21"/>
          <w:szCs w:val="21"/>
          <w:lang w:val="zh-CN"/>
        </w:rPr>
        <w:t>投标文件正本和副本须打印或用不褪色墨水书写，招标文件提供的格式文件或投标文件中明确要求盖法人公章或签署的，应相应加法人公章或签署。其中签署应由投标人法定代表人或其授权代表签字（或盖私章），后者须将“法人授权委托证明书”以书面形式附在投标文件中。</w:t>
      </w:r>
      <w:r>
        <w:rPr>
          <w:rFonts w:hint="eastAsia" w:hAnsi="宋体" w:cs="宋体"/>
          <w:color w:val="auto"/>
          <w:kern w:val="2"/>
          <w:sz w:val="21"/>
          <w:szCs w:val="21"/>
          <w:lang w:val="zh-CN"/>
        </w:rPr>
        <w:t>副本文件可由正本文件复印而成。</w:t>
      </w:r>
    </w:p>
    <w:p>
      <w:pPr>
        <w:spacing w:line="360" w:lineRule="auto"/>
        <w:ind w:left="567" w:hanging="567"/>
        <w:jc w:val="both"/>
        <w:rPr>
          <w:rFonts w:hAnsi="宋体" w:cs="宋体"/>
          <w:bCs/>
          <w:color w:val="auto"/>
          <w:kern w:val="2"/>
          <w:sz w:val="21"/>
          <w:szCs w:val="21"/>
          <w:lang w:val="zh-CN"/>
        </w:rPr>
      </w:pPr>
      <w:r>
        <w:rPr>
          <w:rFonts w:hint="eastAsia" w:hAnsi="宋体" w:cs="宋体"/>
          <w:color w:val="auto"/>
          <w:kern w:val="2"/>
          <w:sz w:val="21"/>
          <w:szCs w:val="21"/>
          <w:lang w:val="zh-CN"/>
        </w:rPr>
        <w:t>17.3</w:t>
      </w:r>
      <w:r>
        <w:rPr>
          <w:rFonts w:hint="eastAsia" w:hAnsi="宋体" w:cs="宋体"/>
          <w:color w:val="auto"/>
          <w:kern w:val="2"/>
          <w:sz w:val="21"/>
          <w:szCs w:val="21"/>
          <w:lang w:val="zh-CN"/>
        </w:rPr>
        <w:tab/>
      </w:r>
      <w:r>
        <w:rPr>
          <w:rFonts w:hint="eastAsia" w:hAnsi="宋体" w:cs="宋体"/>
          <w:color w:val="auto"/>
          <w:kern w:val="2"/>
          <w:sz w:val="21"/>
          <w:szCs w:val="21"/>
          <w:lang w:val="zh-CN"/>
        </w:rPr>
        <w:t>除投标人对错处作必要修改外，投标文件中不许有加行、涂抹或改写。</w:t>
      </w:r>
      <w:r>
        <w:rPr>
          <w:rFonts w:hint="eastAsia" w:hAnsi="宋体" w:cs="宋体"/>
          <w:bCs/>
          <w:color w:val="auto"/>
          <w:kern w:val="2"/>
          <w:sz w:val="21"/>
          <w:szCs w:val="21"/>
          <w:lang w:val="zh-CN"/>
        </w:rPr>
        <w:t>若有修改须由签署投标文件的人进行签字（或盖私章），并加盖投标人法人公章。</w:t>
      </w:r>
    </w:p>
    <w:p>
      <w:pPr>
        <w:spacing w:line="360" w:lineRule="auto"/>
        <w:ind w:left="567" w:hanging="567"/>
        <w:jc w:val="both"/>
        <w:rPr>
          <w:rFonts w:hAnsi="宋体" w:cs="宋体"/>
          <w:bCs/>
          <w:color w:val="auto"/>
          <w:kern w:val="2"/>
          <w:sz w:val="21"/>
          <w:szCs w:val="21"/>
          <w:u w:val="single"/>
          <w:lang w:val="zh-CN"/>
        </w:rPr>
      </w:pPr>
      <w:r>
        <w:rPr>
          <w:rFonts w:hint="eastAsia" w:hAnsi="宋体" w:cs="宋体"/>
          <w:color w:val="auto"/>
          <w:kern w:val="2"/>
          <w:sz w:val="21"/>
          <w:szCs w:val="21"/>
          <w:lang w:val="zh-CN"/>
        </w:rPr>
        <w:t>17.4</w:t>
      </w:r>
      <w:r>
        <w:rPr>
          <w:rFonts w:hint="eastAsia" w:hAnsi="宋体" w:cs="宋体"/>
          <w:color w:val="auto"/>
          <w:kern w:val="2"/>
          <w:sz w:val="21"/>
          <w:szCs w:val="21"/>
          <w:lang w:val="zh-CN"/>
        </w:rPr>
        <w:tab/>
      </w:r>
      <w:r>
        <w:rPr>
          <w:rFonts w:hint="eastAsia" w:hAnsi="宋体" w:cs="宋体"/>
          <w:color w:val="auto"/>
          <w:kern w:val="2"/>
          <w:sz w:val="21"/>
          <w:szCs w:val="21"/>
          <w:lang w:val="zh-CN"/>
        </w:rPr>
        <w:t>投标文件的封面应注明“招标项目名称、招标编号、投标人名称、投标日期等”。</w:t>
      </w:r>
    </w:p>
    <w:p>
      <w:pPr>
        <w:spacing w:line="360" w:lineRule="auto"/>
        <w:ind w:left="567" w:hanging="567"/>
        <w:jc w:val="both"/>
        <w:rPr>
          <w:rFonts w:hAnsi="宋体" w:cs="宋体"/>
          <w:color w:val="auto"/>
          <w:kern w:val="2"/>
          <w:sz w:val="21"/>
          <w:szCs w:val="21"/>
          <w:lang w:val="zh-CN"/>
        </w:rPr>
      </w:pPr>
      <w:r>
        <w:rPr>
          <w:rFonts w:hint="eastAsia" w:hAnsi="宋体" w:cs="宋体"/>
          <w:color w:val="auto"/>
          <w:kern w:val="2"/>
          <w:sz w:val="21"/>
          <w:szCs w:val="21"/>
          <w:lang w:val="zh-CN"/>
        </w:rPr>
        <w:t>17.5</w:t>
      </w:r>
      <w:r>
        <w:rPr>
          <w:rFonts w:hint="eastAsia" w:hAnsi="宋体" w:cs="宋体"/>
          <w:color w:val="auto"/>
          <w:kern w:val="2"/>
          <w:sz w:val="21"/>
          <w:szCs w:val="21"/>
          <w:lang w:val="zh-CN"/>
        </w:rPr>
        <w:tab/>
      </w:r>
      <w:r>
        <w:rPr>
          <w:rFonts w:hint="eastAsia" w:hAnsi="宋体" w:cs="宋体"/>
          <w:color w:val="auto"/>
          <w:kern w:val="2"/>
          <w:sz w:val="21"/>
          <w:szCs w:val="21"/>
          <w:lang w:val="zh-CN"/>
        </w:rPr>
        <w:t>电子文件：电子文件不可设置密码，用DVD或CD-R光盘或U盘储存，</w:t>
      </w:r>
      <w:r>
        <w:rPr>
          <w:rFonts w:hint="eastAsia" w:hAnsi="宋体" w:cs="宋体"/>
          <w:color w:val="auto"/>
          <w:kern w:val="2"/>
          <w:sz w:val="21"/>
          <w:szCs w:val="21"/>
        </w:rPr>
        <w:t>并</w:t>
      </w:r>
      <w:r>
        <w:rPr>
          <w:rFonts w:hint="eastAsia" w:hAnsi="宋体" w:cs="宋体"/>
          <w:color w:val="auto"/>
          <w:kern w:val="2"/>
          <w:sz w:val="21"/>
          <w:szCs w:val="21"/>
          <w:lang w:val="zh-CN"/>
        </w:rPr>
        <w:t>密封于“唱标信封”内（电子文件包装封面需注明项目名称、项目编号、投标人单位名称，并加盖投标人法人公章）。</w:t>
      </w:r>
    </w:p>
    <w:p>
      <w:pPr>
        <w:spacing w:line="360" w:lineRule="auto"/>
        <w:ind w:left="567" w:hanging="567"/>
        <w:jc w:val="both"/>
        <w:rPr>
          <w:rFonts w:hAnsi="宋体" w:cs="宋体"/>
          <w:color w:val="auto"/>
          <w:kern w:val="2"/>
          <w:sz w:val="21"/>
          <w:szCs w:val="21"/>
          <w:lang w:val="zh-CN"/>
        </w:rPr>
      </w:pPr>
      <w:r>
        <w:rPr>
          <w:rFonts w:hint="eastAsia" w:hAnsi="宋体" w:cs="宋体"/>
          <w:color w:val="auto"/>
          <w:kern w:val="2"/>
          <w:sz w:val="21"/>
          <w:szCs w:val="21"/>
          <w:lang w:val="zh-CN"/>
        </w:rPr>
        <w:t>17.6</w:t>
      </w:r>
      <w:r>
        <w:rPr>
          <w:rFonts w:hint="eastAsia" w:hAnsi="宋体" w:cs="宋体"/>
          <w:color w:val="auto"/>
          <w:kern w:val="2"/>
          <w:sz w:val="21"/>
          <w:szCs w:val="21"/>
          <w:lang w:val="zh-CN"/>
        </w:rPr>
        <w:tab/>
      </w:r>
      <w:r>
        <w:rPr>
          <w:rFonts w:hint="eastAsia" w:hAnsi="宋体" w:cs="宋体"/>
          <w:color w:val="auto"/>
          <w:kern w:val="2"/>
          <w:sz w:val="21"/>
          <w:szCs w:val="21"/>
          <w:lang w:val="zh-CN"/>
        </w:rPr>
        <w:t>电报、电传、传真的投标概不接受。</w:t>
      </w:r>
    </w:p>
    <w:p>
      <w:pPr>
        <w:spacing w:line="360" w:lineRule="auto"/>
        <w:ind w:left="567" w:hanging="567"/>
        <w:jc w:val="both"/>
        <w:rPr>
          <w:rFonts w:hAnsi="宋体" w:cs="宋体"/>
          <w:color w:val="auto"/>
          <w:kern w:val="2"/>
          <w:sz w:val="21"/>
          <w:szCs w:val="21"/>
          <w:u w:val="single"/>
          <w:lang w:val="zh-CN"/>
        </w:rPr>
      </w:pPr>
    </w:p>
    <w:p>
      <w:pPr>
        <w:pStyle w:val="36"/>
        <w:numPr>
          <w:ilvl w:val="1"/>
          <w:numId w:val="5"/>
        </w:numPr>
        <w:tabs>
          <w:tab w:val="left" w:pos="567"/>
        </w:tabs>
        <w:spacing w:before="0" w:after="0" w:line="360" w:lineRule="auto"/>
        <w:ind w:left="0" w:firstLine="0"/>
        <w:jc w:val="left"/>
        <w:rPr>
          <w:rFonts w:ascii="宋体" w:hAnsi="宋体" w:cs="宋体"/>
          <w:color w:val="auto"/>
          <w:sz w:val="21"/>
          <w:szCs w:val="21"/>
          <w:lang w:val="zh-CN"/>
        </w:rPr>
      </w:pPr>
      <w:bookmarkStart w:id="60" w:name="_Toc21140"/>
      <w:bookmarkStart w:id="61" w:name="_Toc447045083"/>
      <w:bookmarkStart w:id="62" w:name="_Toc22581"/>
      <w:bookmarkStart w:id="63" w:name="_Toc447044472"/>
      <w:bookmarkStart w:id="64" w:name="_Toc447044596"/>
      <w:r>
        <w:rPr>
          <w:rFonts w:hint="eastAsia" w:ascii="宋体" w:hAnsi="宋体" w:cs="宋体"/>
          <w:color w:val="auto"/>
          <w:sz w:val="21"/>
          <w:szCs w:val="21"/>
          <w:lang w:val="zh-CN"/>
        </w:rPr>
        <w:t>投标文件的递交</w:t>
      </w:r>
      <w:bookmarkEnd w:id="60"/>
      <w:bookmarkEnd w:id="61"/>
      <w:bookmarkEnd w:id="62"/>
      <w:bookmarkEnd w:id="63"/>
      <w:bookmarkEnd w:id="64"/>
    </w:p>
    <w:p>
      <w:pPr>
        <w:tabs>
          <w:tab w:val="left" w:pos="567"/>
        </w:tabs>
        <w:spacing w:line="360" w:lineRule="auto"/>
        <w:ind w:left="496" w:hanging="495" w:hangingChars="236"/>
        <w:jc w:val="both"/>
        <w:outlineLvl w:val="2"/>
        <w:rPr>
          <w:rFonts w:hAnsi="宋体" w:cs="宋体"/>
          <w:color w:val="auto"/>
          <w:kern w:val="2"/>
          <w:sz w:val="21"/>
          <w:szCs w:val="21"/>
          <w:lang w:val="zh-CN"/>
        </w:rPr>
      </w:pPr>
      <w:bookmarkStart w:id="65" w:name="_Toc31576"/>
      <w:bookmarkStart w:id="66" w:name="_Toc28483"/>
      <w:r>
        <w:rPr>
          <w:rFonts w:hint="eastAsia" w:hAnsi="宋体" w:cs="宋体"/>
          <w:color w:val="auto"/>
          <w:kern w:val="2"/>
          <w:sz w:val="21"/>
          <w:szCs w:val="21"/>
          <w:lang w:val="zh-CN"/>
        </w:rPr>
        <w:t>18</w:t>
      </w:r>
      <w:r>
        <w:rPr>
          <w:rFonts w:hint="eastAsia" w:hAnsi="宋体" w:cs="宋体"/>
          <w:color w:val="auto"/>
          <w:kern w:val="2"/>
          <w:sz w:val="21"/>
          <w:szCs w:val="21"/>
        </w:rPr>
        <w:t xml:space="preserve">  </w:t>
      </w:r>
      <w:r>
        <w:rPr>
          <w:rFonts w:hint="eastAsia" w:hAnsi="宋体" w:cs="宋体"/>
          <w:color w:val="auto"/>
          <w:kern w:val="2"/>
          <w:sz w:val="21"/>
          <w:szCs w:val="21"/>
          <w:lang w:val="zh-CN"/>
        </w:rPr>
        <w:t xml:space="preserve"> 投标文件的密封和标记</w:t>
      </w:r>
      <w:bookmarkEnd w:id="65"/>
      <w:bookmarkEnd w:id="66"/>
    </w:p>
    <w:p>
      <w:pPr>
        <w:tabs>
          <w:tab w:val="left" w:pos="567"/>
        </w:tabs>
        <w:spacing w:line="360" w:lineRule="auto"/>
        <w:ind w:left="567" w:right="18" w:hanging="567"/>
        <w:jc w:val="both"/>
        <w:rPr>
          <w:rFonts w:hAnsi="宋体" w:cs="宋体"/>
          <w:color w:val="auto"/>
          <w:kern w:val="2"/>
          <w:sz w:val="21"/>
          <w:szCs w:val="21"/>
          <w:lang w:val="zh-CN"/>
        </w:rPr>
      </w:pPr>
      <w:r>
        <w:rPr>
          <w:rFonts w:hint="eastAsia" w:hAnsi="宋体" w:cs="宋体"/>
          <w:color w:val="auto"/>
          <w:kern w:val="2"/>
          <w:sz w:val="21"/>
          <w:szCs w:val="21"/>
          <w:lang w:val="zh-CN"/>
        </w:rPr>
        <w:t>18.1</w:t>
      </w:r>
      <w:r>
        <w:rPr>
          <w:rFonts w:hint="eastAsia" w:hAnsi="宋体" w:cs="宋体"/>
          <w:color w:val="auto"/>
          <w:kern w:val="2"/>
          <w:sz w:val="21"/>
          <w:szCs w:val="21"/>
          <w:lang w:val="zh-CN"/>
        </w:rPr>
        <w:tab/>
      </w:r>
      <w:r>
        <w:rPr>
          <w:rFonts w:hint="eastAsia" w:hAnsi="宋体" w:cs="宋体"/>
          <w:color w:val="auto"/>
          <w:kern w:val="2"/>
          <w:sz w:val="21"/>
          <w:szCs w:val="21"/>
          <w:lang w:val="zh-CN"/>
        </w:rPr>
        <w:t>投标人应将所有正本和副本投标文件（本处不含唱标信封、投标文件电子文件）一起密封在一个不透明的外层封装中。</w:t>
      </w:r>
    </w:p>
    <w:p>
      <w:pPr>
        <w:spacing w:line="360" w:lineRule="auto"/>
        <w:ind w:left="567" w:hanging="567"/>
        <w:jc w:val="both"/>
        <w:rPr>
          <w:rFonts w:hAnsi="宋体" w:cs="宋体"/>
          <w:b/>
          <w:bCs/>
          <w:color w:val="auto"/>
          <w:kern w:val="2"/>
          <w:sz w:val="21"/>
          <w:szCs w:val="21"/>
          <w:lang w:val="zh-CN"/>
        </w:rPr>
      </w:pPr>
      <w:r>
        <w:rPr>
          <w:rFonts w:hint="eastAsia" w:hAnsi="宋体" w:cs="宋体"/>
          <w:color w:val="auto"/>
          <w:kern w:val="2"/>
          <w:sz w:val="21"/>
          <w:szCs w:val="21"/>
          <w:lang w:val="zh-CN"/>
        </w:rPr>
        <w:t>18.2</w:t>
      </w:r>
      <w:r>
        <w:rPr>
          <w:rFonts w:hint="eastAsia" w:hAnsi="宋体" w:cs="宋体"/>
          <w:color w:val="auto"/>
          <w:kern w:val="2"/>
          <w:sz w:val="21"/>
          <w:szCs w:val="21"/>
          <w:lang w:val="zh-CN"/>
        </w:rPr>
        <w:tab/>
      </w:r>
      <w:r>
        <w:rPr>
          <w:rFonts w:hint="eastAsia" w:hAnsi="宋体" w:cs="宋体"/>
          <w:b/>
          <w:bCs/>
          <w:color w:val="auto"/>
          <w:kern w:val="2"/>
          <w:sz w:val="21"/>
          <w:szCs w:val="21"/>
          <w:lang w:val="zh-CN"/>
        </w:rPr>
        <w:t>唱标信封应单独密封（“投标文件电子文件”密封于“唱标信封”内），与18.1款的投标文件一同提交。</w:t>
      </w:r>
    </w:p>
    <w:p>
      <w:pPr>
        <w:spacing w:line="360" w:lineRule="auto"/>
        <w:ind w:left="567" w:right="18" w:hanging="567"/>
        <w:jc w:val="both"/>
        <w:rPr>
          <w:rFonts w:hAnsi="宋体" w:cs="宋体"/>
          <w:color w:val="auto"/>
          <w:kern w:val="2"/>
          <w:sz w:val="21"/>
          <w:szCs w:val="21"/>
          <w:lang w:val="zh-CN"/>
        </w:rPr>
      </w:pPr>
      <w:r>
        <w:rPr>
          <w:rFonts w:hint="eastAsia" w:hAnsi="宋体" w:cs="宋体"/>
          <w:color w:val="auto"/>
          <w:kern w:val="2"/>
          <w:sz w:val="21"/>
          <w:szCs w:val="21"/>
          <w:lang w:val="zh-CN"/>
        </w:rPr>
        <w:t>18.</w:t>
      </w:r>
      <w:r>
        <w:rPr>
          <w:rFonts w:hint="eastAsia" w:hAnsi="宋体" w:cs="宋体"/>
          <w:color w:val="auto"/>
          <w:kern w:val="2"/>
          <w:sz w:val="21"/>
          <w:szCs w:val="21"/>
        </w:rPr>
        <w:t>3</w:t>
      </w:r>
      <w:r>
        <w:rPr>
          <w:rFonts w:hint="eastAsia" w:hAnsi="宋体" w:cs="宋体"/>
          <w:color w:val="auto"/>
          <w:kern w:val="2"/>
          <w:sz w:val="21"/>
          <w:szCs w:val="21"/>
          <w:lang w:val="zh-CN"/>
        </w:rPr>
        <w:tab/>
      </w:r>
      <w:r>
        <w:rPr>
          <w:rFonts w:hint="eastAsia" w:hAnsi="宋体" w:cs="宋体"/>
          <w:color w:val="auto"/>
          <w:kern w:val="2"/>
          <w:sz w:val="21"/>
          <w:szCs w:val="21"/>
          <w:lang w:val="zh-CN"/>
        </w:rPr>
        <w:t>投标文件密封封装标记：</w:t>
      </w:r>
    </w:p>
    <w:p>
      <w:pPr>
        <w:spacing w:line="360" w:lineRule="auto"/>
        <w:ind w:left="806" w:leftChars="117" w:hanging="525" w:hangingChars="250"/>
        <w:jc w:val="both"/>
        <w:rPr>
          <w:rFonts w:hAnsi="宋体" w:cs="宋体"/>
          <w:color w:val="auto"/>
          <w:kern w:val="2"/>
          <w:sz w:val="21"/>
          <w:szCs w:val="21"/>
          <w:lang w:val="zh-CN"/>
        </w:rPr>
      </w:pPr>
      <w:r>
        <w:rPr>
          <w:rFonts w:hint="eastAsia" w:hAnsi="宋体" w:cs="宋体"/>
          <w:color w:val="auto"/>
          <w:kern w:val="2"/>
          <w:sz w:val="21"/>
          <w:szCs w:val="21"/>
          <w:lang w:val="zh-CN"/>
        </w:rPr>
        <w:t>（</w:t>
      </w:r>
      <w:r>
        <w:rPr>
          <w:rFonts w:hint="eastAsia" w:hAnsi="宋体" w:cs="宋体"/>
          <w:color w:val="auto"/>
          <w:kern w:val="2"/>
          <w:sz w:val="21"/>
          <w:szCs w:val="21"/>
        </w:rPr>
        <w:t>1</w:t>
      </w:r>
      <w:r>
        <w:rPr>
          <w:rFonts w:hint="eastAsia" w:hAnsi="宋体" w:cs="宋体"/>
          <w:color w:val="auto"/>
          <w:kern w:val="2"/>
          <w:sz w:val="21"/>
          <w:szCs w:val="21"/>
          <w:lang w:val="zh-CN"/>
        </w:rPr>
        <w:t>）外层密封封装表面应正确标明投标人名称、地址、项目名称、招标编号、投标文件名称、并注明投标文件递交截止时间之前不得开封（在封口位置的封条上标注注明），封口位置的封条上须加盖投标人法人公章；</w:t>
      </w:r>
    </w:p>
    <w:p>
      <w:pPr>
        <w:spacing w:line="360" w:lineRule="auto"/>
        <w:ind w:left="596" w:leftChars="117" w:hanging="315" w:hangingChars="150"/>
        <w:jc w:val="both"/>
        <w:rPr>
          <w:rFonts w:hAnsi="宋体" w:cs="宋体"/>
          <w:color w:val="auto"/>
          <w:kern w:val="2"/>
          <w:sz w:val="21"/>
          <w:szCs w:val="21"/>
          <w:lang w:val="zh-CN"/>
        </w:rPr>
      </w:pPr>
      <w:r>
        <w:rPr>
          <w:rFonts w:hint="eastAsia" w:hAnsi="宋体" w:cs="宋体"/>
          <w:color w:val="auto"/>
          <w:kern w:val="2"/>
          <w:sz w:val="21"/>
          <w:szCs w:val="21"/>
          <w:lang w:val="zh-CN"/>
        </w:rPr>
        <w:t>（</w:t>
      </w:r>
      <w:r>
        <w:rPr>
          <w:rFonts w:hint="eastAsia" w:hAnsi="宋体" w:cs="宋体"/>
          <w:color w:val="auto"/>
          <w:kern w:val="2"/>
          <w:sz w:val="21"/>
          <w:szCs w:val="21"/>
        </w:rPr>
        <w:t>2</w:t>
      </w:r>
      <w:r>
        <w:rPr>
          <w:rFonts w:hint="eastAsia" w:hAnsi="宋体" w:cs="宋体"/>
          <w:color w:val="auto"/>
          <w:kern w:val="2"/>
          <w:sz w:val="21"/>
          <w:szCs w:val="21"/>
          <w:lang w:val="zh-CN"/>
        </w:rPr>
        <w:t>）投标文件已密封但不按前述标志封包，由此而引起的提前开封或错放责任由投标人承担。</w:t>
      </w:r>
    </w:p>
    <w:p>
      <w:pPr>
        <w:tabs>
          <w:tab w:val="left" w:pos="567"/>
        </w:tabs>
        <w:spacing w:line="360" w:lineRule="auto"/>
        <w:ind w:left="567" w:right="18" w:hanging="567"/>
        <w:jc w:val="both"/>
        <w:rPr>
          <w:rFonts w:hAnsi="宋体" w:cs="宋体"/>
          <w:color w:val="auto"/>
          <w:kern w:val="2"/>
          <w:sz w:val="21"/>
          <w:szCs w:val="21"/>
          <w:lang w:val="zh-CN"/>
        </w:rPr>
      </w:pPr>
      <w:r>
        <w:rPr>
          <w:rFonts w:hint="eastAsia" w:hAnsi="宋体" w:cs="宋体"/>
          <w:color w:val="auto"/>
          <w:kern w:val="2"/>
          <w:sz w:val="21"/>
          <w:szCs w:val="21"/>
          <w:lang w:val="zh-CN"/>
        </w:rPr>
        <w:t>18.</w:t>
      </w:r>
      <w:r>
        <w:rPr>
          <w:rFonts w:hint="eastAsia" w:hAnsi="宋体" w:cs="宋体"/>
          <w:color w:val="auto"/>
          <w:kern w:val="2"/>
          <w:sz w:val="21"/>
          <w:szCs w:val="21"/>
        </w:rPr>
        <w:t>4</w:t>
      </w:r>
      <w:r>
        <w:rPr>
          <w:rFonts w:hint="eastAsia" w:hAnsi="宋体" w:cs="宋体"/>
          <w:color w:val="auto"/>
          <w:kern w:val="2"/>
          <w:sz w:val="21"/>
          <w:szCs w:val="21"/>
          <w:lang w:val="zh-CN"/>
        </w:rPr>
        <w:tab/>
      </w:r>
      <w:r>
        <w:rPr>
          <w:rFonts w:hint="eastAsia" w:hAnsi="宋体" w:cs="宋体"/>
          <w:b/>
          <w:color w:val="auto"/>
          <w:kern w:val="2"/>
          <w:sz w:val="21"/>
          <w:szCs w:val="21"/>
          <w:lang w:val="zh-CN"/>
        </w:rPr>
        <w:t>如果密封封装未按本款规定密封和标记，招标代理机构对投标文件的误投或提前拆封不负责任。对由此造成提前开封的投标文件，招标代理机构予以拒绝，并退回投标人。</w:t>
      </w:r>
    </w:p>
    <w:p>
      <w:pPr>
        <w:tabs>
          <w:tab w:val="left" w:pos="567"/>
        </w:tabs>
        <w:spacing w:line="360" w:lineRule="auto"/>
        <w:ind w:left="567" w:right="18" w:hanging="567"/>
        <w:jc w:val="both"/>
        <w:rPr>
          <w:rFonts w:hAnsi="宋体" w:cs="宋体"/>
          <w:color w:val="auto"/>
          <w:kern w:val="2"/>
          <w:sz w:val="21"/>
          <w:szCs w:val="21"/>
        </w:rPr>
      </w:pPr>
      <w:r>
        <w:rPr>
          <w:rFonts w:hint="eastAsia" w:hAnsi="宋体" w:cs="宋体"/>
          <w:color w:val="auto"/>
          <w:kern w:val="2"/>
          <w:sz w:val="21"/>
          <w:szCs w:val="21"/>
          <w:lang w:val="zh-CN"/>
        </w:rPr>
        <w:t>18.</w:t>
      </w:r>
      <w:r>
        <w:rPr>
          <w:rFonts w:hint="eastAsia" w:hAnsi="宋体" w:cs="宋体"/>
          <w:color w:val="auto"/>
          <w:kern w:val="2"/>
          <w:sz w:val="21"/>
          <w:szCs w:val="21"/>
        </w:rPr>
        <w:t xml:space="preserve">5 </w:t>
      </w:r>
      <w:r>
        <w:rPr>
          <w:rFonts w:hint="eastAsia" w:hAnsi="宋体" w:cs="宋体"/>
          <w:color w:val="auto"/>
          <w:kern w:val="2"/>
          <w:sz w:val="21"/>
          <w:szCs w:val="21"/>
          <w:lang w:val="zh-CN"/>
        </w:rPr>
        <w:t>开标前，由投标人代表（第一位递交投标文件的投标人代表及主动自愿参与检查的投标人代表）和招标人代表</w:t>
      </w:r>
      <w:r>
        <w:rPr>
          <w:rFonts w:hint="eastAsia" w:hAnsi="宋体" w:cs="宋体"/>
          <w:color w:val="auto"/>
          <w:sz w:val="21"/>
          <w:szCs w:val="21"/>
          <w:lang w:val="zh-CN"/>
        </w:rPr>
        <w:t>将对所有的投标文件的密封性进行检查</w:t>
      </w:r>
      <w:r>
        <w:rPr>
          <w:rFonts w:hint="eastAsia" w:hAnsi="宋体" w:cs="宋体"/>
          <w:color w:val="auto"/>
          <w:kern w:val="2"/>
          <w:sz w:val="21"/>
          <w:szCs w:val="21"/>
          <w:lang w:val="zh-CN"/>
        </w:rPr>
        <w:t>，并签署进行确认。</w:t>
      </w:r>
    </w:p>
    <w:p>
      <w:pPr>
        <w:spacing w:line="360" w:lineRule="auto"/>
        <w:ind w:right="18"/>
        <w:jc w:val="both"/>
        <w:rPr>
          <w:rFonts w:hAnsi="宋体" w:cs="宋体"/>
          <w:color w:val="auto"/>
          <w:kern w:val="2"/>
          <w:sz w:val="21"/>
          <w:szCs w:val="21"/>
          <w:lang w:val="zh-CN"/>
        </w:rPr>
      </w:pPr>
    </w:p>
    <w:p>
      <w:pPr>
        <w:tabs>
          <w:tab w:val="left" w:pos="567"/>
        </w:tabs>
        <w:spacing w:line="360" w:lineRule="auto"/>
        <w:ind w:left="496" w:hanging="495" w:hangingChars="236"/>
        <w:jc w:val="both"/>
        <w:outlineLvl w:val="2"/>
        <w:rPr>
          <w:rFonts w:hAnsi="宋体" w:cs="宋体"/>
          <w:color w:val="auto"/>
          <w:kern w:val="2"/>
          <w:sz w:val="21"/>
          <w:szCs w:val="21"/>
          <w:lang w:val="zh-CN"/>
        </w:rPr>
      </w:pPr>
      <w:bookmarkStart w:id="67" w:name="_Toc6172"/>
      <w:bookmarkStart w:id="68" w:name="_Toc31212"/>
      <w:r>
        <w:rPr>
          <w:rFonts w:hint="eastAsia" w:hAnsi="宋体" w:cs="宋体"/>
          <w:color w:val="auto"/>
          <w:kern w:val="2"/>
          <w:sz w:val="21"/>
          <w:szCs w:val="21"/>
          <w:lang w:val="zh-CN"/>
        </w:rPr>
        <w:t xml:space="preserve">19 </w:t>
      </w:r>
      <w:r>
        <w:rPr>
          <w:rFonts w:hint="eastAsia" w:hAnsi="宋体" w:cs="宋体"/>
          <w:color w:val="auto"/>
          <w:kern w:val="2"/>
          <w:sz w:val="21"/>
          <w:szCs w:val="21"/>
        </w:rPr>
        <w:t xml:space="preserve">  </w:t>
      </w:r>
      <w:r>
        <w:rPr>
          <w:rFonts w:hint="eastAsia" w:hAnsi="宋体" w:cs="宋体"/>
          <w:color w:val="auto"/>
          <w:kern w:val="2"/>
          <w:sz w:val="21"/>
          <w:szCs w:val="21"/>
          <w:lang w:val="zh-CN"/>
        </w:rPr>
        <w:t>递交投标文件的截止日期</w:t>
      </w:r>
      <w:bookmarkEnd w:id="67"/>
      <w:bookmarkEnd w:id="68"/>
    </w:p>
    <w:p>
      <w:pPr>
        <w:tabs>
          <w:tab w:val="left" w:pos="567"/>
        </w:tabs>
        <w:spacing w:line="360" w:lineRule="auto"/>
        <w:ind w:left="567" w:hanging="567"/>
        <w:jc w:val="both"/>
        <w:rPr>
          <w:rFonts w:hAnsi="宋体" w:cs="宋体"/>
          <w:color w:val="auto"/>
          <w:kern w:val="2"/>
          <w:sz w:val="21"/>
          <w:szCs w:val="21"/>
          <w:lang w:val="zh-CN"/>
        </w:rPr>
      </w:pPr>
      <w:r>
        <w:rPr>
          <w:rFonts w:hint="eastAsia" w:hAnsi="宋体" w:cs="宋体"/>
          <w:color w:val="auto"/>
          <w:kern w:val="2"/>
          <w:sz w:val="21"/>
          <w:szCs w:val="21"/>
          <w:lang w:val="zh-CN"/>
        </w:rPr>
        <w:t>19.1</w:t>
      </w:r>
      <w:r>
        <w:rPr>
          <w:rFonts w:hint="eastAsia" w:hAnsi="宋体" w:cs="宋体"/>
          <w:color w:val="auto"/>
          <w:kern w:val="2"/>
          <w:sz w:val="21"/>
          <w:szCs w:val="21"/>
          <w:lang w:val="zh-CN"/>
        </w:rPr>
        <w:tab/>
      </w:r>
      <w:r>
        <w:rPr>
          <w:rFonts w:hint="eastAsia" w:hAnsi="宋体" w:cs="宋体"/>
          <w:color w:val="auto"/>
          <w:kern w:val="2"/>
          <w:sz w:val="21"/>
          <w:szCs w:val="21"/>
          <w:lang w:val="zh-CN"/>
        </w:rPr>
        <w:t>招标代理机构收到投标文件的时间不得迟于第一篇“招标公告”中规定的截止时间。</w:t>
      </w:r>
    </w:p>
    <w:p>
      <w:pPr>
        <w:spacing w:line="360" w:lineRule="auto"/>
        <w:ind w:left="567" w:hanging="567"/>
        <w:jc w:val="both"/>
        <w:rPr>
          <w:rFonts w:hAnsi="宋体" w:cs="宋体"/>
          <w:color w:val="auto"/>
          <w:kern w:val="2"/>
          <w:sz w:val="21"/>
          <w:szCs w:val="21"/>
          <w:lang w:val="zh-CN"/>
        </w:rPr>
      </w:pPr>
      <w:r>
        <w:rPr>
          <w:rFonts w:hint="eastAsia" w:hAnsi="宋体" w:cs="宋体"/>
          <w:color w:val="auto"/>
          <w:kern w:val="2"/>
          <w:sz w:val="21"/>
          <w:szCs w:val="21"/>
          <w:lang w:val="zh-CN"/>
        </w:rPr>
        <w:t>19.2</w:t>
      </w:r>
      <w:r>
        <w:rPr>
          <w:rFonts w:hint="eastAsia" w:hAnsi="宋体" w:cs="宋体"/>
          <w:color w:val="auto"/>
          <w:kern w:val="2"/>
          <w:sz w:val="21"/>
          <w:szCs w:val="21"/>
          <w:lang w:val="zh-CN"/>
        </w:rPr>
        <w:tab/>
      </w:r>
      <w:r>
        <w:rPr>
          <w:rFonts w:hint="eastAsia" w:hAnsi="宋体" w:cs="宋体"/>
          <w:color w:val="auto"/>
          <w:kern w:val="2"/>
          <w:sz w:val="21"/>
          <w:szCs w:val="21"/>
          <w:lang w:val="zh-CN"/>
        </w:rPr>
        <w:t>招标代理机构可按照第7条的规定修改招标文件并酌情延长递交投标文件的截止时间，因此，已规定的招标代理机构和投标人的一切权利和义务将按延期后的递交投标文件截止时间履行。</w:t>
      </w:r>
    </w:p>
    <w:p>
      <w:pPr>
        <w:spacing w:line="360" w:lineRule="auto"/>
        <w:ind w:right="18"/>
        <w:jc w:val="both"/>
        <w:rPr>
          <w:rFonts w:hAnsi="宋体" w:cs="宋体"/>
          <w:color w:val="auto"/>
          <w:kern w:val="2"/>
          <w:sz w:val="21"/>
          <w:szCs w:val="21"/>
          <w:lang w:val="zh-CN"/>
        </w:rPr>
      </w:pPr>
    </w:p>
    <w:p>
      <w:pPr>
        <w:tabs>
          <w:tab w:val="left" w:pos="567"/>
        </w:tabs>
        <w:spacing w:line="360" w:lineRule="auto"/>
        <w:ind w:left="496" w:hanging="495" w:hangingChars="236"/>
        <w:jc w:val="both"/>
        <w:outlineLvl w:val="2"/>
        <w:rPr>
          <w:rFonts w:hAnsi="宋体" w:cs="宋体"/>
          <w:color w:val="auto"/>
          <w:kern w:val="2"/>
          <w:sz w:val="21"/>
          <w:szCs w:val="21"/>
          <w:lang w:val="zh-CN"/>
        </w:rPr>
      </w:pPr>
      <w:bookmarkStart w:id="69" w:name="_Toc27456"/>
      <w:bookmarkStart w:id="70" w:name="_Toc15734"/>
      <w:r>
        <w:rPr>
          <w:rFonts w:hint="eastAsia" w:hAnsi="宋体" w:cs="宋体"/>
          <w:color w:val="auto"/>
          <w:kern w:val="2"/>
          <w:sz w:val="21"/>
          <w:szCs w:val="21"/>
          <w:lang w:val="zh-CN"/>
        </w:rPr>
        <w:t xml:space="preserve">20 </w:t>
      </w:r>
      <w:r>
        <w:rPr>
          <w:rFonts w:hint="eastAsia" w:hAnsi="宋体" w:cs="宋体"/>
          <w:color w:val="auto"/>
          <w:kern w:val="2"/>
          <w:sz w:val="21"/>
          <w:szCs w:val="21"/>
        </w:rPr>
        <w:t xml:space="preserve">  </w:t>
      </w:r>
      <w:r>
        <w:rPr>
          <w:rFonts w:hint="eastAsia" w:hAnsi="宋体" w:cs="宋体"/>
          <w:color w:val="auto"/>
          <w:kern w:val="2"/>
          <w:sz w:val="21"/>
          <w:szCs w:val="21"/>
          <w:lang w:val="zh-CN"/>
        </w:rPr>
        <w:t>迟交的投标文件</w:t>
      </w:r>
      <w:bookmarkEnd w:id="69"/>
      <w:bookmarkEnd w:id="70"/>
    </w:p>
    <w:p>
      <w:pPr>
        <w:spacing w:line="360" w:lineRule="auto"/>
        <w:ind w:left="425" w:leftChars="177"/>
        <w:jc w:val="both"/>
        <w:rPr>
          <w:rFonts w:hAnsi="宋体" w:cs="宋体"/>
          <w:color w:val="auto"/>
          <w:kern w:val="2"/>
          <w:sz w:val="21"/>
          <w:szCs w:val="21"/>
          <w:lang w:val="zh-CN"/>
        </w:rPr>
      </w:pPr>
      <w:r>
        <w:rPr>
          <w:rFonts w:hint="eastAsia" w:hAnsi="宋体" w:cs="宋体"/>
          <w:color w:val="auto"/>
          <w:kern w:val="2"/>
          <w:sz w:val="21"/>
          <w:szCs w:val="21"/>
          <w:lang w:val="zh-CN"/>
        </w:rPr>
        <w:t xml:space="preserve"> 根据第19条规定，招标代理机构将拒绝任何晚于递交投标文件的截止时间交到的投标文件。</w:t>
      </w:r>
    </w:p>
    <w:p>
      <w:pPr>
        <w:spacing w:line="360" w:lineRule="auto"/>
        <w:ind w:right="893"/>
        <w:jc w:val="both"/>
        <w:rPr>
          <w:rFonts w:hAnsi="宋体" w:cs="宋体"/>
          <w:color w:val="auto"/>
          <w:kern w:val="2"/>
          <w:sz w:val="21"/>
          <w:szCs w:val="21"/>
          <w:lang w:val="zh-CN"/>
        </w:rPr>
      </w:pPr>
    </w:p>
    <w:p>
      <w:pPr>
        <w:tabs>
          <w:tab w:val="left" w:pos="567"/>
        </w:tabs>
        <w:spacing w:line="360" w:lineRule="auto"/>
        <w:ind w:left="496" w:hanging="495" w:hangingChars="236"/>
        <w:jc w:val="both"/>
        <w:outlineLvl w:val="2"/>
        <w:rPr>
          <w:rFonts w:hAnsi="宋体" w:cs="宋体"/>
          <w:color w:val="auto"/>
          <w:kern w:val="2"/>
          <w:sz w:val="21"/>
          <w:szCs w:val="21"/>
          <w:lang w:val="zh-CN"/>
        </w:rPr>
      </w:pPr>
      <w:bookmarkStart w:id="71" w:name="_Toc28644"/>
      <w:bookmarkStart w:id="72" w:name="_Toc2316"/>
      <w:r>
        <w:rPr>
          <w:rFonts w:hint="eastAsia" w:hAnsi="宋体" w:cs="宋体"/>
          <w:color w:val="auto"/>
          <w:kern w:val="2"/>
          <w:sz w:val="21"/>
          <w:szCs w:val="21"/>
          <w:lang w:val="zh-CN"/>
        </w:rPr>
        <w:t xml:space="preserve">21 </w:t>
      </w:r>
      <w:r>
        <w:rPr>
          <w:rFonts w:hint="eastAsia" w:hAnsi="宋体" w:cs="宋体"/>
          <w:color w:val="auto"/>
          <w:kern w:val="2"/>
          <w:sz w:val="21"/>
          <w:szCs w:val="21"/>
        </w:rPr>
        <w:t xml:space="preserve">  </w:t>
      </w:r>
      <w:r>
        <w:rPr>
          <w:rFonts w:hint="eastAsia" w:hAnsi="宋体" w:cs="宋体"/>
          <w:color w:val="auto"/>
          <w:kern w:val="2"/>
          <w:sz w:val="21"/>
          <w:szCs w:val="21"/>
          <w:lang w:val="zh-CN"/>
        </w:rPr>
        <w:t>投标文件的修改和撤回</w:t>
      </w:r>
      <w:bookmarkEnd w:id="71"/>
      <w:bookmarkEnd w:id="72"/>
    </w:p>
    <w:p>
      <w:pPr>
        <w:tabs>
          <w:tab w:val="left" w:pos="567"/>
        </w:tabs>
        <w:spacing w:line="360" w:lineRule="auto"/>
        <w:ind w:left="567" w:right="18" w:hanging="567"/>
        <w:jc w:val="both"/>
        <w:rPr>
          <w:rFonts w:hAnsi="宋体" w:cs="宋体"/>
          <w:color w:val="auto"/>
          <w:kern w:val="2"/>
          <w:sz w:val="21"/>
          <w:szCs w:val="21"/>
          <w:lang w:val="zh-CN"/>
        </w:rPr>
      </w:pPr>
      <w:r>
        <w:rPr>
          <w:rFonts w:hint="eastAsia" w:hAnsi="宋体" w:cs="宋体"/>
          <w:color w:val="auto"/>
          <w:kern w:val="2"/>
          <w:sz w:val="21"/>
          <w:szCs w:val="21"/>
          <w:lang w:val="zh-CN"/>
        </w:rPr>
        <w:t>21.1</w:t>
      </w:r>
      <w:r>
        <w:rPr>
          <w:rFonts w:hint="eastAsia" w:hAnsi="宋体" w:cs="宋体"/>
          <w:color w:val="auto"/>
          <w:kern w:val="2"/>
          <w:sz w:val="21"/>
          <w:szCs w:val="21"/>
          <w:lang w:val="zh-CN"/>
        </w:rPr>
        <w:tab/>
      </w:r>
      <w:r>
        <w:rPr>
          <w:rFonts w:hint="eastAsia" w:hAnsi="宋体" w:cs="宋体"/>
          <w:color w:val="auto"/>
          <w:kern w:val="2"/>
          <w:sz w:val="21"/>
          <w:szCs w:val="21"/>
          <w:lang w:val="zh-CN"/>
        </w:rPr>
        <w:t>投标人在提交投标文件后可对其投标文件进行修改或撤回，但招标代理机构须在提交投标文件截止时间前收到该修改或撤回的书面通知。</w:t>
      </w:r>
    </w:p>
    <w:p>
      <w:pPr>
        <w:spacing w:line="360" w:lineRule="auto"/>
        <w:ind w:left="567" w:right="18" w:hanging="567"/>
        <w:jc w:val="both"/>
        <w:rPr>
          <w:rFonts w:hAnsi="宋体" w:cs="宋体"/>
          <w:color w:val="auto"/>
          <w:kern w:val="2"/>
          <w:sz w:val="21"/>
          <w:szCs w:val="21"/>
          <w:lang w:val="zh-CN"/>
        </w:rPr>
      </w:pPr>
      <w:r>
        <w:rPr>
          <w:rFonts w:hint="eastAsia" w:hAnsi="宋体" w:cs="宋体"/>
          <w:color w:val="auto"/>
          <w:kern w:val="2"/>
          <w:sz w:val="21"/>
          <w:szCs w:val="21"/>
          <w:lang w:val="zh-CN"/>
        </w:rPr>
        <w:t>21.2</w:t>
      </w:r>
      <w:r>
        <w:rPr>
          <w:rFonts w:hint="eastAsia" w:hAnsi="宋体" w:cs="宋体"/>
          <w:color w:val="auto"/>
          <w:kern w:val="2"/>
          <w:sz w:val="21"/>
          <w:szCs w:val="21"/>
          <w:lang w:val="zh-CN"/>
        </w:rPr>
        <w:tab/>
      </w:r>
      <w:r>
        <w:rPr>
          <w:rFonts w:hint="eastAsia" w:hAnsi="宋体" w:cs="宋体"/>
          <w:color w:val="auto"/>
          <w:kern w:val="2"/>
          <w:sz w:val="21"/>
          <w:szCs w:val="21"/>
          <w:lang w:val="zh-CN"/>
        </w:rPr>
        <w:t>投标人对投标文件的修改或撤回的通知应按第17条和第18条规定进行准备、密封、标注和递送。</w:t>
      </w:r>
    </w:p>
    <w:p>
      <w:pPr>
        <w:spacing w:line="360" w:lineRule="auto"/>
        <w:ind w:left="567" w:right="18" w:hanging="567"/>
        <w:jc w:val="both"/>
        <w:rPr>
          <w:rFonts w:hAnsi="宋体" w:cs="宋体"/>
          <w:color w:val="auto"/>
          <w:kern w:val="2"/>
          <w:sz w:val="21"/>
          <w:szCs w:val="21"/>
          <w:lang w:val="zh-CN"/>
        </w:rPr>
      </w:pPr>
      <w:r>
        <w:rPr>
          <w:rFonts w:hint="eastAsia" w:hAnsi="宋体" w:cs="宋体"/>
          <w:color w:val="auto"/>
          <w:kern w:val="2"/>
          <w:sz w:val="21"/>
          <w:szCs w:val="21"/>
          <w:lang w:val="zh-CN"/>
        </w:rPr>
        <w:t>21.3</w:t>
      </w:r>
      <w:r>
        <w:rPr>
          <w:rFonts w:hint="eastAsia" w:hAnsi="宋体" w:cs="宋体"/>
          <w:color w:val="auto"/>
          <w:kern w:val="2"/>
          <w:sz w:val="21"/>
          <w:szCs w:val="21"/>
          <w:lang w:val="zh-CN"/>
        </w:rPr>
        <w:tab/>
      </w:r>
      <w:r>
        <w:rPr>
          <w:rFonts w:hint="eastAsia" w:hAnsi="宋体" w:cs="宋体"/>
          <w:color w:val="auto"/>
          <w:kern w:val="2"/>
          <w:sz w:val="21"/>
          <w:szCs w:val="21"/>
          <w:lang w:val="zh-CN"/>
        </w:rPr>
        <w:t>递交投标文件截止时间后不得修改投标文件。</w:t>
      </w:r>
    </w:p>
    <w:p>
      <w:pPr>
        <w:spacing w:line="360" w:lineRule="auto"/>
        <w:ind w:left="567" w:right="18" w:hanging="567"/>
        <w:jc w:val="both"/>
        <w:rPr>
          <w:rFonts w:hAnsi="宋体" w:cs="宋体"/>
          <w:color w:val="auto"/>
          <w:kern w:val="2"/>
          <w:sz w:val="21"/>
          <w:szCs w:val="21"/>
          <w:lang w:val="zh-CN"/>
        </w:rPr>
      </w:pPr>
      <w:r>
        <w:rPr>
          <w:rFonts w:hint="eastAsia" w:hAnsi="宋体" w:cs="宋体"/>
          <w:color w:val="auto"/>
          <w:kern w:val="2"/>
          <w:sz w:val="21"/>
          <w:szCs w:val="21"/>
          <w:lang w:val="zh-CN"/>
        </w:rPr>
        <w:t>21.4</w:t>
      </w:r>
      <w:r>
        <w:rPr>
          <w:rFonts w:hint="eastAsia" w:hAnsi="宋体" w:cs="宋体"/>
          <w:color w:val="auto"/>
          <w:kern w:val="2"/>
          <w:sz w:val="21"/>
          <w:szCs w:val="21"/>
          <w:lang w:val="zh-CN"/>
        </w:rPr>
        <w:tab/>
      </w:r>
      <w:r>
        <w:rPr>
          <w:rFonts w:hint="eastAsia" w:hAnsi="宋体" w:cs="宋体"/>
          <w:color w:val="auto"/>
          <w:kern w:val="2"/>
          <w:sz w:val="21"/>
          <w:szCs w:val="21"/>
          <w:lang w:val="zh-CN"/>
        </w:rPr>
        <w:t>投标人不得在递交投标文件截止时间起至第16条规定的投标文件有效期期满前撤销投标文件。否则招标代理机构将按第15.7款（1）规定不予退还其投标保证金。</w:t>
      </w:r>
    </w:p>
    <w:p>
      <w:pPr>
        <w:spacing w:line="360" w:lineRule="auto"/>
        <w:ind w:left="567" w:right="18" w:hanging="567"/>
        <w:jc w:val="both"/>
        <w:rPr>
          <w:rFonts w:hAnsi="宋体" w:cs="宋体"/>
          <w:color w:val="auto"/>
          <w:kern w:val="2"/>
          <w:sz w:val="21"/>
          <w:szCs w:val="21"/>
          <w:lang w:val="zh-CN"/>
        </w:rPr>
      </w:pPr>
    </w:p>
    <w:p>
      <w:pPr>
        <w:pStyle w:val="36"/>
        <w:numPr>
          <w:ilvl w:val="1"/>
          <w:numId w:val="5"/>
        </w:numPr>
        <w:tabs>
          <w:tab w:val="left" w:pos="567"/>
        </w:tabs>
        <w:spacing w:before="0" w:after="0" w:line="360" w:lineRule="auto"/>
        <w:ind w:left="0" w:firstLine="0"/>
        <w:jc w:val="left"/>
        <w:rPr>
          <w:rFonts w:ascii="宋体" w:hAnsi="宋体" w:cs="宋体"/>
          <w:bCs w:val="0"/>
          <w:color w:val="auto"/>
          <w:kern w:val="44"/>
          <w:sz w:val="21"/>
          <w:szCs w:val="21"/>
          <w:lang w:val="zh-CN"/>
        </w:rPr>
      </w:pPr>
      <w:bookmarkStart w:id="73" w:name="_Toc28887"/>
      <w:bookmarkStart w:id="74" w:name="_Toc447044473"/>
      <w:bookmarkStart w:id="75" w:name="_Toc447044597"/>
      <w:bookmarkStart w:id="76" w:name="_Toc10561"/>
      <w:bookmarkStart w:id="77" w:name="_Toc447045084"/>
      <w:r>
        <w:rPr>
          <w:rFonts w:hint="eastAsia" w:ascii="宋体" w:hAnsi="宋体" w:cs="宋体"/>
          <w:bCs w:val="0"/>
          <w:color w:val="auto"/>
          <w:kern w:val="44"/>
          <w:sz w:val="21"/>
          <w:szCs w:val="21"/>
          <w:lang w:val="zh-CN"/>
        </w:rPr>
        <w:t>开标与评标</w:t>
      </w:r>
      <w:bookmarkEnd w:id="73"/>
      <w:bookmarkEnd w:id="74"/>
      <w:bookmarkEnd w:id="75"/>
      <w:bookmarkEnd w:id="76"/>
      <w:bookmarkEnd w:id="77"/>
    </w:p>
    <w:p>
      <w:pPr>
        <w:tabs>
          <w:tab w:val="left" w:pos="567"/>
        </w:tabs>
        <w:spacing w:line="360" w:lineRule="auto"/>
        <w:ind w:left="496" w:hanging="495" w:hangingChars="236"/>
        <w:jc w:val="both"/>
        <w:outlineLvl w:val="2"/>
        <w:rPr>
          <w:rFonts w:hAnsi="宋体" w:cs="宋体"/>
          <w:color w:val="auto"/>
          <w:kern w:val="2"/>
          <w:sz w:val="21"/>
          <w:szCs w:val="21"/>
          <w:lang w:val="zh-CN"/>
        </w:rPr>
      </w:pPr>
      <w:bookmarkStart w:id="78" w:name="_Toc26171"/>
      <w:bookmarkStart w:id="79" w:name="_Toc12033"/>
      <w:r>
        <w:rPr>
          <w:rFonts w:hint="eastAsia" w:hAnsi="宋体" w:cs="宋体"/>
          <w:color w:val="auto"/>
          <w:kern w:val="2"/>
          <w:sz w:val="21"/>
          <w:szCs w:val="21"/>
          <w:lang w:val="zh-CN"/>
        </w:rPr>
        <w:t xml:space="preserve">22 </w:t>
      </w:r>
      <w:r>
        <w:rPr>
          <w:rFonts w:hint="eastAsia" w:hAnsi="宋体" w:cs="宋体"/>
          <w:color w:val="auto"/>
          <w:kern w:val="2"/>
          <w:sz w:val="21"/>
          <w:szCs w:val="21"/>
        </w:rPr>
        <w:t xml:space="preserve">  </w:t>
      </w:r>
      <w:r>
        <w:rPr>
          <w:rFonts w:hint="eastAsia" w:hAnsi="宋体" w:cs="宋体"/>
          <w:color w:val="auto"/>
          <w:kern w:val="2"/>
          <w:sz w:val="21"/>
          <w:szCs w:val="21"/>
          <w:lang w:val="zh-CN"/>
        </w:rPr>
        <w:t>开标</w:t>
      </w:r>
      <w:bookmarkEnd w:id="78"/>
      <w:bookmarkEnd w:id="79"/>
    </w:p>
    <w:p>
      <w:pPr>
        <w:tabs>
          <w:tab w:val="left" w:pos="567"/>
        </w:tabs>
        <w:spacing w:line="360" w:lineRule="auto"/>
        <w:ind w:left="567" w:right="18" w:hanging="567"/>
        <w:jc w:val="both"/>
        <w:rPr>
          <w:rFonts w:hAnsi="宋体" w:cs="宋体"/>
          <w:color w:val="auto"/>
          <w:kern w:val="2"/>
          <w:sz w:val="21"/>
          <w:szCs w:val="21"/>
          <w:lang w:val="zh-CN"/>
        </w:rPr>
      </w:pPr>
      <w:r>
        <w:rPr>
          <w:rFonts w:hint="eastAsia" w:hAnsi="宋体" w:cs="宋体"/>
          <w:color w:val="auto"/>
          <w:kern w:val="2"/>
          <w:sz w:val="21"/>
          <w:szCs w:val="21"/>
          <w:lang w:val="zh-CN"/>
        </w:rPr>
        <w:t>22.1</w:t>
      </w:r>
      <w:r>
        <w:rPr>
          <w:rFonts w:hint="eastAsia" w:hAnsi="宋体" w:cs="宋体"/>
          <w:color w:val="auto"/>
          <w:kern w:val="2"/>
          <w:sz w:val="21"/>
          <w:szCs w:val="21"/>
          <w:lang w:val="zh-CN"/>
        </w:rPr>
        <w:tab/>
      </w:r>
      <w:r>
        <w:rPr>
          <w:rFonts w:hint="eastAsia" w:hAnsi="宋体" w:cs="宋体"/>
          <w:color w:val="auto"/>
          <w:kern w:val="2"/>
          <w:sz w:val="21"/>
          <w:szCs w:val="21"/>
          <w:lang w:val="zh-CN"/>
        </w:rPr>
        <w:t>招标代理机构在投标人代表自愿出席的情况下，在第一篇“招标公告”规定的地点和时间开标，出席代表需登记以示出席。</w:t>
      </w:r>
    </w:p>
    <w:p>
      <w:pPr>
        <w:tabs>
          <w:tab w:val="left" w:pos="567"/>
        </w:tabs>
        <w:spacing w:line="360" w:lineRule="auto"/>
        <w:ind w:left="567" w:right="18" w:hanging="567"/>
        <w:jc w:val="both"/>
        <w:rPr>
          <w:rFonts w:hAnsi="宋体" w:cs="宋体"/>
          <w:color w:val="auto"/>
          <w:kern w:val="2"/>
          <w:sz w:val="21"/>
          <w:szCs w:val="21"/>
          <w:lang w:val="zh-CN"/>
        </w:rPr>
      </w:pPr>
      <w:r>
        <w:rPr>
          <w:rFonts w:hint="eastAsia" w:hAnsi="宋体" w:cs="宋体"/>
          <w:color w:val="auto"/>
          <w:kern w:val="2"/>
          <w:sz w:val="21"/>
          <w:szCs w:val="21"/>
          <w:lang w:val="zh-CN"/>
        </w:rPr>
        <w:t>22.2</w:t>
      </w:r>
      <w:r>
        <w:rPr>
          <w:rFonts w:hint="eastAsia" w:hAnsi="宋体" w:cs="宋体"/>
          <w:color w:val="auto"/>
          <w:kern w:val="2"/>
          <w:sz w:val="21"/>
          <w:szCs w:val="21"/>
          <w:lang w:val="zh-CN"/>
        </w:rPr>
        <w:tab/>
      </w:r>
      <w:r>
        <w:rPr>
          <w:rFonts w:hint="eastAsia" w:hAnsi="宋体" w:cs="宋体"/>
          <w:color w:val="auto"/>
          <w:kern w:val="2"/>
          <w:sz w:val="21"/>
          <w:szCs w:val="21"/>
          <w:lang w:val="zh-CN"/>
        </w:rPr>
        <w:t>按照第21条规定，提交了可接受的“撤回”通知的投标文件将不予开封。</w:t>
      </w:r>
    </w:p>
    <w:p>
      <w:pPr>
        <w:tabs>
          <w:tab w:val="left" w:pos="567"/>
        </w:tabs>
        <w:spacing w:line="360" w:lineRule="auto"/>
        <w:ind w:left="567" w:right="18" w:hanging="567"/>
        <w:jc w:val="both"/>
        <w:rPr>
          <w:rFonts w:hAnsi="宋体" w:cs="宋体"/>
          <w:color w:val="auto"/>
          <w:kern w:val="2"/>
          <w:sz w:val="21"/>
          <w:szCs w:val="21"/>
        </w:rPr>
      </w:pPr>
      <w:r>
        <w:rPr>
          <w:rFonts w:hint="eastAsia" w:hAnsi="宋体" w:cs="宋体"/>
          <w:color w:val="auto"/>
          <w:kern w:val="2"/>
          <w:sz w:val="21"/>
          <w:szCs w:val="21"/>
          <w:lang w:val="zh-CN"/>
        </w:rPr>
        <w:t>22.3 开标时，招标代理机构将当众宣读投标人名称以及招标代理机构认为合适的其他内容。若招标代理机构宣读的结果与投标文件不符时，投标人有权在开标现场提出异议，经有关监督人员当场核查确认之后，可重新宣读其投标文件相关内容。若投标人现场未提出异议，则视为投标人确认宣读的结果。</w:t>
      </w:r>
    </w:p>
    <w:p>
      <w:pPr>
        <w:tabs>
          <w:tab w:val="left" w:pos="567"/>
        </w:tabs>
        <w:spacing w:line="360" w:lineRule="auto"/>
        <w:ind w:left="567" w:right="18" w:hanging="567"/>
        <w:jc w:val="both"/>
        <w:rPr>
          <w:rFonts w:hAnsi="宋体" w:cs="宋体"/>
          <w:color w:val="auto"/>
          <w:sz w:val="21"/>
        </w:rPr>
      </w:pPr>
      <w:r>
        <w:rPr>
          <w:rFonts w:hint="eastAsia" w:hAnsi="宋体" w:cs="宋体"/>
          <w:color w:val="auto"/>
          <w:sz w:val="21"/>
        </w:rPr>
        <w:t xml:space="preserve">22.4 </w:t>
      </w:r>
      <w:r>
        <w:rPr>
          <w:rFonts w:hint="eastAsia" w:hAnsi="宋体" w:cs="宋体"/>
          <w:color w:val="auto"/>
          <w:kern w:val="2"/>
          <w:sz w:val="21"/>
          <w:szCs w:val="21"/>
          <w:lang w:val="zh-CN"/>
        </w:rPr>
        <w:t>对不同文字文本投标文件的解释发生异议的，以中文文本为准。</w:t>
      </w:r>
    </w:p>
    <w:p>
      <w:pPr>
        <w:tabs>
          <w:tab w:val="left" w:pos="567"/>
        </w:tabs>
        <w:spacing w:line="360" w:lineRule="auto"/>
        <w:ind w:left="567" w:right="18" w:hanging="567"/>
        <w:jc w:val="both"/>
        <w:rPr>
          <w:rFonts w:hAnsi="宋体" w:cs="宋体"/>
          <w:color w:val="auto"/>
          <w:sz w:val="21"/>
        </w:rPr>
      </w:pPr>
      <w:r>
        <w:rPr>
          <w:rFonts w:hint="eastAsia" w:hAnsi="宋体" w:cs="宋体"/>
          <w:color w:val="auto"/>
          <w:sz w:val="21"/>
        </w:rPr>
        <w:t>22.5 投标人对开标有异议的，应当在开标现场提出，招标代理机构应当当场作出答复，并制作记录。</w:t>
      </w:r>
    </w:p>
    <w:p>
      <w:pPr>
        <w:tabs>
          <w:tab w:val="left" w:pos="567"/>
        </w:tabs>
        <w:spacing w:line="360" w:lineRule="auto"/>
        <w:ind w:left="567" w:right="18" w:hanging="567"/>
        <w:jc w:val="both"/>
        <w:rPr>
          <w:rFonts w:hAnsi="宋体" w:cs="宋体"/>
          <w:color w:val="auto"/>
          <w:sz w:val="21"/>
          <w:szCs w:val="21"/>
        </w:rPr>
      </w:pPr>
      <w:r>
        <w:rPr>
          <w:rFonts w:hint="eastAsia" w:hAnsi="宋体" w:cs="宋体"/>
          <w:color w:val="auto"/>
          <w:kern w:val="2"/>
          <w:sz w:val="21"/>
          <w:szCs w:val="21"/>
          <w:lang w:val="zh-CN"/>
        </w:rPr>
        <w:t>22.</w:t>
      </w:r>
      <w:r>
        <w:rPr>
          <w:rFonts w:hint="eastAsia" w:hAnsi="宋体" w:cs="宋体"/>
          <w:color w:val="auto"/>
          <w:kern w:val="2"/>
          <w:sz w:val="21"/>
          <w:szCs w:val="21"/>
        </w:rPr>
        <w:t>6</w:t>
      </w:r>
      <w:r>
        <w:rPr>
          <w:rFonts w:hint="eastAsia" w:hAnsi="宋体" w:cs="宋体"/>
          <w:color w:val="auto"/>
          <w:kern w:val="2"/>
          <w:sz w:val="21"/>
          <w:szCs w:val="21"/>
          <w:lang w:val="zh-CN"/>
        </w:rPr>
        <w:t xml:space="preserve"> </w:t>
      </w:r>
      <w:r>
        <w:rPr>
          <w:rFonts w:hint="eastAsia" w:hAnsi="宋体" w:cs="宋体"/>
          <w:color w:val="auto"/>
          <w:sz w:val="21"/>
        </w:rPr>
        <w:t>招标代理机构将做开标记录，</w:t>
      </w:r>
      <w:r>
        <w:rPr>
          <w:rFonts w:hint="eastAsia" w:hAnsi="宋体" w:cs="宋体"/>
          <w:color w:val="auto"/>
          <w:sz w:val="21"/>
          <w:szCs w:val="21"/>
        </w:rPr>
        <w:t>开标记录包括第22.5款发生的异议及答复、按第22.3款的规定在开标时宣读的全部内容。</w:t>
      </w:r>
    </w:p>
    <w:p>
      <w:pPr>
        <w:spacing w:line="360" w:lineRule="auto"/>
        <w:ind w:right="893"/>
        <w:jc w:val="both"/>
        <w:rPr>
          <w:rFonts w:hAnsi="宋体" w:cs="宋体"/>
          <w:color w:val="auto"/>
          <w:kern w:val="2"/>
          <w:sz w:val="21"/>
          <w:szCs w:val="21"/>
        </w:rPr>
      </w:pPr>
    </w:p>
    <w:p>
      <w:pPr>
        <w:tabs>
          <w:tab w:val="left" w:pos="567"/>
        </w:tabs>
        <w:spacing w:line="360" w:lineRule="auto"/>
        <w:ind w:left="496" w:hanging="495" w:hangingChars="236"/>
        <w:jc w:val="both"/>
        <w:outlineLvl w:val="2"/>
        <w:rPr>
          <w:rFonts w:hAnsi="宋体" w:cs="宋体"/>
          <w:color w:val="auto"/>
          <w:kern w:val="2"/>
          <w:sz w:val="21"/>
          <w:szCs w:val="21"/>
          <w:lang w:val="zh-CN"/>
        </w:rPr>
      </w:pPr>
      <w:bookmarkStart w:id="80" w:name="_Toc6789"/>
      <w:bookmarkStart w:id="81" w:name="_Toc12565"/>
      <w:r>
        <w:rPr>
          <w:rFonts w:hint="eastAsia" w:hAnsi="宋体" w:cs="宋体"/>
          <w:color w:val="auto"/>
          <w:kern w:val="2"/>
          <w:sz w:val="21"/>
          <w:szCs w:val="21"/>
          <w:lang w:val="zh-CN"/>
        </w:rPr>
        <w:t>23</w:t>
      </w:r>
      <w:r>
        <w:rPr>
          <w:rFonts w:hint="eastAsia" w:hAnsi="宋体" w:cs="宋体"/>
          <w:color w:val="auto"/>
          <w:kern w:val="2"/>
          <w:sz w:val="21"/>
          <w:szCs w:val="21"/>
        </w:rPr>
        <w:t xml:space="preserve">   </w:t>
      </w:r>
      <w:r>
        <w:rPr>
          <w:rFonts w:hint="eastAsia" w:hAnsi="宋体" w:cs="宋体"/>
          <w:color w:val="auto"/>
          <w:kern w:val="2"/>
          <w:sz w:val="21"/>
          <w:szCs w:val="21"/>
          <w:lang w:val="zh-CN"/>
        </w:rPr>
        <w:t xml:space="preserve"> </w:t>
      </w:r>
      <w:r>
        <w:rPr>
          <w:rFonts w:hint="eastAsia" w:hAnsi="宋体" w:cs="宋体"/>
          <w:color w:val="auto"/>
          <w:sz w:val="21"/>
        </w:rPr>
        <w:t>评标过程的保密性</w:t>
      </w:r>
      <w:bookmarkEnd w:id="80"/>
      <w:bookmarkEnd w:id="81"/>
    </w:p>
    <w:p>
      <w:pPr>
        <w:tabs>
          <w:tab w:val="left" w:pos="567"/>
        </w:tabs>
        <w:spacing w:line="360" w:lineRule="auto"/>
        <w:ind w:left="567" w:right="18" w:hanging="567"/>
        <w:jc w:val="both"/>
        <w:rPr>
          <w:rFonts w:hAnsi="宋体" w:cs="宋体"/>
          <w:color w:val="auto"/>
          <w:kern w:val="2"/>
          <w:sz w:val="21"/>
          <w:szCs w:val="21"/>
          <w:lang w:val="zh-CN"/>
        </w:rPr>
      </w:pPr>
      <w:r>
        <w:rPr>
          <w:rFonts w:hint="eastAsia" w:hAnsi="宋体" w:cs="宋体"/>
          <w:color w:val="auto"/>
          <w:kern w:val="2"/>
          <w:sz w:val="21"/>
          <w:szCs w:val="21"/>
          <w:lang w:val="zh-CN"/>
        </w:rPr>
        <w:t>23.1</w:t>
      </w:r>
      <w:r>
        <w:rPr>
          <w:rFonts w:hint="eastAsia" w:hAnsi="宋体" w:cs="宋体"/>
          <w:color w:val="auto"/>
          <w:kern w:val="2"/>
          <w:sz w:val="21"/>
          <w:szCs w:val="21"/>
          <w:lang w:val="zh-CN"/>
        </w:rPr>
        <w:tab/>
      </w:r>
      <w:r>
        <w:rPr>
          <w:rFonts w:hint="eastAsia" w:hAnsi="宋体" w:cs="宋体"/>
          <w:color w:val="auto"/>
          <w:kern w:val="2"/>
          <w:sz w:val="21"/>
          <w:szCs w:val="21"/>
          <w:lang w:val="zh-CN"/>
        </w:rPr>
        <w:t>递交投标文件后，直至向中标人授予合同时止，凡与审查、澄清、评估的有关资料以及意见等，均不得向投标人及与评审无关的其他人透露，否则追究有关当事人的法律责任。</w:t>
      </w:r>
    </w:p>
    <w:p>
      <w:pPr>
        <w:tabs>
          <w:tab w:val="left" w:pos="567"/>
        </w:tabs>
        <w:spacing w:line="360" w:lineRule="auto"/>
        <w:ind w:left="567" w:right="18" w:hanging="567"/>
        <w:jc w:val="both"/>
        <w:rPr>
          <w:rFonts w:hAnsi="宋体" w:cs="宋体"/>
          <w:b/>
          <w:color w:val="auto"/>
          <w:kern w:val="2"/>
          <w:sz w:val="21"/>
          <w:szCs w:val="21"/>
          <w:lang w:val="zh-CN"/>
        </w:rPr>
      </w:pPr>
      <w:r>
        <w:rPr>
          <w:rFonts w:hint="eastAsia" w:hAnsi="宋体" w:cs="宋体"/>
          <w:color w:val="auto"/>
          <w:kern w:val="2"/>
          <w:sz w:val="21"/>
          <w:szCs w:val="21"/>
          <w:lang w:val="zh-CN"/>
        </w:rPr>
        <w:t>23.2</w:t>
      </w:r>
      <w:r>
        <w:rPr>
          <w:rFonts w:hint="eastAsia" w:hAnsi="宋体" w:cs="宋体"/>
          <w:color w:val="auto"/>
          <w:kern w:val="2"/>
          <w:sz w:val="21"/>
          <w:szCs w:val="21"/>
          <w:lang w:val="zh-CN"/>
        </w:rPr>
        <w:tab/>
      </w:r>
      <w:r>
        <w:rPr>
          <w:rFonts w:hint="eastAsia" w:hAnsi="宋体" w:cs="宋体"/>
          <w:b/>
          <w:color w:val="auto"/>
          <w:kern w:val="2"/>
          <w:sz w:val="21"/>
          <w:szCs w:val="21"/>
          <w:lang w:val="zh-CN"/>
        </w:rPr>
        <w:t>在评标过程中，如果投标人试图在投标文件审查、澄清、比较及授予合同方面向招标代理机构和招标人施加任何影响，其投标文件将被拒绝。</w:t>
      </w:r>
    </w:p>
    <w:p>
      <w:pPr>
        <w:spacing w:line="360" w:lineRule="auto"/>
        <w:ind w:right="18"/>
        <w:jc w:val="both"/>
        <w:rPr>
          <w:rFonts w:hAnsi="宋体" w:cs="宋体"/>
          <w:color w:val="auto"/>
          <w:kern w:val="2"/>
          <w:sz w:val="21"/>
          <w:szCs w:val="21"/>
          <w:lang w:val="zh-CN"/>
        </w:rPr>
      </w:pPr>
    </w:p>
    <w:p>
      <w:pPr>
        <w:tabs>
          <w:tab w:val="left" w:pos="567"/>
        </w:tabs>
        <w:spacing w:line="360" w:lineRule="auto"/>
        <w:ind w:left="496" w:hanging="495" w:hangingChars="236"/>
        <w:jc w:val="both"/>
        <w:outlineLvl w:val="2"/>
        <w:rPr>
          <w:rFonts w:hAnsi="宋体" w:cs="宋体"/>
          <w:color w:val="auto"/>
          <w:kern w:val="2"/>
          <w:sz w:val="21"/>
          <w:szCs w:val="21"/>
          <w:lang w:val="zh-CN"/>
        </w:rPr>
      </w:pPr>
      <w:bookmarkStart w:id="82" w:name="_Toc2226"/>
      <w:bookmarkStart w:id="83" w:name="_Toc23952"/>
      <w:r>
        <w:rPr>
          <w:rFonts w:hint="eastAsia" w:hAnsi="宋体" w:cs="宋体"/>
          <w:color w:val="auto"/>
          <w:kern w:val="2"/>
          <w:sz w:val="21"/>
          <w:szCs w:val="21"/>
          <w:lang w:val="zh-CN"/>
        </w:rPr>
        <w:t xml:space="preserve">24 </w:t>
      </w:r>
      <w:r>
        <w:rPr>
          <w:rFonts w:hint="eastAsia" w:hAnsi="宋体" w:cs="宋体"/>
          <w:color w:val="auto"/>
          <w:kern w:val="2"/>
          <w:sz w:val="21"/>
          <w:szCs w:val="21"/>
        </w:rPr>
        <w:t xml:space="preserve">  </w:t>
      </w:r>
      <w:r>
        <w:rPr>
          <w:rFonts w:hint="eastAsia" w:hAnsi="宋体" w:cs="宋体"/>
          <w:color w:val="auto"/>
          <w:kern w:val="2"/>
          <w:sz w:val="21"/>
          <w:szCs w:val="21"/>
          <w:lang w:val="zh-CN"/>
        </w:rPr>
        <w:t>评标委员会</w:t>
      </w:r>
      <w:bookmarkEnd w:id="82"/>
      <w:bookmarkEnd w:id="83"/>
    </w:p>
    <w:p>
      <w:pPr>
        <w:tabs>
          <w:tab w:val="left" w:pos="567"/>
        </w:tabs>
        <w:spacing w:line="360" w:lineRule="auto"/>
        <w:ind w:left="567" w:hanging="567"/>
        <w:jc w:val="both"/>
        <w:rPr>
          <w:rFonts w:hAnsi="宋体" w:cs="宋体"/>
          <w:color w:val="auto"/>
          <w:kern w:val="2"/>
          <w:sz w:val="21"/>
          <w:szCs w:val="21"/>
          <w:lang w:val="zh-CN"/>
        </w:rPr>
      </w:pPr>
      <w:r>
        <w:rPr>
          <w:rFonts w:hint="eastAsia" w:hAnsi="宋体" w:cs="宋体"/>
          <w:color w:val="auto"/>
          <w:kern w:val="2"/>
          <w:sz w:val="21"/>
          <w:szCs w:val="21"/>
          <w:lang w:val="zh-CN"/>
        </w:rPr>
        <w:t>24.1</w:t>
      </w:r>
      <w:r>
        <w:rPr>
          <w:rFonts w:hint="eastAsia" w:hAnsi="宋体" w:cs="宋体"/>
          <w:color w:val="auto"/>
          <w:kern w:val="2"/>
          <w:sz w:val="21"/>
          <w:szCs w:val="21"/>
          <w:lang w:val="zh-CN"/>
        </w:rPr>
        <w:tab/>
      </w:r>
      <w:r>
        <w:rPr>
          <w:rFonts w:hint="eastAsia" w:hAnsi="宋体" w:cs="宋体"/>
          <w:color w:val="auto"/>
          <w:kern w:val="2"/>
          <w:sz w:val="21"/>
          <w:szCs w:val="21"/>
          <w:lang w:val="zh-CN"/>
        </w:rPr>
        <w:t>依法组建评标委员会。评标委员会的成员在评审过程中必须严格遵守国家及地方招标投标的有关规定。</w:t>
      </w:r>
    </w:p>
    <w:p>
      <w:pPr>
        <w:spacing w:line="360" w:lineRule="auto"/>
        <w:ind w:left="567" w:hanging="567"/>
        <w:jc w:val="both"/>
        <w:rPr>
          <w:rFonts w:hAnsi="宋体" w:cs="宋体"/>
          <w:color w:val="auto"/>
          <w:kern w:val="2"/>
          <w:sz w:val="21"/>
          <w:szCs w:val="21"/>
          <w:lang w:val="zh-CN"/>
        </w:rPr>
      </w:pPr>
      <w:r>
        <w:rPr>
          <w:rFonts w:hint="eastAsia" w:hAnsi="宋体" w:cs="宋体"/>
          <w:color w:val="auto"/>
          <w:kern w:val="2"/>
          <w:sz w:val="21"/>
          <w:szCs w:val="21"/>
          <w:lang w:val="zh-CN"/>
        </w:rPr>
        <w:t>24.2</w:t>
      </w:r>
      <w:r>
        <w:rPr>
          <w:rFonts w:hint="eastAsia" w:hAnsi="宋体" w:cs="宋体"/>
          <w:color w:val="auto"/>
          <w:kern w:val="2"/>
          <w:sz w:val="21"/>
          <w:szCs w:val="21"/>
          <w:lang w:val="zh-CN"/>
        </w:rPr>
        <w:tab/>
      </w:r>
      <w:r>
        <w:rPr>
          <w:rFonts w:hint="eastAsia" w:hAnsi="宋体" w:cs="宋体"/>
          <w:color w:val="auto"/>
          <w:kern w:val="2"/>
          <w:sz w:val="21"/>
          <w:szCs w:val="21"/>
          <w:lang w:val="zh-CN"/>
        </w:rPr>
        <w:t>评标委员会依法根据招标文件的规定，进行投标文件的评审、得出评审结果，并向招标人推荐中标候选人。</w:t>
      </w:r>
    </w:p>
    <w:p>
      <w:pPr>
        <w:spacing w:line="360" w:lineRule="auto"/>
        <w:ind w:right="893"/>
        <w:jc w:val="both"/>
        <w:rPr>
          <w:rFonts w:hAnsi="宋体" w:cs="宋体"/>
          <w:color w:val="auto"/>
          <w:kern w:val="2"/>
          <w:sz w:val="21"/>
          <w:szCs w:val="21"/>
          <w:lang w:val="zh-CN"/>
        </w:rPr>
      </w:pPr>
    </w:p>
    <w:p>
      <w:pPr>
        <w:tabs>
          <w:tab w:val="left" w:pos="567"/>
        </w:tabs>
        <w:spacing w:line="360" w:lineRule="auto"/>
        <w:ind w:left="496" w:hanging="495" w:hangingChars="236"/>
        <w:jc w:val="both"/>
        <w:outlineLvl w:val="2"/>
        <w:rPr>
          <w:rFonts w:hAnsi="宋体" w:cs="宋体"/>
          <w:b/>
          <w:color w:val="auto"/>
          <w:kern w:val="2"/>
          <w:sz w:val="21"/>
          <w:szCs w:val="21"/>
          <w:lang w:val="zh-CN"/>
        </w:rPr>
      </w:pPr>
      <w:bookmarkStart w:id="84" w:name="_Toc14828"/>
      <w:bookmarkStart w:id="85" w:name="_Toc956"/>
      <w:r>
        <w:rPr>
          <w:rFonts w:hint="eastAsia" w:hAnsi="宋体" w:cs="宋体"/>
          <w:color w:val="auto"/>
          <w:kern w:val="2"/>
          <w:sz w:val="21"/>
          <w:szCs w:val="21"/>
          <w:lang w:val="zh-CN"/>
        </w:rPr>
        <w:t xml:space="preserve">25 </w:t>
      </w:r>
      <w:r>
        <w:rPr>
          <w:rFonts w:hint="eastAsia" w:hAnsi="宋体" w:cs="宋体"/>
          <w:color w:val="auto"/>
          <w:kern w:val="2"/>
          <w:sz w:val="21"/>
          <w:szCs w:val="21"/>
        </w:rPr>
        <w:t xml:space="preserve">  </w:t>
      </w:r>
      <w:r>
        <w:rPr>
          <w:rFonts w:hint="eastAsia" w:hAnsi="宋体" w:cs="宋体"/>
          <w:b/>
          <w:color w:val="auto"/>
          <w:kern w:val="2"/>
          <w:sz w:val="21"/>
          <w:szCs w:val="21"/>
          <w:lang w:val="zh-CN"/>
        </w:rPr>
        <w:t>投标文件的初审</w:t>
      </w:r>
      <w:bookmarkEnd w:id="84"/>
      <w:bookmarkEnd w:id="85"/>
    </w:p>
    <w:p>
      <w:pPr>
        <w:spacing w:line="360" w:lineRule="auto"/>
        <w:ind w:left="540" w:hanging="540"/>
        <w:jc w:val="both"/>
        <w:rPr>
          <w:rFonts w:hAnsi="宋体" w:cs="宋体"/>
          <w:b/>
          <w:color w:val="auto"/>
          <w:kern w:val="2"/>
          <w:sz w:val="21"/>
          <w:szCs w:val="21"/>
        </w:rPr>
      </w:pPr>
      <w:r>
        <w:rPr>
          <w:rFonts w:hint="eastAsia" w:hAnsi="宋体" w:cs="宋体"/>
          <w:color w:val="auto"/>
          <w:kern w:val="2"/>
          <w:sz w:val="21"/>
          <w:szCs w:val="21"/>
          <w:lang w:val="zh-CN"/>
        </w:rPr>
        <w:t xml:space="preserve">25.1 </w:t>
      </w:r>
      <w:r>
        <w:rPr>
          <w:rFonts w:hint="eastAsia" w:hAnsi="宋体" w:cs="宋体"/>
          <w:b/>
          <w:color w:val="auto"/>
          <w:kern w:val="2"/>
          <w:sz w:val="21"/>
          <w:szCs w:val="21"/>
          <w:lang w:val="zh-CN"/>
        </w:rPr>
        <w:t>资格性检查：依据法律法规和招标文件的规定，对投标文件中的资格证明、投标保证金等进行审查，以确定投标人是否具备投标资格。</w:t>
      </w:r>
    </w:p>
    <w:p>
      <w:pPr>
        <w:spacing w:line="360" w:lineRule="auto"/>
        <w:ind w:left="540" w:hanging="540"/>
        <w:jc w:val="both"/>
        <w:rPr>
          <w:rFonts w:hAnsi="宋体" w:cs="宋体"/>
          <w:b/>
          <w:color w:val="auto"/>
          <w:kern w:val="2"/>
          <w:sz w:val="21"/>
          <w:szCs w:val="21"/>
        </w:rPr>
      </w:pPr>
      <w:r>
        <w:rPr>
          <w:rFonts w:hint="eastAsia" w:hAnsi="宋体" w:cs="宋体"/>
          <w:color w:val="auto"/>
          <w:kern w:val="2"/>
          <w:sz w:val="21"/>
          <w:szCs w:val="21"/>
          <w:lang w:val="zh-CN"/>
        </w:rPr>
        <w:t xml:space="preserve">25.2 </w:t>
      </w:r>
      <w:r>
        <w:rPr>
          <w:rFonts w:hint="eastAsia" w:hAnsi="宋体" w:cs="宋体"/>
          <w:b/>
          <w:color w:val="auto"/>
          <w:kern w:val="2"/>
          <w:sz w:val="21"/>
          <w:szCs w:val="21"/>
          <w:lang w:val="zh-CN"/>
        </w:rPr>
        <w:t>符合性检查：依据招标文件的规定，从投标文件的有效性、完整性和对招标文件的响应程度进行审查，以确定是否对招标文件的实质性要求作出响应。</w:t>
      </w:r>
    </w:p>
    <w:p>
      <w:pPr>
        <w:spacing w:line="360" w:lineRule="auto"/>
        <w:ind w:left="540" w:hanging="540"/>
        <w:jc w:val="both"/>
        <w:rPr>
          <w:rFonts w:hAnsi="宋体" w:cs="宋体"/>
          <w:color w:val="auto"/>
          <w:kern w:val="2"/>
          <w:sz w:val="21"/>
          <w:szCs w:val="21"/>
          <w:lang w:val="zh-CN"/>
        </w:rPr>
      </w:pPr>
    </w:p>
    <w:p>
      <w:pPr>
        <w:tabs>
          <w:tab w:val="left" w:pos="567"/>
        </w:tabs>
        <w:spacing w:line="360" w:lineRule="auto"/>
        <w:ind w:left="496" w:hanging="495" w:hangingChars="236"/>
        <w:jc w:val="both"/>
        <w:outlineLvl w:val="2"/>
        <w:rPr>
          <w:rFonts w:hAnsi="宋体" w:cs="宋体"/>
          <w:color w:val="auto"/>
          <w:kern w:val="2"/>
          <w:sz w:val="21"/>
          <w:szCs w:val="21"/>
          <w:lang w:val="zh-CN"/>
        </w:rPr>
      </w:pPr>
      <w:bookmarkStart w:id="86" w:name="_Toc19928"/>
      <w:bookmarkStart w:id="87" w:name="_Toc20892"/>
      <w:r>
        <w:rPr>
          <w:rFonts w:hint="eastAsia" w:hAnsi="宋体" w:cs="宋体"/>
          <w:color w:val="auto"/>
          <w:kern w:val="2"/>
          <w:sz w:val="21"/>
          <w:szCs w:val="21"/>
          <w:lang w:val="zh-CN"/>
        </w:rPr>
        <w:t>26   投标文件的澄清</w:t>
      </w:r>
      <w:bookmarkEnd w:id="86"/>
      <w:bookmarkEnd w:id="87"/>
    </w:p>
    <w:p>
      <w:pPr>
        <w:spacing w:line="360" w:lineRule="auto"/>
        <w:ind w:left="540" w:hanging="540"/>
        <w:jc w:val="both"/>
        <w:rPr>
          <w:rFonts w:hAnsi="宋体" w:cs="宋体"/>
          <w:color w:val="auto"/>
          <w:kern w:val="2"/>
          <w:sz w:val="21"/>
          <w:szCs w:val="21"/>
          <w:lang w:val="zh-CN"/>
        </w:rPr>
      </w:pPr>
      <w:r>
        <w:rPr>
          <w:rFonts w:hint="eastAsia" w:hAnsi="宋体" w:cs="宋体"/>
          <w:color w:val="auto"/>
          <w:kern w:val="2"/>
          <w:sz w:val="21"/>
          <w:szCs w:val="21"/>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pPr>
        <w:spacing w:line="360" w:lineRule="auto"/>
        <w:jc w:val="both"/>
        <w:rPr>
          <w:rFonts w:hAnsi="宋体" w:cs="宋体"/>
          <w:color w:val="auto"/>
          <w:kern w:val="2"/>
          <w:sz w:val="21"/>
          <w:szCs w:val="21"/>
          <w:lang w:val="zh-CN"/>
        </w:rPr>
      </w:pPr>
    </w:p>
    <w:p>
      <w:pPr>
        <w:tabs>
          <w:tab w:val="left" w:pos="567"/>
        </w:tabs>
        <w:spacing w:line="360" w:lineRule="auto"/>
        <w:ind w:left="496" w:hanging="495" w:hangingChars="236"/>
        <w:jc w:val="both"/>
        <w:outlineLvl w:val="2"/>
        <w:rPr>
          <w:rFonts w:hAnsi="宋体" w:cs="宋体"/>
          <w:color w:val="auto"/>
          <w:kern w:val="2"/>
          <w:sz w:val="21"/>
          <w:szCs w:val="21"/>
          <w:lang w:val="zh-CN"/>
        </w:rPr>
      </w:pPr>
      <w:bookmarkStart w:id="88" w:name="_Toc23050"/>
      <w:bookmarkStart w:id="89" w:name="_Toc19889"/>
      <w:r>
        <w:rPr>
          <w:rFonts w:hint="eastAsia" w:hAnsi="宋体" w:cs="宋体"/>
          <w:color w:val="auto"/>
          <w:kern w:val="2"/>
          <w:sz w:val="21"/>
          <w:szCs w:val="21"/>
          <w:lang w:val="zh-CN"/>
        </w:rPr>
        <w:t xml:space="preserve">27 </w:t>
      </w:r>
      <w:r>
        <w:rPr>
          <w:rFonts w:hint="eastAsia" w:hAnsi="宋体" w:cs="宋体"/>
          <w:color w:val="auto"/>
          <w:kern w:val="2"/>
          <w:sz w:val="21"/>
          <w:szCs w:val="21"/>
        </w:rPr>
        <w:t xml:space="preserve">  </w:t>
      </w:r>
      <w:r>
        <w:rPr>
          <w:rFonts w:hint="eastAsia" w:hAnsi="宋体" w:cs="宋体"/>
          <w:color w:val="auto"/>
          <w:kern w:val="2"/>
          <w:sz w:val="21"/>
          <w:szCs w:val="21"/>
          <w:lang w:val="zh-CN"/>
        </w:rPr>
        <w:t>对投标文件的比较和评价</w:t>
      </w:r>
      <w:bookmarkEnd w:id="88"/>
      <w:bookmarkEnd w:id="89"/>
    </w:p>
    <w:p>
      <w:pPr>
        <w:spacing w:line="360" w:lineRule="auto"/>
        <w:ind w:left="540" w:hanging="540"/>
        <w:jc w:val="both"/>
        <w:rPr>
          <w:rFonts w:hAnsi="宋体" w:cs="宋体"/>
          <w:color w:val="auto"/>
          <w:kern w:val="2"/>
          <w:sz w:val="21"/>
          <w:szCs w:val="21"/>
          <w:lang w:val="zh-CN"/>
        </w:rPr>
      </w:pPr>
      <w:r>
        <w:rPr>
          <w:rFonts w:hint="eastAsia" w:hAnsi="宋体" w:cs="宋体"/>
          <w:color w:val="auto"/>
          <w:kern w:val="2"/>
          <w:sz w:val="21"/>
          <w:szCs w:val="21"/>
          <w:lang w:val="zh-CN"/>
        </w:rPr>
        <w:t>27.1</w:t>
      </w:r>
      <w:r>
        <w:rPr>
          <w:rFonts w:hint="eastAsia" w:hAnsi="宋体" w:cs="宋体"/>
          <w:color w:val="auto"/>
          <w:kern w:val="2"/>
          <w:sz w:val="21"/>
          <w:szCs w:val="21"/>
          <w:lang w:val="zh-CN"/>
        </w:rPr>
        <w:tab/>
      </w:r>
      <w:r>
        <w:rPr>
          <w:rFonts w:hint="eastAsia" w:hAnsi="宋体" w:cs="宋体"/>
          <w:color w:val="auto"/>
          <w:kern w:val="2"/>
          <w:sz w:val="21"/>
          <w:szCs w:val="21"/>
          <w:lang w:val="zh-CN"/>
        </w:rPr>
        <w:t>评标委员会将对资格性检查和符合性检查合格的投标文件进行比较和评价，包括商务、技术的详细评审；</w:t>
      </w:r>
    </w:p>
    <w:p>
      <w:pPr>
        <w:spacing w:line="360" w:lineRule="auto"/>
        <w:ind w:left="540" w:hanging="540"/>
        <w:jc w:val="both"/>
        <w:rPr>
          <w:rFonts w:hAnsi="宋体" w:cs="宋体"/>
          <w:color w:val="auto"/>
          <w:kern w:val="2"/>
          <w:sz w:val="21"/>
          <w:szCs w:val="21"/>
          <w:lang w:val="zh-CN"/>
        </w:rPr>
      </w:pPr>
      <w:r>
        <w:rPr>
          <w:rFonts w:hint="eastAsia" w:hAnsi="宋体" w:cs="宋体"/>
          <w:color w:val="auto"/>
          <w:kern w:val="2"/>
          <w:sz w:val="21"/>
          <w:szCs w:val="21"/>
          <w:lang w:val="zh-CN"/>
        </w:rPr>
        <w:t>27.2</w:t>
      </w:r>
      <w:r>
        <w:rPr>
          <w:rFonts w:hint="eastAsia" w:hAnsi="宋体" w:cs="宋体"/>
          <w:color w:val="auto"/>
          <w:kern w:val="2"/>
          <w:sz w:val="21"/>
          <w:szCs w:val="21"/>
          <w:lang w:val="zh-CN"/>
        </w:rPr>
        <w:tab/>
      </w:r>
      <w:r>
        <w:rPr>
          <w:rFonts w:hint="eastAsia" w:hAnsi="宋体" w:cs="宋体"/>
          <w:color w:val="auto"/>
          <w:kern w:val="2"/>
          <w:sz w:val="21"/>
          <w:szCs w:val="21"/>
          <w:lang w:val="zh-CN"/>
        </w:rPr>
        <w:t>对投标文件商务的评审详见评标工作大纲；</w:t>
      </w:r>
    </w:p>
    <w:p>
      <w:pPr>
        <w:spacing w:line="360" w:lineRule="auto"/>
        <w:ind w:left="540" w:hanging="540"/>
        <w:jc w:val="both"/>
        <w:rPr>
          <w:rFonts w:hAnsi="宋体" w:cs="宋体"/>
          <w:color w:val="auto"/>
          <w:kern w:val="2"/>
          <w:sz w:val="21"/>
          <w:szCs w:val="21"/>
          <w:lang w:val="zh-CN"/>
        </w:rPr>
      </w:pPr>
      <w:r>
        <w:rPr>
          <w:rFonts w:hint="eastAsia" w:hAnsi="宋体" w:cs="宋体"/>
          <w:color w:val="auto"/>
          <w:kern w:val="2"/>
          <w:sz w:val="21"/>
          <w:szCs w:val="21"/>
          <w:lang w:val="zh-CN"/>
        </w:rPr>
        <w:t>27.3</w:t>
      </w:r>
      <w:r>
        <w:rPr>
          <w:rFonts w:hint="eastAsia" w:hAnsi="宋体" w:cs="宋体"/>
          <w:color w:val="auto"/>
          <w:kern w:val="2"/>
          <w:sz w:val="21"/>
          <w:szCs w:val="21"/>
          <w:lang w:val="zh-CN"/>
        </w:rPr>
        <w:tab/>
      </w:r>
      <w:r>
        <w:rPr>
          <w:rFonts w:hint="eastAsia" w:hAnsi="宋体" w:cs="宋体"/>
          <w:color w:val="auto"/>
          <w:kern w:val="2"/>
          <w:sz w:val="21"/>
          <w:szCs w:val="21"/>
          <w:lang w:val="zh-CN"/>
        </w:rPr>
        <w:t>对投标文件技术的评审详见评标工作大纲；</w:t>
      </w:r>
    </w:p>
    <w:p>
      <w:pPr>
        <w:spacing w:line="360" w:lineRule="auto"/>
        <w:ind w:left="540" w:hanging="540"/>
        <w:jc w:val="both"/>
        <w:rPr>
          <w:rFonts w:hAnsi="宋体" w:cs="宋体"/>
          <w:color w:val="auto"/>
          <w:kern w:val="2"/>
          <w:sz w:val="21"/>
          <w:szCs w:val="21"/>
          <w:lang w:val="zh-CN"/>
        </w:rPr>
      </w:pPr>
      <w:r>
        <w:rPr>
          <w:rFonts w:hint="eastAsia" w:hAnsi="宋体" w:cs="宋体"/>
          <w:color w:val="auto"/>
          <w:kern w:val="2"/>
          <w:sz w:val="21"/>
          <w:szCs w:val="21"/>
          <w:lang w:val="zh-CN"/>
        </w:rPr>
        <w:t>27.</w:t>
      </w:r>
      <w:r>
        <w:rPr>
          <w:rFonts w:hint="eastAsia" w:hAnsi="宋体" w:cs="宋体"/>
          <w:color w:val="auto"/>
          <w:kern w:val="2"/>
          <w:sz w:val="21"/>
          <w:szCs w:val="21"/>
        </w:rPr>
        <w:t>4</w:t>
      </w:r>
      <w:r>
        <w:rPr>
          <w:rFonts w:hint="eastAsia" w:hAnsi="宋体" w:cs="宋体"/>
          <w:color w:val="auto"/>
          <w:kern w:val="2"/>
          <w:sz w:val="21"/>
          <w:szCs w:val="21"/>
          <w:lang w:val="zh-CN"/>
        </w:rPr>
        <w:tab/>
      </w:r>
      <w:r>
        <w:rPr>
          <w:rFonts w:hint="eastAsia" w:hAnsi="宋体" w:cs="宋体"/>
          <w:color w:val="auto"/>
          <w:kern w:val="2"/>
          <w:sz w:val="21"/>
          <w:szCs w:val="21"/>
          <w:lang w:val="zh-CN"/>
        </w:rPr>
        <w:t>本次评标的评分权重详见评标工作大纲。</w:t>
      </w:r>
    </w:p>
    <w:p>
      <w:pPr>
        <w:spacing w:line="360" w:lineRule="auto"/>
        <w:ind w:left="540" w:hanging="540"/>
        <w:jc w:val="both"/>
        <w:rPr>
          <w:rFonts w:hAnsi="宋体" w:cs="宋体"/>
          <w:color w:val="auto"/>
          <w:kern w:val="2"/>
          <w:sz w:val="21"/>
          <w:szCs w:val="21"/>
          <w:lang w:val="zh-CN"/>
        </w:rPr>
      </w:pPr>
      <w:r>
        <w:rPr>
          <w:rFonts w:hint="eastAsia" w:hAnsi="宋体" w:cs="宋体"/>
          <w:color w:val="auto"/>
          <w:kern w:val="2"/>
          <w:sz w:val="21"/>
          <w:szCs w:val="21"/>
          <w:lang w:val="zh-CN"/>
        </w:rPr>
        <w:t>27.</w:t>
      </w:r>
      <w:r>
        <w:rPr>
          <w:rFonts w:hint="eastAsia" w:hAnsi="宋体" w:cs="宋体"/>
          <w:color w:val="auto"/>
          <w:kern w:val="2"/>
          <w:sz w:val="21"/>
          <w:szCs w:val="21"/>
        </w:rPr>
        <w:t>5</w:t>
      </w:r>
      <w:r>
        <w:rPr>
          <w:rFonts w:hint="eastAsia" w:hAnsi="宋体" w:cs="宋体"/>
          <w:color w:val="auto"/>
          <w:kern w:val="2"/>
          <w:sz w:val="21"/>
          <w:szCs w:val="21"/>
          <w:lang w:val="zh-CN"/>
        </w:rPr>
        <w:tab/>
      </w:r>
      <w:r>
        <w:rPr>
          <w:rFonts w:hint="eastAsia" w:hAnsi="宋体" w:cs="宋体"/>
          <w:color w:val="auto"/>
          <w:kern w:val="2"/>
          <w:sz w:val="21"/>
          <w:szCs w:val="21"/>
          <w:lang w:val="zh-CN"/>
        </w:rPr>
        <w:t>根据上述商务、技术综合评价的权重分配计算出各投标人的综合得分。</w:t>
      </w:r>
    </w:p>
    <w:p>
      <w:pPr>
        <w:pStyle w:val="2"/>
        <w:spacing w:line="360" w:lineRule="auto"/>
        <w:ind w:left="540" w:hanging="540"/>
        <w:jc w:val="both"/>
        <w:rPr>
          <w:rFonts w:hAnsi="宋体" w:cs="宋体"/>
          <w:color w:val="auto"/>
          <w:kern w:val="2"/>
          <w:sz w:val="21"/>
          <w:szCs w:val="21"/>
          <w:lang w:val="zh-CN"/>
        </w:rPr>
      </w:pPr>
    </w:p>
    <w:p>
      <w:pPr>
        <w:tabs>
          <w:tab w:val="left" w:pos="567"/>
        </w:tabs>
        <w:spacing w:line="360" w:lineRule="auto"/>
        <w:ind w:left="496" w:hanging="495" w:hangingChars="236"/>
        <w:jc w:val="both"/>
        <w:outlineLvl w:val="2"/>
        <w:rPr>
          <w:rFonts w:hAnsi="宋体" w:cs="宋体"/>
          <w:color w:val="auto"/>
          <w:kern w:val="2"/>
          <w:sz w:val="21"/>
          <w:szCs w:val="21"/>
          <w:lang w:val="zh-CN"/>
        </w:rPr>
      </w:pPr>
      <w:bookmarkStart w:id="90" w:name="_Toc29620"/>
      <w:bookmarkStart w:id="91" w:name="_Toc24918"/>
      <w:r>
        <w:rPr>
          <w:rFonts w:hint="eastAsia" w:hAnsi="宋体" w:cs="宋体"/>
          <w:color w:val="auto"/>
          <w:kern w:val="2"/>
          <w:sz w:val="21"/>
          <w:szCs w:val="21"/>
          <w:lang w:val="zh-CN"/>
        </w:rPr>
        <w:t xml:space="preserve">28 </w:t>
      </w:r>
      <w:r>
        <w:rPr>
          <w:rFonts w:hint="eastAsia" w:hAnsi="宋体" w:cs="宋体"/>
          <w:color w:val="auto"/>
          <w:kern w:val="2"/>
          <w:sz w:val="21"/>
          <w:szCs w:val="21"/>
        </w:rPr>
        <w:t xml:space="preserve">  </w:t>
      </w:r>
      <w:r>
        <w:rPr>
          <w:rFonts w:hint="eastAsia" w:hAnsi="宋体" w:cs="宋体"/>
          <w:color w:val="auto"/>
          <w:kern w:val="2"/>
          <w:sz w:val="21"/>
          <w:szCs w:val="21"/>
          <w:lang w:val="zh-CN"/>
        </w:rPr>
        <w:t>评标原则及方法</w:t>
      </w:r>
      <w:bookmarkEnd w:id="90"/>
      <w:bookmarkEnd w:id="91"/>
    </w:p>
    <w:p>
      <w:pPr>
        <w:spacing w:line="360" w:lineRule="auto"/>
        <w:ind w:left="540" w:hanging="540"/>
        <w:jc w:val="both"/>
        <w:rPr>
          <w:rFonts w:hAnsi="宋体" w:cs="宋体"/>
          <w:color w:val="auto"/>
          <w:kern w:val="2"/>
          <w:sz w:val="21"/>
          <w:szCs w:val="21"/>
          <w:lang w:val="zh-CN"/>
        </w:rPr>
      </w:pPr>
      <w:r>
        <w:rPr>
          <w:rFonts w:hint="eastAsia" w:hAnsi="宋体" w:cs="宋体"/>
          <w:color w:val="auto"/>
          <w:kern w:val="2"/>
          <w:sz w:val="21"/>
          <w:szCs w:val="21"/>
          <w:lang w:val="zh-CN"/>
        </w:rPr>
        <w:t>28.1</w:t>
      </w:r>
      <w:r>
        <w:rPr>
          <w:rFonts w:hint="eastAsia" w:hAnsi="宋体" w:cs="宋体"/>
          <w:color w:val="auto"/>
          <w:kern w:val="2"/>
          <w:sz w:val="21"/>
          <w:szCs w:val="21"/>
          <w:lang w:val="zh-CN"/>
        </w:rPr>
        <w:tab/>
      </w:r>
      <w:r>
        <w:rPr>
          <w:rFonts w:hint="eastAsia" w:hAnsi="宋体" w:cs="宋体"/>
          <w:color w:val="auto"/>
          <w:kern w:val="2"/>
          <w:sz w:val="21"/>
          <w:szCs w:val="21"/>
          <w:lang w:val="zh-CN"/>
        </w:rPr>
        <w:t>对所有投标文件的评审，都采用相同的程序和标准。按步骤先进行初步评审，再进行商务、技术评审。</w:t>
      </w:r>
    </w:p>
    <w:p>
      <w:pPr>
        <w:tabs>
          <w:tab w:val="left" w:pos="360"/>
        </w:tabs>
        <w:spacing w:line="360" w:lineRule="auto"/>
        <w:ind w:left="540" w:right="51" w:hanging="540"/>
        <w:jc w:val="both"/>
        <w:rPr>
          <w:rFonts w:hAnsi="宋体" w:cs="宋体"/>
          <w:color w:val="auto"/>
          <w:kern w:val="2"/>
          <w:sz w:val="21"/>
          <w:szCs w:val="21"/>
          <w:lang w:val="zh-CN"/>
        </w:rPr>
      </w:pPr>
      <w:r>
        <w:rPr>
          <w:rFonts w:hint="eastAsia" w:hAnsi="宋体" w:cs="宋体"/>
          <w:color w:val="auto"/>
          <w:kern w:val="2"/>
          <w:sz w:val="21"/>
          <w:szCs w:val="21"/>
          <w:lang w:val="zh-CN"/>
        </w:rPr>
        <w:t>28.2 评标严格按照招标文件的要求和条件进行。</w:t>
      </w:r>
    </w:p>
    <w:p>
      <w:pPr>
        <w:spacing w:line="360" w:lineRule="auto"/>
        <w:ind w:left="542" w:leftChars="220" w:hanging="14" w:hangingChars="7"/>
        <w:jc w:val="both"/>
        <w:rPr>
          <w:rFonts w:hAnsi="宋体" w:cs="宋体"/>
          <w:color w:val="auto"/>
          <w:kern w:val="2"/>
          <w:sz w:val="21"/>
          <w:szCs w:val="21"/>
          <w:lang w:val="zh-CN"/>
        </w:rPr>
      </w:pPr>
      <w:r>
        <w:rPr>
          <w:rFonts w:hint="eastAsia" w:hAnsi="宋体" w:cs="宋体"/>
          <w:color w:val="auto"/>
          <w:kern w:val="2"/>
          <w:sz w:val="21"/>
          <w:szCs w:val="21"/>
          <w:lang w:val="zh-CN"/>
        </w:rPr>
        <w:t>在评标时将根据第27条，采用综合评分法的评审方法，对所有实质响应性投标文件进行综合打分。</w:t>
      </w:r>
    </w:p>
    <w:p>
      <w:pPr>
        <w:tabs>
          <w:tab w:val="left" w:pos="360"/>
        </w:tabs>
        <w:spacing w:line="360" w:lineRule="auto"/>
        <w:ind w:right="51"/>
        <w:jc w:val="both"/>
        <w:rPr>
          <w:rFonts w:hAnsi="宋体" w:cs="宋体"/>
          <w:color w:val="auto"/>
          <w:kern w:val="2"/>
          <w:sz w:val="21"/>
          <w:szCs w:val="21"/>
        </w:rPr>
      </w:pPr>
    </w:p>
    <w:p>
      <w:pPr>
        <w:tabs>
          <w:tab w:val="left" w:pos="567"/>
        </w:tabs>
        <w:spacing w:line="360" w:lineRule="auto"/>
        <w:ind w:left="496" w:hanging="495" w:hangingChars="236"/>
        <w:jc w:val="both"/>
        <w:outlineLvl w:val="2"/>
        <w:rPr>
          <w:rFonts w:hAnsi="宋体" w:cs="宋体"/>
          <w:color w:val="auto"/>
          <w:kern w:val="2"/>
          <w:sz w:val="21"/>
          <w:szCs w:val="21"/>
          <w:lang w:val="zh-CN"/>
        </w:rPr>
      </w:pPr>
      <w:bookmarkStart w:id="92" w:name="_Toc465358969"/>
      <w:bookmarkStart w:id="93" w:name="_Toc18392"/>
      <w:bookmarkStart w:id="94" w:name="_Toc17782"/>
      <w:r>
        <w:rPr>
          <w:rFonts w:hint="eastAsia" w:hAnsi="宋体" w:cs="宋体"/>
          <w:color w:val="auto"/>
          <w:kern w:val="2"/>
          <w:sz w:val="21"/>
          <w:szCs w:val="21"/>
          <w:lang w:val="zh-CN"/>
        </w:rPr>
        <w:t xml:space="preserve">29 </w:t>
      </w:r>
      <w:r>
        <w:rPr>
          <w:rFonts w:hint="eastAsia" w:hAnsi="宋体" w:cs="宋体"/>
          <w:color w:val="auto"/>
          <w:kern w:val="2"/>
          <w:sz w:val="21"/>
          <w:szCs w:val="21"/>
        </w:rPr>
        <w:t xml:space="preserve">  </w:t>
      </w:r>
      <w:r>
        <w:rPr>
          <w:rFonts w:hint="eastAsia" w:hAnsi="宋体" w:cs="宋体"/>
          <w:color w:val="auto"/>
          <w:kern w:val="2"/>
          <w:sz w:val="21"/>
          <w:szCs w:val="21"/>
          <w:lang w:val="zh-CN"/>
        </w:rPr>
        <w:t>评标结果公示及异议、投诉</w:t>
      </w:r>
      <w:bookmarkEnd w:id="92"/>
      <w:bookmarkEnd w:id="93"/>
      <w:bookmarkEnd w:id="94"/>
    </w:p>
    <w:p>
      <w:pPr>
        <w:spacing w:line="360" w:lineRule="auto"/>
        <w:ind w:left="540" w:hanging="540"/>
        <w:jc w:val="both"/>
        <w:rPr>
          <w:rFonts w:hAnsi="宋体" w:cs="宋体"/>
          <w:color w:val="auto"/>
          <w:kern w:val="2"/>
          <w:sz w:val="21"/>
          <w:szCs w:val="21"/>
          <w:lang w:val="zh-CN"/>
        </w:rPr>
      </w:pPr>
      <w:r>
        <w:rPr>
          <w:rFonts w:hint="eastAsia" w:hAnsi="宋体" w:cs="宋体"/>
          <w:color w:val="auto"/>
          <w:kern w:val="2"/>
          <w:sz w:val="21"/>
          <w:szCs w:val="21"/>
          <w:lang w:val="zh-CN"/>
        </w:rPr>
        <w:t>29.1 招标代理机构在招标公告发布媒体公示中标候选人，公示期为3日。投标人或者其他利害关系人对评标结果有异议的，应当在中标候选人公示期间向招标代理机构以书面的形式提出，并将完整的异议书面材料原件送达招标代理机构，逾期则视为对评标结果无异议。超出提交异议截止时间而提出的任何疑问，招标代理机构可不予答复。</w:t>
      </w:r>
    </w:p>
    <w:p>
      <w:pPr>
        <w:snapToGrid w:val="0"/>
        <w:spacing w:line="360" w:lineRule="auto"/>
        <w:ind w:left="566" w:leftChars="236" w:firstLine="424" w:firstLineChars="202"/>
        <w:rPr>
          <w:rFonts w:hAnsi="宋体" w:cs="宋体"/>
          <w:color w:val="auto"/>
          <w:sz w:val="21"/>
          <w:szCs w:val="21"/>
          <w:lang w:val="zh-CN"/>
        </w:rPr>
      </w:pPr>
      <w:r>
        <w:rPr>
          <w:rFonts w:hint="eastAsia" w:hAnsi="宋体" w:cs="宋体"/>
          <w:color w:val="auto"/>
          <w:kern w:val="2"/>
          <w:sz w:val="21"/>
          <w:szCs w:val="21"/>
          <w:lang w:val="zh-CN"/>
        </w:rPr>
        <w:t>招标代理机构将拒收未能提供完整异议书面材料的异议，完整的异议书面材料必须同时包含：异议书（加盖法人公章，并注明联系人、联系电话、联系地址）、授权提交异议的法定代表人授权书原件、反映异议人主体资格的营业执照复印件（加盖法人公章）、以及合法来源的证据证明材料</w:t>
      </w:r>
      <w:r>
        <w:rPr>
          <w:rFonts w:hint="eastAsia" w:hAnsi="宋体" w:cs="宋体"/>
          <w:color w:val="auto"/>
          <w:sz w:val="21"/>
          <w:szCs w:val="21"/>
          <w:lang w:val="zh-CN"/>
        </w:rPr>
        <w:t>。</w:t>
      </w:r>
    </w:p>
    <w:p>
      <w:pPr>
        <w:spacing w:line="360" w:lineRule="auto"/>
        <w:ind w:left="540" w:hanging="540"/>
        <w:jc w:val="both"/>
        <w:rPr>
          <w:rFonts w:hAnsi="宋体" w:cs="宋体"/>
          <w:color w:val="auto"/>
          <w:kern w:val="2"/>
          <w:sz w:val="21"/>
          <w:szCs w:val="21"/>
          <w:lang w:val="zh-CN"/>
        </w:rPr>
      </w:pPr>
      <w:r>
        <w:rPr>
          <w:rFonts w:hint="eastAsia" w:hAnsi="宋体" w:cs="宋体"/>
          <w:color w:val="auto"/>
          <w:kern w:val="2"/>
          <w:sz w:val="21"/>
          <w:szCs w:val="21"/>
        </w:rPr>
        <w:t xml:space="preserve">29.2 </w:t>
      </w:r>
      <w:r>
        <w:rPr>
          <w:rFonts w:hint="eastAsia" w:hAnsi="宋体" w:cs="宋体"/>
          <w:b/>
          <w:color w:val="auto"/>
          <w:kern w:val="2"/>
          <w:sz w:val="21"/>
          <w:szCs w:val="21"/>
          <w:lang w:val="zh-CN"/>
        </w:rPr>
        <w:t>结果公示后，中标候选人有义务在结果公示之日起</w:t>
      </w:r>
      <w:r>
        <w:rPr>
          <w:rFonts w:hint="eastAsia" w:hAnsi="宋体" w:cs="宋体"/>
          <w:b/>
          <w:color w:val="auto"/>
          <w:kern w:val="2"/>
          <w:sz w:val="21"/>
          <w:szCs w:val="21"/>
        </w:rPr>
        <w:t>5</w:t>
      </w:r>
      <w:r>
        <w:rPr>
          <w:rFonts w:hint="eastAsia" w:hAnsi="宋体" w:cs="宋体"/>
          <w:b/>
          <w:color w:val="auto"/>
          <w:kern w:val="2"/>
          <w:sz w:val="21"/>
          <w:szCs w:val="21"/>
          <w:lang w:val="zh-CN"/>
        </w:rPr>
        <w:t>日内提交投标文件中所提供的资格证明文件、业绩证明文件、对招标文件实质性条款响应文件、履约能力证明文件的原件供招标人核查，招标人如</w:t>
      </w:r>
      <w:r>
        <w:rPr>
          <w:rFonts w:hint="eastAsia" w:hAnsi="宋体" w:cs="宋体"/>
          <w:b/>
          <w:bCs/>
          <w:color w:val="auto"/>
          <w:kern w:val="2"/>
          <w:sz w:val="21"/>
          <w:szCs w:val="21"/>
        </w:rPr>
        <w:t>有需要，中标候选人有义务提供投标文件以外其他相关证明资料原件（包括但不限于业绩合同对应的发票）供招标人核查。招标人如</w:t>
      </w:r>
      <w:r>
        <w:rPr>
          <w:rFonts w:hint="eastAsia" w:hAnsi="宋体" w:cs="宋体"/>
          <w:b/>
          <w:color w:val="auto"/>
          <w:kern w:val="2"/>
          <w:sz w:val="21"/>
          <w:szCs w:val="21"/>
          <w:lang w:val="zh-CN"/>
        </w:rPr>
        <w:t>发现投标人提供虚假证明文件、虚假响应文件等弄虚作假行为骗取中标的，招标人有权取消其中标资格，同时招标人有权按照评标委员会推荐的中标候选人名单排序依次确定其他中标候选人为中标人或重新招标，不予退还其投标保证金。涉嫌违法犯罪的，将移交司法机关处理。</w:t>
      </w:r>
    </w:p>
    <w:p>
      <w:pPr>
        <w:snapToGrid w:val="0"/>
        <w:spacing w:line="360" w:lineRule="auto"/>
        <w:ind w:left="566" w:leftChars="236" w:firstLine="426" w:firstLineChars="202"/>
        <w:rPr>
          <w:rFonts w:hAnsi="宋体" w:cs="宋体"/>
          <w:b/>
          <w:color w:val="auto"/>
          <w:kern w:val="2"/>
          <w:sz w:val="21"/>
          <w:szCs w:val="21"/>
          <w:lang w:val="zh-CN"/>
        </w:rPr>
      </w:pPr>
      <w:r>
        <w:rPr>
          <w:rFonts w:hint="eastAsia" w:hAnsi="宋体" w:cs="宋体"/>
          <w:b/>
          <w:bCs/>
          <w:color w:val="auto"/>
          <w:kern w:val="2"/>
          <w:sz w:val="21"/>
          <w:szCs w:val="21"/>
        </w:rPr>
        <w:t>必要时，</w:t>
      </w:r>
      <w:r>
        <w:rPr>
          <w:rFonts w:hint="eastAsia" w:hAnsi="宋体" w:cs="宋体"/>
          <w:b/>
          <w:color w:val="auto"/>
          <w:kern w:val="2"/>
          <w:sz w:val="21"/>
          <w:szCs w:val="21"/>
          <w:lang w:val="zh-CN"/>
        </w:rPr>
        <w:t>当招标人（或其委托的招标代理机构）向中标候选人发出提供上述</w:t>
      </w:r>
      <w:r>
        <w:rPr>
          <w:rFonts w:hint="eastAsia" w:hAnsi="宋体" w:cs="宋体"/>
          <w:b/>
          <w:color w:val="auto"/>
          <w:kern w:val="2"/>
          <w:sz w:val="21"/>
          <w:szCs w:val="21"/>
        </w:rPr>
        <w:t>投标文件或投标文件外其他相关（包括但不限于业绩合同对应的发票）的</w:t>
      </w:r>
      <w:r>
        <w:rPr>
          <w:rFonts w:hint="eastAsia" w:hAnsi="宋体" w:cs="宋体"/>
          <w:b/>
          <w:color w:val="auto"/>
          <w:kern w:val="2"/>
          <w:sz w:val="21"/>
          <w:szCs w:val="21"/>
          <w:lang w:val="zh-CN"/>
        </w:rPr>
        <w:t>证明资料原件进行核查的书面通知后，</w:t>
      </w:r>
      <w:r>
        <w:rPr>
          <w:rFonts w:hint="eastAsia" w:hAnsi="宋体" w:cs="宋体"/>
          <w:b/>
          <w:color w:val="auto"/>
          <w:sz w:val="21"/>
          <w:szCs w:val="21"/>
        </w:rPr>
        <w:t>公示期满之日起</w:t>
      </w:r>
      <w:r>
        <w:rPr>
          <w:rFonts w:hint="eastAsia" w:hAnsi="宋体" w:cs="宋体"/>
          <w:b/>
          <w:color w:val="auto"/>
          <w:kern w:val="2"/>
          <w:sz w:val="21"/>
          <w:szCs w:val="21"/>
          <w:lang w:val="zh-CN"/>
        </w:rPr>
        <w:t>三个工作日内中标候选人仍未能提供原件进行核查的，视为其无法提供真实的资料，招标人有权取消其中标候选人资格，</w:t>
      </w:r>
      <w:r>
        <w:rPr>
          <w:rFonts w:hint="eastAsia" w:hAnsi="宋体" w:cs="宋体"/>
          <w:b/>
          <w:bCs/>
          <w:color w:val="auto"/>
          <w:kern w:val="2"/>
          <w:sz w:val="21"/>
          <w:szCs w:val="21"/>
        </w:rPr>
        <w:t>招标人有权按照评标委员会推荐的中标候选人名单排序依次确定其他中标候选人为中标人或重新招标</w:t>
      </w:r>
      <w:r>
        <w:rPr>
          <w:rFonts w:hint="eastAsia" w:hAnsi="宋体" w:cs="宋体"/>
          <w:b/>
          <w:color w:val="auto"/>
          <w:kern w:val="2"/>
          <w:sz w:val="21"/>
          <w:szCs w:val="21"/>
          <w:lang w:val="zh-CN"/>
        </w:rPr>
        <w:t>。</w:t>
      </w:r>
    </w:p>
    <w:p>
      <w:pPr>
        <w:spacing w:line="360" w:lineRule="auto"/>
        <w:ind w:left="540" w:hanging="540"/>
        <w:jc w:val="both"/>
        <w:rPr>
          <w:rFonts w:hAnsi="宋体" w:cs="宋体"/>
          <w:color w:val="auto"/>
          <w:kern w:val="2"/>
          <w:sz w:val="21"/>
          <w:szCs w:val="21"/>
          <w:lang w:val="zh-CN"/>
        </w:rPr>
      </w:pPr>
      <w:r>
        <w:rPr>
          <w:rFonts w:hint="eastAsia" w:hAnsi="宋体" w:cs="宋体"/>
          <w:color w:val="auto"/>
          <w:kern w:val="2"/>
          <w:sz w:val="21"/>
          <w:szCs w:val="21"/>
          <w:lang w:val="zh-CN"/>
        </w:rPr>
        <w:t>29.</w:t>
      </w:r>
      <w:r>
        <w:rPr>
          <w:rFonts w:hint="eastAsia" w:hAnsi="宋体" w:cs="宋体"/>
          <w:color w:val="auto"/>
          <w:kern w:val="2"/>
          <w:sz w:val="21"/>
          <w:szCs w:val="21"/>
        </w:rPr>
        <w:t>3</w:t>
      </w:r>
      <w:r>
        <w:rPr>
          <w:rFonts w:hint="eastAsia" w:hAnsi="宋体" w:cs="宋体"/>
          <w:color w:val="auto"/>
          <w:kern w:val="2"/>
          <w:sz w:val="21"/>
          <w:szCs w:val="21"/>
          <w:lang w:val="zh-CN"/>
        </w:rPr>
        <w:t xml:space="preserve">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pPr>
        <w:spacing w:line="360" w:lineRule="auto"/>
        <w:ind w:left="546" w:leftChars="206" w:hanging="52" w:hangingChars="25"/>
        <w:jc w:val="both"/>
        <w:rPr>
          <w:rFonts w:hAnsi="宋体" w:cs="宋体"/>
          <w:color w:val="auto"/>
          <w:kern w:val="2"/>
          <w:sz w:val="21"/>
          <w:szCs w:val="21"/>
          <w:lang w:val="zh-CN"/>
        </w:rPr>
      </w:pPr>
      <w:r>
        <w:rPr>
          <w:rFonts w:hint="eastAsia" w:hAnsi="宋体" w:cs="宋体"/>
          <w:color w:val="auto"/>
          <w:kern w:val="2"/>
          <w:sz w:val="21"/>
          <w:szCs w:val="21"/>
          <w:lang w:val="zh-CN"/>
        </w:rPr>
        <w:t>（一）投诉人和被投诉人的姓名或者名称、通讯地址、邮编、联系人及联系电话；</w:t>
      </w:r>
    </w:p>
    <w:p>
      <w:pPr>
        <w:spacing w:line="360" w:lineRule="auto"/>
        <w:ind w:left="546" w:leftChars="206" w:hanging="52" w:hangingChars="25"/>
        <w:jc w:val="both"/>
        <w:rPr>
          <w:rFonts w:hAnsi="宋体" w:cs="宋体"/>
          <w:color w:val="auto"/>
          <w:kern w:val="2"/>
          <w:sz w:val="21"/>
          <w:szCs w:val="21"/>
          <w:lang w:val="zh-CN"/>
        </w:rPr>
      </w:pPr>
      <w:r>
        <w:rPr>
          <w:rFonts w:hint="eastAsia" w:hAnsi="宋体" w:cs="宋体"/>
          <w:color w:val="auto"/>
          <w:kern w:val="2"/>
          <w:sz w:val="21"/>
          <w:szCs w:val="21"/>
          <w:lang w:val="zh-CN"/>
        </w:rPr>
        <w:t>（二）质疑和质疑答复情况说明及相关证明材料；</w:t>
      </w:r>
    </w:p>
    <w:p>
      <w:pPr>
        <w:spacing w:line="360" w:lineRule="auto"/>
        <w:ind w:left="546" w:leftChars="206" w:hanging="52" w:hangingChars="25"/>
        <w:jc w:val="both"/>
        <w:rPr>
          <w:rFonts w:hAnsi="宋体" w:cs="宋体"/>
          <w:color w:val="auto"/>
          <w:kern w:val="2"/>
          <w:sz w:val="21"/>
          <w:szCs w:val="21"/>
          <w:lang w:val="zh-CN"/>
        </w:rPr>
      </w:pPr>
      <w:r>
        <w:rPr>
          <w:rFonts w:hint="eastAsia" w:hAnsi="宋体" w:cs="宋体"/>
          <w:color w:val="auto"/>
          <w:kern w:val="2"/>
          <w:sz w:val="21"/>
          <w:szCs w:val="21"/>
          <w:lang w:val="zh-CN"/>
        </w:rPr>
        <w:t>（三）具体、明确的投诉事项和与投诉事项相关的投诉请求；</w:t>
      </w:r>
    </w:p>
    <w:p>
      <w:pPr>
        <w:spacing w:line="360" w:lineRule="auto"/>
        <w:ind w:left="546" w:leftChars="206" w:hanging="52" w:hangingChars="25"/>
        <w:jc w:val="both"/>
        <w:rPr>
          <w:rFonts w:hAnsi="宋体" w:cs="宋体"/>
          <w:color w:val="auto"/>
          <w:kern w:val="2"/>
          <w:sz w:val="21"/>
          <w:szCs w:val="21"/>
          <w:lang w:val="zh-CN"/>
        </w:rPr>
      </w:pPr>
      <w:r>
        <w:rPr>
          <w:rFonts w:hint="eastAsia" w:hAnsi="宋体" w:cs="宋体"/>
          <w:color w:val="auto"/>
          <w:kern w:val="2"/>
          <w:sz w:val="21"/>
          <w:szCs w:val="21"/>
          <w:lang w:val="zh-CN"/>
        </w:rPr>
        <w:t>（四）事实依据；</w:t>
      </w:r>
    </w:p>
    <w:p>
      <w:pPr>
        <w:spacing w:line="360" w:lineRule="auto"/>
        <w:ind w:left="546" w:leftChars="206" w:hanging="52" w:hangingChars="25"/>
        <w:jc w:val="both"/>
        <w:rPr>
          <w:rFonts w:hAnsi="宋体" w:cs="宋体"/>
          <w:color w:val="auto"/>
          <w:kern w:val="2"/>
          <w:sz w:val="21"/>
          <w:szCs w:val="21"/>
          <w:lang w:val="zh-CN"/>
        </w:rPr>
      </w:pPr>
      <w:r>
        <w:rPr>
          <w:rFonts w:hint="eastAsia" w:hAnsi="宋体" w:cs="宋体"/>
          <w:color w:val="auto"/>
          <w:kern w:val="2"/>
          <w:sz w:val="21"/>
          <w:szCs w:val="21"/>
          <w:lang w:val="zh-CN"/>
        </w:rPr>
        <w:t>（五）法律依据；</w:t>
      </w:r>
    </w:p>
    <w:p>
      <w:pPr>
        <w:spacing w:line="360" w:lineRule="auto"/>
        <w:ind w:left="546" w:leftChars="206" w:hanging="52" w:hangingChars="25"/>
        <w:jc w:val="both"/>
        <w:rPr>
          <w:rFonts w:hAnsi="宋体" w:cs="宋体"/>
          <w:color w:val="auto"/>
          <w:kern w:val="2"/>
          <w:sz w:val="21"/>
          <w:szCs w:val="21"/>
          <w:lang w:val="zh-CN"/>
        </w:rPr>
      </w:pPr>
      <w:r>
        <w:rPr>
          <w:rFonts w:hint="eastAsia" w:hAnsi="宋体" w:cs="宋体"/>
          <w:color w:val="auto"/>
          <w:kern w:val="2"/>
          <w:sz w:val="21"/>
          <w:szCs w:val="21"/>
          <w:lang w:val="zh-CN"/>
        </w:rPr>
        <w:t>（六）提起投诉的日期。</w:t>
      </w:r>
    </w:p>
    <w:p>
      <w:pPr>
        <w:spacing w:line="360" w:lineRule="auto"/>
        <w:ind w:left="170" w:firstLine="397"/>
        <w:jc w:val="both"/>
        <w:rPr>
          <w:rFonts w:hAnsi="宋体" w:cs="宋体"/>
          <w:color w:val="auto"/>
          <w:kern w:val="2"/>
          <w:sz w:val="21"/>
          <w:szCs w:val="21"/>
          <w:lang w:val="zh-CN"/>
        </w:rPr>
      </w:pPr>
      <w:r>
        <w:rPr>
          <w:rFonts w:hint="eastAsia" w:hAnsi="宋体" w:cs="宋体"/>
          <w:color w:val="auto"/>
          <w:kern w:val="2"/>
          <w:sz w:val="21"/>
          <w:szCs w:val="21"/>
          <w:lang w:val="zh-CN"/>
        </w:rPr>
        <w:t xml:space="preserve">    投诉人为法人或者其他组织的，应当由法定代表人、主要负责人，或者其授权代表签字或</w:t>
      </w:r>
    </w:p>
    <w:p>
      <w:pPr>
        <w:spacing w:line="360" w:lineRule="auto"/>
        <w:ind w:left="170" w:firstLine="397"/>
        <w:jc w:val="both"/>
        <w:rPr>
          <w:rFonts w:hAnsi="宋体" w:cs="宋体"/>
          <w:color w:val="auto"/>
          <w:kern w:val="2"/>
          <w:sz w:val="21"/>
          <w:szCs w:val="21"/>
          <w:lang w:val="zh-CN"/>
        </w:rPr>
      </w:pPr>
      <w:r>
        <w:rPr>
          <w:rFonts w:hint="eastAsia" w:hAnsi="宋体" w:cs="宋体"/>
          <w:color w:val="auto"/>
          <w:kern w:val="2"/>
          <w:sz w:val="21"/>
          <w:szCs w:val="21"/>
          <w:lang w:val="zh-CN"/>
        </w:rPr>
        <w:t>者盖章，并加盖公章。投标人投诉的事项不得超出已质疑事项的范围，但基于质疑答复内容提</w:t>
      </w:r>
    </w:p>
    <w:p>
      <w:pPr>
        <w:spacing w:line="360" w:lineRule="auto"/>
        <w:ind w:left="170" w:firstLine="397"/>
        <w:jc w:val="both"/>
        <w:rPr>
          <w:rFonts w:hAnsi="宋体" w:cs="宋体"/>
          <w:color w:val="auto"/>
          <w:kern w:val="2"/>
          <w:sz w:val="21"/>
          <w:szCs w:val="21"/>
          <w:lang w:val="zh-CN"/>
        </w:rPr>
      </w:pPr>
      <w:r>
        <w:rPr>
          <w:rFonts w:hint="eastAsia" w:hAnsi="宋体" w:cs="宋体"/>
          <w:color w:val="auto"/>
          <w:kern w:val="2"/>
          <w:sz w:val="21"/>
          <w:szCs w:val="21"/>
          <w:lang w:val="zh-CN"/>
        </w:rPr>
        <w:t>出的投诉事项除外。</w:t>
      </w:r>
    </w:p>
    <w:p>
      <w:pPr>
        <w:spacing w:line="360" w:lineRule="auto"/>
        <w:ind w:left="120" w:leftChars="50" w:firstLine="840" w:firstLineChars="400"/>
        <w:jc w:val="both"/>
        <w:rPr>
          <w:rFonts w:hAnsi="宋体" w:cs="宋体"/>
          <w:color w:val="auto"/>
          <w:kern w:val="2"/>
          <w:sz w:val="21"/>
          <w:szCs w:val="21"/>
        </w:rPr>
      </w:pPr>
      <w:r>
        <w:rPr>
          <w:rFonts w:hint="eastAsia" w:hAnsi="宋体" w:cs="宋体"/>
          <w:color w:val="auto"/>
          <w:kern w:val="2"/>
          <w:sz w:val="21"/>
          <w:szCs w:val="21"/>
        </w:rPr>
        <w:t>投诉部门：东莞市水务集团有限公司，联系人：莫先生，联系电话： 0769-28823251。</w:t>
      </w:r>
    </w:p>
    <w:p>
      <w:pPr>
        <w:spacing w:line="360" w:lineRule="auto"/>
        <w:ind w:left="540" w:hanging="540"/>
        <w:jc w:val="both"/>
        <w:rPr>
          <w:rFonts w:hAnsi="宋体" w:cs="宋体"/>
          <w:color w:val="auto"/>
          <w:kern w:val="2"/>
          <w:sz w:val="21"/>
          <w:szCs w:val="21"/>
        </w:rPr>
      </w:pPr>
    </w:p>
    <w:p>
      <w:pPr>
        <w:tabs>
          <w:tab w:val="left" w:pos="567"/>
        </w:tabs>
        <w:spacing w:line="360" w:lineRule="auto"/>
        <w:ind w:left="496" w:hanging="495" w:hangingChars="236"/>
        <w:jc w:val="both"/>
        <w:outlineLvl w:val="2"/>
        <w:rPr>
          <w:rFonts w:hAnsi="宋体" w:cs="宋体"/>
          <w:color w:val="auto"/>
          <w:kern w:val="2"/>
          <w:sz w:val="21"/>
          <w:szCs w:val="21"/>
          <w:lang w:val="zh-CN"/>
        </w:rPr>
      </w:pPr>
      <w:bookmarkStart w:id="95" w:name="_Toc465358970"/>
      <w:bookmarkStart w:id="96" w:name="_Toc29176"/>
      <w:bookmarkStart w:id="97" w:name="_Toc31250"/>
      <w:r>
        <w:rPr>
          <w:rFonts w:hint="eastAsia" w:hAnsi="宋体" w:cs="宋体"/>
          <w:color w:val="auto"/>
          <w:kern w:val="2"/>
          <w:sz w:val="21"/>
          <w:szCs w:val="21"/>
          <w:lang w:val="zh-CN"/>
        </w:rPr>
        <w:t xml:space="preserve">30 </w:t>
      </w:r>
      <w:r>
        <w:rPr>
          <w:rFonts w:hint="eastAsia" w:hAnsi="宋体" w:cs="宋体"/>
          <w:color w:val="auto"/>
          <w:kern w:val="2"/>
          <w:sz w:val="21"/>
          <w:szCs w:val="21"/>
        </w:rPr>
        <w:t xml:space="preserve">  </w:t>
      </w:r>
      <w:r>
        <w:rPr>
          <w:rFonts w:hint="eastAsia" w:hAnsi="宋体" w:cs="宋体"/>
          <w:b/>
          <w:color w:val="auto"/>
          <w:kern w:val="2"/>
          <w:sz w:val="21"/>
          <w:szCs w:val="21"/>
          <w:lang w:val="zh-CN"/>
        </w:rPr>
        <w:t>真实性审查</w:t>
      </w:r>
      <w:bookmarkEnd w:id="95"/>
      <w:bookmarkEnd w:id="96"/>
      <w:bookmarkEnd w:id="97"/>
    </w:p>
    <w:p>
      <w:pPr>
        <w:widowControl/>
        <w:numPr>
          <w:ilvl w:val="1"/>
          <w:numId w:val="7"/>
        </w:numPr>
        <w:tabs>
          <w:tab w:val="left" w:pos="540"/>
          <w:tab w:val="clear" w:pos="420"/>
        </w:tabs>
        <w:adjustRightInd/>
        <w:spacing w:line="360" w:lineRule="auto"/>
        <w:ind w:left="539" w:right="17" w:hanging="539"/>
        <w:jc w:val="both"/>
        <w:textAlignment w:val="bottom"/>
        <w:rPr>
          <w:rFonts w:hAnsi="宋体" w:cs="宋体"/>
          <w:b/>
          <w:color w:val="auto"/>
          <w:sz w:val="21"/>
          <w:szCs w:val="21"/>
        </w:rPr>
      </w:pPr>
      <w:r>
        <w:rPr>
          <w:rFonts w:hint="eastAsia" w:hAnsi="宋体" w:cs="宋体"/>
          <w:b/>
          <w:color w:val="auto"/>
          <w:sz w:val="21"/>
          <w:szCs w:val="21"/>
        </w:rPr>
        <w:t>在授予合同前，招标人（或其委托的招标代理机构）、或评标委员会有权组织对投标人的真实性审查。包括对投标人的资格证明文件、业绩证明文件、对招标文件实质性条款响应文件、履约能力证明文件的真实性进行核查。</w:t>
      </w:r>
      <w:r>
        <w:rPr>
          <w:rFonts w:hint="eastAsia" w:hAnsi="宋体" w:cs="宋体"/>
          <w:b/>
          <w:bCs/>
          <w:color w:val="auto"/>
          <w:kern w:val="2"/>
          <w:sz w:val="21"/>
          <w:szCs w:val="21"/>
          <w:lang w:val="zh-CN"/>
        </w:rPr>
        <w:t>招标人如</w:t>
      </w:r>
      <w:r>
        <w:rPr>
          <w:rFonts w:hint="eastAsia" w:hAnsi="宋体" w:cs="宋体"/>
          <w:b/>
          <w:bCs/>
          <w:color w:val="auto"/>
          <w:kern w:val="2"/>
          <w:sz w:val="21"/>
          <w:szCs w:val="21"/>
        </w:rPr>
        <w:t>有需要，投标人有义务提供投标文件以外其他相关证明资料原件（包括但不限于业绩合同对应的发票）供招标人核查。</w:t>
      </w:r>
      <w:r>
        <w:rPr>
          <w:rFonts w:hint="eastAsia" w:hAnsi="宋体" w:cs="宋体"/>
          <w:b/>
          <w:color w:val="auto"/>
          <w:sz w:val="21"/>
          <w:szCs w:val="21"/>
        </w:rPr>
        <w:t>若发现</w:t>
      </w:r>
      <w:r>
        <w:rPr>
          <w:rFonts w:hint="eastAsia" w:hAnsi="宋体" w:cs="宋体"/>
          <w:b/>
          <w:bCs/>
          <w:color w:val="auto"/>
          <w:sz w:val="21"/>
          <w:szCs w:val="21"/>
        </w:rPr>
        <w:t>投标人</w:t>
      </w:r>
      <w:r>
        <w:rPr>
          <w:rFonts w:hint="eastAsia" w:hAnsi="宋体" w:cs="宋体"/>
          <w:b/>
          <w:color w:val="auto"/>
          <w:sz w:val="21"/>
          <w:szCs w:val="21"/>
        </w:rPr>
        <w:t>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p>
    <w:p>
      <w:pPr>
        <w:widowControl/>
        <w:numPr>
          <w:ilvl w:val="1"/>
          <w:numId w:val="7"/>
        </w:numPr>
        <w:tabs>
          <w:tab w:val="left" w:pos="540"/>
          <w:tab w:val="clear" w:pos="420"/>
        </w:tabs>
        <w:adjustRightInd/>
        <w:spacing w:line="360" w:lineRule="auto"/>
        <w:ind w:left="539" w:right="17" w:hanging="539"/>
        <w:jc w:val="both"/>
        <w:textAlignment w:val="bottom"/>
        <w:rPr>
          <w:rFonts w:hAnsi="宋体" w:cs="宋体"/>
          <w:b/>
          <w:color w:val="auto"/>
          <w:sz w:val="21"/>
          <w:szCs w:val="21"/>
        </w:rPr>
      </w:pPr>
      <w:r>
        <w:rPr>
          <w:rFonts w:hint="eastAsia" w:hAnsi="宋体" w:cs="宋体"/>
          <w:b/>
          <w:color w:val="auto"/>
          <w:sz w:val="21"/>
          <w:szCs w:val="21"/>
        </w:rPr>
        <w:t>投标人在招标人（或其委托的招标代理机构）、或评标委员会通知其提供上述</w:t>
      </w:r>
      <w:r>
        <w:rPr>
          <w:rFonts w:hint="eastAsia" w:hAnsi="宋体" w:cs="宋体"/>
          <w:b/>
          <w:bCs/>
          <w:color w:val="auto"/>
          <w:kern w:val="2"/>
          <w:sz w:val="21"/>
          <w:szCs w:val="21"/>
        </w:rPr>
        <w:t>投标文件或投标文件外其他相关（包括但不限于业绩合同对应的发票）的</w:t>
      </w:r>
      <w:r>
        <w:rPr>
          <w:rFonts w:hint="eastAsia" w:hAnsi="宋体" w:cs="宋体"/>
          <w:b/>
          <w:color w:val="auto"/>
          <w:sz w:val="21"/>
          <w:szCs w:val="21"/>
        </w:rPr>
        <w:t>证明资料原件进行核查的要求后，未能在约定的时间内提供原件进行核查的，视为投标人无法提供真实的资料，招标人有权按照评标委员会提出的中标候选人名单排序依次确定其他中标候选人为中标人或重新招标。</w:t>
      </w:r>
    </w:p>
    <w:p>
      <w:pPr>
        <w:widowControl/>
        <w:numPr>
          <w:ilvl w:val="1"/>
          <w:numId w:val="7"/>
        </w:numPr>
        <w:tabs>
          <w:tab w:val="left" w:pos="540"/>
          <w:tab w:val="clear" w:pos="420"/>
        </w:tabs>
        <w:adjustRightInd/>
        <w:spacing w:line="360" w:lineRule="auto"/>
        <w:ind w:left="539" w:right="17" w:hanging="539"/>
        <w:jc w:val="both"/>
        <w:textAlignment w:val="bottom"/>
        <w:rPr>
          <w:rFonts w:hAnsi="宋体" w:cs="宋体"/>
          <w:b/>
          <w:color w:val="auto"/>
          <w:sz w:val="21"/>
          <w:szCs w:val="21"/>
        </w:rPr>
      </w:pPr>
      <w:r>
        <w:rPr>
          <w:rFonts w:hint="eastAsia" w:hAnsi="宋体" w:cs="宋体"/>
          <w:b/>
          <w:color w:val="auto"/>
          <w:sz w:val="21"/>
          <w:szCs w:val="21"/>
        </w:rPr>
        <w:t>若投标人在投标或履约过程中存在提供虚假材料、虚假响应招标文件要求弄虚作假行为，或未 能根据本须知29.2款约定按时提供原件进行核查的，或不按照投标文件承诺履约或撤回投标或放弃中标资格或不按要求与招标人签订合同等影响中标结果的行为，招标人有权将投标人纳入东莞市水务集团有限公司（含其全资子公司、控股公司、由其管理的参股公司）招标、采购、征集供应商或合作方采购的“黑名单”中，因此导致投标人无法参与东莞市水务集团有限公司相关招标采购等活动的，由投标人自行承担全部后果。</w:t>
      </w:r>
    </w:p>
    <w:p>
      <w:pPr>
        <w:pStyle w:val="19"/>
        <w:rPr>
          <w:rFonts w:hint="eastAsia" w:hAnsi="宋体" w:cs="宋体"/>
          <w:color w:val="auto"/>
          <w:sz w:val="21"/>
          <w:szCs w:val="21"/>
        </w:rPr>
      </w:pPr>
    </w:p>
    <w:p>
      <w:pPr>
        <w:pStyle w:val="36"/>
        <w:numPr>
          <w:ilvl w:val="1"/>
          <w:numId w:val="5"/>
        </w:numPr>
        <w:tabs>
          <w:tab w:val="left" w:pos="567"/>
        </w:tabs>
        <w:spacing w:before="0" w:after="0" w:line="360" w:lineRule="auto"/>
        <w:ind w:left="0" w:firstLine="0"/>
        <w:jc w:val="left"/>
        <w:rPr>
          <w:rFonts w:ascii="宋体" w:hAnsi="宋体" w:cs="宋体"/>
          <w:color w:val="auto"/>
          <w:sz w:val="21"/>
          <w:szCs w:val="21"/>
          <w:lang w:val="zh-CN"/>
        </w:rPr>
      </w:pPr>
      <w:bookmarkStart w:id="98" w:name="_Toc6321"/>
      <w:bookmarkStart w:id="99" w:name="_Toc5093"/>
      <w:bookmarkStart w:id="100" w:name="_Toc447044598"/>
      <w:bookmarkStart w:id="101" w:name="_Toc447045085"/>
      <w:bookmarkStart w:id="102" w:name="_Toc447044474"/>
      <w:r>
        <w:rPr>
          <w:rFonts w:hint="eastAsia" w:ascii="宋体" w:hAnsi="宋体" w:cs="宋体"/>
          <w:color w:val="auto"/>
          <w:sz w:val="21"/>
          <w:szCs w:val="21"/>
          <w:lang w:val="zh-CN"/>
        </w:rPr>
        <w:t>授予合同</w:t>
      </w:r>
      <w:bookmarkEnd w:id="98"/>
      <w:bookmarkEnd w:id="99"/>
      <w:bookmarkEnd w:id="100"/>
      <w:bookmarkEnd w:id="101"/>
      <w:bookmarkEnd w:id="102"/>
    </w:p>
    <w:p>
      <w:pPr>
        <w:tabs>
          <w:tab w:val="left" w:pos="567"/>
        </w:tabs>
        <w:spacing w:line="360" w:lineRule="auto"/>
        <w:ind w:left="496" w:hanging="495" w:hangingChars="236"/>
        <w:jc w:val="both"/>
        <w:outlineLvl w:val="2"/>
        <w:rPr>
          <w:rFonts w:hAnsi="宋体" w:cs="宋体"/>
          <w:color w:val="auto"/>
          <w:kern w:val="2"/>
          <w:sz w:val="21"/>
          <w:szCs w:val="21"/>
          <w:lang w:val="zh-CN"/>
        </w:rPr>
      </w:pPr>
      <w:bookmarkStart w:id="103" w:name="_Toc25584"/>
      <w:bookmarkStart w:id="104" w:name="_Toc16275"/>
      <w:r>
        <w:rPr>
          <w:rFonts w:hint="eastAsia" w:hAnsi="宋体" w:cs="宋体"/>
          <w:color w:val="auto"/>
          <w:kern w:val="2"/>
          <w:sz w:val="21"/>
          <w:szCs w:val="21"/>
          <w:lang w:val="zh-CN"/>
        </w:rPr>
        <w:t>3</w:t>
      </w:r>
      <w:r>
        <w:rPr>
          <w:rFonts w:hint="eastAsia" w:hAnsi="宋体" w:cs="宋体"/>
          <w:color w:val="auto"/>
          <w:kern w:val="2"/>
          <w:sz w:val="21"/>
          <w:szCs w:val="21"/>
        </w:rPr>
        <w:t xml:space="preserve">1  </w:t>
      </w:r>
      <w:r>
        <w:rPr>
          <w:rFonts w:hint="eastAsia" w:hAnsi="宋体" w:cs="宋体"/>
          <w:color w:val="auto"/>
          <w:kern w:val="2"/>
          <w:sz w:val="21"/>
          <w:szCs w:val="21"/>
          <w:lang w:val="zh-CN"/>
        </w:rPr>
        <w:t xml:space="preserve"> 授予合同的准则</w:t>
      </w:r>
      <w:bookmarkEnd w:id="103"/>
      <w:bookmarkEnd w:id="104"/>
    </w:p>
    <w:p>
      <w:pPr>
        <w:tabs>
          <w:tab w:val="left" w:pos="540"/>
        </w:tabs>
        <w:spacing w:line="360" w:lineRule="auto"/>
        <w:ind w:left="540" w:right="51" w:hanging="540"/>
        <w:jc w:val="both"/>
        <w:rPr>
          <w:rFonts w:hAnsi="宋体" w:cs="宋体"/>
          <w:color w:val="auto"/>
          <w:kern w:val="2"/>
          <w:sz w:val="21"/>
          <w:szCs w:val="21"/>
          <w:lang w:val="zh-CN"/>
        </w:rPr>
      </w:pPr>
      <w:r>
        <w:rPr>
          <w:rFonts w:hint="eastAsia" w:hAnsi="宋体" w:cs="宋体"/>
          <w:color w:val="auto"/>
          <w:kern w:val="2"/>
          <w:sz w:val="21"/>
          <w:szCs w:val="21"/>
          <w:lang w:val="zh-CN"/>
        </w:rPr>
        <w:t>3</w:t>
      </w:r>
      <w:r>
        <w:rPr>
          <w:rFonts w:hint="eastAsia" w:hAnsi="宋体" w:cs="宋体"/>
          <w:color w:val="auto"/>
          <w:kern w:val="2"/>
          <w:sz w:val="21"/>
          <w:szCs w:val="21"/>
        </w:rPr>
        <w:t>1</w:t>
      </w:r>
      <w:r>
        <w:rPr>
          <w:rFonts w:hint="eastAsia" w:hAnsi="宋体" w:cs="宋体"/>
          <w:color w:val="auto"/>
          <w:kern w:val="2"/>
          <w:sz w:val="21"/>
          <w:szCs w:val="21"/>
          <w:lang w:val="zh-CN"/>
        </w:rPr>
        <w:t>.1</w:t>
      </w:r>
      <w:r>
        <w:rPr>
          <w:rFonts w:hint="eastAsia" w:hAnsi="宋体" w:cs="宋体"/>
          <w:color w:val="auto"/>
          <w:kern w:val="2"/>
          <w:sz w:val="21"/>
          <w:szCs w:val="21"/>
          <w:lang w:val="zh-CN"/>
        </w:rPr>
        <w:tab/>
      </w:r>
      <w:r>
        <w:rPr>
          <w:rFonts w:hint="eastAsia" w:hAnsi="宋体" w:cs="宋体"/>
          <w:color w:val="auto"/>
          <w:kern w:val="2"/>
          <w:sz w:val="21"/>
          <w:szCs w:val="21"/>
          <w:lang w:val="zh-CN"/>
        </w:rPr>
        <w:t>除第29条、30条规定外，招标人将合同授予其投标文件符合招标文件要求，并且能承诺履行合同，对招标人最为有利的投标人。</w:t>
      </w:r>
    </w:p>
    <w:p>
      <w:pPr>
        <w:numPr>
          <w:ilvl w:val="1"/>
          <w:numId w:val="0"/>
        </w:numPr>
        <w:tabs>
          <w:tab w:val="left" w:pos="540"/>
        </w:tabs>
        <w:spacing w:line="360" w:lineRule="auto"/>
        <w:ind w:left="540" w:right="51" w:hanging="540"/>
        <w:jc w:val="both"/>
        <w:rPr>
          <w:rFonts w:hAnsi="宋体" w:cs="宋体"/>
          <w:color w:val="auto"/>
          <w:kern w:val="2"/>
          <w:sz w:val="21"/>
          <w:szCs w:val="21"/>
          <w:lang w:val="zh-CN"/>
        </w:rPr>
      </w:pPr>
      <w:r>
        <w:rPr>
          <w:rFonts w:hint="eastAsia" w:hAnsi="宋体" w:cs="宋体"/>
          <w:color w:val="auto"/>
          <w:kern w:val="2"/>
          <w:sz w:val="21"/>
          <w:szCs w:val="21"/>
          <w:lang w:val="zh-CN"/>
        </w:rPr>
        <w:t>3</w:t>
      </w:r>
      <w:r>
        <w:rPr>
          <w:rFonts w:hint="eastAsia" w:hAnsi="宋体" w:cs="宋体"/>
          <w:color w:val="auto"/>
          <w:kern w:val="2"/>
          <w:sz w:val="21"/>
          <w:szCs w:val="21"/>
        </w:rPr>
        <w:t>1</w:t>
      </w:r>
      <w:r>
        <w:rPr>
          <w:rFonts w:hint="eastAsia" w:hAnsi="宋体" w:cs="宋体"/>
          <w:color w:val="auto"/>
          <w:kern w:val="2"/>
          <w:sz w:val="21"/>
          <w:szCs w:val="21"/>
          <w:lang w:val="zh-CN"/>
        </w:rPr>
        <w:t>.2 招标人依法</w:t>
      </w:r>
      <w:r>
        <w:rPr>
          <w:rFonts w:hint="eastAsia" w:hAnsi="宋体" w:cs="宋体"/>
          <w:color w:val="auto"/>
          <w:sz w:val="21"/>
          <w:szCs w:val="21"/>
        </w:rPr>
        <w:t>按照评标报告中推荐的中标候选人顺序</w:t>
      </w:r>
      <w:r>
        <w:rPr>
          <w:rFonts w:hint="eastAsia" w:hAnsi="宋体" w:cs="宋体"/>
          <w:color w:val="auto"/>
          <w:kern w:val="2"/>
          <w:sz w:val="21"/>
          <w:szCs w:val="21"/>
          <w:lang w:val="zh-CN"/>
        </w:rPr>
        <w:t>确定中标人。</w:t>
      </w:r>
    </w:p>
    <w:p>
      <w:pPr>
        <w:snapToGrid w:val="0"/>
        <w:spacing w:line="360" w:lineRule="auto"/>
        <w:ind w:left="525" w:hanging="525" w:hangingChars="250"/>
        <w:rPr>
          <w:rFonts w:hAnsi="宋体" w:cs="宋体"/>
          <w:color w:val="auto"/>
          <w:sz w:val="21"/>
          <w:szCs w:val="21"/>
        </w:rPr>
      </w:pPr>
      <w:r>
        <w:rPr>
          <w:rFonts w:hint="eastAsia" w:hAnsi="宋体" w:cs="宋体"/>
          <w:color w:val="auto"/>
          <w:kern w:val="2"/>
          <w:sz w:val="21"/>
          <w:szCs w:val="21"/>
          <w:lang w:val="zh-CN"/>
        </w:rPr>
        <w:t>3</w:t>
      </w:r>
      <w:r>
        <w:rPr>
          <w:rFonts w:hint="eastAsia" w:hAnsi="宋体" w:cs="宋体"/>
          <w:color w:val="auto"/>
          <w:kern w:val="2"/>
          <w:sz w:val="21"/>
          <w:szCs w:val="21"/>
        </w:rPr>
        <w:t>1</w:t>
      </w:r>
      <w:r>
        <w:rPr>
          <w:rFonts w:hint="eastAsia" w:hAnsi="宋体" w:cs="宋体"/>
          <w:color w:val="auto"/>
          <w:sz w:val="21"/>
          <w:szCs w:val="21"/>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p>
    <w:p>
      <w:pPr>
        <w:spacing w:line="360" w:lineRule="auto"/>
        <w:ind w:right="893"/>
        <w:jc w:val="both"/>
        <w:rPr>
          <w:rFonts w:hAnsi="宋体" w:cs="宋体"/>
          <w:color w:val="auto"/>
          <w:kern w:val="2"/>
          <w:sz w:val="21"/>
          <w:szCs w:val="21"/>
          <w:lang w:val="zh-CN"/>
        </w:rPr>
      </w:pPr>
    </w:p>
    <w:p>
      <w:pPr>
        <w:tabs>
          <w:tab w:val="left" w:pos="567"/>
        </w:tabs>
        <w:spacing w:line="360" w:lineRule="auto"/>
        <w:ind w:left="496" w:hanging="495" w:hangingChars="236"/>
        <w:jc w:val="both"/>
        <w:outlineLvl w:val="2"/>
        <w:rPr>
          <w:rFonts w:hAnsi="宋体" w:cs="宋体"/>
          <w:color w:val="auto"/>
          <w:kern w:val="2"/>
          <w:sz w:val="21"/>
          <w:szCs w:val="21"/>
          <w:lang w:val="zh-CN"/>
        </w:rPr>
      </w:pPr>
      <w:bookmarkStart w:id="105" w:name="_Toc28933"/>
      <w:bookmarkStart w:id="106" w:name="_Toc26921"/>
      <w:r>
        <w:rPr>
          <w:rFonts w:hint="eastAsia" w:hAnsi="宋体" w:cs="宋体"/>
          <w:color w:val="auto"/>
          <w:kern w:val="2"/>
          <w:sz w:val="21"/>
          <w:szCs w:val="21"/>
          <w:lang w:val="zh-CN"/>
        </w:rPr>
        <w:t>3</w:t>
      </w:r>
      <w:r>
        <w:rPr>
          <w:rFonts w:hint="eastAsia" w:hAnsi="宋体" w:cs="宋体"/>
          <w:color w:val="auto"/>
          <w:kern w:val="2"/>
          <w:sz w:val="21"/>
          <w:szCs w:val="21"/>
        </w:rPr>
        <w:t>2</w:t>
      </w:r>
      <w:r>
        <w:rPr>
          <w:rFonts w:hint="eastAsia" w:hAnsi="宋体" w:cs="宋体"/>
          <w:color w:val="auto"/>
          <w:kern w:val="2"/>
          <w:sz w:val="21"/>
          <w:szCs w:val="21"/>
          <w:lang w:val="zh-CN"/>
        </w:rPr>
        <w:t xml:space="preserve"> </w:t>
      </w:r>
      <w:r>
        <w:rPr>
          <w:rFonts w:hint="eastAsia" w:hAnsi="宋体" w:cs="宋体"/>
          <w:color w:val="auto"/>
          <w:kern w:val="2"/>
          <w:sz w:val="21"/>
          <w:szCs w:val="21"/>
        </w:rPr>
        <w:t xml:space="preserve">  </w:t>
      </w:r>
      <w:r>
        <w:rPr>
          <w:rFonts w:hint="eastAsia" w:hAnsi="宋体" w:cs="宋体"/>
          <w:color w:val="auto"/>
          <w:kern w:val="2"/>
          <w:sz w:val="21"/>
          <w:szCs w:val="21"/>
          <w:lang w:val="zh-CN"/>
        </w:rPr>
        <w:t>中标通知</w:t>
      </w:r>
      <w:bookmarkEnd w:id="105"/>
      <w:bookmarkEnd w:id="106"/>
    </w:p>
    <w:p>
      <w:pPr>
        <w:snapToGrid w:val="0"/>
        <w:spacing w:line="360" w:lineRule="auto"/>
        <w:ind w:left="525" w:hanging="525" w:hangingChars="250"/>
        <w:rPr>
          <w:rFonts w:hAnsi="宋体" w:cs="宋体"/>
          <w:color w:val="auto"/>
          <w:kern w:val="2"/>
          <w:sz w:val="21"/>
          <w:szCs w:val="21"/>
          <w:lang w:val="zh-CN"/>
        </w:rPr>
      </w:pPr>
      <w:r>
        <w:rPr>
          <w:rFonts w:hint="eastAsia" w:hAnsi="宋体" w:cs="宋体"/>
          <w:color w:val="auto"/>
          <w:kern w:val="2"/>
          <w:sz w:val="21"/>
          <w:szCs w:val="21"/>
          <w:lang w:val="zh-CN"/>
        </w:rPr>
        <w:t>3</w:t>
      </w:r>
      <w:r>
        <w:rPr>
          <w:rFonts w:hint="eastAsia" w:hAnsi="宋体" w:cs="宋体"/>
          <w:color w:val="auto"/>
          <w:kern w:val="2"/>
          <w:sz w:val="21"/>
          <w:szCs w:val="21"/>
        </w:rPr>
        <w:t>2</w:t>
      </w:r>
      <w:r>
        <w:rPr>
          <w:rFonts w:hint="eastAsia" w:hAnsi="宋体" w:cs="宋体"/>
          <w:color w:val="auto"/>
          <w:kern w:val="2"/>
          <w:sz w:val="21"/>
          <w:szCs w:val="21"/>
          <w:lang w:val="zh-CN"/>
        </w:rPr>
        <w:t>.1</w:t>
      </w:r>
      <w:r>
        <w:rPr>
          <w:rFonts w:hint="eastAsia" w:hAnsi="宋体" w:cs="宋体"/>
          <w:color w:val="auto"/>
          <w:kern w:val="2"/>
          <w:sz w:val="21"/>
          <w:szCs w:val="21"/>
          <w:lang w:val="zh-CN"/>
        </w:rPr>
        <w:tab/>
      </w:r>
      <w:r>
        <w:rPr>
          <w:rFonts w:hint="eastAsia" w:hAnsi="宋体" w:cs="宋体"/>
          <w:color w:val="auto"/>
          <w:kern w:val="2"/>
          <w:sz w:val="21"/>
          <w:szCs w:val="21"/>
          <w:lang w:val="zh-CN"/>
        </w:rPr>
        <w:t>招标代理机构向中标人发出书面通知，中标通知书是合同的一个组成部分。</w:t>
      </w:r>
    </w:p>
    <w:p>
      <w:pPr>
        <w:snapToGrid w:val="0"/>
        <w:spacing w:line="360" w:lineRule="auto"/>
        <w:ind w:left="525" w:hanging="525" w:hangingChars="250"/>
        <w:rPr>
          <w:rFonts w:hAnsi="宋体" w:cs="宋体"/>
          <w:color w:val="auto"/>
          <w:kern w:val="2"/>
          <w:sz w:val="21"/>
          <w:szCs w:val="21"/>
          <w:lang w:val="zh-CN"/>
        </w:rPr>
      </w:pPr>
      <w:r>
        <w:rPr>
          <w:rFonts w:hint="eastAsia" w:hAnsi="宋体" w:cs="宋体"/>
          <w:color w:val="auto"/>
          <w:kern w:val="2"/>
          <w:sz w:val="21"/>
          <w:szCs w:val="21"/>
          <w:lang w:val="zh-CN"/>
        </w:rPr>
        <w:t>3</w:t>
      </w:r>
      <w:r>
        <w:rPr>
          <w:rFonts w:hint="eastAsia" w:hAnsi="宋体" w:cs="宋体"/>
          <w:color w:val="auto"/>
          <w:kern w:val="2"/>
          <w:sz w:val="21"/>
          <w:szCs w:val="21"/>
        </w:rPr>
        <w:t>2</w:t>
      </w:r>
      <w:r>
        <w:rPr>
          <w:rFonts w:hint="eastAsia" w:hAnsi="宋体" w:cs="宋体"/>
          <w:color w:val="auto"/>
          <w:kern w:val="2"/>
          <w:sz w:val="21"/>
          <w:szCs w:val="21"/>
          <w:lang w:val="zh-CN"/>
        </w:rPr>
        <w:t>.2</w:t>
      </w:r>
      <w:r>
        <w:rPr>
          <w:rFonts w:hint="eastAsia" w:hAnsi="宋体" w:cs="宋体"/>
          <w:color w:val="auto"/>
          <w:kern w:val="2"/>
          <w:sz w:val="21"/>
          <w:szCs w:val="21"/>
          <w:lang w:val="zh-CN"/>
        </w:rPr>
        <w:tab/>
      </w:r>
      <w:r>
        <w:rPr>
          <w:rFonts w:hint="eastAsia" w:hAnsi="宋体" w:cs="宋体"/>
          <w:color w:val="auto"/>
          <w:kern w:val="2"/>
          <w:sz w:val="21"/>
          <w:szCs w:val="21"/>
          <w:lang w:val="zh-CN"/>
        </w:rPr>
        <w:t>招标代理机构向中标人发出书面通知的同时，招标代理机构通知落选的投标人其投标文件未被接受而不提原因。</w:t>
      </w:r>
    </w:p>
    <w:p>
      <w:pPr>
        <w:spacing w:line="360" w:lineRule="auto"/>
        <w:ind w:right="893"/>
        <w:jc w:val="both"/>
        <w:rPr>
          <w:rFonts w:hAnsi="宋体" w:cs="宋体"/>
          <w:color w:val="auto"/>
          <w:kern w:val="2"/>
          <w:sz w:val="21"/>
          <w:szCs w:val="21"/>
          <w:lang w:val="zh-CN"/>
        </w:rPr>
      </w:pPr>
    </w:p>
    <w:p>
      <w:pPr>
        <w:tabs>
          <w:tab w:val="left" w:pos="567"/>
        </w:tabs>
        <w:spacing w:line="360" w:lineRule="auto"/>
        <w:ind w:left="496" w:hanging="495" w:hangingChars="236"/>
        <w:jc w:val="both"/>
        <w:outlineLvl w:val="2"/>
        <w:rPr>
          <w:rFonts w:hAnsi="宋体" w:cs="宋体"/>
          <w:color w:val="auto"/>
          <w:kern w:val="2"/>
          <w:sz w:val="21"/>
          <w:szCs w:val="21"/>
          <w:lang w:val="zh-CN"/>
        </w:rPr>
      </w:pPr>
      <w:bookmarkStart w:id="107" w:name="_Toc3793"/>
      <w:bookmarkStart w:id="108" w:name="_Toc8048"/>
      <w:r>
        <w:rPr>
          <w:rFonts w:hint="eastAsia" w:hAnsi="宋体" w:cs="宋体"/>
          <w:color w:val="auto"/>
          <w:kern w:val="2"/>
          <w:sz w:val="21"/>
          <w:szCs w:val="21"/>
          <w:lang w:val="zh-CN"/>
        </w:rPr>
        <w:t>3</w:t>
      </w:r>
      <w:r>
        <w:rPr>
          <w:rFonts w:hint="eastAsia" w:hAnsi="宋体" w:cs="宋体"/>
          <w:color w:val="auto"/>
          <w:kern w:val="2"/>
          <w:sz w:val="21"/>
          <w:szCs w:val="21"/>
        </w:rPr>
        <w:t>3</w:t>
      </w:r>
      <w:r>
        <w:rPr>
          <w:rFonts w:hint="eastAsia" w:hAnsi="宋体" w:cs="宋体"/>
          <w:color w:val="auto"/>
          <w:kern w:val="2"/>
          <w:sz w:val="21"/>
          <w:szCs w:val="21"/>
          <w:lang w:val="zh-CN"/>
        </w:rPr>
        <w:t xml:space="preserve"> </w:t>
      </w:r>
      <w:r>
        <w:rPr>
          <w:rFonts w:hint="eastAsia" w:hAnsi="宋体" w:cs="宋体"/>
          <w:color w:val="auto"/>
          <w:kern w:val="2"/>
          <w:sz w:val="21"/>
          <w:szCs w:val="21"/>
        </w:rPr>
        <w:t xml:space="preserve">  </w:t>
      </w:r>
      <w:r>
        <w:rPr>
          <w:rFonts w:hint="eastAsia" w:hAnsi="宋体" w:cs="宋体"/>
          <w:color w:val="auto"/>
          <w:kern w:val="2"/>
          <w:sz w:val="21"/>
          <w:szCs w:val="21"/>
          <w:lang w:val="zh-CN"/>
        </w:rPr>
        <w:t>签署合同</w:t>
      </w:r>
      <w:bookmarkEnd w:id="107"/>
      <w:bookmarkEnd w:id="108"/>
    </w:p>
    <w:p>
      <w:pPr>
        <w:tabs>
          <w:tab w:val="left" w:pos="567"/>
        </w:tabs>
        <w:spacing w:line="360" w:lineRule="auto"/>
        <w:ind w:left="527" w:hanging="527" w:hangingChars="250"/>
        <w:jc w:val="both"/>
        <w:rPr>
          <w:rFonts w:hAnsi="宋体" w:cs="宋体"/>
          <w:color w:val="auto"/>
          <w:kern w:val="2"/>
          <w:sz w:val="21"/>
          <w:szCs w:val="21"/>
          <w:lang w:val="zh-CN"/>
        </w:rPr>
      </w:pPr>
      <w:r>
        <w:rPr>
          <w:rFonts w:hint="eastAsia" w:hAnsi="宋体" w:cs="宋体"/>
          <w:b/>
          <w:color w:val="auto"/>
          <w:kern w:val="2"/>
          <w:sz w:val="21"/>
          <w:szCs w:val="21"/>
          <w:lang w:val="zh-CN"/>
        </w:rPr>
        <w:t>3</w:t>
      </w:r>
      <w:r>
        <w:rPr>
          <w:rFonts w:hint="eastAsia" w:hAnsi="宋体" w:cs="宋体"/>
          <w:b/>
          <w:color w:val="auto"/>
          <w:kern w:val="2"/>
          <w:sz w:val="21"/>
          <w:szCs w:val="21"/>
        </w:rPr>
        <w:t>3</w:t>
      </w:r>
      <w:r>
        <w:rPr>
          <w:rFonts w:hint="eastAsia" w:hAnsi="宋体" w:cs="宋体"/>
          <w:b/>
          <w:color w:val="auto"/>
          <w:kern w:val="2"/>
          <w:sz w:val="21"/>
          <w:szCs w:val="21"/>
          <w:lang w:val="zh-CN"/>
        </w:rPr>
        <w:t xml:space="preserve">.1 </w:t>
      </w:r>
      <w:r>
        <w:rPr>
          <w:rFonts w:hint="eastAsia" w:hAnsi="宋体" w:cs="宋体"/>
          <w:b/>
          <w:color w:val="auto"/>
          <w:kern w:val="2"/>
          <w:sz w:val="21"/>
          <w:szCs w:val="21"/>
          <w:u w:val="single"/>
          <w:lang w:val="zh-CN"/>
        </w:rPr>
        <w:t>中标人在自中标通知书发出之日起30日内，在中标通知书上规定的时间内，应派法定代表人或其授权代表前往招标人处签订合同。否则招标人有权取消中标资格并按招标文件及法律、法规的规定进行处理</w:t>
      </w:r>
      <w:r>
        <w:rPr>
          <w:rFonts w:hint="eastAsia" w:hAnsi="宋体" w:cs="宋体"/>
          <w:color w:val="auto"/>
          <w:kern w:val="2"/>
          <w:sz w:val="21"/>
          <w:szCs w:val="21"/>
          <w:lang w:val="zh-CN"/>
        </w:rPr>
        <w:t>。</w:t>
      </w:r>
    </w:p>
    <w:p>
      <w:pPr>
        <w:snapToGrid w:val="0"/>
        <w:spacing w:line="360" w:lineRule="auto"/>
        <w:ind w:left="525" w:hanging="525" w:hangingChars="250"/>
        <w:rPr>
          <w:rFonts w:hAnsi="宋体" w:cs="宋体"/>
          <w:color w:val="auto"/>
          <w:kern w:val="2"/>
          <w:sz w:val="21"/>
          <w:szCs w:val="21"/>
          <w:lang w:val="zh-CN"/>
        </w:rPr>
      </w:pPr>
      <w:r>
        <w:rPr>
          <w:rFonts w:hint="eastAsia" w:hAnsi="宋体" w:cs="宋体"/>
          <w:color w:val="auto"/>
          <w:kern w:val="2"/>
          <w:sz w:val="21"/>
          <w:szCs w:val="21"/>
          <w:lang w:val="zh-CN"/>
        </w:rPr>
        <w:t>3</w:t>
      </w:r>
      <w:r>
        <w:rPr>
          <w:rFonts w:hint="eastAsia" w:hAnsi="宋体" w:cs="宋体"/>
          <w:color w:val="auto"/>
          <w:kern w:val="2"/>
          <w:sz w:val="21"/>
          <w:szCs w:val="21"/>
        </w:rPr>
        <w:t>3</w:t>
      </w:r>
      <w:r>
        <w:rPr>
          <w:rFonts w:hint="eastAsia" w:hAnsi="宋体" w:cs="宋体"/>
          <w:color w:val="auto"/>
          <w:kern w:val="2"/>
          <w:sz w:val="21"/>
          <w:szCs w:val="21"/>
          <w:lang w:val="zh-CN"/>
        </w:rPr>
        <w:t>.</w:t>
      </w:r>
      <w:r>
        <w:rPr>
          <w:rFonts w:hint="eastAsia" w:hAnsi="宋体" w:cs="宋体"/>
          <w:color w:val="auto"/>
          <w:kern w:val="2"/>
          <w:sz w:val="21"/>
          <w:szCs w:val="21"/>
        </w:rPr>
        <w:t>2</w:t>
      </w:r>
      <w:r>
        <w:rPr>
          <w:rFonts w:hint="eastAsia" w:hAnsi="宋体" w:cs="宋体"/>
          <w:color w:val="auto"/>
          <w:kern w:val="2"/>
          <w:sz w:val="21"/>
          <w:szCs w:val="21"/>
          <w:lang w:val="zh-CN"/>
        </w:rPr>
        <w:t xml:space="preserve"> 因本招标项目服务范围包括招标人</w:t>
      </w:r>
      <w:r>
        <w:rPr>
          <w:rFonts w:hint="eastAsia" w:hAnsi="宋体" w:cs="宋体"/>
          <w:color w:val="auto"/>
          <w:sz w:val="21"/>
        </w:rPr>
        <w:t>及其分公司、子公司，为便于结算，中标人应配合招标人根据实际使用单位的不同，分别签订合同</w:t>
      </w:r>
      <w:r>
        <w:rPr>
          <w:rFonts w:hint="eastAsia" w:hAnsi="宋体" w:cs="宋体"/>
          <w:color w:val="auto"/>
          <w:kern w:val="2"/>
          <w:sz w:val="21"/>
          <w:szCs w:val="21"/>
          <w:lang w:val="zh-CN"/>
        </w:rPr>
        <w:t>。</w:t>
      </w:r>
    </w:p>
    <w:p>
      <w:pPr>
        <w:snapToGrid w:val="0"/>
        <w:spacing w:line="360" w:lineRule="auto"/>
        <w:ind w:left="525" w:hanging="525" w:hangingChars="250"/>
        <w:rPr>
          <w:rFonts w:hAnsi="宋体" w:cs="宋体"/>
          <w:color w:val="auto"/>
          <w:kern w:val="2"/>
          <w:sz w:val="21"/>
          <w:szCs w:val="21"/>
        </w:rPr>
      </w:pPr>
    </w:p>
    <w:p>
      <w:pPr>
        <w:tabs>
          <w:tab w:val="left" w:pos="567"/>
        </w:tabs>
        <w:spacing w:line="360" w:lineRule="auto"/>
        <w:ind w:left="496" w:hanging="495" w:hangingChars="236"/>
        <w:jc w:val="both"/>
        <w:outlineLvl w:val="2"/>
        <w:rPr>
          <w:rFonts w:hAnsi="宋体" w:cs="宋体"/>
          <w:color w:val="auto"/>
          <w:kern w:val="2"/>
          <w:sz w:val="21"/>
          <w:szCs w:val="21"/>
          <w:lang w:val="zh-CN"/>
        </w:rPr>
      </w:pPr>
      <w:bookmarkStart w:id="109" w:name="_Toc27484"/>
      <w:bookmarkStart w:id="110" w:name="_Toc32596"/>
      <w:r>
        <w:rPr>
          <w:rFonts w:hint="eastAsia" w:hAnsi="宋体" w:cs="宋体"/>
          <w:color w:val="auto"/>
          <w:kern w:val="2"/>
          <w:sz w:val="21"/>
          <w:szCs w:val="21"/>
          <w:lang w:val="zh-CN"/>
        </w:rPr>
        <w:t>3</w:t>
      </w:r>
      <w:r>
        <w:rPr>
          <w:rFonts w:hint="eastAsia" w:hAnsi="宋体" w:cs="宋体"/>
          <w:color w:val="auto"/>
          <w:kern w:val="2"/>
          <w:sz w:val="21"/>
          <w:szCs w:val="21"/>
        </w:rPr>
        <w:t>4</w:t>
      </w:r>
      <w:r>
        <w:rPr>
          <w:rFonts w:hint="eastAsia" w:hAnsi="宋体" w:cs="宋体"/>
          <w:color w:val="auto"/>
          <w:kern w:val="2"/>
          <w:sz w:val="21"/>
          <w:szCs w:val="21"/>
          <w:lang w:val="zh-CN"/>
        </w:rPr>
        <w:t xml:space="preserve"> </w:t>
      </w:r>
      <w:r>
        <w:rPr>
          <w:rFonts w:hint="eastAsia" w:hAnsi="宋体" w:cs="宋体"/>
          <w:color w:val="auto"/>
          <w:kern w:val="2"/>
          <w:sz w:val="21"/>
          <w:szCs w:val="21"/>
        </w:rPr>
        <w:t xml:space="preserve">  </w:t>
      </w:r>
      <w:r>
        <w:rPr>
          <w:rFonts w:hint="eastAsia" w:hAnsi="宋体" w:cs="宋体"/>
          <w:color w:val="auto"/>
          <w:kern w:val="2"/>
          <w:sz w:val="21"/>
          <w:szCs w:val="21"/>
          <w:lang w:val="zh-CN"/>
        </w:rPr>
        <w:t>履约担保</w:t>
      </w:r>
      <w:bookmarkEnd w:id="109"/>
      <w:bookmarkEnd w:id="110"/>
    </w:p>
    <w:p>
      <w:pPr>
        <w:snapToGrid w:val="0"/>
        <w:spacing w:line="360" w:lineRule="auto"/>
        <w:ind w:left="420" w:hanging="420" w:hangingChars="200"/>
        <w:rPr>
          <w:rFonts w:hAnsi="宋体" w:cs="宋体"/>
          <w:b/>
          <w:bCs/>
          <w:color w:val="auto"/>
          <w:kern w:val="2"/>
          <w:sz w:val="21"/>
          <w:szCs w:val="21"/>
          <w:lang w:val="zh-CN"/>
        </w:rPr>
      </w:pPr>
      <w:r>
        <w:rPr>
          <w:rFonts w:hint="eastAsia" w:hAnsi="宋体" w:cs="宋体"/>
          <w:color w:val="auto"/>
          <w:kern w:val="2"/>
          <w:sz w:val="21"/>
          <w:szCs w:val="21"/>
          <w:lang w:val="zh-CN"/>
        </w:rPr>
        <w:t>3</w:t>
      </w:r>
      <w:r>
        <w:rPr>
          <w:rFonts w:hint="eastAsia" w:hAnsi="宋体" w:cs="宋体"/>
          <w:color w:val="auto"/>
          <w:kern w:val="2"/>
          <w:sz w:val="21"/>
          <w:szCs w:val="21"/>
        </w:rPr>
        <w:t>4</w:t>
      </w:r>
      <w:r>
        <w:rPr>
          <w:rFonts w:hint="eastAsia" w:hAnsi="宋体" w:cs="宋体"/>
          <w:color w:val="auto"/>
          <w:kern w:val="2"/>
          <w:sz w:val="21"/>
          <w:szCs w:val="21"/>
          <w:lang w:val="zh-CN"/>
        </w:rPr>
        <w:t>.</w:t>
      </w:r>
      <w:r>
        <w:rPr>
          <w:rFonts w:hint="eastAsia" w:hAnsi="宋体" w:cs="宋体"/>
          <w:color w:val="auto"/>
          <w:sz w:val="21"/>
          <w:szCs w:val="21"/>
        </w:rPr>
        <w:t xml:space="preserve">1 </w:t>
      </w:r>
      <w:r>
        <w:rPr>
          <w:rFonts w:hint="eastAsia" w:hAnsi="宋体" w:cs="宋体"/>
          <w:b/>
          <w:bCs/>
          <w:color w:val="auto"/>
          <w:kern w:val="2"/>
          <w:sz w:val="21"/>
          <w:szCs w:val="21"/>
          <w:u w:val="single"/>
          <w:lang w:val="zh-CN"/>
        </w:rPr>
        <w:t>中标人</w:t>
      </w:r>
      <w:r>
        <w:rPr>
          <w:rFonts w:hint="eastAsia" w:hAnsi="宋体" w:cs="宋体"/>
          <w:b/>
          <w:bCs/>
          <w:color w:val="auto"/>
          <w:sz w:val="21"/>
          <w:szCs w:val="21"/>
          <w:u w:val="single"/>
        </w:rPr>
        <w:t>应在签订合同前，中标人应按本招标文件规定金额及形式要求，向招标人提交不可撤销的银行履约保函（或履约保证金，或担保公司履约担保书），作为履约担保（所需费用由中标人自行承担），</w:t>
      </w:r>
      <w:r>
        <w:rPr>
          <w:rFonts w:hint="eastAsia" w:hAnsi="宋体" w:cs="宋体"/>
          <w:b/>
          <w:bCs/>
          <w:color w:val="auto"/>
          <w:sz w:val="21"/>
          <w:u w:val="single"/>
        </w:rPr>
        <w:t>否则招标人可取消中标人的中标资格，并不予退还其投标保证金。</w:t>
      </w:r>
      <w:r>
        <w:rPr>
          <w:rFonts w:hint="eastAsia" w:hAnsi="宋体" w:cs="宋体"/>
          <w:b/>
          <w:bCs/>
          <w:color w:val="auto"/>
          <w:kern w:val="2"/>
          <w:sz w:val="21"/>
          <w:szCs w:val="21"/>
          <w:u w:val="single"/>
        </w:rPr>
        <w:t>其中采用履约保证金（银行转账形式）的金额为人民币</w:t>
      </w:r>
      <w:r>
        <w:rPr>
          <w:rFonts w:hint="eastAsia" w:hAnsi="宋体" w:cs="宋体"/>
          <w:b/>
          <w:bCs/>
          <w:color w:val="auto"/>
          <w:kern w:val="2"/>
          <w:sz w:val="21"/>
          <w:szCs w:val="21"/>
          <w:u w:val="single"/>
          <w:lang w:val="en-US" w:eastAsia="zh-CN"/>
        </w:rPr>
        <w:t>壹拾陆</w:t>
      </w:r>
      <w:r>
        <w:rPr>
          <w:rFonts w:hint="eastAsia" w:hAnsi="宋体" w:cs="宋体"/>
          <w:b/>
          <w:bCs/>
          <w:color w:val="auto"/>
          <w:kern w:val="2"/>
          <w:sz w:val="21"/>
          <w:szCs w:val="21"/>
          <w:u w:val="single"/>
        </w:rPr>
        <w:t>万元整（</w:t>
      </w:r>
      <w:bookmarkStart w:id="111" w:name="_Hlk58314198"/>
      <w:r>
        <w:rPr>
          <w:rFonts w:hint="eastAsia" w:hAnsi="宋体" w:cs="宋体"/>
          <w:b/>
          <w:bCs/>
          <w:color w:val="auto"/>
          <w:kern w:val="2"/>
          <w:sz w:val="21"/>
          <w:szCs w:val="21"/>
          <w:u w:val="single"/>
        </w:rPr>
        <w:t>￥</w:t>
      </w:r>
      <w:r>
        <w:rPr>
          <w:rFonts w:hint="eastAsia" w:hAnsi="宋体" w:cs="宋体"/>
          <w:b/>
          <w:bCs/>
          <w:color w:val="auto"/>
          <w:kern w:val="2"/>
          <w:sz w:val="21"/>
          <w:szCs w:val="21"/>
          <w:u w:val="single"/>
          <w:lang w:val="en-US" w:eastAsia="zh-CN"/>
        </w:rPr>
        <w:t>16</w:t>
      </w:r>
      <w:r>
        <w:rPr>
          <w:rFonts w:hint="eastAsia" w:hAnsi="宋体" w:cs="宋体"/>
          <w:b/>
          <w:bCs/>
          <w:color w:val="auto"/>
          <w:kern w:val="2"/>
          <w:sz w:val="21"/>
          <w:szCs w:val="21"/>
          <w:u w:val="single"/>
        </w:rPr>
        <w:t>0,000.00</w:t>
      </w:r>
      <w:bookmarkEnd w:id="111"/>
      <w:r>
        <w:rPr>
          <w:rFonts w:hint="eastAsia" w:hAnsi="宋体" w:cs="宋体"/>
          <w:b/>
          <w:bCs/>
          <w:color w:val="auto"/>
          <w:kern w:val="2"/>
          <w:sz w:val="21"/>
          <w:szCs w:val="21"/>
          <w:u w:val="single"/>
        </w:rPr>
        <w:t>），采用不可撤销银行履约保函形式的金额为人民币贰拾</w:t>
      </w:r>
      <w:r>
        <w:rPr>
          <w:rFonts w:hint="eastAsia" w:hAnsi="宋体" w:cs="宋体"/>
          <w:b/>
          <w:bCs/>
          <w:color w:val="auto"/>
          <w:kern w:val="2"/>
          <w:sz w:val="21"/>
          <w:szCs w:val="21"/>
          <w:u w:val="single"/>
          <w:lang w:val="en-US" w:eastAsia="zh-CN"/>
        </w:rPr>
        <w:t>陆</w:t>
      </w:r>
      <w:r>
        <w:rPr>
          <w:rFonts w:hint="eastAsia" w:hAnsi="宋体" w:cs="宋体"/>
          <w:b/>
          <w:bCs/>
          <w:color w:val="auto"/>
          <w:kern w:val="2"/>
          <w:sz w:val="21"/>
          <w:szCs w:val="21"/>
          <w:u w:val="single"/>
        </w:rPr>
        <w:t>万元整（￥</w:t>
      </w:r>
      <w:r>
        <w:rPr>
          <w:rFonts w:hint="eastAsia" w:hAnsi="宋体" w:cs="宋体"/>
          <w:b/>
          <w:bCs/>
          <w:color w:val="auto"/>
          <w:kern w:val="2"/>
          <w:sz w:val="21"/>
          <w:szCs w:val="21"/>
          <w:u w:val="single"/>
          <w:lang w:val="en-US" w:eastAsia="zh-CN"/>
        </w:rPr>
        <w:t>26</w:t>
      </w:r>
      <w:r>
        <w:rPr>
          <w:rFonts w:hint="eastAsia" w:hAnsi="宋体" w:cs="宋体"/>
          <w:b/>
          <w:bCs/>
          <w:color w:val="auto"/>
          <w:kern w:val="2"/>
          <w:sz w:val="21"/>
          <w:szCs w:val="21"/>
          <w:u w:val="single"/>
        </w:rPr>
        <w:t>0,000.00），采用</w:t>
      </w:r>
      <w:bookmarkStart w:id="112" w:name="_Hlk57203419"/>
      <w:r>
        <w:rPr>
          <w:rFonts w:hint="eastAsia" w:hAnsi="宋体" w:cs="宋体"/>
          <w:b/>
          <w:bCs/>
          <w:color w:val="auto"/>
          <w:kern w:val="2"/>
          <w:sz w:val="21"/>
          <w:szCs w:val="21"/>
          <w:u w:val="single"/>
        </w:rPr>
        <w:t>担保公司履约担保书形式的金额</w:t>
      </w:r>
      <w:bookmarkEnd w:id="112"/>
      <w:r>
        <w:rPr>
          <w:rFonts w:hint="eastAsia" w:hAnsi="宋体" w:cs="宋体"/>
          <w:b/>
          <w:bCs/>
          <w:color w:val="auto"/>
          <w:kern w:val="2"/>
          <w:sz w:val="21"/>
          <w:szCs w:val="21"/>
          <w:u w:val="single"/>
        </w:rPr>
        <w:t>为</w:t>
      </w:r>
      <w:r>
        <w:rPr>
          <w:rFonts w:hint="eastAsia" w:hAnsi="宋体" w:cs="宋体"/>
          <w:b/>
          <w:bCs/>
          <w:color w:val="auto"/>
          <w:kern w:val="2"/>
          <w:sz w:val="21"/>
          <w:szCs w:val="21"/>
          <w:u w:val="single"/>
          <w:lang w:val="en-US" w:eastAsia="zh-CN"/>
        </w:rPr>
        <w:t>叁拾贰</w:t>
      </w:r>
      <w:r>
        <w:rPr>
          <w:rFonts w:hint="eastAsia" w:hAnsi="宋体" w:cs="宋体"/>
          <w:b/>
          <w:bCs/>
          <w:color w:val="auto"/>
          <w:kern w:val="2"/>
          <w:sz w:val="21"/>
          <w:szCs w:val="21"/>
          <w:u w:val="single"/>
        </w:rPr>
        <w:t>万元整（￥</w:t>
      </w:r>
      <w:r>
        <w:rPr>
          <w:rFonts w:hint="eastAsia" w:hAnsi="宋体" w:cs="宋体"/>
          <w:b/>
          <w:bCs/>
          <w:color w:val="auto"/>
          <w:kern w:val="2"/>
          <w:sz w:val="21"/>
          <w:szCs w:val="21"/>
          <w:u w:val="single"/>
          <w:lang w:val="en-US" w:eastAsia="zh-CN"/>
        </w:rPr>
        <w:t>32</w:t>
      </w:r>
      <w:r>
        <w:rPr>
          <w:rFonts w:hint="eastAsia" w:hAnsi="宋体" w:cs="宋体"/>
          <w:b/>
          <w:bCs/>
          <w:color w:val="auto"/>
          <w:kern w:val="2"/>
          <w:sz w:val="21"/>
          <w:szCs w:val="21"/>
          <w:u w:val="single"/>
        </w:rPr>
        <w:t>0,000.00）。</w:t>
      </w:r>
      <w:r>
        <w:rPr>
          <w:rFonts w:hint="eastAsia" w:hAnsi="宋体" w:cs="宋体"/>
          <w:b/>
          <w:bCs/>
          <w:color w:val="auto"/>
          <w:sz w:val="21"/>
          <w:szCs w:val="21"/>
        </w:rPr>
        <w:t>给招标人造成的损失超过履约担保数额的，还应当由其对超过部分予以赔偿，并依法追究其责任。</w:t>
      </w:r>
    </w:p>
    <w:p>
      <w:pPr>
        <w:snapToGrid w:val="0"/>
        <w:spacing w:line="360" w:lineRule="auto"/>
        <w:ind w:left="525" w:hanging="525" w:hangingChars="250"/>
        <w:rPr>
          <w:rFonts w:hAnsi="宋体" w:cs="宋体"/>
          <w:color w:val="auto"/>
          <w:sz w:val="21"/>
          <w:szCs w:val="21"/>
        </w:rPr>
      </w:pPr>
      <w:r>
        <w:rPr>
          <w:rFonts w:hint="eastAsia" w:hAnsi="宋体" w:cs="宋体"/>
          <w:color w:val="auto"/>
          <w:sz w:val="21"/>
          <w:szCs w:val="21"/>
        </w:rPr>
        <w:t>34.2 履约担保用于补偿招标人因中标人不能完全履行其合同义务而蒙受的损失或其他合同约定的事项。如发生下列任一情况时，招标人有权依据合同追究中标人给招标人造成的损失责任外，，同时有权提取履约担保并进行相应处理：</w:t>
      </w:r>
    </w:p>
    <w:p>
      <w:pPr>
        <w:tabs>
          <w:tab w:val="left" w:pos="360"/>
          <w:tab w:val="left" w:pos="4725"/>
        </w:tabs>
        <w:spacing w:line="360" w:lineRule="auto"/>
        <w:ind w:left="725" w:leftChars="92" w:hanging="504" w:hangingChars="240"/>
        <w:rPr>
          <w:rFonts w:hAnsi="宋体" w:cs="宋体"/>
          <w:color w:val="auto"/>
          <w:sz w:val="21"/>
          <w:szCs w:val="21"/>
        </w:rPr>
      </w:pPr>
      <w:r>
        <w:rPr>
          <w:rFonts w:hint="eastAsia" w:hAnsi="宋体" w:cs="宋体"/>
          <w:color w:val="auto"/>
          <w:sz w:val="21"/>
          <w:szCs w:val="21"/>
        </w:rPr>
        <w:t>（1）中标人将本合同部分或全部转包给第三人，或者未经招标人书面同意，将</w:t>
      </w:r>
      <w:r>
        <w:rPr>
          <w:rFonts w:hint="eastAsia" w:hAnsi="宋体" w:cs="宋体"/>
          <w:color w:val="auto"/>
          <w:kern w:val="2"/>
          <w:sz w:val="21"/>
          <w:szCs w:val="21"/>
          <w:lang w:val="zh-CN"/>
        </w:rPr>
        <w:t>中标项目的合同的权利义务转让给第三方的</w:t>
      </w:r>
      <w:r>
        <w:rPr>
          <w:rFonts w:hint="eastAsia" w:hAnsi="宋体" w:cs="宋体"/>
          <w:color w:val="auto"/>
          <w:sz w:val="21"/>
          <w:szCs w:val="21"/>
        </w:rPr>
        <w:t>，招标人有权没收其履约担保。</w:t>
      </w:r>
    </w:p>
    <w:p>
      <w:pPr>
        <w:tabs>
          <w:tab w:val="left" w:pos="360"/>
          <w:tab w:val="left" w:pos="4725"/>
        </w:tabs>
        <w:spacing w:line="360" w:lineRule="auto"/>
        <w:ind w:left="725" w:leftChars="92" w:hanging="504" w:hangingChars="240"/>
        <w:rPr>
          <w:rFonts w:hAnsi="宋体" w:cs="宋体"/>
          <w:color w:val="auto"/>
          <w:sz w:val="21"/>
          <w:szCs w:val="21"/>
        </w:rPr>
      </w:pPr>
      <w:r>
        <w:rPr>
          <w:rFonts w:hint="eastAsia" w:hAnsi="宋体" w:cs="宋体"/>
          <w:color w:val="auto"/>
          <w:sz w:val="21"/>
          <w:szCs w:val="21"/>
        </w:rPr>
        <w:t>（2）在合同履行期间，中标人怠于履行合同义务，经招标人通知或要求承担违约金后仍拒不改正的，招标人可依法没收或适当扣除其履约担保。</w:t>
      </w:r>
    </w:p>
    <w:p>
      <w:pPr>
        <w:tabs>
          <w:tab w:val="left" w:pos="360"/>
          <w:tab w:val="left" w:pos="4725"/>
        </w:tabs>
        <w:spacing w:line="360" w:lineRule="auto"/>
        <w:ind w:left="725" w:leftChars="92" w:hanging="504" w:hangingChars="240"/>
        <w:rPr>
          <w:rFonts w:hAnsi="宋体" w:cs="宋体"/>
          <w:color w:val="auto"/>
          <w:sz w:val="21"/>
          <w:szCs w:val="21"/>
        </w:rPr>
      </w:pPr>
      <w:r>
        <w:rPr>
          <w:rFonts w:hint="eastAsia" w:hAnsi="宋体" w:cs="宋体"/>
          <w:color w:val="auto"/>
          <w:sz w:val="21"/>
          <w:szCs w:val="21"/>
        </w:rPr>
        <w:t>（3）在合同履行期间，因中标人服务质量问题造成损害、侵权损失（包括但不限于招标人经济损失、第三人人身财产损失等）、拖欠原材料供应商货款或与其所雇用员工发生劳资纠纷、上访、闹事或其他影响招标人生产经营等情况而其未及时妥善处理的，招标人有权使用履约担保予以支付或作出相应处理，由此产生的一切法律后果由中标人承担。</w:t>
      </w:r>
    </w:p>
    <w:p>
      <w:pPr>
        <w:tabs>
          <w:tab w:val="left" w:pos="360"/>
          <w:tab w:val="left" w:pos="4725"/>
        </w:tabs>
        <w:spacing w:line="360" w:lineRule="auto"/>
        <w:ind w:left="725" w:leftChars="92" w:hanging="504" w:hangingChars="240"/>
        <w:rPr>
          <w:rFonts w:hAnsi="宋体" w:cs="宋体"/>
          <w:color w:val="auto"/>
          <w:sz w:val="21"/>
          <w:szCs w:val="21"/>
        </w:rPr>
      </w:pPr>
      <w:r>
        <w:rPr>
          <w:rFonts w:hint="eastAsia" w:hAnsi="宋体" w:cs="宋体"/>
          <w:color w:val="auto"/>
          <w:sz w:val="21"/>
          <w:szCs w:val="21"/>
        </w:rPr>
        <w:t>（4）在合同履行期间，中标人违约产生的违约金、赔偿、罚款或其他应付费用等款项，招标人有权直接从未付款项中直接扣除或启用履约担保予以支付。</w:t>
      </w:r>
    </w:p>
    <w:p>
      <w:pPr>
        <w:tabs>
          <w:tab w:val="left" w:pos="360"/>
          <w:tab w:val="left" w:pos="4725"/>
        </w:tabs>
        <w:spacing w:line="360" w:lineRule="auto"/>
        <w:ind w:left="725" w:leftChars="92" w:hanging="504" w:hangingChars="240"/>
        <w:rPr>
          <w:rFonts w:hAnsi="宋体" w:cs="宋体"/>
          <w:color w:val="auto"/>
          <w:sz w:val="21"/>
          <w:szCs w:val="21"/>
        </w:rPr>
      </w:pPr>
      <w:r>
        <w:rPr>
          <w:rFonts w:hint="eastAsia" w:hAnsi="宋体" w:cs="宋体"/>
          <w:color w:val="auto"/>
          <w:sz w:val="21"/>
          <w:szCs w:val="21"/>
        </w:rPr>
        <w:t>（5）合同期内，中标人不能及时完成合同某项义务的，招标人有权提取履约担保用于处理该项工作。</w:t>
      </w:r>
    </w:p>
    <w:p>
      <w:pPr>
        <w:tabs>
          <w:tab w:val="left" w:pos="360"/>
          <w:tab w:val="left" w:pos="4725"/>
        </w:tabs>
        <w:spacing w:line="360" w:lineRule="auto"/>
        <w:ind w:left="725" w:leftChars="92" w:hanging="504" w:hangingChars="240"/>
        <w:rPr>
          <w:rFonts w:hAnsi="宋体" w:cs="宋体"/>
          <w:color w:val="auto"/>
          <w:sz w:val="21"/>
          <w:szCs w:val="21"/>
        </w:rPr>
      </w:pPr>
      <w:r>
        <w:rPr>
          <w:rFonts w:hint="eastAsia" w:hAnsi="宋体" w:cs="宋体"/>
          <w:color w:val="auto"/>
          <w:sz w:val="21"/>
          <w:szCs w:val="21"/>
        </w:rPr>
        <w:t>（6）其他根据本合同约定或法律规定，招标人可启用履约担保的情形。</w:t>
      </w:r>
    </w:p>
    <w:p>
      <w:pPr>
        <w:snapToGrid w:val="0"/>
        <w:spacing w:line="360" w:lineRule="auto"/>
        <w:ind w:left="525" w:hanging="525" w:hangingChars="250"/>
        <w:rPr>
          <w:rFonts w:hAnsi="宋体" w:cs="宋体"/>
          <w:color w:val="auto"/>
          <w:sz w:val="21"/>
          <w:szCs w:val="21"/>
        </w:rPr>
      </w:pPr>
      <w:r>
        <w:rPr>
          <w:rFonts w:hint="eastAsia" w:hAnsi="宋体" w:cs="宋体"/>
          <w:color w:val="auto"/>
          <w:sz w:val="21"/>
          <w:szCs w:val="21"/>
        </w:rPr>
        <w:t>34.3  履约担保应符合如下规定：</w:t>
      </w:r>
    </w:p>
    <w:p>
      <w:pPr>
        <w:tabs>
          <w:tab w:val="left" w:pos="360"/>
          <w:tab w:val="left" w:pos="4725"/>
        </w:tabs>
        <w:spacing w:line="360" w:lineRule="auto"/>
        <w:ind w:left="725" w:leftChars="92" w:hanging="504" w:hangingChars="240"/>
        <w:rPr>
          <w:rFonts w:hAnsi="宋体" w:cs="宋体"/>
          <w:color w:val="auto"/>
          <w:sz w:val="21"/>
          <w:szCs w:val="21"/>
        </w:rPr>
      </w:pPr>
      <w:r>
        <w:rPr>
          <w:rFonts w:hint="eastAsia" w:hAnsi="宋体" w:cs="宋体"/>
          <w:color w:val="auto"/>
          <w:sz w:val="21"/>
          <w:szCs w:val="21"/>
        </w:rPr>
        <w:t>（1）出具履约保函的银行必须是支行一级以上机构，并经招标人同意，如果提交的是国内非东莞市行政区域的银行出具的履约保函需经担保银行所在地公证机关公证并出具公证书（格式参见第五篇），</w:t>
      </w:r>
      <w:r>
        <w:rPr>
          <w:rFonts w:hint="eastAsia" w:hAnsi="宋体" w:cs="宋体"/>
          <w:color w:val="auto"/>
          <w:kern w:val="2"/>
          <w:sz w:val="21"/>
          <w:szCs w:val="21"/>
          <w:lang w:val="zh-CN"/>
        </w:rPr>
        <w:t>如果提交的是国外银行出具的保函，则要同时提供中国银行东莞市分行的相关证明，</w:t>
      </w:r>
      <w:r>
        <w:rPr>
          <w:rFonts w:hint="eastAsia" w:hAnsi="宋体" w:cs="宋体"/>
          <w:color w:val="auto"/>
          <w:sz w:val="21"/>
          <w:szCs w:val="21"/>
        </w:rPr>
        <w:t>执行本款时所发生的费用由中标人承担。</w:t>
      </w:r>
    </w:p>
    <w:p>
      <w:pPr>
        <w:tabs>
          <w:tab w:val="left" w:pos="360"/>
          <w:tab w:val="left" w:pos="4725"/>
        </w:tabs>
        <w:spacing w:line="360" w:lineRule="auto"/>
        <w:ind w:left="725" w:leftChars="92" w:hanging="504" w:hangingChars="240"/>
        <w:rPr>
          <w:rFonts w:hAnsi="宋体" w:cs="宋体"/>
          <w:color w:val="auto"/>
          <w:sz w:val="21"/>
          <w:szCs w:val="21"/>
        </w:rPr>
      </w:pPr>
      <w:r>
        <w:rPr>
          <w:rFonts w:hint="eastAsia" w:hAnsi="宋体" w:cs="宋体"/>
          <w:color w:val="auto"/>
          <w:sz w:val="21"/>
          <w:szCs w:val="21"/>
        </w:rPr>
        <w:t>（2）履约担保格式应采用招标文件中提供的（格式参见第五篇），投标人如以履约保函（或履约担保书）形式提供履约担保的，投标前应当自行向其拟申请开具保函的银行（或担保）机构落实履约保函（或履约担保书）格式情况，以确保能按本招标文件规定的格式提供保函。如使用其他格式的履约保函（或履约担保书），须事先经招标人的书面同意。</w:t>
      </w:r>
    </w:p>
    <w:p>
      <w:pPr>
        <w:tabs>
          <w:tab w:val="left" w:pos="142"/>
        </w:tabs>
        <w:spacing w:line="360" w:lineRule="auto"/>
        <w:ind w:left="567" w:hanging="532"/>
        <w:jc w:val="both"/>
        <w:rPr>
          <w:rFonts w:hint="eastAsia" w:hAnsi="宋体" w:cs="宋体"/>
          <w:color w:val="auto"/>
          <w:kern w:val="2"/>
          <w:sz w:val="21"/>
          <w:szCs w:val="21"/>
          <w:lang w:val="zh-CN"/>
        </w:rPr>
      </w:pPr>
      <w:r>
        <w:rPr>
          <w:rFonts w:hint="eastAsia" w:hAnsi="宋体" w:cs="宋体"/>
          <w:color w:val="auto"/>
          <w:sz w:val="21"/>
          <w:szCs w:val="21"/>
        </w:rPr>
        <w:t>（3）</w:t>
      </w:r>
      <w:r>
        <w:rPr>
          <w:rFonts w:hint="eastAsia" w:hAnsi="宋体" w:cs="宋体"/>
          <w:color w:val="auto"/>
          <w:kern w:val="2"/>
          <w:sz w:val="21"/>
          <w:szCs w:val="21"/>
          <w:lang w:val="zh-CN"/>
        </w:rPr>
        <w:t>提供担保的担保机构经济性质须为本市国有企业，并经招标人同意，执行本款时所发生的费用由中标人承担。如招标人合同条款接受担保公司预付款担保函的，对担保机构要求参照本条执行。</w:t>
      </w:r>
    </w:p>
    <w:p>
      <w:pPr>
        <w:tabs>
          <w:tab w:val="left" w:pos="360"/>
          <w:tab w:val="left" w:pos="4725"/>
        </w:tabs>
        <w:spacing w:line="360" w:lineRule="auto"/>
        <w:rPr>
          <w:rFonts w:hAnsi="宋体" w:cs="宋体"/>
          <w:color w:val="auto"/>
          <w:sz w:val="21"/>
          <w:szCs w:val="21"/>
        </w:rPr>
      </w:pPr>
      <w:r>
        <w:rPr>
          <w:rFonts w:hint="eastAsia" w:hAnsi="宋体" w:cs="宋体"/>
          <w:color w:val="auto"/>
          <w:sz w:val="21"/>
          <w:szCs w:val="21"/>
        </w:rPr>
        <w:t>（4）如果中标人提交的履约担保的有效期届满时间先于招标文件、合同文件要求的，中标人应在原</w:t>
      </w:r>
    </w:p>
    <w:p>
      <w:pPr>
        <w:tabs>
          <w:tab w:val="left" w:pos="360"/>
          <w:tab w:val="left" w:pos="4725"/>
        </w:tabs>
        <w:spacing w:line="360" w:lineRule="auto"/>
        <w:ind w:firstLine="630" w:firstLineChars="300"/>
        <w:rPr>
          <w:rFonts w:hAnsi="宋体" w:cs="宋体"/>
          <w:color w:val="auto"/>
          <w:sz w:val="21"/>
          <w:szCs w:val="21"/>
        </w:rPr>
      </w:pPr>
      <w:r>
        <w:rPr>
          <w:rFonts w:hint="eastAsia" w:hAnsi="宋体" w:cs="宋体"/>
          <w:color w:val="auto"/>
          <w:sz w:val="21"/>
          <w:szCs w:val="21"/>
        </w:rPr>
        <w:t>提交的履约担保有效期届满前15日内，无条件办理符合招标人要求的履约担保延期手续，否则</w:t>
      </w:r>
    </w:p>
    <w:p>
      <w:pPr>
        <w:tabs>
          <w:tab w:val="left" w:pos="360"/>
          <w:tab w:val="left" w:pos="4725"/>
        </w:tabs>
        <w:spacing w:line="360" w:lineRule="auto"/>
        <w:ind w:firstLine="630" w:firstLineChars="300"/>
        <w:rPr>
          <w:rFonts w:hAnsi="宋体" w:cs="宋体"/>
          <w:color w:val="auto"/>
          <w:sz w:val="21"/>
          <w:szCs w:val="21"/>
        </w:rPr>
      </w:pPr>
      <w:r>
        <w:rPr>
          <w:rFonts w:hint="eastAsia" w:hAnsi="宋体" w:cs="宋体"/>
          <w:color w:val="auto"/>
          <w:sz w:val="21"/>
          <w:szCs w:val="21"/>
        </w:rPr>
        <w:t>视为中标人违约，招标人有权向出具履约担保的机构提取履约保证金。在银行不可撤销履约保</w:t>
      </w:r>
    </w:p>
    <w:p>
      <w:pPr>
        <w:tabs>
          <w:tab w:val="left" w:pos="360"/>
          <w:tab w:val="left" w:pos="4725"/>
        </w:tabs>
        <w:spacing w:line="360" w:lineRule="auto"/>
        <w:ind w:firstLine="630" w:firstLineChars="300"/>
        <w:rPr>
          <w:rFonts w:hAnsi="宋体" w:cs="宋体"/>
          <w:color w:val="auto"/>
          <w:sz w:val="21"/>
          <w:szCs w:val="21"/>
        </w:rPr>
      </w:pPr>
      <w:r>
        <w:rPr>
          <w:rFonts w:hint="eastAsia" w:hAnsi="宋体" w:cs="宋体"/>
          <w:color w:val="auto"/>
          <w:sz w:val="21"/>
          <w:szCs w:val="21"/>
        </w:rPr>
        <w:t>函到期后中标人未按招标人要求重新提供的，招标人有权要求中标人以履约担保金额为限承担</w:t>
      </w:r>
    </w:p>
    <w:p>
      <w:pPr>
        <w:tabs>
          <w:tab w:val="left" w:pos="360"/>
          <w:tab w:val="left" w:pos="4725"/>
        </w:tabs>
        <w:spacing w:line="360" w:lineRule="auto"/>
        <w:ind w:firstLine="630" w:firstLineChars="300"/>
        <w:rPr>
          <w:rFonts w:hAnsi="宋体" w:cs="宋体"/>
          <w:color w:val="auto"/>
          <w:sz w:val="21"/>
          <w:szCs w:val="21"/>
        </w:rPr>
      </w:pPr>
      <w:r>
        <w:rPr>
          <w:rFonts w:hint="eastAsia" w:hAnsi="宋体" w:cs="宋体"/>
          <w:color w:val="auto"/>
          <w:sz w:val="21"/>
          <w:szCs w:val="21"/>
        </w:rPr>
        <w:t>违约金，违约金可直接从未付采购合同费用中扣除。</w:t>
      </w:r>
    </w:p>
    <w:p>
      <w:pPr>
        <w:numPr>
          <w:ilvl w:val="0"/>
          <w:numId w:val="8"/>
        </w:numPr>
        <w:tabs>
          <w:tab w:val="left" w:pos="1134"/>
          <w:tab w:val="left" w:pos="4725"/>
        </w:tabs>
        <w:spacing w:line="360" w:lineRule="auto"/>
        <w:rPr>
          <w:rFonts w:hAnsi="宋体" w:cs="宋体"/>
          <w:color w:val="auto"/>
          <w:sz w:val="21"/>
          <w:szCs w:val="21"/>
        </w:rPr>
      </w:pPr>
      <w:r>
        <w:rPr>
          <w:rFonts w:hint="eastAsia" w:hAnsi="宋体" w:cs="宋体"/>
          <w:color w:val="auto"/>
          <w:sz w:val="21"/>
          <w:szCs w:val="21"/>
        </w:rPr>
        <w:t>在合同履行过程中，不论何种原因导致履约担保金数额不符合招标文件要求的，中标人应当在5</w:t>
      </w:r>
    </w:p>
    <w:p>
      <w:pPr>
        <w:tabs>
          <w:tab w:val="left" w:pos="1134"/>
          <w:tab w:val="left" w:pos="4725"/>
        </w:tabs>
        <w:spacing w:line="360" w:lineRule="auto"/>
        <w:ind w:firstLine="630" w:firstLineChars="300"/>
        <w:rPr>
          <w:rFonts w:hAnsi="宋体" w:cs="宋体"/>
          <w:color w:val="auto"/>
          <w:sz w:val="21"/>
          <w:szCs w:val="21"/>
        </w:rPr>
      </w:pPr>
      <w:r>
        <w:rPr>
          <w:rFonts w:hint="eastAsia" w:hAnsi="宋体" w:cs="宋体"/>
          <w:color w:val="auto"/>
          <w:sz w:val="21"/>
          <w:szCs w:val="21"/>
        </w:rPr>
        <w:t>日内予以补足。逾期不予补足的，招标人有权按需补足的金额要求中标人承担违约金，并要求</w:t>
      </w:r>
    </w:p>
    <w:p>
      <w:pPr>
        <w:tabs>
          <w:tab w:val="left" w:pos="1134"/>
          <w:tab w:val="left" w:pos="4725"/>
        </w:tabs>
        <w:spacing w:line="360" w:lineRule="auto"/>
        <w:ind w:firstLine="630" w:firstLineChars="300"/>
        <w:rPr>
          <w:rFonts w:hAnsi="宋体" w:cs="宋体"/>
          <w:color w:val="auto"/>
          <w:sz w:val="21"/>
          <w:szCs w:val="21"/>
        </w:rPr>
      </w:pPr>
      <w:r>
        <w:rPr>
          <w:rFonts w:hint="eastAsia" w:hAnsi="宋体" w:cs="宋体"/>
          <w:color w:val="auto"/>
          <w:sz w:val="21"/>
          <w:szCs w:val="21"/>
        </w:rPr>
        <w:t>限期补足。如中标人仍不补足的，招标人有权单方解除合同，违约金可直接从未付合同款或履</w:t>
      </w:r>
    </w:p>
    <w:p>
      <w:pPr>
        <w:tabs>
          <w:tab w:val="left" w:pos="1134"/>
          <w:tab w:val="left" w:pos="4725"/>
        </w:tabs>
        <w:spacing w:line="360" w:lineRule="auto"/>
        <w:ind w:firstLine="630" w:firstLineChars="300"/>
        <w:rPr>
          <w:rFonts w:hAnsi="宋体" w:cs="宋体"/>
          <w:color w:val="auto"/>
          <w:sz w:val="21"/>
          <w:szCs w:val="21"/>
        </w:rPr>
      </w:pPr>
      <w:r>
        <w:rPr>
          <w:rFonts w:hint="eastAsia" w:hAnsi="宋体" w:cs="宋体"/>
          <w:color w:val="auto"/>
          <w:sz w:val="21"/>
          <w:szCs w:val="21"/>
        </w:rPr>
        <w:t>约担保中扣除。</w:t>
      </w:r>
    </w:p>
    <w:p>
      <w:pPr>
        <w:numPr>
          <w:ilvl w:val="0"/>
          <w:numId w:val="8"/>
        </w:numPr>
        <w:tabs>
          <w:tab w:val="left" w:pos="1701"/>
          <w:tab w:val="left" w:pos="4725"/>
        </w:tabs>
        <w:spacing w:line="360" w:lineRule="auto"/>
        <w:rPr>
          <w:rFonts w:hAnsi="宋体" w:cs="宋体"/>
          <w:color w:val="auto"/>
          <w:sz w:val="21"/>
          <w:szCs w:val="21"/>
        </w:rPr>
      </w:pPr>
      <w:r>
        <w:rPr>
          <w:rFonts w:hint="eastAsia" w:hAnsi="宋体" w:cs="宋体"/>
          <w:color w:val="auto"/>
          <w:sz w:val="21"/>
          <w:szCs w:val="21"/>
        </w:rPr>
        <w:t>不可撤销的银行履约保函（或担保公司履约担保书）应从合同签订之日起至合同期限届满并完成全部服务义务后二十八（28）日内保持有效。</w:t>
      </w:r>
    </w:p>
    <w:p>
      <w:pPr>
        <w:snapToGrid w:val="0"/>
        <w:spacing w:line="360" w:lineRule="auto"/>
        <w:ind w:left="525" w:hanging="525" w:hangingChars="250"/>
        <w:rPr>
          <w:rFonts w:hAnsi="宋体" w:cs="宋体"/>
          <w:color w:val="auto"/>
          <w:sz w:val="21"/>
          <w:szCs w:val="21"/>
        </w:rPr>
      </w:pPr>
      <w:r>
        <w:rPr>
          <w:rFonts w:hint="eastAsia" w:hAnsi="宋体" w:cs="宋体"/>
          <w:color w:val="auto"/>
          <w:sz w:val="21"/>
          <w:szCs w:val="21"/>
        </w:rPr>
        <w:t>34.4 履约担保应用本合同货币。</w:t>
      </w:r>
    </w:p>
    <w:p>
      <w:pPr>
        <w:snapToGrid w:val="0"/>
        <w:spacing w:line="360" w:lineRule="auto"/>
        <w:ind w:left="525" w:hanging="525" w:hangingChars="250"/>
        <w:rPr>
          <w:rFonts w:hAnsi="宋体" w:cs="宋体"/>
          <w:color w:val="auto"/>
          <w:sz w:val="21"/>
          <w:szCs w:val="21"/>
        </w:rPr>
      </w:pPr>
      <w:r>
        <w:rPr>
          <w:rFonts w:hint="eastAsia" w:hAnsi="宋体" w:cs="宋体"/>
          <w:color w:val="auto"/>
          <w:sz w:val="21"/>
          <w:szCs w:val="21"/>
        </w:rPr>
        <w:t>34.5 中标人也可以按招标文件约定的额度和时间，向招标人交纳同等数额的履约保证金作为履约担保。如中标人提交的履约保证金是其分支机构以转账形式转入的，要提交中标人的法人书面授权，不接受由私人账户和其它单位转入的保证金，也不接受现金形式提交。履约保证金应以存入招标人指定的以下银行账户为准。</w:t>
      </w:r>
    </w:p>
    <w:p>
      <w:pPr>
        <w:tabs>
          <w:tab w:val="left" w:pos="360"/>
          <w:tab w:val="left" w:pos="4725"/>
        </w:tabs>
        <w:spacing w:line="360" w:lineRule="auto"/>
        <w:ind w:firstLine="632" w:firstLineChars="300"/>
        <w:rPr>
          <w:rFonts w:hAnsi="宋体" w:cs="宋体"/>
          <w:b/>
          <w:color w:val="auto"/>
          <w:sz w:val="21"/>
          <w:szCs w:val="21"/>
        </w:rPr>
      </w:pPr>
      <w:r>
        <w:rPr>
          <w:rFonts w:hint="eastAsia" w:hAnsi="宋体" w:cs="宋体"/>
          <w:b/>
          <w:color w:val="auto"/>
          <w:sz w:val="21"/>
          <w:szCs w:val="21"/>
        </w:rPr>
        <w:t>履约保证金账户：（</w:t>
      </w:r>
      <w:r>
        <w:rPr>
          <w:rFonts w:hint="eastAsia" w:hAnsi="宋体" w:cs="宋体"/>
          <w:b/>
          <w:color w:val="auto"/>
          <w:sz w:val="21"/>
          <w:szCs w:val="21"/>
          <w:u w:val="single"/>
        </w:rPr>
        <w:t>特别提醒，本账户非投标保证金汇入账户</w:t>
      </w:r>
      <w:r>
        <w:rPr>
          <w:rFonts w:hint="eastAsia" w:hAnsi="宋体" w:cs="宋体"/>
          <w:b/>
          <w:color w:val="auto"/>
          <w:sz w:val="21"/>
          <w:szCs w:val="21"/>
        </w:rPr>
        <w:t>）</w:t>
      </w:r>
    </w:p>
    <w:p>
      <w:pPr>
        <w:snapToGrid w:val="0"/>
        <w:spacing w:line="360" w:lineRule="auto"/>
        <w:ind w:firstLine="632" w:firstLineChars="300"/>
        <w:rPr>
          <w:rFonts w:hint="eastAsia" w:hAnsi="宋体" w:cs="宋体"/>
          <w:b/>
          <w:bCs/>
          <w:color w:val="auto"/>
          <w:sz w:val="21"/>
          <w:szCs w:val="21"/>
          <w:u w:val="single"/>
        </w:rPr>
      </w:pPr>
      <w:r>
        <w:rPr>
          <w:rFonts w:hint="eastAsia" w:hAnsi="宋体" w:cs="宋体"/>
          <w:b/>
          <w:bCs/>
          <w:color w:val="auto"/>
          <w:sz w:val="21"/>
          <w:szCs w:val="21"/>
        </w:rPr>
        <w:t>开户名称：</w:t>
      </w:r>
      <w:r>
        <w:rPr>
          <w:rFonts w:hint="eastAsia" w:hAnsi="宋体" w:cs="宋体"/>
          <w:b/>
          <w:bCs/>
          <w:color w:val="auto"/>
          <w:sz w:val="21"/>
          <w:szCs w:val="21"/>
          <w:u w:val="single"/>
        </w:rPr>
        <w:t>东莞市水务集团管网有限公司</w:t>
      </w:r>
    </w:p>
    <w:p>
      <w:pPr>
        <w:snapToGrid w:val="0"/>
        <w:spacing w:line="360" w:lineRule="auto"/>
        <w:ind w:firstLine="632" w:firstLineChars="300"/>
        <w:rPr>
          <w:rFonts w:hint="eastAsia" w:hAnsi="宋体" w:cs="宋体"/>
          <w:b/>
          <w:bCs/>
          <w:color w:val="auto"/>
          <w:sz w:val="21"/>
          <w:szCs w:val="21"/>
          <w:u w:val="single"/>
        </w:rPr>
      </w:pPr>
      <w:r>
        <w:rPr>
          <w:rFonts w:hint="eastAsia" w:hAnsi="宋体" w:cs="宋体"/>
          <w:b/>
          <w:bCs/>
          <w:color w:val="auto"/>
          <w:sz w:val="21"/>
          <w:szCs w:val="21"/>
        </w:rPr>
        <w:t>银行账号：</w:t>
      </w:r>
      <w:r>
        <w:rPr>
          <w:rFonts w:hint="eastAsia" w:hAnsi="宋体" w:cs="宋体"/>
          <w:b/>
          <w:bCs/>
          <w:color w:val="auto"/>
          <w:sz w:val="21"/>
          <w:szCs w:val="21"/>
          <w:u w:val="single"/>
        </w:rPr>
        <w:t>8114801014000043052</w:t>
      </w:r>
    </w:p>
    <w:p>
      <w:pPr>
        <w:snapToGrid w:val="0"/>
        <w:spacing w:line="360" w:lineRule="auto"/>
        <w:ind w:firstLine="632" w:firstLineChars="300"/>
        <w:rPr>
          <w:rFonts w:hint="eastAsia" w:hAnsi="宋体" w:cs="宋体"/>
          <w:b/>
          <w:bCs/>
          <w:color w:val="auto"/>
          <w:sz w:val="21"/>
          <w:szCs w:val="21"/>
        </w:rPr>
      </w:pPr>
      <w:r>
        <w:rPr>
          <w:rFonts w:hint="eastAsia" w:hAnsi="宋体" w:cs="宋体"/>
          <w:b/>
          <w:bCs/>
          <w:color w:val="auto"/>
          <w:sz w:val="21"/>
          <w:szCs w:val="21"/>
        </w:rPr>
        <w:t>开户银行：</w:t>
      </w:r>
      <w:r>
        <w:rPr>
          <w:rFonts w:hint="eastAsia" w:hAnsi="宋体" w:cs="宋体"/>
          <w:b/>
          <w:bCs/>
          <w:color w:val="auto"/>
          <w:sz w:val="21"/>
          <w:szCs w:val="21"/>
          <w:u w:val="single"/>
        </w:rPr>
        <w:t>中信银行东莞分行营业部</w:t>
      </w:r>
    </w:p>
    <w:p>
      <w:pPr>
        <w:snapToGrid w:val="0"/>
        <w:spacing w:line="360" w:lineRule="auto"/>
        <w:ind w:left="525" w:hanging="525" w:hangingChars="250"/>
        <w:rPr>
          <w:rFonts w:hAnsi="宋体" w:cs="宋体"/>
          <w:color w:val="auto"/>
          <w:sz w:val="21"/>
        </w:rPr>
      </w:pPr>
      <w:r>
        <w:rPr>
          <w:rFonts w:hint="eastAsia" w:hAnsi="宋体" w:cs="宋体"/>
          <w:color w:val="auto"/>
          <w:sz w:val="21"/>
        </w:rPr>
        <w:t>34.6 中标人提交了履约担保后，当履约保证金转达招标人履约保证金账户后，</w:t>
      </w:r>
      <w:r>
        <w:rPr>
          <w:rFonts w:hint="eastAsia" w:hAnsi="宋体" w:cs="宋体"/>
          <w:color w:val="auto"/>
          <w:kern w:val="2"/>
          <w:sz w:val="21"/>
          <w:szCs w:val="21"/>
          <w:lang w:val="zh-CN"/>
        </w:rPr>
        <w:t>中标</w:t>
      </w:r>
      <w:r>
        <w:rPr>
          <w:rFonts w:hint="eastAsia" w:hAnsi="宋体" w:cs="宋体"/>
          <w:color w:val="auto"/>
          <w:sz w:val="21"/>
        </w:rPr>
        <w:t>人将履约保证金的汇款凭证用A4纸复印件（</w:t>
      </w:r>
      <w:r>
        <w:rPr>
          <w:rFonts w:hint="eastAsia" w:hAnsi="宋体" w:cs="宋体"/>
          <w:bCs/>
          <w:color w:val="auto"/>
          <w:sz w:val="21"/>
        </w:rPr>
        <w:t>注明</w:t>
      </w:r>
      <w:r>
        <w:rPr>
          <w:rFonts w:hint="eastAsia" w:hAnsi="宋体" w:cs="宋体"/>
          <w:bCs/>
          <w:color w:val="auto"/>
          <w:kern w:val="2"/>
          <w:sz w:val="21"/>
          <w:szCs w:val="21"/>
          <w:lang w:val="zh-CN"/>
        </w:rPr>
        <w:t>招标</w:t>
      </w:r>
      <w:r>
        <w:rPr>
          <w:rFonts w:hint="eastAsia" w:hAnsi="宋体" w:cs="宋体"/>
          <w:bCs/>
          <w:color w:val="auto"/>
          <w:sz w:val="21"/>
        </w:rPr>
        <w:t>编号</w:t>
      </w:r>
      <w:r>
        <w:rPr>
          <w:rFonts w:hint="eastAsia" w:hAnsi="宋体" w:cs="宋体"/>
          <w:color w:val="auto"/>
          <w:sz w:val="21"/>
        </w:rPr>
        <w:t>）一式二份并加盖</w:t>
      </w:r>
      <w:r>
        <w:rPr>
          <w:rFonts w:hint="eastAsia" w:hAnsi="宋体" w:cs="宋体"/>
          <w:color w:val="auto"/>
          <w:kern w:val="2"/>
          <w:sz w:val="21"/>
          <w:szCs w:val="21"/>
          <w:lang w:val="zh-CN"/>
        </w:rPr>
        <w:t>中标</w:t>
      </w:r>
      <w:r>
        <w:rPr>
          <w:rFonts w:hint="eastAsia" w:hAnsi="宋体" w:cs="宋体"/>
          <w:color w:val="auto"/>
          <w:sz w:val="21"/>
        </w:rPr>
        <w:t>人的公章送招标代理机构，[或当中标人采取不可撤销的银行履约保函（或担保公司履约担保书）的方式缴纳履约担保时，中标人将不可撤销的银行履约保函（或担保公司履约担保书）原件</w:t>
      </w:r>
      <w:r>
        <w:rPr>
          <w:rFonts w:hint="eastAsia" w:hAnsi="宋体" w:cs="宋体"/>
          <w:color w:val="auto"/>
          <w:kern w:val="2"/>
          <w:sz w:val="21"/>
          <w:szCs w:val="21"/>
          <w:lang w:val="zh-CN"/>
        </w:rPr>
        <w:t>交给招标人，由招标人在</w:t>
      </w:r>
      <w:r>
        <w:rPr>
          <w:rFonts w:hint="eastAsia" w:hAnsi="宋体" w:cs="宋体"/>
          <w:color w:val="auto"/>
          <w:sz w:val="21"/>
        </w:rPr>
        <w:t>履约保函一式两份复印件上</w:t>
      </w:r>
      <w:r>
        <w:rPr>
          <w:rFonts w:hint="eastAsia" w:hAnsi="宋体" w:cs="宋体"/>
          <w:color w:val="auto"/>
          <w:kern w:val="2"/>
          <w:sz w:val="21"/>
          <w:szCs w:val="21"/>
          <w:lang w:val="zh-CN"/>
        </w:rPr>
        <w:t>注明“原件已收”及签收人、日期后，中标人在每份复印件上</w:t>
      </w:r>
      <w:r>
        <w:rPr>
          <w:rFonts w:hint="eastAsia" w:hAnsi="宋体" w:cs="宋体"/>
          <w:color w:val="auto"/>
          <w:sz w:val="21"/>
        </w:rPr>
        <w:t>加盖</w:t>
      </w:r>
      <w:r>
        <w:rPr>
          <w:rFonts w:hint="eastAsia" w:hAnsi="宋体" w:cs="宋体"/>
          <w:color w:val="auto"/>
          <w:kern w:val="2"/>
          <w:sz w:val="21"/>
          <w:szCs w:val="21"/>
          <w:lang w:val="zh-CN"/>
        </w:rPr>
        <w:t>中标</w:t>
      </w:r>
      <w:r>
        <w:rPr>
          <w:rFonts w:hint="eastAsia" w:hAnsi="宋体" w:cs="宋体"/>
          <w:color w:val="auto"/>
          <w:sz w:val="21"/>
        </w:rPr>
        <w:t>人的公章，送招标代理机构]，招标代理机构收到</w:t>
      </w:r>
      <w:r>
        <w:rPr>
          <w:rFonts w:hint="eastAsia" w:hAnsi="宋体" w:cs="宋体"/>
          <w:color w:val="auto"/>
          <w:kern w:val="2"/>
          <w:sz w:val="21"/>
          <w:szCs w:val="21"/>
          <w:lang w:val="zh-CN"/>
        </w:rPr>
        <w:t>中标</w:t>
      </w:r>
      <w:r>
        <w:rPr>
          <w:rFonts w:hint="eastAsia" w:hAnsi="宋体" w:cs="宋体"/>
          <w:color w:val="auto"/>
          <w:sz w:val="21"/>
        </w:rPr>
        <w:t>人提交的履约保证金汇款凭证复印件（或收到招标人已签署的前述银行履约保函或担保公司履约担保书收取凭证）后，办理退还投标保证金手续。</w:t>
      </w:r>
    </w:p>
    <w:p>
      <w:pPr>
        <w:snapToGrid w:val="0"/>
        <w:spacing w:line="360" w:lineRule="auto"/>
        <w:ind w:left="525" w:hanging="525" w:hangingChars="250"/>
        <w:rPr>
          <w:rFonts w:hAnsi="宋体" w:cs="宋体"/>
          <w:color w:val="auto"/>
          <w:sz w:val="21"/>
        </w:rPr>
      </w:pPr>
      <w:r>
        <w:rPr>
          <w:rFonts w:hint="eastAsia" w:hAnsi="宋体" w:cs="宋体"/>
          <w:color w:val="auto"/>
          <w:sz w:val="21"/>
        </w:rPr>
        <w:t xml:space="preserve">34.7 </w:t>
      </w:r>
      <w:r>
        <w:rPr>
          <w:rFonts w:hint="eastAsia" w:hAnsi="宋体" w:cs="宋体"/>
          <w:color w:val="auto"/>
          <w:sz w:val="21"/>
          <w:szCs w:val="21"/>
        </w:rPr>
        <w:t>中标人在依法完成本项目的所有合同义务后，经招标人确认，中标人可向招标人提交退回履约担保的申请。招标人审核无异议后，办理履约担保退还手续，履约保证金形式提交的履约担保退回时一律以银行转账的形式无息退回到中标人的帐户。</w:t>
      </w:r>
    </w:p>
    <w:p>
      <w:pPr>
        <w:tabs>
          <w:tab w:val="left" w:pos="567"/>
        </w:tabs>
        <w:spacing w:line="360" w:lineRule="auto"/>
        <w:ind w:left="567" w:hanging="567"/>
        <w:jc w:val="both"/>
        <w:rPr>
          <w:rFonts w:hAnsi="宋体" w:cs="宋体"/>
          <w:color w:val="auto"/>
          <w:sz w:val="21"/>
        </w:rPr>
      </w:pPr>
    </w:p>
    <w:p>
      <w:pPr>
        <w:tabs>
          <w:tab w:val="left" w:pos="567"/>
        </w:tabs>
        <w:spacing w:line="360" w:lineRule="auto"/>
        <w:ind w:left="496" w:hanging="495" w:hangingChars="236"/>
        <w:jc w:val="both"/>
        <w:outlineLvl w:val="2"/>
        <w:rPr>
          <w:rFonts w:hAnsi="宋体" w:cs="宋体"/>
          <w:color w:val="auto"/>
          <w:kern w:val="2"/>
          <w:sz w:val="21"/>
          <w:szCs w:val="21"/>
          <w:lang w:val="zh-CN"/>
        </w:rPr>
      </w:pPr>
      <w:bookmarkStart w:id="113" w:name="_Toc465358977"/>
      <w:bookmarkStart w:id="114" w:name="_Toc25536"/>
      <w:bookmarkStart w:id="115" w:name="_Toc17672"/>
      <w:r>
        <w:rPr>
          <w:rFonts w:hint="eastAsia" w:hAnsi="宋体" w:cs="宋体"/>
          <w:color w:val="auto"/>
          <w:kern w:val="2"/>
          <w:sz w:val="21"/>
          <w:szCs w:val="21"/>
          <w:lang w:val="zh-CN"/>
        </w:rPr>
        <w:t>3</w:t>
      </w:r>
      <w:r>
        <w:rPr>
          <w:rFonts w:hint="eastAsia" w:hAnsi="宋体" w:cs="宋体"/>
          <w:color w:val="auto"/>
          <w:kern w:val="2"/>
          <w:sz w:val="21"/>
          <w:szCs w:val="21"/>
        </w:rPr>
        <w:t>5</w:t>
      </w:r>
      <w:r>
        <w:rPr>
          <w:rFonts w:hint="eastAsia" w:hAnsi="宋体" w:cs="宋体"/>
          <w:color w:val="auto"/>
          <w:kern w:val="2"/>
          <w:sz w:val="21"/>
          <w:szCs w:val="21"/>
          <w:lang w:val="zh-CN"/>
        </w:rPr>
        <w:t xml:space="preserve"> </w:t>
      </w:r>
      <w:r>
        <w:rPr>
          <w:rFonts w:hint="eastAsia" w:hAnsi="宋体" w:cs="宋体"/>
          <w:color w:val="auto"/>
          <w:kern w:val="2"/>
          <w:sz w:val="21"/>
          <w:szCs w:val="21"/>
        </w:rPr>
        <w:t xml:space="preserve">  </w:t>
      </w:r>
      <w:r>
        <w:rPr>
          <w:rFonts w:hint="eastAsia" w:hAnsi="宋体" w:cs="宋体"/>
          <w:color w:val="auto"/>
          <w:kern w:val="2"/>
          <w:sz w:val="21"/>
          <w:szCs w:val="21"/>
          <w:lang w:val="zh-CN"/>
        </w:rPr>
        <w:t>在合同履行中变更采购服务范围的权利</w:t>
      </w:r>
      <w:bookmarkEnd w:id="113"/>
      <w:bookmarkEnd w:id="114"/>
      <w:bookmarkEnd w:id="115"/>
    </w:p>
    <w:p>
      <w:pPr>
        <w:spacing w:line="360" w:lineRule="auto"/>
        <w:ind w:left="566" w:leftChars="1" w:hanging="564" w:hangingChars="269"/>
        <w:rPr>
          <w:rFonts w:hAnsi="宋体" w:cs="宋体"/>
          <w:color w:val="auto"/>
          <w:sz w:val="21"/>
          <w:szCs w:val="21"/>
        </w:rPr>
      </w:pPr>
      <w:r>
        <w:rPr>
          <w:rFonts w:hint="eastAsia" w:hAnsi="宋体" w:cs="宋体"/>
          <w:color w:val="auto"/>
          <w:sz w:val="21"/>
          <w:szCs w:val="21"/>
        </w:rPr>
        <w:t>35.1 合同履行中，招标人在合同约定的范围内，招标人有权根据项目实际情况（除实质性变更外）及有关法律法规、政策的规定对采购范围进行变更调整，变更采购范围后，投标人应遵照执行。</w:t>
      </w:r>
    </w:p>
    <w:p>
      <w:pPr>
        <w:tabs>
          <w:tab w:val="left" w:pos="567"/>
        </w:tabs>
        <w:spacing w:line="360" w:lineRule="auto"/>
        <w:jc w:val="both"/>
        <w:rPr>
          <w:rFonts w:hAnsi="宋体" w:cs="宋体"/>
          <w:color w:val="auto"/>
          <w:sz w:val="21"/>
        </w:rPr>
      </w:pPr>
    </w:p>
    <w:p>
      <w:pPr>
        <w:tabs>
          <w:tab w:val="left" w:pos="567"/>
        </w:tabs>
        <w:spacing w:line="360" w:lineRule="auto"/>
        <w:jc w:val="both"/>
        <w:outlineLvl w:val="2"/>
        <w:rPr>
          <w:rFonts w:hAnsi="宋体" w:cs="宋体"/>
          <w:color w:val="auto"/>
          <w:kern w:val="2"/>
          <w:sz w:val="21"/>
          <w:szCs w:val="21"/>
          <w:lang w:val="zh-CN"/>
        </w:rPr>
      </w:pPr>
      <w:bookmarkStart w:id="116" w:name="_Toc262"/>
      <w:bookmarkStart w:id="117" w:name="_Toc15136"/>
      <w:r>
        <w:rPr>
          <w:rFonts w:hint="eastAsia" w:hAnsi="宋体" w:cs="宋体"/>
          <w:color w:val="auto"/>
          <w:kern w:val="2"/>
          <w:sz w:val="21"/>
          <w:szCs w:val="21"/>
          <w:lang w:val="zh-CN"/>
        </w:rPr>
        <w:t>3</w:t>
      </w:r>
      <w:r>
        <w:rPr>
          <w:rFonts w:hint="eastAsia" w:hAnsi="宋体" w:cs="宋体"/>
          <w:color w:val="auto"/>
          <w:kern w:val="2"/>
          <w:sz w:val="21"/>
          <w:szCs w:val="21"/>
        </w:rPr>
        <w:t>6</w:t>
      </w:r>
      <w:r>
        <w:rPr>
          <w:rFonts w:hint="eastAsia" w:hAnsi="宋体" w:cs="宋体"/>
          <w:color w:val="auto"/>
          <w:kern w:val="2"/>
          <w:sz w:val="21"/>
          <w:szCs w:val="21"/>
          <w:lang w:val="zh-CN"/>
        </w:rPr>
        <w:t xml:space="preserve"> </w:t>
      </w:r>
      <w:r>
        <w:rPr>
          <w:rFonts w:hint="eastAsia" w:hAnsi="宋体" w:cs="宋体"/>
          <w:color w:val="auto"/>
          <w:kern w:val="2"/>
          <w:sz w:val="21"/>
          <w:szCs w:val="21"/>
        </w:rPr>
        <w:t xml:space="preserve">  </w:t>
      </w:r>
      <w:r>
        <w:rPr>
          <w:rFonts w:hint="eastAsia" w:hAnsi="宋体" w:cs="宋体"/>
          <w:color w:val="auto"/>
          <w:kern w:val="2"/>
          <w:sz w:val="21"/>
          <w:szCs w:val="21"/>
          <w:lang w:val="zh-CN"/>
        </w:rPr>
        <w:t>中标服务费</w:t>
      </w:r>
      <w:bookmarkEnd w:id="116"/>
      <w:bookmarkEnd w:id="117"/>
    </w:p>
    <w:p>
      <w:pPr>
        <w:snapToGrid w:val="0"/>
        <w:spacing w:line="360" w:lineRule="auto"/>
        <w:ind w:left="525" w:hanging="525" w:hangingChars="250"/>
        <w:rPr>
          <w:rFonts w:hAnsi="宋体" w:cs="宋体"/>
          <w:color w:val="auto"/>
          <w:kern w:val="2"/>
          <w:sz w:val="21"/>
          <w:szCs w:val="21"/>
        </w:rPr>
      </w:pPr>
      <w:r>
        <w:rPr>
          <w:rFonts w:hint="eastAsia" w:hAnsi="宋体" w:cs="宋体"/>
          <w:color w:val="auto"/>
          <w:kern w:val="2"/>
          <w:sz w:val="21"/>
          <w:szCs w:val="21"/>
          <w:lang w:val="zh-CN"/>
        </w:rPr>
        <w:t>3</w:t>
      </w:r>
      <w:r>
        <w:rPr>
          <w:rFonts w:hint="eastAsia" w:hAnsi="宋体" w:cs="宋体"/>
          <w:color w:val="auto"/>
          <w:kern w:val="2"/>
          <w:sz w:val="21"/>
          <w:szCs w:val="21"/>
        </w:rPr>
        <w:t>6</w:t>
      </w:r>
      <w:r>
        <w:rPr>
          <w:rFonts w:hint="eastAsia" w:hAnsi="宋体" w:cs="宋体"/>
          <w:color w:val="auto"/>
          <w:kern w:val="2"/>
          <w:sz w:val="21"/>
          <w:szCs w:val="21"/>
          <w:lang w:val="zh-CN"/>
        </w:rPr>
        <w:t>.1 中标人应按3</w:t>
      </w:r>
      <w:r>
        <w:rPr>
          <w:rFonts w:hint="eastAsia" w:hAnsi="宋体" w:cs="宋体"/>
          <w:color w:val="auto"/>
          <w:kern w:val="2"/>
          <w:sz w:val="21"/>
          <w:szCs w:val="21"/>
        </w:rPr>
        <w:t>6</w:t>
      </w:r>
      <w:r>
        <w:rPr>
          <w:rFonts w:hint="eastAsia" w:hAnsi="宋体" w:cs="宋体"/>
          <w:color w:val="auto"/>
          <w:kern w:val="2"/>
          <w:sz w:val="21"/>
          <w:szCs w:val="21"/>
          <w:lang w:val="zh-CN"/>
        </w:rPr>
        <w:t>.2款规定在领取《中标通知书》原件之前向招标代理机构一次性交纳中标服务费</w:t>
      </w:r>
      <w:r>
        <w:rPr>
          <w:rFonts w:hAnsi="宋体" w:cs="宋体"/>
          <w:b/>
          <w:bCs/>
          <w:color w:val="auto"/>
          <w:kern w:val="2"/>
          <w:sz w:val="21"/>
          <w:szCs w:val="21"/>
        </w:rPr>
        <w:t>20</w:t>
      </w:r>
      <w:r>
        <w:rPr>
          <w:rFonts w:hint="eastAsia" w:hAnsi="宋体" w:cs="宋体"/>
          <w:b/>
          <w:bCs/>
          <w:color w:val="auto"/>
          <w:kern w:val="2"/>
          <w:sz w:val="21"/>
          <w:szCs w:val="21"/>
        </w:rPr>
        <w:t>,000.00元</w:t>
      </w:r>
      <w:r>
        <w:rPr>
          <w:rFonts w:hint="eastAsia" w:hAnsi="宋体" w:cs="宋体"/>
          <w:color w:val="auto"/>
          <w:kern w:val="2"/>
          <w:sz w:val="21"/>
          <w:szCs w:val="21"/>
        </w:rPr>
        <w:t>（</w:t>
      </w:r>
      <w:r>
        <w:rPr>
          <w:rFonts w:hint="eastAsia" w:hAnsi="宋体" w:cs="宋体"/>
          <w:b/>
          <w:bCs/>
          <w:color w:val="auto"/>
          <w:kern w:val="2"/>
          <w:sz w:val="21"/>
          <w:szCs w:val="21"/>
        </w:rPr>
        <w:t>大写：人民币贰万元整</w:t>
      </w:r>
      <w:r>
        <w:rPr>
          <w:rFonts w:hint="eastAsia" w:hAnsi="宋体" w:cs="宋体"/>
          <w:color w:val="auto"/>
          <w:kern w:val="2"/>
          <w:sz w:val="21"/>
          <w:szCs w:val="21"/>
        </w:rPr>
        <w:t>）。</w:t>
      </w:r>
    </w:p>
    <w:p>
      <w:pPr>
        <w:snapToGrid w:val="0"/>
        <w:spacing w:line="360" w:lineRule="auto"/>
        <w:ind w:left="525" w:hanging="525" w:hangingChars="250"/>
        <w:rPr>
          <w:rFonts w:hAnsi="宋体" w:cs="宋体"/>
          <w:color w:val="auto"/>
          <w:kern w:val="2"/>
          <w:sz w:val="21"/>
          <w:szCs w:val="21"/>
          <w:lang w:val="zh-CN"/>
        </w:rPr>
      </w:pPr>
      <w:r>
        <w:rPr>
          <w:rFonts w:hint="eastAsia" w:hAnsi="宋体" w:cs="宋体"/>
          <w:color w:val="auto"/>
          <w:kern w:val="2"/>
          <w:sz w:val="21"/>
          <w:szCs w:val="21"/>
          <w:lang w:val="zh-CN"/>
        </w:rPr>
        <w:t>3</w:t>
      </w:r>
      <w:r>
        <w:rPr>
          <w:rFonts w:hint="eastAsia" w:hAnsi="宋体" w:cs="宋体"/>
          <w:color w:val="auto"/>
          <w:kern w:val="2"/>
          <w:sz w:val="21"/>
          <w:szCs w:val="21"/>
        </w:rPr>
        <w:t>6</w:t>
      </w:r>
      <w:r>
        <w:rPr>
          <w:rFonts w:hint="eastAsia" w:hAnsi="宋体" w:cs="宋体"/>
          <w:color w:val="auto"/>
          <w:kern w:val="2"/>
          <w:sz w:val="21"/>
          <w:szCs w:val="21"/>
          <w:lang w:val="zh-CN"/>
        </w:rPr>
        <w:t>.2</w:t>
      </w:r>
      <w:r>
        <w:rPr>
          <w:rFonts w:hint="eastAsia" w:hAnsi="宋体" w:cs="宋体"/>
          <w:color w:val="auto"/>
          <w:kern w:val="2"/>
          <w:sz w:val="21"/>
          <w:szCs w:val="21"/>
          <w:lang w:val="zh-CN"/>
        </w:rPr>
        <w:tab/>
      </w:r>
      <w:r>
        <w:rPr>
          <w:rFonts w:hint="eastAsia" w:hAnsi="宋体" w:cs="宋体"/>
          <w:b/>
          <w:color w:val="auto"/>
          <w:kern w:val="2"/>
          <w:sz w:val="21"/>
          <w:szCs w:val="21"/>
          <w:lang w:val="zh-CN"/>
        </w:rPr>
        <w:t>中标人收到中标通知后，须在15日内向招标代理机构</w:t>
      </w:r>
      <w:r>
        <w:rPr>
          <w:rFonts w:hint="eastAsia" w:hAnsi="宋体" w:cs="宋体"/>
          <w:b/>
          <w:color w:val="auto"/>
          <w:kern w:val="2"/>
          <w:sz w:val="21"/>
          <w:szCs w:val="21"/>
        </w:rPr>
        <w:t>交纳</w:t>
      </w:r>
      <w:r>
        <w:rPr>
          <w:rFonts w:hint="eastAsia" w:hAnsi="宋体" w:cs="宋体"/>
          <w:b/>
          <w:color w:val="auto"/>
          <w:kern w:val="2"/>
          <w:sz w:val="21"/>
          <w:szCs w:val="21"/>
          <w:lang w:val="zh-CN"/>
        </w:rPr>
        <w:t>中标服务费用及领取《中标通知书》原件。</w:t>
      </w:r>
    </w:p>
    <w:p>
      <w:pPr>
        <w:snapToGrid w:val="0"/>
        <w:spacing w:line="360" w:lineRule="auto"/>
        <w:ind w:left="525" w:hanging="525" w:hangingChars="250"/>
        <w:rPr>
          <w:rFonts w:hAnsi="宋体" w:cs="宋体"/>
          <w:color w:val="auto"/>
          <w:kern w:val="2"/>
          <w:sz w:val="21"/>
          <w:szCs w:val="21"/>
          <w:lang w:val="zh-CN"/>
        </w:rPr>
      </w:pPr>
      <w:r>
        <w:rPr>
          <w:rFonts w:hint="eastAsia" w:hAnsi="宋体" w:cs="宋体"/>
          <w:color w:val="auto"/>
          <w:kern w:val="2"/>
          <w:sz w:val="21"/>
          <w:szCs w:val="21"/>
          <w:lang w:val="zh-CN"/>
        </w:rPr>
        <w:t>3</w:t>
      </w:r>
      <w:r>
        <w:rPr>
          <w:rFonts w:hint="eastAsia" w:hAnsi="宋体" w:cs="宋体"/>
          <w:color w:val="auto"/>
          <w:kern w:val="2"/>
          <w:sz w:val="21"/>
          <w:szCs w:val="21"/>
        </w:rPr>
        <w:t>6</w:t>
      </w:r>
      <w:r>
        <w:rPr>
          <w:rFonts w:hint="eastAsia" w:hAnsi="宋体" w:cs="宋体"/>
          <w:color w:val="auto"/>
          <w:kern w:val="2"/>
          <w:sz w:val="21"/>
          <w:szCs w:val="21"/>
          <w:lang w:val="zh-CN"/>
        </w:rPr>
        <w:t>.3</w:t>
      </w:r>
      <w:r>
        <w:rPr>
          <w:rFonts w:hint="eastAsia" w:hAnsi="宋体" w:cs="宋体"/>
          <w:color w:val="auto"/>
          <w:kern w:val="2"/>
          <w:sz w:val="21"/>
          <w:szCs w:val="21"/>
          <w:lang w:val="zh-CN"/>
        </w:rPr>
        <w:tab/>
      </w:r>
      <w:r>
        <w:rPr>
          <w:rFonts w:hint="eastAsia" w:hAnsi="宋体" w:cs="宋体"/>
          <w:color w:val="auto"/>
          <w:kern w:val="2"/>
          <w:sz w:val="21"/>
          <w:szCs w:val="21"/>
          <w:lang w:val="zh-CN"/>
        </w:rPr>
        <w:t>中标服务费只接受以现金、银行转账、电汇方式交纳。</w:t>
      </w:r>
    </w:p>
    <w:p>
      <w:pPr>
        <w:snapToGrid w:val="0"/>
        <w:spacing w:line="360" w:lineRule="auto"/>
        <w:ind w:left="525" w:hanging="525" w:hangingChars="250"/>
        <w:rPr>
          <w:rFonts w:hAnsi="宋体" w:cs="宋体"/>
          <w:color w:val="auto"/>
          <w:kern w:val="2"/>
          <w:sz w:val="21"/>
          <w:szCs w:val="21"/>
        </w:rPr>
      </w:pPr>
      <w:r>
        <w:rPr>
          <w:rFonts w:hint="eastAsia" w:hAnsi="宋体" w:cs="宋体"/>
          <w:color w:val="auto"/>
          <w:kern w:val="2"/>
          <w:sz w:val="21"/>
          <w:szCs w:val="21"/>
        </w:rPr>
        <w:t xml:space="preserve">      中标服务费汇入账号</w:t>
      </w:r>
      <w:r>
        <w:rPr>
          <w:rFonts w:hint="eastAsia" w:hAnsi="宋体" w:cs="宋体"/>
          <w:b/>
          <w:bCs/>
          <w:color w:val="auto"/>
          <w:kern w:val="2"/>
          <w:sz w:val="21"/>
          <w:szCs w:val="21"/>
          <w:u w:val="single"/>
        </w:rPr>
        <w:t>（特别提醒，本账户非投标保证金汇入账户）</w:t>
      </w:r>
      <w:r>
        <w:rPr>
          <w:rFonts w:hint="eastAsia" w:hAnsi="宋体" w:cs="宋体"/>
          <w:color w:val="auto"/>
          <w:kern w:val="2"/>
          <w:sz w:val="21"/>
          <w:szCs w:val="21"/>
        </w:rPr>
        <w:t>：</w:t>
      </w:r>
    </w:p>
    <w:p>
      <w:pPr>
        <w:snapToGrid w:val="0"/>
        <w:spacing w:line="360" w:lineRule="auto"/>
        <w:ind w:firstLine="630" w:firstLineChars="300"/>
        <w:rPr>
          <w:rFonts w:hint="eastAsia" w:hAnsi="宋体" w:eastAsia="宋体" w:cs="宋体"/>
          <w:color w:val="auto"/>
          <w:sz w:val="21"/>
          <w:szCs w:val="21"/>
          <w:lang w:eastAsia="zh-CN"/>
        </w:rPr>
      </w:pPr>
      <w:r>
        <w:rPr>
          <w:rFonts w:hint="eastAsia" w:hAnsi="宋体" w:cs="宋体"/>
          <w:color w:val="auto"/>
          <w:sz w:val="21"/>
          <w:szCs w:val="21"/>
        </w:rPr>
        <w:t>开户名称：</w:t>
      </w:r>
      <w:r>
        <w:rPr>
          <w:rFonts w:hint="eastAsia" w:hAnsi="宋体" w:cs="宋体"/>
          <w:color w:val="auto"/>
          <w:sz w:val="21"/>
          <w:szCs w:val="21"/>
          <w:u w:val="single"/>
        </w:rPr>
        <w:t>广东华迪工程管理有限公司</w:t>
      </w:r>
    </w:p>
    <w:p>
      <w:pPr>
        <w:snapToGrid w:val="0"/>
        <w:spacing w:line="360" w:lineRule="auto"/>
        <w:ind w:firstLine="632" w:firstLineChars="301"/>
        <w:rPr>
          <w:rFonts w:hint="eastAsia" w:hAnsi="宋体" w:cs="宋体"/>
          <w:color w:val="auto"/>
          <w:kern w:val="2"/>
          <w:sz w:val="21"/>
          <w:szCs w:val="21"/>
          <w:u w:val="single"/>
          <w:lang w:val="zh-CN"/>
        </w:rPr>
      </w:pPr>
      <w:r>
        <w:rPr>
          <w:rFonts w:hint="eastAsia" w:hAnsi="宋体" w:cs="宋体"/>
          <w:color w:val="auto"/>
          <w:kern w:val="2"/>
          <w:sz w:val="21"/>
          <w:szCs w:val="21"/>
          <w:lang w:val="zh-CN"/>
        </w:rPr>
        <w:t>银行账号：</w:t>
      </w:r>
      <w:r>
        <w:rPr>
          <w:rFonts w:hint="eastAsia" w:hAnsi="宋体" w:cs="宋体"/>
          <w:color w:val="auto"/>
          <w:kern w:val="2"/>
          <w:sz w:val="21"/>
          <w:szCs w:val="21"/>
          <w:u w:val="single"/>
          <w:lang w:val="zh-CN"/>
        </w:rPr>
        <w:t>101001519010001135</w:t>
      </w:r>
    </w:p>
    <w:p>
      <w:pPr>
        <w:snapToGrid w:val="0"/>
        <w:spacing w:line="360" w:lineRule="auto"/>
        <w:ind w:firstLine="632" w:firstLineChars="301"/>
        <w:rPr>
          <w:rFonts w:hint="eastAsia" w:hAnsi="宋体" w:cs="宋体"/>
          <w:color w:val="auto"/>
          <w:kern w:val="2"/>
          <w:sz w:val="21"/>
          <w:szCs w:val="21"/>
          <w:u w:val="single"/>
          <w:lang w:val="zh-CN"/>
        </w:rPr>
      </w:pPr>
      <w:r>
        <w:rPr>
          <w:rFonts w:hint="eastAsia" w:hAnsi="宋体" w:cs="宋体"/>
          <w:color w:val="auto"/>
          <w:kern w:val="2"/>
          <w:sz w:val="21"/>
          <w:szCs w:val="21"/>
          <w:lang w:val="zh-CN"/>
        </w:rPr>
        <w:t>开户银行：</w:t>
      </w:r>
      <w:r>
        <w:rPr>
          <w:rFonts w:hint="eastAsia" w:hAnsi="宋体" w:cs="宋体"/>
          <w:color w:val="auto"/>
          <w:kern w:val="2"/>
          <w:sz w:val="21"/>
          <w:szCs w:val="21"/>
          <w:u w:val="single"/>
          <w:lang w:val="zh-CN"/>
        </w:rPr>
        <w:t>广发银行股份有限公司广州广发大厦支行</w:t>
      </w:r>
    </w:p>
    <w:p>
      <w:pPr>
        <w:snapToGrid w:val="0"/>
        <w:spacing w:line="360" w:lineRule="auto"/>
        <w:ind w:left="525" w:hanging="525" w:hangingChars="250"/>
        <w:rPr>
          <w:rFonts w:hAnsi="宋体" w:cs="宋体"/>
          <w:color w:val="auto"/>
          <w:kern w:val="2"/>
          <w:sz w:val="21"/>
          <w:szCs w:val="21"/>
          <w:lang w:val="zh-CN"/>
        </w:rPr>
      </w:pPr>
      <w:r>
        <w:rPr>
          <w:rFonts w:hint="eastAsia" w:hAnsi="宋体" w:cs="宋体"/>
          <w:color w:val="auto"/>
          <w:kern w:val="2"/>
          <w:sz w:val="21"/>
          <w:szCs w:val="21"/>
          <w:lang w:val="zh-CN"/>
        </w:rPr>
        <w:tab/>
      </w:r>
    </w:p>
    <w:p>
      <w:pPr>
        <w:spacing w:line="360" w:lineRule="auto"/>
        <w:ind w:right="18"/>
        <w:jc w:val="both"/>
        <w:rPr>
          <w:rFonts w:hAnsi="宋体" w:cs="宋体"/>
          <w:color w:val="auto"/>
          <w:kern w:val="2"/>
          <w:sz w:val="21"/>
          <w:szCs w:val="21"/>
          <w:lang w:val="zh-CN"/>
        </w:rPr>
      </w:pPr>
    </w:p>
    <w:p>
      <w:pPr>
        <w:tabs>
          <w:tab w:val="left" w:pos="567"/>
        </w:tabs>
        <w:spacing w:line="360" w:lineRule="auto"/>
        <w:ind w:left="496" w:hanging="495" w:hangingChars="236"/>
        <w:jc w:val="both"/>
        <w:outlineLvl w:val="2"/>
        <w:rPr>
          <w:rFonts w:hAnsi="宋体" w:cs="宋体"/>
          <w:color w:val="auto"/>
          <w:kern w:val="2"/>
          <w:sz w:val="21"/>
          <w:szCs w:val="21"/>
          <w:lang w:val="zh-CN"/>
        </w:rPr>
      </w:pPr>
      <w:bookmarkStart w:id="118" w:name="_Toc1294"/>
      <w:bookmarkStart w:id="119" w:name="_Toc7275"/>
      <w:r>
        <w:rPr>
          <w:rFonts w:hint="eastAsia" w:hAnsi="宋体" w:cs="宋体"/>
          <w:color w:val="auto"/>
          <w:kern w:val="2"/>
          <w:sz w:val="21"/>
          <w:szCs w:val="21"/>
          <w:lang w:val="zh-CN"/>
        </w:rPr>
        <w:t>3</w:t>
      </w:r>
      <w:r>
        <w:rPr>
          <w:rFonts w:hint="eastAsia" w:hAnsi="宋体" w:cs="宋体"/>
          <w:color w:val="auto"/>
          <w:kern w:val="2"/>
          <w:sz w:val="21"/>
          <w:szCs w:val="21"/>
        </w:rPr>
        <w:t>7</w:t>
      </w:r>
      <w:r>
        <w:rPr>
          <w:rFonts w:hint="eastAsia" w:hAnsi="宋体" w:cs="宋体"/>
          <w:color w:val="auto"/>
          <w:kern w:val="2"/>
          <w:sz w:val="21"/>
          <w:szCs w:val="21"/>
          <w:lang w:val="zh-CN"/>
        </w:rPr>
        <w:t xml:space="preserve"> </w:t>
      </w:r>
      <w:r>
        <w:rPr>
          <w:rFonts w:hint="eastAsia" w:hAnsi="宋体" w:cs="宋体"/>
          <w:color w:val="auto"/>
          <w:kern w:val="2"/>
          <w:sz w:val="21"/>
          <w:szCs w:val="21"/>
        </w:rPr>
        <w:t xml:space="preserve">  </w:t>
      </w:r>
      <w:r>
        <w:rPr>
          <w:rFonts w:hint="eastAsia" w:hAnsi="宋体" w:cs="宋体"/>
          <w:color w:val="auto"/>
          <w:kern w:val="2"/>
          <w:sz w:val="21"/>
          <w:szCs w:val="21"/>
          <w:lang w:val="zh-CN"/>
        </w:rPr>
        <w:t>发票</w:t>
      </w:r>
      <w:bookmarkEnd w:id="118"/>
      <w:bookmarkEnd w:id="119"/>
    </w:p>
    <w:p>
      <w:pPr>
        <w:snapToGrid w:val="0"/>
        <w:spacing w:line="360" w:lineRule="auto"/>
        <w:ind w:left="525" w:hanging="525" w:hangingChars="250"/>
        <w:rPr>
          <w:rFonts w:hAnsi="宋体" w:cs="宋体"/>
          <w:color w:val="auto"/>
          <w:kern w:val="2"/>
          <w:sz w:val="21"/>
          <w:szCs w:val="21"/>
          <w:lang w:val="zh-CN"/>
        </w:rPr>
      </w:pPr>
      <w:r>
        <w:rPr>
          <w:rFonts w:hint="eastAsia" w:hAnsi="宋体" w:cs="宋体"/>
          <w:color w:val="auto"/>
          <w:kern w:val="2"/>
          <w:sz w:val="21"/>
          <w:szCs w:val="21"/>
          <w:lang w:val="zh-CN"/>
        </w:rPr>
        <w:t>3</w:t>
      </w:r>
      <w:r>
        <w:rPr>
          <w:rFonts w:hint="eastAsia" w:hAnsi="宋体" w:cs="宋体"/>
          <w:color w:val="auto"/>
          <w:kern w:val="2"/>
          <w:sz w:val="21"/>
          <w:szCs w:val="21"/>
        </w:rPr>
        <w:t>7</w:t>
      </w:r>
      <w:r>
        <w:rPr>
          <w:rFonts w:hint="eastAsia" w:hAnsi="宋体" w:cs="宋体"/>
          <w:color w:val="auto"/>
          <w:kern w:val="2"/>
          <w:sz w:val="21"/>
          <w:szCs w:val="21"/>
          <w:lang w:val="zh-CN"/>
        </w:rPr>
        <w:t>.1 该项目获得中标的中标人在执行合同过程中，向招标人（或其分公司、子公司）出具的发票必须是由中标人开具，不得以其他单位或个人名义出具，本项目中标人向招标人（或其分公司、子公司）出具的发票类型为增值税</w:t>
      </w:r>
      <w:r>
        <w:rPr>
          <w:rFonts w:hint="eastAsia" w:hAnsi="宋体" w:cs="宋体"/>
          <w:color w:val="auto"/>
          <w:kern w:val="2"/>
          <w:sz w:val="21"/>
          <w:szCs w:val="21"/>
          <w:lang w:val="en-US" w:eastAsia="zh-CN"/>
        </w:rPr>
        <w:t>普通</w:t>
      </w:r>
      <w:r>
        <w:rPr>
          <w:rFonts w:hint="eastAsia" w:hAnsi="宋体" w:cs="宋体"/>
          <w:color w:val="auto"/>
          <w:kern w:val="2"/>
          <w:sz w:val="21"/>
          <w:szCs w:val="21"/>
          <w:lang w:val="zh-CN"/>
        </w:rPr>
        <w:t>发票。</w:t>
      </w:r>
    </w:p>
    <w:p>
      <w:pPr>
        <w:snapToGrid w:val="0"/>
        <w:spacing w:line="360" w:lineRule="auto"/>
        <w:ind w:left="525" w:hanging="525" w:hangingChars="250"/>
        <w:rPr>
          <w:rFonts w:hAnsi="宋体" w:cs="宋体"/>
          <w:color w:val="auto"/>
          <w:kern w:val="2"/>
          <w:sz w:val="21"/>
          <w:szCs w:val="21"/>
          <w:lang w:val="zh-CN"/>
        </w:rPr>
      </w:pPr>
    </w:p>
    <w:p>
      <w:pPr>
        <w:snapToGrid w:val="0"/>
        <w:spacing w:line="360" w:lineRule="auto"/>
        <w:ind w:left="525" w:hanging="525" w:hangingChars="250"/>
        <w:rPr>
          <w:rFonts w:hAnsi="宋体" w:cs="宋体"/>
          <w:color w:val="auto"/>
          <w:kern w:val="2"/>
          <w:sz w:val="21"/>
          <w:szCs w:val="21"/>
          <w:lang w:val="zh-CN"/>
        </w:rPr>
      </w:pPr>
      <w:r>
        <w:rPr>
          <w:rFonts w:hint="eastAsia" w:hAnsi="宋体" w:cs="宋体"/>
          <w:color w:val="auto"/>
          <w:kern w:val="2"/>
          <w:sz w:val="21"/>
          <w:szCs w:val="21"/>
          <w:lang w:val="zh-CN"/>
        </w:rPr>
        <w:t>3</w:t>
      </w:r>
      <w:r>
        <w:rPr>
          <w:rFonts w:hint="eastAsia" w:hAnsi="宋体" w:cs="宋体"/>
          <w:color w:val="auto"/>
          <w:kern w:val="2"/>
          <w:sz w:val="21"/>
          <w:szCs w:val="21"/>
          <w:lang w:val="en-US" w:eastAsia="zh-CN"/>
        </w:rPr>
        <w:t>8</w:t>
      </w:r>
      <w:r>
        <w:rPr>
          <w:rFonts w:hint="eastAsia" w:hAnsi="宋体" w:cs="宋体"/>
          <w:color w:val="auto"/>
          <w:kern w:val="2"/>
          <w:sz w:val="21"/>
          <w:szCs w:val="21"/>
          <w:lang w:val="zh-CN"/>
        </w:rPr>
        <w:t xml:space="preserve">   本次招标活动的最终解释权归招标代理机构及招标人所有。</w:t>
      </w:r>
    </w:p>
    <w:p>
      <w:pPr>
        <w:snapToGrid w:val="0"/>
        <w:spacing w:line="360" w:lineRule="auto"/>
        <w:ind w:left="525" w:hanging="525" w:hangingChars="250"/>
        <w:rPr>
          <w:rFonts w:hAnsi="宋体" w:cs="宋体"/>
          <w:color w:val="auto"/>
          <w:kern w:val="2"/>
          <w:sz w:val="21"/>
          <w:szCs w:val="21"/>
          <w:lang w:val="zh-CN"/>
        </w:rPr>
      </w:pPr>
    </w:p>
    <w:p>
      <w:pPr>
        <w:pageBreakBefore/>
        <w:spacing w:beforeLines="50" w:afterLines="50" w:line="460" w:lineRule="exact"/>
        <w:rPr>
          <w:rFonts w:hint="eastAsia" w:ascii="宋体" w:hAnsi="宋体" w:cs="宋体"/>
          <w:color w:val="auto"/>
          <w:lang w:val="zh-CN"/>
        </w:rPr>
      </w:pPr>
      <w:bookmarkStart w:id="120" w:name="_Toc447044475"/>
      <w:bookmarkStart w:id="121" w:name="_Toc447044599"/>
      <w:bookmarkStart w:id="122" w:name="_Toc447045086"/>
      <w:bookmarkStart w:id="123" w:name="_Toc8770"/>
    </w:p>
    <w:p>
      <w:pPr>
        <w:pStyle w:val="46"/>
        <w:pageBreakBefore w:val="0"/>
        <w:spacing w:beforeLines="50" w:afterLines="50" w:line="460" w:lineRule="exact"/>
        <w:rPr>
          <w:rFonts w:ascii="宋体" w:hAnsi="宋体" w:cs="宋体"/>
          <w:color w:val="auto"/>
          <w:lang w:val="zh-CN"/>
        </w:rPr>
      </w:pPr>
      <w:bookmarkStart w:id="124" w:name="_Toc22490"/>
      <w:r>
        <w:rPr>
          <w:rFonts w:hint="eastAsia" w:ascii="宋体" w:hAnsi="宋体" w:cs="宋体"/>
          <w:color w:val="auto"/>
          <w:lang w:val="zh-CN"/>
        </w:rPr>
        <w:t>第三篇</w:t>
      </w:r>
      <w:r>
        <w:rPr>
          <w:rFonts w:hint="eastAsia" w:ascii="宋体" w:hAnsi="宋体" w:cs="宋体"/>
          <w:color w:val="auto"/>
        </w:rPr>
        <w:t xml:space="preserve"> </w:t>
      </w:r>
      <w:r>
        <w:rPr>
          <w:rFonts w:hint="eastAsia" w:ascii="宋体" w:hAnsi="宋体" w:cs="宋体"/>
          <w:color w:val="auto"/>
          <w:lang w:val="zh-CN"/>
        </w:rPr>
        <w:t>用户需求书</w:t>
      </w:r>
      <w:bookmarkEnd w:id="120"/>
      <w:bookmarkEnd w:id="121"/>
      <w:bookmarkEnd w:id="122"/>
      <w:bookmarkEnd w:id="123"/>
      <w:bookmarkEnd w:id="124"/>
    </w:p>
    <w:p>
      <w:pPr>
        <w:tabs>
          <w:tab w:val="left" w:pos="208"/>
        </w:tabs>
        <w:spacing w:line="360" w:lineRule="auto"/>
        <w:contextualSpacing/>
        <w:rPr>
          <w:rFonts w:hAnsi="宋体" w:cs="宋体"/>
          <w:b/>
          <w:color w:val="auto"/>
          <w:sz w:val="21"/>
          <w:szCs w:val="21"/>
        </w:rPr>
      </w:pPr>
      <w:bookmarkStart w:id="125" w:name="_Toc447045089"/>
      <w:bookmarkStart w:id="126" w:name="_Toc447044602"/>
      <w:bookmarkStart w:id="127" w:name="_Toc447044478"/>
      <w:r>
        <w:rPr>
          <w:rFonts w:hint="eastAsia" w:hAnsi="宋体" w:cs="宋体"/>
          <w:b/>
          <w:color w:val="auto"/>
          <w:sz w:val="21"/>
          <w:szCs w:val="21"/>
        </w:rPr>
        <w:t>一、项目概况</w:t>
      </w:r>
    </w:p>
    <w:p>
      <w:pPr>
        <w:snapToGrid w:val="0"/>
        <w:spacing w:line="360" w:lineRule="auto"/>
        <w:ind w:firstLine="420" w:firstLineChars="200"/>
        <w:contextualSpacing/>
        <w:rPr>
          <w:rFonts w:hAnsi="宋体" w:cs="宋体"/>
          <w:color w:val="auto"/>
          <w:sz w:val="21"/>
          <w:szCs w:val="21"/>
          <w:lang w:val="zh-CN"/>
        </w:rPr>
      </w:pPr>
      <w:r>
        <w:rPr>
          <w:rFonts w:hint="eastAsia" w:hAnsi="宋体" w:cs="宋体"/>
          <w:color w:val="auto"/>
          <w:sz w:val="21"/>
          <w:szCs w:val="21"/>
        </w:rPr>
        <w:t>为了做好食堂规范管理工作，确保符合食品安全、卫生要求，东莞市水务集团管网有限公司、东莞市东信水环境投资有限公司、东莞市东泽水环境投资有限公司、东莞市清泽水环境投资有限公司、东莞市莞泽水环境投资有限公司、东莞市莞清水环境投资有限公司、东莞市东江水环境投资有限公司拟对食品原材料等配送的供货资格进行招标。</w:t>
      </w:r>
      <w:r>
        <w:rPr>
          <w:rFonts w:hint="eastAsia" w:hAnsi="宋体" w:cs="宋体"/>
          <w:color w:val="auto"/>
          <w:sz w:val="21"/>
          <w:szCs w:val="21"/>
          <w:lang w:val="zh-CN"/>
        </w:rPr>
        <w:t>凡符合配送准入条件的企业</w:t>
      </w:r>
      <w:r>
        <w:rPr>
          <w:rFonts w:hint="eastAsia" w:hAnsi="宋体" w:cs="宋体"/>
          <w:color w:val="auto"/>
          <w:sz w:val="21"/>
          <w:szCs w:val="21"/>
        </w:rPr>
        <w:t>均可报名参与竞标。</w:t>
      </w:r>
    </w:p>
    <w:p>
      <w:pPr>
        <w:snapToGrid w:val="0"/>
        <w:spacing w:line="360" w:lineRule="auto"/>
        <w:ind w:firstLine="420" w:firstLineChars="200"/>
        <w:contextualSpacing/>
        <w:rPr>
          <w:rFonts w:hAnsi="宋体" w:cs="宋体"/>
          <w:color w:val="auto"/>
          <w:sz w:val="21"/>
          <w:szCs w:val="21"/>
        </w:rPr>
      </w:pPr>
      <w:r>
        <w:rPr>
          <w:rFonts w:hint="eastAsia" w:hAnsi="宋体" w:cs="宋体"/>
          <w:color w:val="auto"/>
          <w:sz w:val="21"/>
          <w:szCs w:val="21"/>
        </w:rPr>
        <w:t>本项目配送地点：招标人本部及下属第一、二、三、四、五、六</w:t>
      </w:r>
      <w:r>
        <w:rPr>
          <w:rFonts w:hAnsi="宋体" w:cs="宋体"/>
          <w:color w:val="auto"/>
          <w:sz w:val="21"/>
          <w:szCs w:val="21"/>
        </w:rPr>
        <w:t>分公司</w:t>
      </w:r>
      <w:r>
        <w:rPr>
          <w:rFonts w:hint="eastAsia" w:hAnsi="宋体" w:cs="宋体"/>
          <w:color w:val="auto"/>
          <w:sz w:val="21"/>
          <w:szCs w:val="21"/>
        </w:rPr>
        <w:t>食堂（附件1），共7个食堂。招募食堂餐饮食品配送公司配送主副食，调味料、农副产品和其他食品。</w:t>
      </w:r>
    </w:p>
    <w:p>
      <w:pPr>
        <w:snapToGrid w:val="0"/>
        <w:spacing w:line="360" w:lineRule="auto"/>
        <w:contextualSpacing/>
        <w:rPr>
          <w:rFonts w:hAnsi="宋体" w:cs="宋体"/>
          <w:b/>
          <w:bCs/>
          <w:color w:val="auto"/>
          <w:sz w:val="21"/>
          <w:szCs w:val="21"/>
        </w:rPr>
      </w:pPr>
    </w:p>
    <w:p>
      <w:pPr>
        <w:spacing w:line="360" w:lineRule="auto"/>
        <w:contextualSpacing/>
        <w:rPr>
          <w:rFonts w:hAnsi="宋体" w:cs="宋体"/>
          <w:b/>
          <w:color w:val="auto"/>
          <w:sz w:val="21"/>
          <w:szCs w:val="21"/>
        </w:rPr>
      </w:pPr>
      <w:r>
        <w:rPr>
          <w:rFonts w:hint="eastAsia" w:hAnsi="宋体" w:cs="宋体"/>
          <w:b/>
          <w:bCs/>
          <w:color w:val="auto"/>
          <w:sz w:val="21"/>
          <w:szCs w:val="21"/>
        </w:rPr>
        <w:t>二、配送情况</w:t>
      </w:r>
    </w:p>
    <w:p>
      <w:pPr>
        <w:snapToGrid w:val="0"/>
        <w:spacing w:line="360" w:lineRule="auto"/>
        <w:ind w:firstLine="420" w:firstLineChars="200"/>
        <w:contextualSpacing/>
        <w:rPr>
          <w:rFonts w:hAnsi="宋体" w:cs="宋体"/>
          <w:color w:val="auto"/>
          <w:sz w:val="21"/>
          <w:szCs w:val="21"/>
        </w:rPr>
      </w:pPr>
      <w:r>
        <w:rPr>
          <w:rFonts w:hint="eastAsia" w:hAnsi="宋体" w:cs="宋体"/>
          <w:color w:val="auto"/>
          <w:sz w:val="21"/>
          <w:szCs w:val="21"/>
        </w:rPr>
        <w:t>本项目通过招标确定2家配送资格单位，</w:t>
      </w:r>
      <w:r>
        <w:rPr>
          <w:rStyle w:val="57"/>
          <w:rFonts w:hint="eastAsia" w:hAnsi="宋体" w:cs="宋体"/>
          <w:color w:val="auto"/>
          <w:lang w:val="en-US" w:eastAsia="zh-CN"/>
        </w:rPr>
        <w:t>暂定</w:t>
      </w:r>
      <w:r>
        <w:rPr>
          <w:rFonts w:hint="eastAsia" w:hAnsi="宋体" w:cs="宋体"/>
          <w:color w:val="auto"/>
          <w:sz w:val="21"/>
          <w:szCs w:val="21"/>
        </w:rPr>
        <w:t>第一中标候选人负责招标人本部、第一、四分公司食堂配送服务，</w:t>
      </w:r>
      <w:r>
        <w:rPr>
          <w:rFonts w:hint="eastAsia" w:hAnsi="宋体" w:cs="宋体"/>
          <w:color w:val="auto"/>
          <w:sz w:val="21"/>
          <w:szCs w:val="21"/>
          <w:lang w:val="en-US" w:eastAsia="zh-CN"/>
        </w:rPr>
        <w:t>暂定</w:t>
      </w:r>
      <w:r>
        <w:rPr>
          <w:rFonts w:hint="eastAsia" w:hAnsi="宋体" w:cs="宋体"/>
          <w:color w:val="auto"/>
          <w:sz w:val="21"/>
          <w:szCs w:val="21"/>
        </w:rPr>
        <w:t>第二中标候选人负责招标人第二、三、五、六分公司配送工作。具体配送数量以实际发生的数量结算，招标人不承诺在入围有效期内授予入围单位实际采购品类，不承诺在入围有效期内的实际采购数量。投标人为招标人提供配送的品种包括不限于：肉类（猪肉类、牛肉类、冻品类、禽类、腊味类、淡水鱼类、海水鱼类以及相关冰鲜水产品）、调配料、腌菜、干货及蛋品、蔬菜类、水果及食用菌类、点心、豆制品、面食类、粉面、大米类及食用油类等。</w:t>
      </w:r>
    </w:p>
    <w:p>
      <w:pPr>
        <w:pStyle w:val="19"/>
        <w:jc w:val="left"/>
        <w:rPr>
          <w:rFonts w:hint="eastAsia" w:hAnsi="宋体" w:cs="宋体"/>
          <w:color w:val="auto"/>
          <w:sz w:val="21"/>
          <w:szCs w:val="21"/>
        </w:rPr>
      </w:pPr>
    </w:p>
    <w:p>
      <w:pPr>
        <w:spacing w:line="360" w:lineRule="auto"/>
        <w:contextualSpacing/>
        <w:rPr>
          <w:rFonts w:hAnsi="宋体" w:cs="宋体"/>
          <w:b/>
          <w:bCs/>
          <w:color w:val="auto"/>
          <w:sz w:val="21"/>
          <w:szCs w:val="21"/>
        </w:rPr>
      </w:pPr>
      <w:r>
        <w:rPr>
          <w:rFonts w:hint="eastAsia" w:hAnsi="宋体" w:cs="宋体"/>
          <w:b/>
          <w:bCs/>
          <w:color w:val="auto"/>
          <w:sz w:val="21"/>
          <w:szCs w:val="21"/>
        </w:rPr>
        <w:t>三、总体要求</w:t>
      </w:r>
    </w:p>
    <w:p>
      <w:pPr>
        <w:snapToGrid w:val="0"/>
        <w:spacing w:line="360" w:lineRule="auto"/>
        <w:ind w:firstLine="422" w:firstLineChars="200"/>
        <w:contextualSpacing/>
        <w:rPr>
          <w:rFonts w:hAnsi="宋体" w:cs="宋体"/>
          <w:b/>
          <w:bCs/>
          <w:color w:val="auto"/>
          <w:sz w:val="21"/>
          <w:szCs w:val="21"/>
        </w:rPr>
      </w:pPr>
      <w:r>
        <w:rPr>
          <w:rFonts w:hint="eastAsia" w:hAnsi="宋体" w:cs="宋体"/>
          <w:b/>
          <w:bCs/>
          <w:color w:val="auto"/>
          <w:sz w:val="21"/>
          <w:szCs w:val="21"/>
        </w:rPr>
        <w:t>（一）服务期限</w:t>
      </w:r>
    </w:p>
    <w:p>
      <w:pPr>
        <w:spacing w:line="360" w:lineRule="auto"/>
        <w:ind w:firstLine="420" w:firstLineChars="200"/>
        <w:contextualSpacing/>
        <w:rPr>
          <w:rFonts w:hAnsi="宋体" w:cs="宋体"/>
          <w:color w:val="auto"/>
          <w:sz w:val="21"/>
          <w:szCs w:val="21"/>
        </w:rPr>
      </w:pPr>
      <w:r>
        <w:rPr>
          <w:rFonts w:hint="eastAsia" w:hAnsi="宋体" w:cs="宋体"/>
          <w:color w:val="auto"/>
          <w:sz w:val="21"/>
          <w:szCs w:val="21"/>
        </w:rPr>
        <w:t>合同签订生效日起至2022年12月31日止。本项目确定的中标人</w:t>
      </w:r>
      <w:r>
        <w:rPr>
          <w:rFonts w:hint="eastAsia" w:hAnsi="宋体" w:cs="宋体"/>
          <w:b/>
          <w:color w:val="auto"/>
          <w:sz w:val="21"/>
          <w:szCs w:val="21"/>
        </w:rPr>
        <w:t>与招标人签定配送合同，招标人不确保中标人农副产品、主副食品、其他食品材料实际产生配送量，每月份按实际产生量结算。</w:t>
      </w:r>
    </w:p>
    <w:p>
      <w:pPr>
        <w:snapToGrid w:val="0"/>
        <w:spacing w:line="360" w:lineRule="auto"/>
        <w:ind w:firstLine="422" w:firstLineChars="200"/>
        <w:contextualSpacing/>
        <w:rPr>
          <w:rFonts w:hAnsi="宋体" w:cs="宋体"/>
          <w:b/>
          <w:bCs/>
          <w:color w:val="auto"/>
          <w:sz w:val="21"/>
          <w:szCs w:val="21"/>
        </w:rPr>
      </w:pPr>
      <w:r>
        <w:rPr>
          <w:rFonts w:hint="eastAsia" w:hAnsi="宋体" w:cs="宋体"/>
          <w:b/>
          <w:bCs/>
          <w:color w:val="auto"/>
          <w:sz w:val="21"/>
          <w:szCs w:val="21"/>
        </w:rPr>
        <w:t>（二）付款方法</w:t>
      </w:r>
    </w:p>
    <w:p>
      <w:pPr>
        <w:snapToGrid w:val="0"/>
        <w:spacing w:line="360" w:lineRule="auto"/>
        <w:ind w:firstLine="420" w:firstLineChars="200"/>
        <w:contextualSpacing/>
        <w:rPr>
          <w:rFonts w:hAnsi="宋体" w:cs="宋体"/>
          <w:color w:val="auto"/>
          <w:sz w:val="21"/>
          <w:szCs w:val="21"/>
        </w:rPr>
      </w:pPr>
      <w:r>
        <w:rPr>
          <w:rFonts w:hint="eastAsia" w:hAnsi="宋体" w:cs="宋体"/>
          <w:color w:val="auto"/>
          <w:sz w:val="21"/>
          <w:szCs w:val="21"/>
        </w:rPr>
        <w:t>招标人每月与中标人按实际产生量结算一次。</w:t>
      </w:r>
    </w:p>
    <w:p>
      <w:pPr>
        <w:snapToGrid w:val="0"/>
        <w:spacing w:line="360" w:lineRule="auto"/>
        <w:ind w:firstLine="422" w:firstLineChars="200"/>
        <w:contextualSpacing/>
        <w:rPr>
          <w:rFonts w:hAnsi="宋体" w:cs="宋体"/>
          <w:b/>
          <w:bCs/>
          <w:color w:val="auto"/>
          <w:sz w:val="21"/>
          <w:szCs w:val="21"/>
        </w:rPr>
      </w:pPr>
      <w:r>
        <w:rPr>
          <w:rFonts w:hint="eastAsia" w:hAnsi="宋体" w:cs="宋体"/>
          <w:b/>
          <w:bCs/>
          <w:color w:val="auto"/>
          <w:sz w:val="21"/>
          <w:szCs w:val="21"/>
        </w:rPr>
        <w:t>（三）合同签订</w:t>
      </w:r>
    </w:p>
    <w:p>
      <w:pPr>
        <w:snapToGrid w:val="0"/>
        <w:spacing w:line="360" w:lineRule="auto"/>
        <w:ind w:firstLine="422" w:firstLineChars="200"/>
        <w:contextualSpacing/>
        <w:rPr>
          <w:rFonts w:hAnsi="宋体" w:cs="宋体"/>
          <w:b/>
          <w:bCs/>
          <w:color w:val="auto"/>
          <w:sz w:val="21"/>
          <w:szCs w:val="21"/>
        </w:rPr>
      </w:pPr>
      <w:r>
        <w:rPr>
          <w:rFonts w:hint="eastAsia" w:hAnsi="宋体" w:cs="宋体"/>
          <w:b/>
          <w:bCs/>
          <w:color w:val="auto"/>
          <w:sz w:val="21"/>
          <w:szCs w:val="21"/>
        </w:rPr>
        <w:t>★招标人有权由公司下属子公司与中标人签订配送合同。</w:t>
      </w:r>
    </w:p>
    <w:p>
      <w:pPr>
        <w:spacing w:line="360" w:lineRule="auto"/>
        <w:ind w:firstLine="420" w:firstLineChars="200"/>
        <w:contextualSpacing/>
        <w:rPr>
          <w:rFonts w:hAnsi="宋体" w:cs="宋体"/>
          <w:color w:val="auto"/>
          <w:sz w:val="21"/>
          <w:szCs w:val="21"/>
        </w:rPr>
      </w:pPr>
    </w:p>
    <w:p>
      <w:pPr>
        <w:numPr>
          <w:ilvl w:val="0"/>
          <w:numId w:val="9"/>
        </w:numPr>
        <w:spacing w:line="360" w:lineRule="auto"/>
        <w:contextualSpacing/>
        <w:rPr>
          <w:rFonts w:hAnsi="宋体" w:cs="宋体"/>
          <w:b/>
          <w:bCs/>
          <w:color w:val="auto"/>
          <w:sz w:val="21"/>
          <w:szCs w:val="21"/>
        </w:rPr>
      </w:pPr>
      <w:r>
        <w:rPr>
          <w:rFonts w:hint="eastAsia" w:hAnsi="宋体" w:cs="宋体"/>
          <w:b/>
          <w:bCs/>
          <w:color w:val="auto"/>
          <w:sz w:val="21"/>
          <w:szCs w:val="21"/>
        </w:rPr>
        <w:t>具体要求</w:t>
      </w:r>
    </w:p>
    <w:p>
      <w:pPr>
        <w:spacing w:line="360" w:lineRule="auto"/>
        <w:ind w:firstLine="422" w:firstLineChars="200"/>
        <w:contextualSpacing/>
        <w:rPr>
          <w:rFonts w:hAnsi="宋体" w:cs="宋体"/>
          <w:b/>
          <w:color w:val="auto"/>
          <w:sz w:val="21"/>
          <w:szCs w:val="21"/>
        </w:rPr>
      </w:pPr>
      <w:r>
        <w:rPr>
          <w:rFonts w:hint="eastAsia" w:hAnsi="宋体" w:cs="宋体"/>
          <w:b/>
          <w:color w:val="auto"/>
          <w:sz w:val="21"/>
          <w:szCs w:val="21"/>
        </w:rPr>
        <w:t>（一）采购内容</w:t>
      </w:r>
    </w:p>
    <w:p>
      <w:pPr>
        <w:spacing w:line="360" w:lineRule="auto"/>
        <w:ind w:firstLine="420" w:firstLineChars="200"/>
        <w:contextualSpacing/>
        <w:rPr>
          <w:rFonts w:hAnsi="宋体" w:cs="宋体"/>
          <w:color w:val="auto"/>
          <w:sz w:val="21"/>
          <w:szCs w:val="21"/>
        </w:rPr>
      </w:pPr>
      <w:r>
        <w:rPr>
          <w:rFonts w:hint="eastAsia" w:hAnsi="宋体" w:cs="宋体"/>
          <w:color w:val="auto"/>
          <w:sz w:val="21"/>
          <w:szCs w:val="21"/>
        </w:rPr>
        <w:t>本项目主要是东莞市水务集团管网有限公司、东莞市东信水环境投资有限公司、东莞市东泽水环境投资有限公司、东莞市清泽水环境投资有限公司、东莞市莞泽水环境投资有限公司、东莞市莞清水环境投资有限公司、东莞市东江水环境投资有限公司2022年食堂食材配送服务，投标人根据自身能力进行投标，供货内容包括但不限于以下：</w:t>
      </w:r>
    </w:p>
    <w:p>
      <w:pPr>
        <w:spacing w:line="360" w:lineRule="auto"/>
        <w:ind w:firstLine="420" w:firstLineChars="200"/>
        <w:contextualSpacing/>
        <w:rPr>
          <w:rFonts w:hAnsi="宋体" w:cs="宋体"/>
          <w:color w:val="auto"/>
          <w:sz w:val="21"/>
          <w:szCs w:val="21"/>
        </w:rPr>
      </w:pPr>
      <w:r>
        <w:rPr>
          <w:rFonts w:hint="eastAsia" w:hAnsi="宋体" w:cs="宋体"/>
          <w:color w:val="auto"/>
          <w:sz w:val="21"/>
          <w:szCs w:val="21"/>
        </w:rPr>
        <w:t>A类：粮油干货类──大米、食用油、调味品、干货、杂货、米粉面粉类等食品材料；</w:t>
      </w:r>
    </w:p>
    <w:p>
      <w:pPr>
        <w:spacing w:line="360" w:lineRule="auto"/>
        <w:ind w:firstLine="420" w:firstLineChars="200"/>
        <w:contextualSpacing/>
        <w:rPr>
          <w:rFonts w:hAnsi="宋体" w:cs="宋体"/>
          <w:color w:val="auto"/>
          <w:sz w:val="21"/>
          <w:szCs w:val="21"/>
        </w:rPr>
      </w:pPr>
      <w:r>
        <w:rPr>
          <w:rFonts w:hint="eastAsia" w:hAnsi="宋体" w:cs="宋体"/>
          <w:color w:val="auto"/>
          <w:sz w:val="21"/>
          <w:szCs w:val="21"/>
        </w:rPr>
        <w:t>B类（肉类）</w:t>
      </w:r>
      <w:r>
        <w:rPr>
          <w:rFonts w:hint="eastAsia" w:hAnsi="宋体" w:cs="宋体"/>
          <w:color w:val="auto"/>
          <w:sz w:val="21"/>
          <w:szCs w:val="21"/>
          <w:lang w:eastAsia="zh-CN"/>
        </w:rPr>
        <w:t>：</w:t>
      </w:r>
      <w:r>
        <w:rPr>
          <w:rFonts w:hint="eastAsia" w:hAnsi="宋体" w:cs="宋体"/>
          <w:color w:val="auto"/>
          <w:sz w:val="21"/>
          <w:szCs w:val="21"/>
        </w:rPr>
        <w:t>生鲜猪、牛、羊、三鸟，鱼及冰冻水产、畜、禽肉类。</w:t>
      </w:r>
    </w:p>
    <w:p>
      <w:pPr>
        <w:spacing w:line="360" w:lineRule="auto"/>
        <w:ind w:firstLine="420" w:firstLineChars="200"/>
        <w:contextualSpacing/>
        <w:rPr>
          <w:rFonts w:hAnsi="宋体" w:cs="宋体"/>
          <w:color w:val="auto"/>
          <w:sz w:val="21"/>
          <w:szCs w:val="21"/>
        </w:rPr>
      </w:pPr>
      <w:r>
        <w:rPr>
          <w:rFonts w:hint="eastAsia" w:hAnsi="宋体" w:cs="宋体"/>
          <w:color w:val="auto"/>
          <w:sz w:val="21"/>
          <w:szCs w:val="21"/>
        </w:rPr>
        <w:t>C类（蔬果类）</w:t>
      </w:r>
      <w:r>
        <w:rPr>
          <w:rFonts w:hint="eastAsia" w:hAnsi="宋体" w:cs="宋体"/>
          <w:color w:val="auto"/>
          <w:sz w:val="21"/>
          <w:szCs w:val="21"/>
          <w:lang w:eastAsia="zh-CN"/>
        </w:rPr>
        <w:t>：</w:t>
      </w:r>
      <w:r>
        <w:rPr>
          <w:rFonts w:hint="eastAsia" w:hAnsi="宋体" w:cs="宋体"/>
          <w:color w:val="auto"/>
          <w:sz w:val="21"/>
          <w:szCs w:val="21"/>
        </w:rPr>
        <w:t>生鲜农副产品，其他食品。</w:t>
      </w:r>
    </w:p>
    <w:p>
      <w:pPr>
        <w:numPr>
          <w:ilvl w:val="0"/>
          <w:numId w:val="10"/>
        </w:numPr>
        <w:spacing w:line="360" w:lineRule="auto"/>
        <w:ind w:firstLine="211" w:firstLineChars="100"/>
        <w:contextualSpacing/>
        <w:rPr>
          <w:rFonts w:hAnsi="宋体" w:cs="宋体"/>
          <w:b/>
          <w:color w:val="auto"/>
          <w:sz w:val="21"/>
          <w:szCs w:val="21"/>
        </w:rPr>
      </w:pPr>
      <w:r>
        <w:rPr>
          <w:rFonts w:hint="eastAsia" w:hAnsi="宋体" w:cs="宋体"/>
          <w:b/>
          <w:color w:val="auto"/>
          <w:sz w:val="21"/>
          <w:szCs w:val="21"/>
        </w:rPr>
        <w:t>就餐人数（详见附件1）</w:t>
      </w:r>
    </w:p>
    <w:p>
      <w:pPr>
        <w:spacing w:line="360" w:lineRule="auto"/>
        <w:ind w:firstLine="420" w:firstLineChars="200"/>
        <w:contextualSpacing/>
        <w:rPr>
          <w:rFonts w:hAnsi="宋体" w:cs="宋体"/>
          <w:b/>
          <w:color w:val="auto"/>
          <w:sz w:val="21"/>
          <w:szCs w:val="21"/>
        </w:rPr>
      </w:pPr>
      <w:r>
        <w:rPr>
          <w:rFonts w:hint="eastAsia" w:hAnsi="宋体" w:cs="宋体"/>
          <w:color w:val="auto"/>
          <w:sz w:val="21"/>
          <w:szCs w:val="21"/>
        </w:rPr>
        <w:t>2022年招标人本部及片区分公司（附件1），共7个食堂，每天平均用餐人数约为</w:t>
      </w:r>
      <w:r>
        <w:rPr>
          <w:rFonts w:hint="eastAsia" w:hAnsi="宋体" w:cs="宋体"/>
          <w:color w:val="auto"/>
          <w:sz w:val="21"/>
          <w:szCs w:val="21"/>
          <w:lang w:val="en-US" w:eastAsia="zh-CN"/>
        </w:rPr>
        <w:t>500</w:t>
      </w:r>
      <w:r>
        <w:rPr>
          <w:rFonts w:hint="eastAsia" w:hAnsi="宋体" w:cs="宋体"/>
          <w:color w:val="auto"/>
          <w:sz w:val="21"/>
          <w:szCs w:val="21"/>
        </w:rPr>
        <w:t>人。（具体就餐人数随时间有变动）。</w:t>
      </w:r>
    </w:p>
    <w:p>
      <w:pPr>
        <w:spacing w:line="360" w:lineRule="auto"/>
        <w:ind w:firstLine="211" w:firstLineChars="100"/>
        <w:contextualSpacing/>
        <w:rPr>
          <w:rFonts w:hAnsi="宋体" w:cs="宋体"/>
          <w:b/>
          <w:color w:val="auto"/>
          <w:sz w:val="21"/>
          <w:szCs w:val="21"/>
        </w:rPr>
      </w:pPr>
      <w:r>
        <w:rPr>
          <w:rFonts w:hint="eastAsia" w:hAnsi="宋体" w:cs="宋体"/>
          <w:b/>
          <w:color w:val="auto"/>
          <w:sz w:val="21"/>
          <w:szCs w:val="21"/>
        </w:rPr>
        <w:t>（三）供货地点</w:t>
      </w:r>
    </w:p>
    <w:p>
      <w:pPr>
        <w:spacing w:line="360" w:lineRule="auto"/>
        <w:ind w:firstLine="420" w:firstLineChars="200"/>
        <w:contextualSpacing/>
        <w:rPr>
          <w:rFonts w:hAnsi="宋体" w:cs="宋体"/>
          <w:color w:val="auto"/>
          <w:sz w:val="21"/>
          <w:szCs w:val="21"/>
        </w:rPr>
      </w:pPr>
      <w:r>
        <w:rPr>
          <w:rFonts w:hint="eastAsia" w:hAnsi="宋体" w:cs="宋体"/>
          <w:color w:val="auto"/>
          <w:sz w:val="21"/>
          <w:szCs w:val="21"/>
        </w:rPr>
        <w:t>2022年招标人本部及片区分公司食堂。</w:t>
      </w:r>
    </w:p>
    <w:p>
      <w:pPr>
        <w:spacing w:line="360" w:lineRule="auto"/>
        <w:ind w:firstLine="211" w:firstLineChars="100"/>
        <w:contextualSpacing/>
        <w:rPr>
          <w:rFonts w:hAnsi="宋体" w:cs="宋体"/>
          <w:b/>
          <w:color w:val="auto"/>
          <w:sz w:val="21"/>
          <w:szCs w:val="21"/>
        </w:rPr>
      </w:pPr>
      <w:r>
        <w:rPr>
          <w:rFonts w:hint="eastAsia" w:hAnsi="宋体" w:cs="宋体"/>
          <w:b/>
          <w:color w:val="auto"/>
          <w:sz w:val="21"/>
          <w:szCs w:val="21"/>
        </w:rPr>
        <w:t>（四）定价及定价周期</w:t>
      </w:r>
    </w:p>
    <w:p>
      <w:pPr>
        <w:spacing w:line="360" w:lineRule="auto"/>
        <w:ind w:firstLine="420" w:firstLineChars="200"/>
        <w:contextualSpacing/>
        <w:rPr>
          <w:rFonts w:hAnsi="宋体" w:cs="宋体"/>
          <w:color w:val="auto"/>
          <w:sz w:val="21"/>
          <w:szCs w:val="21"/>
        </w:rPr>
      </w:pPr>
      <w:r>
        <w:rPr>
          <w:rFonts w:hint="eastAsia" w:hAnsi="宋体" w:cs="宋体"/>
          <w:color w:val="auto"/>
          <w:sz w:val="21"/>
          <w:szCs w:val="21"/>
        </w:rPr>
        <w:t>1.招标人和中标人按以下方式确定供货价格（定价原则）：</w:t>
      </w:r>
    </w:p>
    <w:p>
      <w:pPr>
        <w:spacing w:line="360" w:lineRule="auto"/>
        <w:ind w:firstLine="420" w:firstLineChars="200"/>
        <w:contextualSpacing/>
        <w:rPr>
          <w:rFonts w:hAnsi="宋体" w:cs="宋体"/>
          <w:color w:val="auto"/>
          <w:sz w:val="21"/>
          <w:szCs w:val="21"/>
        </w:rPr>
      </w:pPr>
      <w:r>
        <w:rPr>
          <w:rFonts w:hint="eastAsia" w:hAnsi="宋体" w:cs="宋体"/>
          <w:color w:val="auto"/>
          <w:sz w:val="21"/>
          <w:szCs w:val="21"/>
        </w:rPr>
        <w:t>1.1原则上以东莞市发展和改革局（http://dgdp.dg.gov.cn/jggl/jgjc/gdsclzjgjcb/index.html）</w:t>
      </w:r>
      <w:r>
        <w:rPr>
          <w:rFonts w:hint="eastAsia" w:hAnsi="宋体" w:cs="宋体"/>
          <w:color w:val="auto"/>
          <w:sz w:val="21"/>
          <w:szCs w:val="21"/>
          <w:lang w:eastAsia="zh-CN"/>
        </w:rPr>
        <w:t>“</w:t>
      </w:r>
      <w:r>
        <w:rPr>
          <w:rFonts w:hint="eastAsia" w:hAnsi="宋体" w:cs="宋体"/>
          <w:color w:val="auto"/>
          <w:sz w:val="21"/>
          <w:szCs w:val="21"/>
        </w:rPr>
        <w:t>东莞市菜蓝子价格监测表</w:t>
      </w:r>
      <w:r>
        <w:rPr>
          <w:rFonts w:hint="eastAsia" w:hAnsi="宋体" w:cs="宋体"/>
          <w:color w:val="auto"/>
          <w:sz w:val="21"/>
          <w:szCs w:val="21"/>
          <w:lang w:eastAsia="zh-CN"/>
        </w:rPr>
        <w:t>”</w:t>
      </w:r>
      <w:r>
        <w:rPr>
          <w:rFonts w:hint="eastAsia" w:hAnsi="宋体" w:cs="宋体"/>
          <w:color w:val="auto"/>
          <w:sz w:val="21"/>
          <w:szCs w:val="21"/>
        </w:rPr>
        <w:t>当月份最新公布本期（指招标人审批之日的最新期次）报价作为基准价抽样审核；若东莞物价专栏无最近当月份公布或招标人所需的相同品种，则招标人将对本市区农副产品市场（莞城</w:t>
      </w:r>
      <w:r>
        <w:rPr>
          <w:rFonts w:hint="eastAsia" w:hAnsi="宋体" w:cs="宋体"/>
          <w:color w:val="auto"/>
          <w:sz w:val="21"/>
          <w:szCs w:val="21"/>
          <w:lang w:val="en-US" w:eastAsia="zh-CN"/>
        </w:rPr>
        <w:t>光明</w:t>
      </w:r>
      <w:r>
        <w:rPr>
          <w:rFonts w:hint="eastAsia" w:hAnsi="宋体" w:cs="宋体"/>
          <w:color w:val="auto"/>
          <w:sz w:val="21"/>
          <w:szCs w:val="21"/>
        </w:rPr>
        <w:t>市场）的市场零售价（精品零售价）进行抽样调查，核定相同品种的市场价格，同时为合同监督食品报价作依椐。</w:t>
      </w:r>
    </w:p>
    <w:p>
      <w:pPr>
        <w:pStyle w:val="2"/>
        <w:ind w:firstLine="420" w:firstLineChars="200"/>
        <w:rPr>
          <w:rFonts w:hAnsi="宋体" w:cs="宋体"/>
          <w:color w:val="auto"/>
          <w:sz w:val="21"/>
          <w:szCs w:val="21"/>
        </w:rPr>
      </w:pPr>
      <w:r>
        <w:rPr>
          <w:rFonts w:hint="eastAsia" w:hAnsi="宋体" w:cs="宋体"/>
          <w:color w:val="auto"/>
          <w:sz w:val="21"/>
          <w:szCs w:val="21"/>
        </w:rPr>
        <w:t>1.2日常委托采购：中标人必须按照招标人每日所需的物资品种、数量在指定时间内送货到指定地点，招标人有权在送货前一天18:00前将所需物资清单发送至中标单位确认。</w:t>
      </w:r>
    </w:p>
    <w:p>
      <w:pPr>
        <w:snapToGrid w:val="0"/>
        <w:spacing w:line="360" w:lineRule="auto"/>
        <w:ind w:firstLine="420" w:firstLineChars="200"/>
        <w:contextualSpacing/>
        <w:rPr>
          <w:rFonts w:hAnsi="宋体" w:cs="宋体"/>
          <w:color w:val="auto"/>
          <w:sz w:val="21"/>
          <w:szCs w:val="21"/>
        </w:rPr>
      </w:pPr>
      <w:r>
        <w:rPr>
          <w:rFonts w:hint="eastAsia" w:hAnsi="宋体" w:cs="宋体"/>
          <w:color w:val="auto"/>
          <w:sz w:val="21"/>
          <w:szCs w:val="21"/>
        </w:rPr>
        <w:t>1.3临时委托采购：中标人必须按照招标人急需餐料物资品种、数量、送货时间、地点等在2小时内进行供货，若急需餐料物资不在供货物资清单表上，其供货价格招标人在1个工作日内给予复核。</w:t>
      </w:r>
    </w:p>
    <w:p>
      <w:pPr>
        <w:pStyle w:val="2"/>
        <w:snapToGrid w:val="0"/>
        <w:spacing w:line="360" w:lineRule="auto"/>
        <w:ind w:firstLine="480" w:firstLineChars="200"/>
        <w:contextualSpacing/>
        <w:rPr>
          <w:rFonts w:hAnsi="宋体" w:cs="宋体"/>
          <w:color w:val="auto"/>
          <w:sz w:val="21"/>
          <w:szCs w:val="21"/>
        </w:rPr>
      </w:pPr>
      <w:r>
        <w:rPr>
          <w:rFonts w:hint="eastAsia" w:hAnsi="宋体" w:cs="宋体"/>
          <w:color w:val="auto"/>
        </w:rPr>
        <w:t xml:space="preserve">1.4 </w:t>
      </w:r>
      <w:r>
        <w:rPr>
          <w:rFonts w:hint="eastAsia" w:hAnsi="宋体" w:cs="宋体"/>
          <w:color w:val="auto"/>
          <w:sz w:val="21"/>
          <w:szCs w:val="21"/>
        </w:rPr>
        <w:t>食材定价为综合单价，该价格包含食材货物单价、运至合同指定地点的运输费、装卸费、检验费、储存费、保险费及招标文件所要求的相关服务等全过程产生的一切成本和费用以及税费，并由投标人承担送货途中的风险，货物未被招标人签收前发生的毁损、灭失等风险均由投标人自行承担。</w:t>
      </w:r>
    </w:p>
    <w:p>
      <w:pPr>
        <w:snapToGrid w:val="0"/>
        <w:spacing w:line="360" w:lineRule="auto"/>
        <w:ind w:firstLine="420" w:firstLineChars="200"/>
        <w:contextualSpacing/>
        <w:rPr>
          <w:rFonts w:hAnsi="宋体" w:cs="宋体"/>
          <w:bCs/>
          <w:color w:val="auto"/>
          <w:sz w:val="21"/>
          <w:szCs w:val="21"/>
        </w:rPr>
      </w:pPr>
      <w:r>
        <w:rPr>
          <w:rFonts w:hint="eastAsia" w:hAnsi="宋体" w:cs="宋体"/>
          <w:bCs/>
          <w:color w:val="auto"/>
          <w:sz w:val="21"/>
          <w:szCs w:val="21"/>
        </w:rPr>
        <w:t>3.定价周期</w:t>
      </w:r>
    </w:p>
    <w:p>
      <w:pPr>
        <w:snapToGrid w:val="0"/>
        <w:spacing w:line="360" w:lineRule="auto"/>
        <w:ind w:firstLine="420" w:firstLineChars="200"/>
        <w:contextualSpacing/>
        <w:rPr>
          <w:rFonts w:hAnsi="宋体" w:cs="宋体"/>
          <w:color w:val="auto"/>
          <w:sz w:val="21"/>
          <w:szCs w:val="21"/>
        </w:rPr>
      </w:pPr>
      <w:r>
        <w:rPr>
          <w:rFonts w:hint="eastAsia" w:hAnsi="宋体" w:cs="宋体"/>
          <w:color w:val="auto"/>
          <w:sz w:val="21"/>
          <w:szCs w:val="21"/>
        </w:rPr>
        <w:t>3.1 A类（粮油干货类）、B类（肉类）、C类（蔬果类、其他类项）价格每半月更新一次，中标人每月12日前提交下半月报价给招标人审核，每月25日前提交下个月上半月报价给招标人审核。</w:t>
      </w:r>
    </w:p>
    <w:p>
      <w:pPr>
        <w:snapToGrid w:val="0"/>
        <w:spacing w:line="360" w:lineRule="auto"/>
        <w:ind w:firstLine="420" w:firstLineChars="200"/>
        <w:contextualSpacing/>
        <w:rPr>
          <w:rFonts w:hAnsi="宋体" w:cs="宋体"/>
          <w:color w:val="auto"/>
          <w:sz w:val="21"/>
          <w:szCs w:val="21"/>
        </w:rPr>
      </w:pPr>
      <w:r>
        <w:rPr>
          <w:rFonts w:hint="eastAsia" w:hAnsi="宋体" w:cs="宋体"/>
          <w:color w:val="auto"/>
          <w:sz w:val="21"/>
          <w:szCs w:val="21"/>
        </w:rPr>
        <w:t>3.2所供货品规格、型号报价与实际配送的规格型号相符合。核定价格后若供货时期市场出现部份类型餐料价格大幅浮动，升降在30%或以上时，双方均可以书面形式提出价格调整请求（未提出调整请求的部分则以原核定价格执行），双方通过市场调查核实后，上述定价原则确定的价格（双方确认生效后开始以新的价格执行，在此之前的仍以原核定价格执行），并在3个工作日内给予函复，若在此期限内不予函复则以新定价格执行，除此之外，双方约定的供货物资价格在有效期内任何一方不得随意更改。</w:t>
      </w:r>
    </w:p>
    <w:p>
      <w:pPr>
        <w:spacing w:line="360" w:lineRule="auto"/>
        <w:ind w:firstLine="211" w:firstLineChars="100"/>
        <w:contextualSpacing/>
        <w:rPr>
          <w:rFonts w:hAnsi="宋体" w:cs="宋体"/>
          <w:b/>
          <w:color w:val="auto"/>
          <w:sz w:val="21"/>
          <w:szCs w:val="21"/>
        </w:rPr>
      </w:pPr>
      <w:r>
        <w:rPr>
          <w:rFonts w:hint="eastAsia" w:hAnsi="宋体" w:cs="宋体"/>
          <w:b/>
          <w:color w:val="auto"/>
          <w:sz w:val="21"/>
          <w:szCs w:val="21"/>
        </w:rPr>
        <w:t>（五）考核管理</w:t>
      </w:r>
    </w:p>
    <w:p>
      <w:pPr>
        <w:spacing w:line="360" w:lineRule="auto"/>
        <w:ind w:firstLine="420" w:firstLineChars="200"/>
        <w:contextualSpacing/>
        <w:jc w:val="both"/>
        <w:rPr>
          <w:rFonts w:hAnsi="宋体" w:cs="宋体"/>
          <w:color w:val="auto"/>
          <w:sz w:val="21"/>
          <w:szCs w:val="21"/>
        </w:rPr>
      </w:pPr>
      <w:r>
        <w:rPr>
          <w:rFonts w:hint="eastAsia" w:hAnsi="宋体" w:cs="宋体"/>
          <w:color w:val="auto"/>
          <w:sz w:val="21"/>
          <w:szCs w:val="21"/>
        </w:rPr>
        <w:t>1.招标人每月安排相关人员对中标人进行服务质量跟踪，一个月为一个考核期，各个食堂填写</w:t>
      </w:r>
      <w:r>
        <w:rPr>
          <w:rFonts w:hint="eastAsia" w:hAnsi="宋体" w:cs="宋体"/>
          <w:color w:val="auto"/>
          <w:sz w:val="21"/>
          <w:szCs w:val="21"/>
          <w:lang w:eastAsia="zh-CN"/>
        </w:rPr>
        <w:t>《</w:t>
      </w:r>
      <w:r>
        <w:rPr>
          <w:rFonts w:hint="eastAsia" w:hAnsi="宋体" w:cs="宋体"/>
          <w:color w:val="auto"/>
          <w:sz w:val="21"/>
          <w:szCs w:val="21"/>
        </w:rPr>
        <w:t>考核评分表</w:t>
      </w:r>
      <w:r>
        <w:rPr>
          <w:rFonts w:hint="eastAsia" w:hAnsi="宋体" w:cs="宋体"/>
          <w:color w:val="auto"/>
          <w:sz w:val="21"/>
          <w:szCs w:val="21"/>
          <w:lang w:eastAsia="zh-CN"/>
        </w:rPr>
        <w:t>》</w:t>
      </w:r>
      <w:r>
        <w:rPr>
          <w:rFonts w:hint="eastAsia" w:hAnsi="宋体" w:cs="宋体"/>
          <w:color w:val="auto"/>
          <w:sz w:val="21"/>
          <w:szCs w:val="21"/>
        </w:rPr>
        <w:t>（附件2）具体如下：对中标人分别配送的食堂考核调查，考核成绩90分（含）以上，当月配送费用按100%支付；对考核成绩低于90分的中标人，下达整改意见书，同时对考核成绩为80</w:t>
      </w:r>
      <w:r>
        <w:rPr>
          <w:rFonts w:hint="eastAsia" w:ascii="宋体" w:hAnsi="宋体" w:eastAsia="宋体" w:cs="宋体"/>
          <w:color w:val="auto"/>
          <w:sz w:val="21"/>
          <w:szCs w:val="21"/>
          <w:highlight w:val="none"/>
          <w:lang w:val="en-US" w:eastAsia="zh-CN"/>
        </w:rPr>
        <w:t>（含）</w:t>
      </w:r>
      <w:r>
        <w:rPr>
          <w:rFonts w:hint="eastAsia" w:hAnsi="宋体" w:cs="宋体"/>
          <w:color w:val="auto"/>
          <w:sz w:val="21"/>
          <w:szCs w:val="21"/>
        </w:rPr>
        <w:t>-90分</w:t>
      </w:r>
      <w:r>
        <w:rPr>
          <w:rFonts w:hint="eastAsia" w:ascii="宋体" w:hAnsi="宋体" w:eastAsia="宋体" w:cs="宋体"/>
          <w:color w:val="auto"/>
          <w:sz w:val="21"/>
          <w:szCs w:val="21"/>
          <w:highlight w:val="none"/>
          <w:lang w:val="en-US" w:eastAsia="zh-CN"/>
        </w:rPr>
        <w:t>（</w:t>
      </w:r>
      <w:r>
        <w:rPr>
          <w:rFonts w:hint="eastAsia" w:hAnsi="宋体" w:cs="宋体"/>
          <w:color w:val="auto"/>
          <w:sz w:val="21"/>
          <w:szCs w:val="21"/>
          <w:highlight w:val="none"/>
          <w:lang w:val="en-US" w:eastAsia="zh-CN"/>
        </w:rPr>
        <w:t>不</w:t>
      </w:r>
      <w:r>
        <w:rPr>
          <w:rFonts w:hint="eastAsia" w:ascii="宋体" w:hAnsi="宋体" w:eastAsia="宋体" w:cs="宋体"/>
          <w:color w:val="auto"/>
          <w:sz w:val="21"/>
          <w:szCs w:val="21"/>
          <w:highlight w:val="none"/>
          <w:lang w:val="en-US" w:eastAsia="zh-CN"/>
        </w:rPr>
        <w:t>含）</w:t>
      </w:r>
      <w:r>
        <w:rPr>
          <w:rFonts w:hint="eastAsia" w:hAnsi="宋体" w:cs="宋体"/>
          <w:color w:val="auto"/>
          <w:sz w:val="21"/>
          <w:szCs w:val="21"/>
        </w:rPr>
        <w:t>的中标人，当月配送费用按90%支付；对考核成绩为70</w:t>
      </w:r>
      <w:r>
        <w:rPr>
          <w:rFonts w:hint="eastAsia" w:ascii="宋体" w:hAnsi="宋体" w:eastAsia="宋体" w:cs="宋体"/>
          <w:color w:val="auto"/>
          <w:sz w:val="21"/>
          <w:szCs w:val="21"/>
          <w:highlight w:val="none"/>
          <w:lang w:val="en-US" w:eastAsia="zh-CN"/>
        </w:rPr>
        <w:t>（含）</w:t>
      </w:r>
      <w:r>
        <w:rPr>
          <w:rFonts w:hint="eastAsia" w:hAnsi="宋体" w:cs="宋体"/>
          <w:color w:val="auto"/>
          <w:sz w:val="21"/>
          <w:szCs w:val="21"/>
        </w:rPr>
        <w:t>-80分</w:t>
      </w:r>
      <w:r>
        <w:rPr>
          <w:rFonts w:hint="eastAsia" w:ascii="宋体" w:hAnsi="宋体" w:eastAsia="宋体" w:cs="宋体"/>
          <w:color w:val="auto"/>
          <w:sz w:val="21"/>
          <w:szCs w:val="21"/>
          <w:highlight w:val="none"/>
          <w:lang w:val="en-US" w:eastAsia="zh-CN"/>
        </w:rPr>
        <w:t>（</w:t>
      </w:r>
      <w:r>
        <w:rPr>
          <w:rFonts w:hint="eastAsia" w:hAnsi="宋体" w:cs="宋体"/>
          <w:color w:val="auto"/>
          <w:sz w:val="21"/>
          <w:szCs w:val="21"/>
          <w:highlight w:val="none"/>
          <w:lang w:val="en-US" w:eastAsia="zh-CN"/>
        </w:rPr>
        <w:t>不</w:t>
      </w:r>
      <w:r>
        <w:rPr>
          <w:rFonts w:hint="eastAsia" w:ascii="宋体" w:hAnsi="宋体" w:eastAsia="宋体" w:cs="宋体"/>
          <w:color w:val="auto"/>
          <w:sz w:val="21"/>
          <w:szCs w:val="21"/>
          <w:highlight w:val="none"/>
          <w:lang w:val="en-US" w:eastAsia="zh-CN"/>
        </w:rPr>
        <w:t>含）</w:t>
      </w:r>
      <w:r>
        <w:rPr>
          <w:rFonts w:hint="eastAsia" w:hAnsi="宋体" w:cs="宋体"/>
          <w:color w:val="auto"/>
          <w:sz w:val="21"/>
          <w:szCs w:val="21"/>
        </w:rPr>
        <w:t>的中标人，当月配送费用按80%支付；对考核成绩为70分</w:t>
      </w:r>
      <w:r>
        <w:rPr>
          <w:rFonts w:hint="eastAsia" w:ascii="宋体" w:hAnsi="宋体" w:eastAsia="宋体" w:cs="宋体"/>
          <w:color w:val="auto"/>
          <w:sz w:val="21"/>
          <w:szCs w:val="21"/>
          <w:highlight w:val="none"/>
          <w:lang w:val="en-US" w:eastAsia="zh-CN"/>
        </w:rPr>
        <w:t>（含）</w:t>
      </w:r>
      <w:r>
        <w:rPr>
          <w:rFonts w:hint="eastAsia" w:hAnsi="宋体" w:cs="宋体"/>
          <w:color w:val="auto"/>
          <w:sz w:val="21"/>
          <w:szCs w:val="21"/>
        </w:rPr>
        <w:t>以下的中标人，当月配送费用按70%支付；考核成绩较差（低于90分）时由</w:t>
      </w:r>
      <w:r>
        <w:rPr>
          <w:rFonts w:hint="eastAsia" w:hAnsi="宋体" w:cs="宋体"/>
          <w:color w:val="auto"/>
          <w:sz w:val="21"/>
          <w:szCs w:val="21"/>
          <w:lang w:val="en-US" w:eastAsia="zh-CN"/>
        </w:rPr>
        <w:t>招标人</w:t>
      </w:r>
      <w:r>
        <w:rPr>
          <w:rFonts w:hint="eastAsia" w:hAnsi="宋体" w:cs="宋体"/>
          <w:color w:val="auto"/>
          <w:sz w:val="21"/>
          <w:szCs w:val="21"/>
        </w:rPr>
        <w:t>下达整改意见书，以确保</w:t>
      </w:r>
      <w:r>
        <w:rPr>
          <w:rFonts w:hint="eastAsia" w:hAnsi="宋体" w:cs="宋体"/>
          <w:color w:val="auto"/>
          <w:sz w:val="21"/>
          <w:szCs w:val="21"/>
          <w:lang w:val="en-US" w:eastAsia="zh-CN"/>
        </w:rPr>
        <w:t>中标人</w:t>
      </w:r>
      <w:r>
        <w:rPr>
          <w:rFonts w:hint="eastAsia" w:hAnsi="宋体" w:cs="宋体"/>
          <w:color w:val="auto"/>
          <w:sz w:val="21"/>
          <w:szCs w:val="21"/>
        </w:rPr>
        <w:t>的服务质量能满足</w:t>
      </w:r>
      <w:r>
        <w:rPr>
          <w:rFonts w:hint="eastAsia" w:hAnsi="宋体" w:cs="宋体"/>
          <w:color w:val="auto"/>
          <w:sz w:val="21"/>
          <w:szCs w:val="21"/>
          <w:lang w:val="en-US" w:eastAsia="zh-CN"/>
        </w:rPr>
        <w:t>招标人</w:t>
      </w:r>
      <w:r>
        <w:rPr>
          <w:rFonts w:hint="eastAsia" w:hAnsi="宋体" w:cs="宋体"/>
          <w:color w:val="auto"/>
          <w:sz w:val="21"/>
          <w:szCs w:val="21"/>
        </w:rPr>
        <w:t>要求</w:t>
      </w:r>
      <w:r>
        <w:rPr>
          <w:rFonts w:hint="eastAsia" w:hAnsi="宋体" w:cs="宋体"/>
          <w:color w:val="auto"/>
          <w:sz w:val="21"/>
          <w:szCs w:val="21"/>
          <w:lang w:eastAsia="zh-CN"/>
        </w:rPr>
        <w:t>。</w:t>
      </w:r>
      <w:r>
        <w:rPr>
          <w:rFonts w:hint="eastAsia" w:hAnsi="宋体" w:cs="宋体"/>
          <w:color w:val="auto"/>
          <w:sz w:val="21"/>
          <w:szCs w:val="21"/>
        </w:rPr>
        <w:t>如连续两次整改仍未合符整改要求，招标人将取消中标人配送该食堂的资格，由另外一个中标人承接；若出现一票否决项情况，招标人将取消中标人配送该食堂的资格，由另外一个中标人承接。</w:t>
      </w:r>
    </w:p>
    <w:p>
      <w:pPr>
        <w:snapToGrid w:val="0"/>
        <w:spacing w:line="360" w:lineRule="auto"/>
        <w:ind w:firstLine="420" w:firstLineChars="200"/>
        <w:contextualSpacing/>
        <w:rPr>
          <w:rFonts w:hAnsi="宋体" w:cs="宋体"/>
          <w:color w:val="auto"/>
          <w:sz w:val="21"/>
          <w:szCs w:val="21"/>
        </w:rPr>
      </w:pPr>
      <w:r>
        <w:rPr>
          <w:rFonts w:hint="eastAsia" w:hAnsi="宋体" w:cs="宋体"/>
          <w:color w:val="auto"/>
          <w:sz w:val="21"/>
          <w:szCs w:val="21"/>
        </w:rPr>
        <w:t>2.中标人按照招标人提出的物品订货清单，不论数量多少，必须保证在规定的时间、地点送货。</w:t>
      </w:r>
    </w:p>
    <w:p>
      <w:pPr>
        <w:snapToGrid w:val="0"/>
        <w:spacing w:line="360" w:lineRule="auto"/>
        <w:ind w:firstLine="420" w:firstLineChars="200"/>
        <w:contextualSpacing/>
        <w:rPr>
          <w:rFonts w:hAnsi="宋体" w:cs="宋体"/>
          <w:color w:val="auto"/>
          <w:sz w:val="21"/>
          <w:szCs w:val="21"/>
        </w:rPr>
      </w:pPr>
      <w:r>
        <w:rPr>
          <w:rFonts w:hint="eastAsia" w:hAnsi="宋体" w:cs="宋体"/>
          <w:color w:val="auto"/>
          <w:sz w:val="21"/>
          <w:szCs w:val="21"/>
        </w:rPr>
        <w:t>3.中标人对招标人提出的临时性服务要求应按招标人要求按时、按质、按量将货品送到指定地点。</w:t>
      </w:r>
    </w:p>
    <w:p>
      <w:pPr>
        <w:snapToGrid w:val="0"/>
        <w:spacing w:line="360" w:lineRule="auto"/>
        <w:ind w:firstLine="420" w:firstLineChars="200"/>
        <w:contextualSpacing/>
        <w:rPr>
          <w:rFonts w:hAnsi="宋体" w:cs="宋体"/>
          <w:color w:val="auto"/>
          <w:sz w:val="21"/>
          <w:szCs w:val="21"/>
        </w:rPr>
      </w:pPr>
      <w:r>
        <w:rPr>
          <w:rFonts w:hint="eastAsia" w:hAnsi="宋体" w:cs="宋体"/>
          <w:color w:val="auto"/>
          <w:sz w:val="21"/>
          <w:szCs w:val="21"/>
        </w:rPr>
        <w:t>4.中标人提供的货品必须符合国家食品卫生法规相关标准，保质、保量。不合格的货品，中标人必须在2小时内包退包换。</w:t>
      </w:r>
    </w:p>
    <w:p>
      <w:pPr>
        <w:snapToGrid w:val="0"/>
        <w:spacing w:line="360" w:lineRule="auto"/>
        <w:ind w:firstLine="420" w:firstLineChars="200"/>
        <w:contextualSpacing/>
        <w:rPr>
          <w:rFonts w:hAnsi="宋体" w:cs="宋体"/>
          <w:color w:val="auto"/>
          <w:sz w:val="21"/>
          <w:szCs w:val="21"/>
        </w:rPr>
      </w:pPr>
      <w:r>
        <w:rPr>
          <w:rFonts w:hint="eastAsia" w:hAnsi="宋体" w:cs="宋体"/>
          <w:color w:val="auto"/>
          <w:sz w:val="21"/>
          <w:szCs w:val="21"/>
        </w:rPr>
        <w:t>5.中标人提供的货品必须出示真实有效的合格证书、检验报告。</w:t>
      </w:r>
    </w:p>
    <w:p>
      <w:pPr>
        <w:snapToGrid w:val="0"/>
        <w:spacing w:line="360" w:lineRule="auto"/>
        <w:ind w:firstLine="420" w:firstLineChars="200"/>
        <w:contextualSpacing/>
        <w:rPr>
          <w:rFonts w:hAnsi="宋体" w:cs="宋体"/>
          <w:color w:val="auto"/>
          <w:sz w:val="21"/>
          <w:szCs w:val="21"/>
        </w:rPr>
      </w:pPr>
      <w:r>
        <w:rPr>
          <w:rFonts w:hint="eastAsia" w:hAnsi="宋体" w:cs="宋体"/>
          <w:color w:val="auto"/>
          <w:sz w:val="21"/>
          <w:szCs w:val="21"/>
        </w:rPr>
        <w:t>5.1 A类：食品材料按招标人要求定期提供有效检验合格报告；B类、C类食品要提交所有相关检验、检测证明报告。</w:t>
      </w:r>
    </w:p>
    <w:p>
      <w:pPr>
        <w:snapToGrid w:val="0"/>
        <w:spacing w:line="360" w:lineRule="auto"/>
        <w:ind w:firstLine="420" w:firstLineChars="200"/>
        <w:contextualSpacing/>
        <w:rPr>
          <w:rFonts w:hAnsi="宋体" w:cs="宋体"/>
          <w:color w:val="auto"/>
          <w:sz w:val="21"/>
          <w:szCs w:val="21"/>
        </w:rPr>
      </w:pPr>
      <w:r>
        <w:rPr>
          <w:rFonts w:hint="eastAsia" w:hAnsi="宋体" w:cs="宋体"/>
          <w:color w:val="auto"/>
          <w:sz w:val="21"/>
          <w:szCs w:val="21"/>
        </w:rPr>
        <w:t>5.2 凡国家有明文规定的必须提供产品检验报告交食堂存档，符合国家朔源制度规定。</w:t>
      </w:r>
    </w:p>
    <w:p>
      <w:pPr>
        <w:snapToGrid w:val="0"/>
        <w:spacing w:line="360" w:lineRule="auto"/>
        <w:ind w:firstLine="420" w:firstLineChars="200"/>
        <w:contextualSpacing/>
        <w:rPr>
          <w:rFonts w:hAnsi="宋体" w:cs="宋体"/>
          <w:color w:val="auto"/>
          <w:sz w:val="21"/>
          <w:szCs w:val="21"/>
        </w:rPr>
      </w:pPr>
      <w:r>
        <w:rPr>
          <w:rFonts w:hint="eastAsia" w:hAnsi="宋体" w:cs="宋体"/>
          <w:color w:val="auto"/>
          <w:sz w:val="21"/>
          <w:szCs w:val="21"/>
        </w:rPr>
        <w:t>6.中标人每次送货应有相应的送货清单（盖有中标人的有效公章），且必须时提供合法的进货单据。</w:t>
      </w:r>
    </w:p>
    <w:p>
      <w:pPr>
        <w:snapToGrid w:val="0"/>
        <w:spacing w:line="360" w:lineRule="auto"/>
        <w:ind w:firstLine="420" w:firstLineChars="200"/>
        <w:contextualSpacing/>
        <w:rPr>
          <w:rFonts w:hAnsi="宋体" w:cs="宋体"/>
          <w:color w:val="auto"/>
          <w:sz w:val="21"/>
          <w:szCs w:val="21"/>
        </w:rPr>
      </w:pPr>
      <w:r>
        <w:rPr>
          <w:rFonts w:hint="eastAsia" w:hAnsi="宋体" w:cs="宋体"/>
          <w:color w:val="auto"/>
          <w:sz w:val="21"/>
          <w:szCs w:val="21"/>
        </w:rPr>
        <w:t>7.中标人提供的货品导致招标人有任何食物安全事件出现，由中标人承担全部责任及赔偿招标人一切损失，招标人保留法律追究权利。</w:t>
      </w:r>
    </w:p>
    <w:p>
      <w:pPr>
        <w:snapToGrid w:val="0"/>
        <w:spacing w:line="360" w:lineRule="auto"/>
        <w:ind w:firstLine="420" w:firstLineChars="200"/>
        <w:contextualSpacing/>
        <w:rPr>
          <w:rFonts w:hAnsi="宋体" w:cs="宋体"/>
          <w:color w:val="auto"/>
          <w:sz w:val="21"/>
          <w:szCs w:val="21"/>
        </w:rPr>
      </w:pPr>
      <w:r>
        <w:rPr>
          <w:rFonts w:hint="eastAsia" w:hAnsi="宋体" w:cs="宋体"/>
          <w:color w:val="auto"/>
          <w:sz w:val="21"/>
          <w:szCs w:val="21"/>
        </w:rPr>
        <w:t>8.中标人应按照招标人指定时间内对下月供货价格进行签字确认。</w:t>
      </w:r>
    </w:p>
    <w:p>
      <w:pPr>
        <w:snapToGrid w:val="0"/>
        <w:spacing w:line="360" w:lineRule="auto"/>
        <w:ind w:firstLine="420" w:firstLineChars="200"/>
        <w:contextualSpacing/>
        <w:rPr>
          <w:rFonts w:hAnsi="宋体" w:cs="宋体"/>
          <w:color w:val="auto"/>
          <w:sz w:val="21"/>
          <w:szCs w:val="21"/>
        </w:rPr>
      </w:pPr>
      <w:r>
        <w:rPr>
          <w:rFonts w:hint="eastAsia" w:hAnsi="宋体" w:cs="宋体"/>
          <w:color w:val="auto"/>
          <w:sz w:val="21"/>
          <w:szCs w:val="21"/>
        </w:rPr>
        <w:t>9.中标人的供货价应包含货品交给招标人之前的一切费用，包括运输费、储存费等，并承担送货途中的一切风险。</w:t>
      </w:r>
    </w:p>
    <w:p>
      <w:pPr>
        <w:snapToGrid w:val="0"/>
        <w:spacing w:line="360" w:lineRule="auto"/>
        <w:ind w:firstLine="420" w:firstLineChars="200"/>
        <w:contextualSpacing/>
        <w:rPr>
          <w:rFonts w:hAnsi="宋体" w:cs="宋体"/>
          <w:color w:val="auto"/>
          <w:sz w:val="21"/>
          <w:szCs w:val="21"/>
        </w:rPr>
      </w:pPr>
      <w:r>
        <w:rPr>
          <w:rFonts w:hint="eastAsia" w:hAnsi="宋体" w:cs="宋体"/>
          <w:color w:val="auto"/>
          <w:sz w:val="21"/>
          <w:szCs w:val="21"/>
        </w:rPr>
        <w:t>10.未列入物资明细表内又需要购买的货品，其单价由双方以本用户需求书规定的定价原则确定供货价格。</w:t>
      </w:r>
    </w:p>
    <w:p>
      <w:pPr>
        <w:snapToGrid w:val="0"/>
        <w:spacing w:line="360" w:lineRule="auto"/>
        <w:ind w:firstLine="420" w:firstLineChars="200"/>
        <w:contextualSpacing/>
        <w:rPr>
          <w:rFonts w:hAnsi="宋体" w:cs="宋体"/>
          <w:color w:val="auto"/>
          <w:sz w:val="21"/>
          <w:szCs w:val="21"/>
        </w:rPr>
      </w:pPr>
      <w:r>
        <w:rPr>
          <w:rFonts w:hint="eastAsia" w:hAnsi="宋体" w:cs="宋体"/>
          <w:color w:val="auto"/>
          <w:sz w:val="21"/>
          <w:szCs w:val="21"/>
        </w:rPr>
        <w:t>11.中标人进入招标人范围内必须遵守招标人有关规定，不得影响招标人的正常工作，由于中标人的过失造成招标人直接经济损失则要负全部责任及赔偿招标人一切损失。</w:t>
      </w:r>
    </w:p>
    <w:p>
      <w:pPr>
        <w:snapToGrid w:val="0"/>
        <w:spacing w:line="360" w:lineRule="auto"/>
        <w:ind w:firstLine="420" w:firstLineChars="200"/>
        <w:contextualSpacing/>
        <w:rPr>
          <w:rFonts w:hAnsi="宋体" w:cs="宋体"/>
          <w:color w:val="auto"/>
          <w:sz w:val="21"/>
          <w:szCs w:val="21"/>
        </w:rPr>
      </w:pPr>
      <w:r>
        <w:rPr>
          <w:rFonts w:hint="eastAsia" w:hAnsi="宋体" w:cs="宋体"/>
          <w:color w:val="auto"/>
          <w:sz w:val="21"/>
          <w:szCs w:val="21"/>
        </w:rPr>
        <w:t>12.中标人须提供以往交易记录。</w:t>
      </w:r>
    </w:p>
    <w:p>
      <w:pPr>
        <w:snapToGrid w:val="0"/>
        <w:spacing w:line="360" w:lineRule="auto"/>
        <w:ind w:firstLine="420" w:firstLineChars="200"/>
        <w:contextualSpacing/>
        <w:rPr>
          <w:rFonts w:hAnsi="宋体" w:cs="宋体"/>
          <w:color w:val="auto"/>
          <w:sz w:val="21"/>
          <w:szCs w:val="21"/>
        </w:rPr>
      </w:pPr>
      <w:r>
        <w:rPr>
          <w:rFonts w:hint="eastAsia" w:hAnsi="宋体" w:cs="宋体"/>
          <w:color w:val="auto"/>
          <w:sz w:val="21"/>
          <w:szCs w:val="21"/>
        </w:rPr>
        <w:t>13.中标人须有固定分割肉加工场所，具备空调作业环境，配套设备设施齐全，有相应加工作业流程及相关管理制度。</w:t>
      </w:r>
    </w:p>
    <w:p>
      <w:pPr>
        <w:snapToGrid w:val="0"/>
        <w:spacing w:line="360" w:lineRule="auto"/>
        <w:ind w:firstLine="420" w:firstLineChars="200"/>
        <w:contextualSpacing/>
        <w:rPr>
          <w:rFonts w:hAnsi="宋体" w:cs="宋体"/>
          <w:b/>
          <w:bCs/>
          <w:color w:val="auto"/>
          <w:sz w:val="21"/>
          <w:szCs w:val="21"/>
        </w:rPr>
      </w:pPr>
      <w:r>
        <w:rPr>
          <w:rFonts w:hint="eastAsia" w:hAnsi="宋体" w:cs="宋体"/>
          <w:color w:val="auto"/>
          <w:sz w:val="21"/>
          <w:szCs w:val="21"/>
        </w:rPr>
        <w:t>★</w:t>
      </w:r>
      <w:r>
        <w:rPr>
          <w:rFonts w:hint="eastAsia" w:hAnsi="宋体" w:cs="宋体"/>
          <w:b/>
          <w:bCs/>
          <w:color w:val="auto"/>
          <w:sz w:val="21"/>
          <w:szCs w:val="21"/>
        </w:rPr>
        <w:t>14.中标人须为招标人</w:t>
      </w:r>
      <w:r>
        <w:rPr>
          <w:rFonts w:hint="eastAsia" w:hAnsi="宋体" w:cs="宋体"/>
          <w:b/>
          <w:bCs/>
          <w:color w:val="auto"/>
          <w:sz w:val="21"/>
          <w:szCs w:val="21"/>
          <w:lang w:val="en-US" w:eastAsia="zh-CN"/>
        </w:rPr>
        <w:t>及其子公司</w:t>
      </w:r>
      <w:r>
        <w:rPr>
          <w:rFonts w:hint="eastAsia" w:hAnsi="宋体" w:cs="宋体"/>
          <w:b/>
          <w:bCs/>
          <w:color w:val="auto"/>
          <w:sz w:val="21"/>
          <w:szCs w:val="21"/>
        </w:rPr>
        <w:t>（东莞市水务集团管网有限公司、东莞市东信水环境投资有限公司、东莞市东泽水环境投资有限公司、东莞市清泽水环境投资有限公司、东莞市莞泽水环境投资有限公司、东莞市莞清水环境投资有限公司、东莞市东江水环境投资有限公司）提供一份招标人</w:t>
      </w:r>
      <w:r>
        <w:rPr>
          <w:rFonts w:hint="eastAsia" w:hAnsi="宋体" w:cs="宋体"/>
          <w:b/>
          <w:bCs/>
          <w:color w:val="auto"/>
          <w:sz w:val="21"/>
          <w:szCs w:val="21"/>
          <w:lang w:val="en-US" w:eastAsia="zh-CN"/>
        </w:rPr>
        <w:t>及其子公司</w:t>
      </w:r>
      <w:r>
        <w:rPr>
          <w:rFonts w:hint="eastAsia" w:hAnsi="宋体" w:cs="宋体"/>
          <w:b/>
          <w:bCs/>
          <w:color w:val="auto"/>
          <w:sz w:val="21"/>
          <w:szCs w:val="21"/>
        </w:rPr>
        <w:t>为受益人、额度为￥</w:t>
      </w:r>
      <w:r>
        <w:rPr>
          <w:rFonts w:hint="eastAsia" w:hAnsi="宋体" w:cs="宋体"/>
          <w:b/>
          <w:bCs/>
          <w:color w:val="auto"/>
          <w:sz w:val="21"/>
          <w:szCs w:val="21"/>
          <w:lang w:val="en-US" w:eastAsia="zh-CN"/>
        </w:rPr>
        <w:t>10</w:t>
      </w:r>
      <w:r>
        <w:rPr>
          <w:rFonts w:hint="eastAsia" w:hAnsi="宋体" w:cs="宋体"/>
          <w:b/>
          <w:bCs/>
          <w:color w:val="auto"/>
          <w:sz w:val="21"/>
          <w:szCs w:val="21"/>
        </w:rPr>
        <w:t>00.00</w:t>
      </w:r>
      <w:r>
        <w:rPr>
          <w:rFonts w:hint="eastAsia" w:hAnsi="宋体" w:cs="宋体"/>
          <w:b/>
          <w:bCs/>
          <w:color w:val="auto"/>
          <w:sz w:val="21"/>
          <w:szCs w:val="21"/>
        </w:rPr>
        <w:t>万元的保险（食品安全责任险），保险承保期限不短于配送时间。</w:t>
      </w:r>
    </w:p>
    <w:p>
      <w:pPr>
        <w:snapToGrid w:val="0"/>
        <w:spacing w:line="360" w:lineRule="auto"/>
        <w:ind w:firstLine="211" w:firstLineChars="100"/>
        <w:contextualSpacing/>
        <w:rPr>
          <w:rFonts w:hAnsi="宋体" w:cs="宋体"/>
          <w:b/>
          <w:color w:val="auto"/>
          <w:sz w:val="21"/>
          <w:szCs w:val="21"/>
        </w:rPr>
      </w:pPr>
      <w:r>
        <w:rPr>
          <w:rFonts w:hint="eastAsia" w:hAnsi="宋体" w:cs="宋体"/>
          <w:b/>
          <w:color w:val="auto"/>
          <w:sz w:val="21"/>
          <w:szCs w:val="21"/>
        </w:rPr>
        <w:t>（六）验收标准</w:t>
      </w:r>
    </w:p>
    <w:p>
      <w:pPr>
        <w:snapToGrid w:val="0"/>
        <w:spacing w:line="360" w:lineRule="auto"/>
        <w:ind w:firstLine="422" w:firstLineChars="200"/>
        <w:contextualSpacing/>
        <w:rPr>
          <w:rFonts w:hAnsi="宋体" w:cs="宋体"/>
          <w:color w:val="auto"/>
          <w:sz w:val="21"/>
          <w:szCs w:val="21"/>
        </w:rPr>
      </w:pPr>
      <w:r>
        <w:rPr>
          <w:rFonts w:hint="eastAsia" w:hAnsi="宋体" w:cs="宋体"/>
          <w:b/>
          <w:bCs/>
          <w:color w:val="auto"/>
          <w:sz w:val="21"/>
          <w:szCs w:val="21"/>
        </w:rPr>
        <w:t>A类（粮油干货类）</w:t>
      </w:r>
    </w:p>
    <w:p>
      <w:pPr>
        <w:snapToGrid w:val="0"/>
        <w:spacing w:line="360" w:lineRule="auto"/>
        <w:ind w:firstLine="420" w:firstLineChars="200"/>
        <w:contextualSpacing/>
        <w:rPr>
          <w:rFonts w:hAnsi="宋体" w:cs="宋体"/>
          <w:color w:val="auto"/>
          <w:sz w:val="21"/>
          <w:szCs w:val="21"/>
        </w:rPr>
      </w:pPr>
      <w:r>
        <w:rPr>
          <w:rFonts w:hint="eastAsia" w:hAnsi="宋体" w:cs="宋体"/>
          <w:color w:val="auto"/>
          <w:sz w:val="21"/>
          <w:szCs w:val="21"/>
        </w:rPr>
        <w:t>1.粮食大米类</w:t>
      </w:r>
    </w:p>
    <w:p>
      <w:pPr>
        <w:snapToGrid w:val="0"/>
        <w:spacing w:line="360" w:lineRule="auto"/>
        <w:ind w:firstLine="420" w:firstLineChars="200"/>
        <w:contextualSpacing/>
        <w:rPr>
          <w:rFonts w:hAnsi="宋体" w:cs="宋体"/>
          <w:color w:val="auto"/>
          <w:sz w:val="21"/>
          <w:szCs w:val="21"/>
        </w:rPr>
      </w:pPr>
      <w:r>
        <w:rPr>
          <w:rFonts w:hint="eastAsia" w:hAnsi="宋体" w:cs="宋体"/>
          <w:color w:val="auto"/>
          <w:sz w:val="21"/>
          <w:szCs w:val="21"/>
        </w:rPr>
        <w:t>1.1 由正规厂家出厂、颜色品质纯正，米粒形均匀、整齐、重量大没有碎米和爆腰。</w:t>
      </w:r>
    </w:p>
    <w:p>
      <w:pPr>
        <w:snapToGrid w:val="0"/>
        <w:spacing w:line="360" w:lineRule="auto"/>
        <w:ind w:firstLine="420" w:firstLineChars="200"/>
        <w:contextualSpacing/>
        <w:rPr>
          <w:rFonts w:hAnsi="宋体" w:cs="宋体"/>
          <w:color w:val="auto"/>
          <w:sz w:val="21"/>
          <w:szCs w:val="21"/>
        </w:rPr>
      </w:pPr>
      <w:r>
        <w:rPr>
          <w:rFonts w:hint="eastAsia" w:hAnsi="宋体" w:cs="宋体"/>
          <w:color w:val="auto"/>
          <w:sz w:val="21"/>
          <w:szCs w:val="21"/>
        </w:rPr>
        <w:t>1.2 有清香味和光泽，无米糠和其它杂质、无虫害、无异味、无霉味，用手摸时滑爽、干燥。</w:t>
      </w:r>
    </w:p>
    <w:p>
      <w:pPr>
        <w:snapToGrid w:val="0"/>
        <w:spacing w:line="360" w:lineRule="auto"/>
        <w:ind w:firstLine="420" w:firstLineChars="200"/>
        <w:contextualSpacing/>
        <w:rPr>
          <w:rFonts w:hAnsi="宋体" w:cs="宋体"/>
          <w:color w:val="auto"/>
          <w:sz w:val="21"/>
          <w:szCs w:val="21"/>
        </w:rPr>
      </w:pPr>
      <w:r>
        <w:rPr>
          <w:rFonts w:hint="eastAsia" w:hAnsi="宋体" w:cs="宋体"/>
          <w:color w:val="auto"/>
          <w:sz w:val="21"/>
          <w:szCs w:val="21"/>
        </w:rPr>
        <w:t>1.3 符合食品卫生标准，无毒、无污染。</w:t>
      </w:r>
    </w:p>
    <w:p>
      <w:pPr>
        <w:snapToGrid w:val="0"/>
        <w:spacing w:line="360" w:lineRule="auto"/>
        <w:ind w:firstLine="420" w:firstLineChars="200"/>
        <w:contextualSpacing/>
        <w:rPr>
          <w:rFonts w:hAnsi="宋体" w:cs="宋体"/>
          <w:color w:val="auto"/>
          <w:sz w:val="21"/>
          <w:szCs w:val="21"/>
        </w:rPr>
      </w:pPr>
      <w:r>
        <w:rPr>
          <w:rFonts w:hint="eastAsia" w:hAnsi="宋体" w:cs="宋体"/>
          <w:color w:val="auto"/>
          <w:sz w:val="21"/>
          <w:szCs w:val="21"/>
        </w:rPr>
        <w:t>2.食用油类</w:t>
      </w:r>
    </w:p>
    <w:p>
      <w:pPr>
        <w:snapToGrid w:val="0"/>
        <w:spacing w:line="360" w:lineRule="auto"/>
        <w:ind w:firstLine="420" w:firstLineChars="200"/>
        <w:contextualSpacing/>
        <w:rPr>
          <w:rFonts w:hAnsi="宋体" w:cs="宋体"/>
          <w:color w:val="auto"/>
          <w:sz w:val="21"/>
          <w:szCs w:val="21"/>
        </w:rPr>
      </w:pPr>
      <w:r>
        <w:rPr>
          <w:rFonts w:hint="eastAsia" w:hAnsi="宋体" w:cs="宋体"/>
          <w:color w:val="auto"/>
          <w:sz w:val="21"/>
          <w:szCs w:val="21"/>
        </w:rPr>
        <w:t>2.1 由知名正规厂家生产的植物油，非转基因类。</w:t>
      </w:r>
    </w:p>
    <w:p>
      <w:pPr>
        <w:snapToGrid w:val="0"/>
        <w:spacing w:line="360" w:lineRule="auto"/>
        <w:ind w:firstLine="420" w:firstLineChars="200"/>
        <w:contextualSpacing/>
        <w:rPr>
          <w:rFonts w:hAnsi="宋体" w:cs="宋体"/>
          <w:color w:val="auto"/>
          <w:sz w:val="21"/>
          <w:szCs w:val="21"/>
        </w:rPr>
      </w:pPr>
      <w:r>
        <w:rPr>
          <w:rFonts w:hint="eastAsia" w:hAnsi="宋体" w:cs="宋体"/>
          <w:color w:val="auto"/>
          <w:sz w:val="21"/>
          <w:szCs w:val="21"/>
        </w:rPr>
        <w:t>2.2 色泽纯正，透明度好。</w:t>
      </w:r>
    </w:p>
    <w:p>
      <w:pPr>
        <w:snapToGrid w:val="0"/>
        <w:spacing w:line="360" w:lineRule="auto"/>
        <w:ind w:firstLine="420" w:firstLineChars="200"/>
        <w:contextualSpacing/>
        <w:rPr>
          <w:rFonts w:hAnsi="宋体" w:cs="宋体"/>
          <w:color w:val="auto"/>
          <w:sz w:val="21"/>
          <w:szCs w:val="21"/>
        </w:rPr>
      </w:pPr>
      <w:r>
        <w:rPr>
          <w:rFonts w:hint="eastAsia" w:hAnsi="宋体" w:cs="宋体"/>
          <w:color w:val="auto"/>
          <w:sz w:val="21"/>
          <w:szCs w:val="21"/>
        </w:rPr>
        <w:t>3.调味品类</w:t>
      </w:r>
    </w:p>
    <w:p>
      <w:pPr>
        <w:snapToGrid w:val="0"/>
        <w:spacing w:line="360" w:lineRule="auto"/>
        <w:ind w:firstLine="420" w:firstLineChars="200"/>
        <w:contextualSpacing/>
        <w:rPr>
          <w:rFonts w:hAnsi="宋体" w:cs="宋体"/>
          <w:color w:val="auto"/>
          <w:sz w:val="21"/>
          <w:szCs w:val="21"/>
        </w:rPr>
      </w:pPr>
      <w:r>
        <w:rPr>
          <w:rFonts w:hint="eastAsia" w:hAnsi="宋体" w:cs="宋体"/>
          <w:color w:val="auto"/>
          <w:sz w:val="21"/>
          <w:szCs w:val="21"/>
        </w:rPr>
        <w:t>3.1 由正规厂家生产、颜色品质纯正、无异味、无杂质。</w:t>
      </w:r>
    </w:p>
    <w:p>
      <w:pPr>
        <w:snapToGrid w:val="0"/>
        <w:spacing w:line="360" w:lineRule="auto"/>
        <w:ind w:firstLine="420" w:firstLineChars="200"/>
        <w:contextualSpacing/>
        <w:rPr>
          <w:rFonts w:hAnsi="宋体" w:cs="宋体"/>
          <w:color w:val="auto"/>
          <w:sz w:val="21"/>
          <w:szCs w:val="21"/>
        </w:rPr>
      </w:pPr>
      <w:r>
        <w:rPr>
          <w:rFonts w:hint="eastAsia" w:hAnsi="宋体" w:cs="宋体"/>
          <w:color w:val="auto"/>
          <w:sz w:val="21"/>
          <w:szCs w:val="21"/>
        </w:rPr>
        <w:t>4.干货、杂货、副食品类</w:t>
      </w:r>
    </w:p>
    <w:p>
      <w:pPr>
        <w:snapToGrid w:val="0"/>
        <w:spacing w:line="360" w:lineRule="auto"/>
        <w:ind w:firstLine="420" w:firstLineChars="200"/>
        <w:contextualSpacing/>
        <w:rPr>
          <w:rFonts w:hAnsi="宋体" w:cs="宋体"/>
          <w:color w:val="auto"/>
          <w:sz w:val="21"/>
          <w:szCs w:val="21"/>
        </w:rPr>
      </w:pPr>
      <w:r>
        <w:rPr>
          <w:rFonts w:hint="eastAsia" w:hAnsi="宋体" w:cs="宋体"/>
          <w:color w:val="auto"/>
          <w:sz w:val="21"/>
          <w:szCs w:val="21"/>
        </w:rPr>
        <w:t>4.1 必须选用符合国家食品卫生法规相关标准的商品，选用无毒、无害、无污染、可溯源的食品。掺假、掺杂食品坚决不能使用。</w:t>
      </w:r>
    </w:p>
    <w:p>
      <w:pPr>
        <w:snapToGrid w:val="0"/>
        <w:spacing w:line="360" w:lineRule="auto"/>
        <w:ind w:firstLine="420" w:firstLineChars="200"/>
        <w:contextualSpacing/>
        <w:rPr>
          <w:rFonts w:hAnsi="宋体" w:cs="宋体"/>
          <w:color w:val="auto"/>
          <w:sz w:val="21"/>
          <w:szCs w:val="21"/>
        </w:rPr>
      </w:pPr>
      <w:r>
        <w:rPr>
          <w:rFonts w:hint="eastAsia" w:hAnsi="宋体" w:cs="宋体"/>
          <w:color w:val="auto"/>
          <w:sz w:val="21"/>
          <w:szCs w:val="21"/>
        </w:rPr>
        <w:t>4.2 副食品等级标准要相符，其包装盒或标签上须注明食品名称、生产厂家、厂址、生产日期、食品的主要原料成份和食品保质期等信息，注明不详或没有注明的商品不予验收。</w:t>
      </w:r>
    </w:p>
    <w:p>
      <w:pPr>
        <w:snapToGrid w:val="0"/>
        <w:spacing w:line="360" w:lineRule="auto"/>
        <w:ind w:firstLine="420" w:firstLineChars="200"/>
        <w:contextualSpacing/>
        <w:rPr>
          <w:rFonts w:hAnsi="宋体" w:cs="宋体"/>
          <w:color w:val="auto"/>
          <w:sz w:val="21"/>
          <w:szCs w:val="21"/>
        </w:rPr>
      </w:pPr>
      <w:r>
        <w:rPr>
          <w:rFonts w:hint="eastAsia" w:hAnsi="宋体" w:cs="宋体"/>
          <w:color w:val="auto"/>
          <w:sz w:val="21"/>
          <w:szCs w:val="21"/>
        </w:rPr>
        <w:t>4.3 副食品表面外观新鲜、完整，无霉变异味，无砂粒杂质，无虫尸鼠粪等不洁卫生问题。</w:t>
      </w:r>
    </w:p>
    <w:p>
      <w:pPr>
        <w:snapToGrid w:val="0"/>
        <w:spacing w:line="360" w:lineRule="auto"/>
        <w:ind w:firstLine="420" w:firstLineChars="200"/>
        <w:contextualSpacing/>
        <w:rPr>
          <w:rFonts w:hAnsi="宋体" w:cs="宋体"/>
          <w:color w:val="auto"/>
          <w:sz w:val="21"/>
          <w:szCs w:val="21"/>
        </w:rPr>
      </w:pPr>
      <w:r>
        <w:rPr>
          <w:rFonts w:hint="eastAsia" w:hAnsi="宋体" w:cs="宋体"/>
          <w:color w:val="auto"/>
          <w:sz w:val="21"/>
          <w:szCs w:val="21"/>
        </w:rPr>
        <w:t>5.米粉面粉类</w:t>
      </w:r>
    </w:p>
    <w:p>
      <w:pPr>
        <w:snapToGrid w:val="0"/>
        <w:spacing w:line="360" w:lineRule="auto"/>
        <w:ind w:firstLine="420" w:firstLineChars="200"/>
        <w:contextualSpacing/>
        <w:rPr>
          <w:rFonts w:hAnsi="宋体" w:cs="宋体"/>
          <w:color w:val="auto"/>
          <w:sz w:val="21"/>
          <w:szCs w:val="21"/>
        </w:rPr>
      </w:pPr>
      <w:r>
        <w:rPr>
          <w:rFonts w:hint="eastAsia" w:hAnsi="宋体" w:cs="宋体"/>
          <w:color w:val="auto"/>
          <w:sz w:val="21"/>
          <w:szCs w:val="21"/>
        </w:rPr>
        <w:t>5.1 米粉面粉类及其制品颜色品质要纯正，不掺假、掺杂。</w:t>
      </w:r>
    </w:p>
    <w:p>
      <w:pPr>
        <w:snapToGrid w:val="0"/>
        <w:spacing w:line="360" w:lineRule="auto"/>
        <w:ind w:firstLine="420" w:firstLineChars="200"/>
        <w:contextualSpacing/>
        <w:rPr>
          <w:rFonts w:hAnsi="宋体" w:cs="宋体"/>
          <w:color w:val="auto"/>
          <w:sz w:val="21"/>
          <w:szCs w:val="21"/>
        </w:rPr>
      </w:pPr>
      <w:r>
        <w:rPr>
          <w:rFonts w:hint="eastAsia" w:hAnsi="宋体" w:cs="宋体"/>
          <w:color w:val="auto"/>
          <w:sz w:val="21"/>
          <w:szCs w:val="21"/>
        </w:rPr>
        <w:t>5.2 符合食品卫生标准，粉质细腻干爽无异物、无毒、无污染。</w:t>
      </w:r>
    </w:p>
    <w:p>
      <w:pPr>
        <w:snapToGrid w:val="0"/>
        <w:spacing w:line="360" w:lineRule="auto"/>
        <w:ind w:firstLine="420" w:firstLineChars="200"/>
        <w:contextualSpacing/>
        <w:rPr>
          <w:rFonts w:hAnsi="宋体" w:cs="宋体"/>
          <w:color w:val="auto"/>
          <w:sz w:val="21"/>
          <w:szCs w:val="21"/>
        </w:rPr>
      </w:pPr>
      <w:r>
        <w:rPr>
          <w:rFonts w:hint="eastAsia" w:hAnsi="宋体" w:cs="宋体"/>
          <w:color w:val="auto"/>
          <w:sz w:val="21"/>
          <w:szCs w:val="21"/>
        </w:rPr>
        <w:t>5.3 制成品不能出现异味、霉变结块、虫尸鼠粪等不洁的卫生问题。</w:t>
      </w:r>
    </w:p>
    <w:p>
      <w:pPr>
        <w:snapToGrid w:val="0"/>
        <w:spacing w:line="360" w:lineRule="auto"/>
        <w:ind w:firstLine="420" w:firstLineChars="200"/>
        <w:contextualSpacing/>
        <w:rPr>
          <w:rFonts w:hAnsi="宋体" w:cs="宋体"/>
          <w:bCs/>
          <w:color w:val="auto"/>
          <w:sz w:val="21"/>
          <w:szCs w:val="21"/>
        </w:rPr>
      </w:pPr>
      <w:r>
        <w:rPr>
          <w:rFonts w:hint="eastAsia" w:hAnsi="宋体" w:cs="宋体"/>
          <w:bCs/>
          <w:color w:val="auto"/>
          <w:sz w:val="21"/>
          <w:szCs w:val="21"/>
        </w:rPr>
        <w:t>上述货品必须符合国家食品卫生法规相关标准，符合招标人使用要求，货品必须保证有三分之二以上保质期（如货品有保质期），并每月提供国家法定检测机构的检验报告。</w:t>
      </w:r>
    </w:p>
    <w:p>
      <w:pPr>
        <w:snapToGrid w:val="0"/>
        <w:spacing w:line="360" w:lineRule="auto"/>
        <w:ind w:firstLine="422" w:firstLineChars="200"/>
        <w:contextualSpacing/>
        <w:rPr>
          <w:rFonts w:hAnsi="宋体" w:cs="宋体"/>
          <w:b/>
          <w:bCs/>
          <w:color w:val="auto"/>
          <w:sz w:val="21"/>
          <w:szCs w:val="21"/>
        </w:rPr>
      </w:pPr>
      <w:r>
        <w:rPr>
          <w:rFonts w:hint="eastAsia" w:hAnsi="宋体" w:cs="宋体"/>
          <w:b/>
          <w:bCs/>
          <w:color w:val="auto"/>
          <w:sz w:val="21"/>
          <w:szCs w:val="21"/>
        </w:rPr>
        <w:t>B类（肉类）</w:t>
      </w:r>
    </w:p>
    <w:p>
      <w:pPr>
        <w:snapToGrid w:val="0"/>
        <w:spacing w:line="360" w:lineRule="auto"/>
        <w:ind w:firstLine="420" w:firstLineChars="200"/>
        <w:contextualSpacing/>
        <w:rPr>
          <w:rFonts w:hAnsi="宋体" w:cs="宋体"/>
          <w:color w:val="auto"/>
          <w:sz w:val="21"/>
          <w:szCs w:val="21"/>
        </w:rPr>
      </w:pPr>
      <w:r>
        <w:rPr>
          <w:rFonts w:hint="eastAsia" w:hAnsi="宋体" w:cs="宋体"/>
          <w:color w:val="auto"/>
          <w:sz w:val="21"/>
          <w:szCs w:val="21"/>
        </w:rPr>
        <w:t>1.猪肉类</w:t>
      </w:r>
    </w:p>
    <w:p>
      <w:pPr>
        <w:snapToGrid w:val="0"/>
        <w:spacing w:line="360" w:lineRule="auto"/>
        <w:ind w:firstLine="420" w:firstLineChars="200"/>
        <w:contextualSpacing/>
        <w:rPr>
          <w:rFonts w:hAnsi="宋体" w:cs="宋体"/>
          <w:color w:val="auto"/>
          <w:sz w:val="21"/>
          <w:szCs w:val="21"/>
        </w:rPr>
      </w:pPr>
      <w:r>
        <w:rPr>
          <w:rFonts w:hint="eastAsia" w:hAnsi="宋体" w:cs="宋体"/>
          <w:color w:val="auto"/>
          <w:sz w:val="21"/>
          <w:szCs w:val="21"/>
        </w:rPr>
        <w:t>1.1 来源：经检疫和肉品品质检验合格的当日屠宰的新鲜肉，具有由地方政府定点屠宰厂（场）加盖验讫印章并出具《畜产品检验证明》和《动物检疫合格证明》，具有可追索性，肉体印有检疫章。</w:t>
      </w:r>
    </w:p>
    <w:p>
      <w:pPr>
        <w:snapToGrid w:val="0"/>
        <w:spacing w:line="360" w:lineRule="auto"/>
        <w:ind w:firstLine="420" w:firstLineChars="200"/>
        <w:contextualSpacing/>
        <w:rPr>
          <w:rFonts w:hAnsi="宋体" w:cs="宋体"/>
          <w:color w:val="auto"/>
          <w:sz w:val="21"/>
          <w:szCs w:val="21"/>
        </w:rPr>
      </w:pPr>
      <w:r>
        <w:rPr>
          <w:rFonts w:hint="eastAsia" w:hAnsi="宋体" w:cs="宋体"/>
          <w:color w:val="auto"/>
          <w:sz w:val="21"/>
          <w:szCs w:val="21"/>
        </w:rPr>
        <w:t>1.2 表皮干爽、肌体结实、肉质紧密、肉色淡红新鲜，肥肉洁白而细腻。</w:t>
      </w:r>
    </w:p>
    <w:p>
      <w:pPr>
        <w:snapToGrid w:val="0"/>
        <w:spacing w:line="360" w:lineRule="auto"/>
        <w:ind w:firstLine="420" w:firstLineChars="200"/>
        <w:contextualSpacing/>
        <w:rPr>
          <w:rFonts w:hAnsi="宋体" w:cs="宋体"/>
          <w:color w:val="auto"/>
          <w:sz w:val="21"/>
          <w:szCs w:val="21"/>
        </w:rPr>
      </w:pPr>
      <w:r>
        <w:rPr>
          <w:rFonts w:hint="eastAsia" w:hAnsi="宋体" w:cs="宋体"/>
          <w:color w:val="auto"/>
          <w:sz w:val="21"/>
          <w:szCs w:val="21"/>
        </w:rPr>
        <w:t>1.3 外观检测无异味、无寄生虫、无粘液、无渗出液体、指压反弹迅速、具有猪肉自然气味。</w:t>
      </w:r>
    </w:p>
    <w:p>
      <w:pPr>
        <w:snapToGrid w:val="0"/>
        <w:spacing w:line="360" w:lineRule="auto"/>
        <w:ind w:firstLine="420" w:firstLineChars="200"/>
        <w:contextualSpacing/>
        <w:rPr>
          <w:rFonts w:hAnsi="宋体" w:cs="宋体"/>
          <w:color w:val="auto"/>
          <w:sz w:val="21"/>
          <w:szCs w:val="21"/>
        </w:rPr>
      </w:pPr>
      <w:r>
        <w:rPr>
          <w:rFonts w:hint="eastAsia" w:hAnsi="宋体" w:cs="宋体"/>
          <w:color w:val="auto"/>
          <w:sz w:val="21"/>
          <w:szCs w:val="21"/>
        </w:rPr>
        <w:t>1.4 运输设备具备恒温保鲜（5度），存放容器保持清洁卫生，包装合理且材料无污染。</w:t>
      </w:r>
    </w:p>
    <w:p>
      <w:pPr>
        <w:snapToGrid w:val="0"/>
        <w:spacing w:line="360" w:lineRule="auto"/>
        <w:ind w:firstLine="420" w:firstLineChars="200"/>
        <w:contextualSpacing/>
        <w:rPr>
          <w:rFonts w:hAnsi="宋体" w:cs="宋体"/>
          <w:color w:val="auto"/>
          <w:sz w:val="21"/>
          <w:szCs w:val="21"/>
        </w:rPr>
      </w:pPr>
      <w:r>
        <w:rPr>
          <w:rFonts w:hint="eastAsia" w:hAnsi="宋体" w:cs="宋体"/>
          <w:color w:val="auto"/>
          <w:sz w:val="21"/>
          <w:szCs w:val="21"/>
        </w:rPr>
        <w:t>2.牛肉类</w:t>
      </w:r>
    </w:p>
    <w:p>
      <w:pPr>
        <w:snapToGrid w:val="0"/>
        <w:spacing w:line="360" w:lineRule="auto"/>
        <w:ind w:firstLine="420" w:firstLineChars="200"/>
        <w:contextualSpacing/>
        <w:rPr>
          <w:rFonts w:hAnsi="宋体" w:cs="宋体"/>
          <w:color w:val="auto"/>
          <w:sz w:val="21"/>
          <w:szCs w:val="21"/>
        </w:rPr>
      </w:pPr>
      <w:r>
        <w:rPr>
          <w:rFonts w:hint="eastAsia" w:hAnsi="宋体" w:cs="宋体"/>
          <w:color w:val="auto"/>
          <w:sz w:val="21"/>
          <w:szCs w:val="21"/>
        </w:rPr>
        <w:t>2.1 来源：经检疫和肉品品质检验合格的当日屠宰的新鲜肉，具有由地方政府定点屠宰厂（场）加盖验讫印章并出具《畜产品检验证明》和《动物检疫合格证明》，具有可追索性，外观检测新鲜肉质柔软有光泽、无腐臭变质异味、无寄生虫、无粘液、无渗出液体。</w:t>
      </w:r>
    </w:p>
    <w:p>
      <w:pPr>
        <w:snapToGrid w:val="0"/>
        <w:spacing w:line="360" w:lineRule="auto"/>
        <w:ind w:firstLine="420" w:firstLineChars="200"/>
        <w:contextualSpacing/>
        <w:rPr>
          <w:rFonts w:hAnsi="宋体" w:cs="宋体"/>
          <w:color w:val="auto"/>
          <w:sz w:val="21"/>
          <w:szCs w:val="21"/>
        </w:rPr>
      </w:pPr>
      <w:r>
        <w:rPr>
          <w:rFonts w:hint="eastAsia" w:hAnsi="宋体" w:cs="宋体"/>
          <w:color w:val="auto"/>
          <w:sz w:val="21"/>
          <w:szCs w:val="21"/>
        </w:rPr>
        <w:t>2.2 牛肉色泽棕红，脂肪呈淡黄色或深黄色，肉质坚硬，弹性足。</w:t>
      </w:r>
    </w:p>
    <w:p>
      <w:pPr>
        <w:snapToGrid w:val="0"/>
        <w:spacing w:line="360" w:lineRule="auto"/>
        <w:ind w:firstLine="420" w:firstLineChars="200"/>
        <w:contextualSpacing/>
        <w:rPr>
          <w:rFonts w:hAnsi="宋体" w:cs="宋体"/>
          <w:color w:val="auto"/>
          <w:sz w:val="21"/>
          <w:szCs w:val="21"/>
        </w:rPr>
      </w:pPr>
      <w:r>
        <w:rPr>
          <w:rFonts w:hint="eastAsia" w:hAnsi="宋体" w:cs="宋体"/>
          <w:color w:val="auto"/>
          <w:sz w:val="21"/>
          <w:szCs w:val="21"/>
        </w:rPr>
        <w:t>2.3运输设备具备恒温保鲜（5度），存放容器保持清洁卫生，包装合理且材料无污染。</w:t>
      </w:r>
    </w:p>
    <w:p>
      <w:pPr>
        <w:snapToGrid w:val="0"/>
        <w:spacing w:line="360" w:lineRule="auto"/>
        <w:ind w:firstLine="420" w:firstLineChars="200"/>
        <w:contextualSpacing/>
        <w:rPr>
          <w:rFonts w:hAnsi="宋体" w:cs="宋体"/>
          <w:color w:val="auto"/>
          <w:sz w:val="21"/>
          <w:szCs w:val="21"/>
        </w:rPr>
      </w:pPr>
      <w:r>
        <w:rPr>
          <w:rFonts w:hint="eastAsia" w:hAnsi="宋体" w:cs="宋体"/>
          <w:color w:val="auto"/>
          <w:sz w:val="21"/>
          <w:szCs w:val="21"/>
        </w:rPr>
        <w:t>3.羊肉类</w:t>
      </w:r>
    </w:p>
    <w:p>
      <w:pPr>
        <w:snapToGrid w:val="0"/>
        <w:spacing w:line="360" w:lineRule="auto"/>
        <w:ind w:firstLine="420" w:firstLineChars="200"/>
        <w:contextualSpacing/>
        <w:rPr>
          <w:rFonts w:hAnsi="宋体" w:cs="宋体"/>
          <w:color w:val="auto"/>
          <w:sz w:val="21"/>
          <w:szCs w:val="21"/>
        </w:rPr>
      </w:pPr>
      <w:r>
        <w:rPr>
          <w:rFonts w:hint="eastAsia" w:hAnsi="宋体" w:cs="宋体"/>
          <w:color w:val="auto"/>
          <w:sz w:val="21"/>
          <w:szCs w:val="21"/>
        </w:rPr>
        <w:t xml:space="preserve">3.1来源：经检疫和肉品品质检验合格的当日屠宰的新鲜肉，具有由地方政府定点屠宰 厂（场）加盖验讫印章并出具《畜产品检验证明》和《动物检疫合格证明》，具有可追索性。 </w:t>
      </w:r>
    </w:p>
    <w:p>
      <w:pPr>
        <w:snapToGrid w:val="0"/>
        <w:spacing w:line="360" w:lineRule="auto"/>
        <w:ind w:firstLine="420" w:firstLineChars="200"/>
        <w:contextualSpacing/>
        <w:rPr>
          <w:rFonts w:hAnsi="宋体" w:cs="宋体"/>
          <w:color w:val="auto"/>
          <w:sz w:val="21"/>
          <w:szCs w:val="21"/>
        </w:rPr>
      </w:pPr>
      <w:r>
        <w:rPr>
          <w:rFonts w:hint="eastAsia" w:hAnsi="宋体" w:cs="宋体"/>
          <w:color w:val="auto"/>
          <w:sz w:val="21"/>
          <w:szCs w:val="21"/>
        </w:rPr>
        <w:t>3.2羊肉色泽暗红，纤维细而软，肌间少脂肪。</w:t>
      </w:r>
    </w:p>
    <w:p>
      <w:pPr>
        <w:snapToGrid w:val="0"/>
        <w:spacing w:line="360" w:lineRule="auto"/>
        <w:ind w:firstLine="420" w:firstLineChars="200"/>
        <w:contextualSpacing/>
        <w:rPr>
          <w:rFonts w:hAnsi="宋体" w:cs="宋体"/>
          <w:color w:val="auto"/>
          <w:sz w:val="21"/>
          <w:szCs w:val="21"/>
        </w:rPr>
      </w:pPr>
      <w:r>
        <w:rPr>
          <w:rFonts w:hint="eastAsia" w:hAnsi="宋体" w:cs="宋体"/>
          <w:color w:val="auto"/>
          <w:sz w:val="21"/>
          <w:szCs w:val="21"/>
        </w:rPr>
        <w:t>3.3运输设备具备恒温保鲜（5度），存放容器保持清洁卫生，包装合理且材料无污染。</w:t>
      </w:r>
    </w:p>
    <w:p>
      <w:pPr>
        <w:snapToGrid w:val="0"/>
        <w:spacing w:line="360" w:lineRule="auto"/>
        <w:ind w:firstLine="420" w:firstLineChars="200"/>
        <w:contextualSpacing/>
        <w:rPr>
          <w:rFonts w:hAnsi="宋体" w:cs="宋体"/>
          <w:color w:val="auto"/>
          <w:sz w:val="21"/>
          <w:szCs w:val="21"/>
        </w:rPr>
      </w:pPr>
      <w:r>
        <w:rPr>
          <w:rFonts w:hint="eastAsia" w:hAnsi="宋体" w:cs="宋体"/>
          <w:color w:val="auto"/>
          <w:sz w:val="21"/>
          <w:szCs w:val="21"/>
        </w:rPr>
        <w:t>4.水产品类</w:t>
      </w:r>
    </w:p>
    <w:p>
      <w:pPr>
        <w:snapToGrid w:val="0"/>
        <w:spacing w:line="360" w:lineRule="auto"/>
        <w:ind w:firstLine="420" w:firstLineChars="200"/>
        <w:contextualSpacing/>
        <w:rPr>
          <w:rFonts w:hAnsi="宋体" w:cs="宋体"/>
          <w:color w:val="auto"/>
          <w:sz w:val="21"/>
          <w:szCs w:val="21"/>
        </w:rPr>
      </w:pPr>
      <w:r>
        <w:rPr>
          <w:rFonts w:hint="eastAsia" w:hAnsi="宋体" w:cs="宋体"/>
          <w:color w:val="auto"/>
          <w:sz w:val="21"/>
          <w:szCs w:val="21"/>
        </w:rPr>
        <w:t>4.1 必须鲜活。</w:t>
      </w:r>
    </w:p>
    <w:p>
      <w:pPr>
        <w:snapToGrid w:val="0"/>
        <w:spacing w:line="360" w:lineRule="auto"/>
        <w:ind w:firstLine="420" w:firstLineChars="200"/>
        <w:contextualSpacing/>
        <w:rPr>
          <w:rFonts w:hAnsi="宋体" w:cs="宋体"/>
          <w:color w:val="auto"/>
          <w:sz w:val="21"/>
          <w:szCs w:val="21"/>
        </w:rPr>
      </w:pPr>
      <w:r>
        <w:rPr>
          <w:rFonts w:hint="eastAsia" w:hAnsi="宋体" w:cs="宋体"/>
          <w:color w:val="auto"/>
          <w:sz w:val="21"/>
          <w:szCs w:val="21"/>
        </w:rPr>
        <w:t>4.2 鲜鱼鳞片完整，有光泽无脱落，鳃口紧闭，眼球光亮透明，鱼鳃鲜红，鳍尾完整，确保新鲜。</w:t>
      </w:r>
    </w:p>
    <w:p>
      <w:pPr>
        <w:snapToGrid w:val="0"/>
        <w:spacing w:line="360" w:lineRule="auto"/>
        <w:ind w:firstLine="420" w:firstLineChars="200"/>
        <w:contextualSpacing/>
        <w:rPr>
          <w:rFonts w:hAnsi="宋体" w:cs="宋体"/>
          <w:color w:val="auto"/>
          <w:sz w:val="21"/>
          <w:szCs w:val="21"/>
        </w:rPr>
      </w:pPr>
      <w:r>
        <w:rPr>
          <w:rFonts w:hint="eastAsia" w:hAnsi="宋体" w:cs="宋体"/>
          <w:color w:val="auto"/>
          <w:sz w:val="21"/>
          <w:szCs w:val="21"/>
        </w:rPr>
        <w:t>4.3 身体饱满结实，无腐烂异味，肉质紧密有弹性，无离骨脱刺现象。</w:t>
      </w:r>
    </w:p>
    <w:p>
      <w:pPr>
        <w:snapToGrid w:val="0"/>
        <w:spacing w:line="360" w:lineRule="auto"/>
        <w:ind w:firstLine="420" w:firstLineChars="200"/>
        <w:contextualSpacing/>
        <w:rPr>
          <w:rFonts w:hAnsi="宋体" w:cs="宋体"/>
          <w:color w:val="auto"/>
          <w:sz w:val="21"/>
          <w:szCs w:val="21"/>
        </w:rPr>
      </w:pPr>
      <w:r>
        <w:rPr>
          <w:rFonts w:hint="eastAsia" w:hAnsi="宋体" w:cs="宋体"/>
          <w:color w:val="auto"/>
          <w:sz w:val="21"/>
          <w:szCs w:val="21"/>
        </w:rPr>
        <w:t>4.4 来源可靠放心，无毒、无害、无污染。</w:t>
      </w:r>
    </w:p>
    <w:p>
      <w:pPr>
        <w:snapToGrid w:val="0"/>
        <w:spacing w:line="360" w:lineRule="auto"/>
        <w:ind w:firstLine="420" w:firstLineChars="200"/>
        <w:contextualSpacing/>
        <w:rPr>
          <w:rFonts w:hAnsi="宋体" w:cs="宋体"/>
          <w:color w:val="auto"/>
          <w:sz w:val="21"/>
          <w:szCs w:val="21"/>
        </w:rPr>
      </w:pPr>
      <w:r>
        <w:rPr>
          <w:rFonts w:hint="eastAsia" w:hAnsi="宋体" w:cs="宋体"/>
          <w:color w:val="auto"/>
          <w:sz w:val="21"/>
          <w:szCs w:val="21"/>
        </w:rPr>
        <w:t>5.三鸟类（已经屠杀完成）</w:t>
      </w:r>
    </w:p>
    <w:p>
      <w:pPr>
        <w:snapToGrid w:val="0"/>
        <w:spacing w:line="360" w:lineRule="auto"/>
        <w:ind w:firstLine="420" w:firstLineChars="200"/>
        <w:contextualSpacing/>
        <w:rPr>
          <w:rFonts w:hAnsi="宋体" w:cs="宋体"/>
          <w:color w:val="auto"/>
          <w:sz w:val="21"/>
          <w:szCs w:val="21"/>
        </w:rPr>
      </w:pPr>
      <w:r>
        <w:rPr>
          <w:rFonts w:hint="eastAsia" w:hAnsi="宋体" w:cs="宋体"/>
          <w:color w:val="auto"/>
          <w:sz w:val="21"/>
          <w:szCs w:val="21"/>
        </w:rPr>
        <w:t>①具有当天卫生监督部门发放的“动物检疫合格证明”。</w:t>
      </w:r>
    </w:p>
    <w:p>
      <w:pPr>
        <w:snapToGrid w:val="0"/>
        <w:spacing w:line="360" w:lineRule="auto"/>
        <w:ind w:firstLine="420" w:firstLineChars="200"/>
        <w:contextualSpacing/>
        <w:rPr>
          <w:rFonts w:hAnsi="宋体" w:cs="宋体"/>
          <w:color w:val="auto"/>
          <w:sz w:val="21"/>
          <w:szCs w:val="21"/>
        </w:rPr>
      </w:pPr>
      <w:r>
        <w:rPr>
          <w:rFonts w:hint="eastAsia" w:hAnsi="宋体" w:cs="宋体"/>
          <w:color w:val="auto"/>
          <w:sz w:val="21"/>
          <w:szCs w:val="21"/>
        </w:rPr>
        <w:t>②肉质新鲜柔软有光泽，质地紧密，脂肪呈白色或淡黄色，肉质细腻、无腐烂异味， 肉体结实，内脏清掏干净，肉质弹性足无明显渗出液体，总体无粘液。</w:t>
      </w:r>
    </w:p>
    <w:p>
      <w:pPr>
        <w:snapToGrid w:val="0"/>
        <w:spacing w:line="360" w:lineRule="auto"/>
        <w:ind w:firstLine="420" w:firstLineChars="200"/>
        <w:contextualSpacing/>
        <w:rPr>
          <w:rFonts w:hAnsi="宋体" w:cs="宋体"/>
          <w:color w:val="auto"/>
          <w:sz w:val="21"/>
          <w:szCs w:val="21"/>
        </w:rPr>
      </w:pPr>
      <w:r>
        <w:rPr>
          <w:rFonts w:hint="eastAsia" w:hAnsi="宋体" w:cs="宋体"/>
          <w:color w:val="auto"/>
          <w:sz w:val="21"/>
          <w:szCs w:val="21"/>
        </w:rPr>
        <w:t>③运输设备具备恒温保鲜（5度），存放容器保持清洁卫生，包装合理，来源可靠放心，无毒、无害、无污染。</w:t>
      </w:r>
    </w:p>
    <w:p>
      <w:pPr>
        <w:snapToGrid w:val="0"/>
        <w:spacing w:line="360" w:lineRule="auto"/>
        <w:ind w:firstLine="420" w:firstLineChars="200"/>
        <w:contextualSpacing/>
        <w:rPr>
          <w:rFonts w:hAnsi="宋体" w:cs="宋体"/>
          <w:color w:val="auto"/>
          <w:sz w:val="21"/>
          <w:szCs w:val="21"/>
        </w:rPr>
      </w:pPr>
      <w:r>
        <w:rPr>
          <w:rFonts w:hint="eastAsia" w:hAnsi="宋体" w:cs="宋体"/>
          <w:color w:val="auto"/>
          <w:sz w:val="21"/>
          <w:szCs w:val="21"/>
        </w:rPr>
        <w:t>6.零星冻品、加工副食品类</w:t>
      </w:r>
    </w:p>
    <w:p>
      <w:pPr>
        <w:snapToGrid w:val="0"/>
        <w:spacing w:line="360" w:lineRule="auto"/>
        <w:ind w:firstLine="420" w:firstLineChars="200"/>
        <w:contextualSpacing/>
        <w:rPr>
          <w:rFonts w:hAnsi="宋体" w:cs="宋体"/>
          <w:color w:val="auto"/>
          <w:sz w:val="21"/>
          <w:szCs w:val="21"/>
        </w:rPr>
      </w:pPr>
      <w:r>
        <w:rPr>
          <w:rFonts w:hint="eastAsia" w:hAnsi="宋体" w:cs="宋体"/>
          <w:color w:val="auto"/>
          <w:sz w:val="21"/>
          <w:szCs w:val="21"/>
        </w:rPr>
        <w:t>6.1 必须选用符合国家食品卫生法规相关标准的商品，选用无毒、无害、无污染、可朔源的副食品。掺假、掺杂副食品坚决不能使用。</w:t>
      </w:r>
    </w:p>
    <w:p>
      <w:pPr>
        <w:snapToGrid w:val="0"/>
        <w:spacing w:line="360" w:lineRule="auto"/>
        <w:ind w:firstLine="420" w:firstLineChars="200"/>
        <w:contextualSpacing/>
        <w:rPr>
          <w:rFonts w:hAnsi="宋体" w:cs="宋体"/>
          <w:color w:val="auto"/>
          <w:sz w:val="21"/>
          <w:szCs w:val="21"/>
        </w:rPr>
      </w:pPr>
      <w:r>
        <w:rPr>
          <w:rFonts w:hint="eastAsia" w:hAnsi="宋体" w:cs="宋体"/>
          <w:color w:val="auto"/>
          <w:sz w:val="21"/>
          <w:szCs w:val="21"/>
        </w:rPr>
        <w:t>6.2 食品等级标准要相符，其包装盒或标签上须注明食品名称，生产厂家、厂址、生产日期、食品的主要原料成份和食品保质期等信息，注明不详或没有注明的商品不予验收。</w:t>
      </w:r>
    </w:p>
    <w:p>
      <w:pPr>
        <w:snapToGrid w:val="0"/>
        <w:spacing w:line="360" w:lineRule="auto"/>
        <w:ind w:firstLine="420" w:firstLineChars="200"/>
        <w:contextualSpacing/>
        <w:rPr>
          <w:rFonts w:hAnsi="宋体" w:cs="宋体"/>
          <w:color w:val="auto"/>
          <w:sz w:val="21"/>
          <w:szCs w:val="21"/>
        </w:rPr>
      </w:pPr>
      <w:r>
        <w:rPr>
          <w:rFonts w:hint="eastAsia" w:hAnsi="宋体" w:cs="宋体"/>
          <w:color w:val="auto"/>
          <w:sz w:val="21"/>
          <w:szCs w:val="21"/>
        </w:rPr>
        <w:t>6.3 冻肉类产品中间不能有过多冰块，重量必须和包装箱上标明的重量一致。</w:t>
      </w:r>
    </w:p>
    <w:p>
      <w:pPr>
        <w:snapToGrid w:val="0"/>
        <w:spacing w:line="360" w:lineRule="auto"/>
        <w:ind w:firstLine="420" w:firstLineChars="200"/>
        <w:contextualSpacing/>
        <w:rPr>
          <w:rFonts w:hAnsi="宋体" w:cs="宋体"/>
          <w:color w:val="auto"/>
          <w:sz w:val="21"/>
          <w:szCs w:val="21"/>
        </w:rPr>
      </w:pPr>
      <w:r>
        <w:rPr>
          <w:rFonts w:hint="eastAsia" w:hAnsi="宋体" w:cs="宋体"/>
          <w:color w:val="auto"/>
          <w:sz w:val="21"/>
          <w:szCs w:val="21"/>
        </w:rPr>
        <w:t>6.4 奶制品色泽乳白，口味鲜香，包装完整，无破损，验收每批在保质期二分之一以上，符合国家规定的质量卫生标准。</w:t>
      </w:r>
    </w:p>
    <w:p>
      <w:pPr>
        <w:snapToGrid w:val="0"/>
        <w:spacing w:line="360" w:lineRule="auto"/>
        <w:ind w:firstLine="422" w:firstLineChars="200"/>
        <w:contextualSpacing/>
        <w:rPr>
          <w:rFonts w:hAnsi="宋体" w:cs="宋体"/>
          <w:b/>
          <w:bCs/>
          <w:color w:val="auto"/>
          <w:sz w:val="21"/>
          <w:szCs w:val="21"/>
        </w:rPr>
      </w:pPr>
      <w:r>
        <w:rPr>
          <w:rFonts w:hint="eastAsia" w:hAnsi="宋体" w:cs="宋体"/>
          <w:b/>
          <w:bCs/>
          <w:color w:val="auto"/>
          <w:sz w:val="21"/>
          <w:szCs w:val="21"/>
        </w:rPr>
        <w:t>C类：蔬果类</w:t>
      </w:r>
    </w:p>
    <w:p>
      <w:pPr>
        <w:snapToGrid w:val="0"/>
        <w:spacing w:line="360" w:lineRule="auto"/>
        <w:ind w:firstLine="420" w:firstLineChars="200"/>
        <w:contextualSpacing/>
        <w:rPr>
          <w:rFonts w:hAnsi="宋体" w:cs="宋体"/>
          <w:color w:val="auto"/>
          <w:sz w:val="21"/>
          <w:szCs w:val="21"/>
        </w:rPr>
      </w:pPr>
      <w:r>
        <w:rPr>
          <w:rFonts w:hint="eastAsia" w:hAnsi="宋体" w:cs="宋体"/>
          <w:color w:val="auto"/>
          <w:sz w:val="21"/>
          <w:szCs w:val="21"/>
        </w:rPr>
        <w:t>1.应保持较好的色泽和新鲜度。</w:t>
      </w:r>
    </w:p>
    <w:p>
      <w:pPr>
        <w:snapToGrid w:val="0"/>
        <w:spacing w:line="360" w:lineRule="auto"/>
        <w:ind w:firstLine="420" w:firstLineChars="200"/>
        <w:contextualSpacing/>
        <w:rPr>
          <w:rFonts w:hAnsi="宋体" w:cs="宋体"/>
          <w:color w:val="auto"/>
          <w:sz w:val="21"/>
          <w:szCs w:val="21"/>
        </w:rPr>
      </w:pPr>
      <w:r>
        <w:rPr>
          <w:rFonts w:hint="eastAsia" w:hAnsi="宋体" w:cs="宋体"/>
          <w:color w:val="auto"/>
          <w:sz w:val="21"/>
          <w:szCs w:val="21"/>
        </w:rPr>
        <w:t>2.符合国家食品卫生标准，蔬菜不得有黄叶；不得腐烂和泥沙等现象。</w:t>
      </w:r>
    </w:p>
    <w:p>
      <w:pPr>
        <w:snapToGrid w:val="0"/>
        <w:spacing w:line="360" w:lineRule="auto"/>
        <w:ind w:firstLine="420" w:firstLineChars="200"/>
        <w:contextualSpacing/>
        <w:rPr>
          <w:rFonts w:hAnsi="宋体" w:cs="宋体"/>
          <w:color w:val="auto"/>
          <w:sz w:val="21"/>
          <w:szCs w:val="21"/>
        </w:rPr>
      </w:pPr>
      <w:r>
        <w:rPr>
          <w:rFonts w:hint="eastAsia" w:hAnsi="宋体" w:cs="宋体"/>
          <w:color w:val="auto"/>
          <w:sz w:val="21"/>
          <w:szCs w:val="21"/>
        </w:rPr>
        <w:t>3.无公害、农药残留不得超标，提供农药残留检测证明。</w:t>
      </w:r>
    </w:p>
    <w:p>
      <w:pPr>
        <w:snapToGrid w:val="0"/>
        <w:spacing w:line="360" w:lineRule="auto"/>
        <w:ind w:firstLine="420" w:firstLineChars="200"/>
        <w:contextualSpacing/>
        <w:rPr>
          <w:rFonts w:hAnsi="宋体" w:cs="宋体"/>
          <w:color w:val="auto"/>
          <w:sz w:val="21"/>
          <w:szCs w:val="21"/>
        </w:rPr>
      </w:pPr>
      <w:r>
        <w:rPr>
          <w:rFonts w:hint="eastAsia" w:hAnsi="宋体" w:cs="宋体"/>
          <w:color w:val="auto"/>
          <w:sz w:val="21"/>
          <w:szCs w:val="21"/>
        </w:rPr>
        <w:t>4.来源：无公害种植基地，符合国家《农产品安全质量无公害蔬菜安全要求》《食品中污染物限量》《食品中农药最大残留限量》。</w:t>
      </w:r>
    </w:p>
    <w:p>
      <w:pPr>
        <w:spacing w:line="360" w:lineRule="auto"/>
        <w:ind w:firstLine="422" w:firstLineChars="200"/>
        <w:contextualSpacing/>
        <w:rPr>
          <w:rFonts w:hAnsi="宋体" w:cs="宋体"/>
          <w:b/>
          <w:bCs/>
          <w:color w:val="auto"/>
          <w:sz w:val="21"/>
          <w:szCs w:val="21"/>
        </w:rPr>
      </w:pPr>
      <w:r>
        <w:rPr>
          <w:rFonts w:hint="eastAsia" w:hAnsi="宋体" w:cs="宋体"/>
          <w:b/>
          <w:bCs/>
          <w:color w:val="auto"/>
          <w:sz w:val="21"/>
          <w:szCs w:val="21"/>
        </w:rPr>
        <w:t>经验收不符合上述标准的，招标人有权拒绝收货、要求退货或换货，中标人应及时将相应货物自行运回，并在招标人指定期限内重新供应相应食材，由此产生的费用由中标人承担。</w:t>
      </w:r>
    </w:p>
    <w:p>
      <w:pPr>
        <w:pStyle w:val="160"/>
        <w:spacing w:before="0" w:after="0" w:line="360" w:lineRule="auto"/>
        <w:ind w:left="0" w:right="0" w:firstLine="422" w:firstLineChars="200"/>
        <w:rPr>
          <w:rFonts w:ascii="宋体" w:hAnsi="宋体" w:cs="宋体"/>
          <w:b/>
          <w:color w:val="auto"/>
          <w:sz w:val="21"/>
          <w:szCs w:val="21"/>
        </w:rPr>
      </w:pPr>
    </w:p>
    <w:p>
      <w:pPr>
        <w:pStyle w:val="160"/>
        <w:spacing w:before="0" w:after="0" w:line="360" w:lineRule="auto"/>
        <w:ind w:left="0" w:right="0"/>
        <w:rPr>
          <w:rFonts w:ascii="宋体" w:hAnsi="宋体" w:cs="宋体"/>
          <w:b/>
          <w:color w:val="auto"/>
          <w:sz w:val="21"/>
          <w:szCs w:val="21"/>
        </w:rPr>
      </w:pPr>
      <w:r>
        <w:rPr>
          <w:rFonts w:hint="eastAsia" w:ascii="宋体" w:hAnsi="宋体" w:cs="宋体"/>
          <w:b/>
          <w:color w:val="auto"/>
          <w:sz w:val="21"/>
          <w:szCs w:val="21"/>
        </w:rPr>
        <w:t>五、其他</w:t>
      </w:r>
    </w:p>
    <w:p>
      <w:pPr>
        <w:tabs>
          <w:tab w:val="left" w:pos="1800"/>
        </w:tabs>
        <w:spacing w:line="360" w:lineRule="auto"/>
        <w:ind w:firstLine="420" w:firstLineChars="200"/>
        <w:jc w:val="both"/>
        <w:rPr>
          <w:rFonts w:hAnsi="宋体" w:cs="宋体"/>
          <w:color w:val="auto"/>
          <w:sz w:val="21"/>
          <w:szCs w:val="21"/>
        </w:rPr>
      </w:pPr>
      <w:r>
        <w:rPr>
          <w:rFonts w:hint="eastAsia" w:hAnsi="宋体" w:cs="宋体"/>
          <w:color w:val="auto"/>
          <w:sz w:val="21"/>
          <w:szCs w:val="21"/>
        </w:rPr>
        <w:t>其他未尽事宜，将在合同签订或项目执行过程中双方协商确定，中标人须无条件满足招标人的合理要求。</w:t>
      </w:r>
    </w:p>
    <w:p>
      <w:pPr>
        <w:pStyle w:val="2"/>
        <w:rPr>
          <w:rFonts w:hint="eastAsia" w:hAnsi="宋体" w:cs="宋体"/>
          <w:color w:val="auto"/>
        </w:rPr>
      </w:pPr>
    </w:p>
    <w:p>
      <w:pPr>
        <w:widowControl/>
        <w:snapToGrid w:val="0"/>
        <w:spacing w:line="360" w:lineRule="auto"/>
        <w:ind w:firstLine="422" w:firstLineChars="200"/>
        <w:contextualSpacing/>
        <w:rPr>
          <w:rFonts w:hAnsi="宋体" w:cs="宋体"/>
          <w:b/>
          <w:bCs/>
          <w:color w:val="auto"/>
          <w:sz w:val="21"/>
          <w:szCs w:val="21"/>
        </w:rPr>
      </w:pPr>
    </w:p>
    <w:p>
      <w:pPr>
        <w:widowControl/>
        <w:snapToGrid w:val="0"/>
        <w:spacing w:line="360" w:lineRule="auto"/>
        <w:contextualSpacing/>
        <w:rPr>
          <w:rFonts w:hAnsi="宋体" w:cs="宋体"/>
          <w:b/>
          <w:bCs/>
          <w:color w:val="auto"/>
          <w:sz w:val="21"/>
          <w:szCs w:val="21"/>
        </w:rPr>
      </w:pPr>
      <w:r>
        <w:rPr>
          <w:rFonts w:hint="eastAsia" w:hAnsi="宋体" w:cs="宋体"/>
          <w:b/>
          <w:bCs/>
          <w:color w:val="auto"/>
          <w:sz w:val="21"/>
          <w:szCs w:val="21"/>
        </w:rPr>
        <w:t>附件1</w:t>
      </w:r>
    </w:p>
    <w:p>
      <w:pPr>
        <w:spacing w:line="288" w:lineRule="auto"/>
        <w:jc w:val="center"/>
        <w:rPr>
          <w:rFonts w:hAnsi="宋体" w:cs="宋体"/>
          <w:b/>
          <w:bCs/>
          <w:color w:val="auto"/>
          <w:sz w:val="28"/>
          <w:szCs w:val="28"/>
        </w:rPr>
      </w:pPr>
      <w:r>
        <w:rPr>
          <w:rFonts w:hint="eastAsia" w:hAnsi="宋体" w:cs="宋体"/>
          <w:b/>
          <w:bCs/>
          <w:color w:val="auto"/>
          <w:sz w:val="28"/>
          <w:szCs w:val="28"/>
        </w:rPr>
        <w:t>招标人</w:t>
      </w:r>
      <w:r>
        <w:rPr>
          <w:rFonts w:hint="eastAsia" w:hAnsi="宋体" w:cs="宋体"/>
          <w:b/>
          <w:bCs/>
          <w:color w:val="auto"/>
          <w:sz w:val="28"/>
          <w:szCs w:val="28"/>
          <w:lang w:val="en-US" w:eastAsia="zh-CN"/>
        </w:rPr>
        <w:t>及其子公司</w:t>
      </w:r>
      <w:r>
        <w:rPr>
          <w:rFonts w:hint="eastAsia" w:hAnsi="宋体" w:cs="宋体"/>
          <w:b/>
          <w:bCs/>
          <w:color w:val="auto"/>
          <w:sz w:val="28"/>
          <w:szCs w:val="28"/>
        </w:rPr>
        <w:t>（管网公司、东信公司、东泽公司、清泽公司、莞泽公司、</w:t>
      </w:r>
      <w:r>
        <w:rPr>
          <w:rFonts w:hint="eastAsia" w:hAnsi="宋体" w:cs="宋体"/>
          <w:b/>
          <w:bCs/>
          <w:color w:val="auto"/>
          <w:sz w:val="28"/>
          <w:szCs w:val="28"/>
        </w:rPr>
        <w:br w:type="textWrapping"/>
      </w:r>
      <w:r>
        <w:rPr>
          <w:rFonts w:hint="eastAsia" w:hAnsi="宋体" w:cs="宋体"/>
          <w:b/>
          <w:bCs/>
          <w:color w:val="auto"/>
          <w:sz w:val="28"/>
          <w:szCs w:val="28"/>
        </w:rPr>
        <w:t>莞清公司、东江公司）食堂就餐人员及配送地址</w:t>
      </w:r>
    </w:p>
    <w:tbl>
      <w:tblPr>
        <w:tblStyle w:val="48"/>
        <w:tblW w:w="8158" w:type="dxa"/>
        <w:jc w:val="center"/>
        <w:tblLayout w:type="fixed"/>
        <w:tblCellMar>
          <w:top w:w="15" w:type="dxa"/>
          <w:left w:w="15" w:type="dxa"/>
          <w:bottom w:w="15" w:type="dxa"/>
          <w:right w:w="15" w:type="dxa"/>
        </w:tblCellMar>
      </w:tblPr>
      <w:tblGrid>
        <w:gridCol w:w="605"/>
        <w:gridCol w:w="1973"/>
        <w:gridCol w:w="1109"/>
        <w:gridCol w:w="4471"/>
      </w:tblGrid>
      <w:tr>
        <w:tblPrEx>
          <w:tblCellMar>
            <w:top w:w="15" w:type="dxa"/>
            <w:left w:w="15" w:type="dxa"/>
            <w:bottom w:w="15" w:type="dxa"/>
            <w:right w:w="15" w:type="dxa"/>
          </w:tblCellMar>
        </w:tblPrEx>
        <w:trPr>
          <w:trHeight w:val="495" w:hRule="atLeast"/>
          <w:jc w:val="center"/>
        </w:trPr>
        <w:tc>
          <w:tcPr>
            <w:tcW w:w="60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Ansi="宋体" w:cs="宋体"/>
                <w:color w:val="auto"/>
                <w:sz w:val="21"/>
                <w:szCs w:val="21"/>
              </w:rPr>
            </w:pPr>
            <w:r>
              <w:rPr>
                <w:rFonts w:hint="eastAsia" w:hAnsi="宋体" w:cs="宋体"/>
                <w:color w:val="auto"/>
                <w:sz w:val="21"/>
                <w:szCs w:val="21"/>
              </w:rPr>
              <w:t>序号</w:t>
            </w:r>
          </w:p>
        </w:tc>
        <w:tc>
          <w:tcPr>
            <w:tcW w:w="197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Ansi="宋体" w:cs="宋体"/>
                <w:color w:val="auto"/>
                <w:sz w:val="21"/>
                <w:szCs w:val="21"/>
              </w:rPr>
            </w:pPr>
            <w:r>
              <w:rPr>
                <w:rFonts w:hint="eastAsia" w:hAnsi="宋体" w:cs="宋体"/>
                <w:color w:val="auto"/>
                <w:sz w:val="21"/>
                <w:szCs w:val="21"/>
              </w:rPr>
              <w:t>单位</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Ansi="宋体" w:cs="宋体"/>
                <w:color w:val="auto"/>
                <w:sz w:val="21"/>
                <w:szCs w:val="21"/>
              </w:rPr>
            </w:pPr>
            <w:r>
              <w:rPr>
                <w:rFonts w:hint="eastAsia" w:hAnsi="宋体" w:cs="宋体"/>
                <w:color w:val="auto"/>
                <w:sz w:val="21"/>
                <w:szCs w:val="21"/>
                <w:lang w:val="en-US" w:eastAsia="zh-CN"/>
              </w:rPr>
              <w:t>暂定</w:t>
            </w:r>
            <w:r>
              <w:rPr>
                <w:rFonts w:hint="eastAsia" w:hAnsi="宋体" w:cs="宋体"/>
                <w:color w:val="auto"/>
                <w:sz w:val="21"/>
                <w:szCs w:val="21"/>
              </w:rPr>
              <w:t>就餐人数</w:t>
            </w:r>
          </w:p>
        </w:tc>
        <w:tc>
          <w:tcPr>
            <w:tcW w:w="447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Ansi="宋体" w:cs="宋体"/>
                <w:color w:val="auto"/>
                <w:sz w:val="21"/>
                <w:szCs w:val="21"/>
              </w:rPr>
            </w:pPr>
            <w:r>
              <w:rPr>
                <w:rFonts w:hint="eastAsia" w:hAnsi="宋体" w:cs="宋体"/>
                <w:color w:val="auto"/>
                <w:sz w:val="21"/>
                <w:szCs w:val="21"/>
              </w:rPr>
              <w:t>地址</w:t>
            </w:r>
          </w:p>
        </w:tc>
      </w:tr>
      <w:tr>
        <w:tblPrEx>
          <w:tblCellMar>
            <w:top w:w="15" w:type="dxa"/>
            <w:left w:w="15" w:type="dxa"/>
            <w:bottom w:w="15" w:type="dxa"/>
            <w:right w:w="15" w:type="dxa"/>
          </w:tblCellMar>
        </w:tblPrEx>
        <w:trPr>
          <w:trHeight w:val="495" w:hRule="atLeast"/>
          <w:jc w:val="center"/>
        </w:trPr>
        <w:tc>
          <w:tcPr>
            <w:tcW w:w="60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Ansi="宋体" w:cs="宋体"/>
                <w:color w:val="auto"/>
                <w:sz w:val="21"/>
                <w:szCs w:val="21"/>
              </w:rPr>
            </w:pPr>
            <w:r>
              <w:rPr>
                <w:rFonts w:hint="eastAsia" w:hAnsi="宋体" w:cs="宋体"/>
                <w:color w:val="auto"/>
                <w:sz w:val="21"/>
                <w:szCs w:val="21"/>
              </w:rPr>
              <w:t>1</w:t>
            </w:r>
          </w:p>
        </w:tc>
        <w:tc>
          <w:tcPr>
            <w:tcW w:w="197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Ansi="宋体" w:cs="宋体"/>
                <w:color w:val="auto"/>
                <w:sz w:val="21"/>
                <w:szCs w:val="21"/>
              </w:rPr>
            </w:pPr>
            <w:r>
              <w:rPr>
                <w:rFonts w:hint="eastAsia" w:hAnsi="宋体" w:cs="宋体"/>
                <w:color w:val="auto"/>
                <w:sz w:val="21"/>
                <w:szCs w:val="21"/>
              </w:rPr>
              <w:t>本部食堂</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Ansi="宋体" w:cs="宋体"/>
                <w:color w:val="auto"/>
                <w:sz w:val="21"/>
                <w:szCs w:val="21"/>
              </w:rPr>
            </w:pPr>
            <w:r>
              <w:rPr>
                <w:rFonts w:hint="eastAsia" w:hAnsi="宋体" w:cs="宋体"/>
                <w:color w:val="auto"/>
                <w:sz w:val="21"/>
                <w:szCs w:val="21"/>
              </w:rPr>
              <w:t>185</w:t>
            </w:r>
          </w:p>
        </w:tc>
        <w:tc>
          <w:tcPr>
            <w:tcW w:w="447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Ansi="宋体" w:cs="宋体"/>
                <w:color w:val="auto"/>
                <w:sz w:val="21"/>
                <w:szCs w:val="21"/>
              </w:rPr>
            </w:pPr>
            <w:r>
              <w:rPr>
                <w:rFonts w:hint="eastAsia" w:hAnsi="宋体" w:cs="宋体"/>
                <w:color w:val="auto"/>
                <w:sz w:val="21"/>
                <w:szCs w:val="21"/>
              </w:rPr>
              <w:t>东莞市东城街道东城运河路5号</w:t>
            </w:r>
          </w:p>
        </w:tc>
      </w:tr>
      <w:tr>
        <w:tblPrEx>
          <w:tblCellMar>
            <w:top w:w="15" w:type="dxa"/>
            <w:left w:w="15" w:type="dxa"/>
            <w:bottom w:w="15" w:type="dxa"/>
            <w:right w:w="15" w:type="dxa"/>
          </w:tblCellMar>
        </w:tblPrEx>
        <w:trPr>
          <w:trHeight w:val="495" w:hRule="atLeast"/>
          <w:jc w:val="center"/>
        </w:trPr>
        <w:tc>
          <w:tcPr>
            <w:tcW w:w="60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Ansi="宋体" w:cs="宋体"/>
                <w:color w:val="auto"/>
                <w:sz w:val="21"/>
                <w:szCs w:val="21"/>
              </w:rPr>
            </w:pPr>
            <w:r>
              <w:rPr>
                <w:rFonts w:hint="eastAsia" w:hAnsi="宋体" w:cs="宋体"/>
                <w:color w:val="auto"/>
                <w:sz w:val="21"/>
                <w:szCs w:val="21"/>
              </w:rPr>
              <w:t>2</w:t>
            </w:r>
          </w:p>
        </w:tc>
        <w:tc>
          <w:tcPr>
            <w:tcW w:w="197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Ansi="宋体" w:cs="宋体"/>
                <w:color w:val="auto"/>
                <w:sz w:val="21"/>
                <w:szCs w:val="21"/>
              </w:rPr>
            </w:pPr>
            <w:r>
              <w:rPr>
                <w:rFonts w:hint="eastAsia" w:hAnsi="宋体" w:cs="宋体"/>
                <w:color w:val="auto"/>
                <w:sz w:val="21"/>
                <w:szCs w:val="21"/>
              </w:rPr>
              <w:t>第一分公司食堂</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Ansi="宋体" w:cs="宋体"/>
                <w:color w:val="auto"/>
                <w:sz w:val="21"/>
                <w:szCs w:val="21"/>
              </w:rPr>
            </w:pPr>
            <w:r>
              <w:rPr>
                <w:rFonts w:hint="eastAsia" w:hAnsi="宋体" w:cs="宋体"/>
                <w:color w:val="auto"/>
                <w:sz w:val="21"/>
                <w:szCs w:val="21"/>
              </w:rPr>
              <w:t>61</w:t>
            </w:r>
          </w:p>
        </w:tc>
        <w:tc>
          <w:tcPr>
            <w:tcW w:w="447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Ansi="宋体" w:cs="宋体"/>
                <w:color w:val="auto"/>
                <w:sz w:val="21"/>
                <w:szCs w:val="21"/>
              </w:rPr>
            </w:pPr>
            <w:r>
              <w:rPr>
                <w:rFonts w:hint="eastAsia" w:hAnsi="宋体" w:cs="宋体"/>
                <w:color w:val="auto"/>
                <w:sz w:val="21"/>
                <w:szCs w:val="21"/>
              </w:rPr>
              <w:t>东莞市东城街道榴花西街232号D座</w:t>
            </w:r>
          </w:p>
        </w:tc>
      </w:tr>
      <w:tr>
        <w:tblPrEx>
          <w:tblCellMar>
            <w:top w:w="15" w:type="dxa"/>
            <w:left w:w="15" w:type="dxa"/>
            <w:bottom w:w="15" w:type="dxa"/>
            <w:right w:w="15" w:type="dxa"/>
          </w:tblCellMar>
        </w:tblPrEx>
        <w:trPr>
          <w:trHeight w:val="495" w:hRule="atLeast"/>
          <w:jc w:val="center"/>
        </w:trPr>
        <w:tc>
          <w:tcPr>
            <w:tcW w:w="60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Ansi="宋体" w:cs="宋体"/>
                <w:color w:val="auto"/>
                <w:sz w:val="21"/>
                <w:szCs w:val="21"/>
              </w:rPr>
            </w:pPr>
            <w:r>
              <w:rPr>
                <w:rFonts w:hint="eastAsia" w:hAnsi="宋体" w:cs="宋体"/>
                <w:color w:val="auto"/>
                <w:sz w:val="21"/>
                <w:szCs w:val="21"/>
              </w:rPr>
              <w:t>3</w:t>
            </w:r>
          </w:p>
        </w:tc>
        <w:tc>
          <w:tcPr>
            <w:tcW w:w="197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Ansi="宋体" w:cs="宋体"/>
                <w:color w:val="auto"/>
                <w:sz w:val="21"/>
                <w:szCs w:val="21"/>
              </w:rPr>
            </w:pPr>
            <w:r>
              <w:rPr>
                <w:rFonts w:hint="eastAsia" w:hAnsi="宋体" w:cs="宋体"/>
                <w:color w:val="auto"/>
                <w:sz w:val="21"/>
                <w:szCs w:val="21"/>
              </w:rPr>
              <w:t>第二分公司食堂</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Ansi="宋体" w:cs="宋体"/>
                <w:color w:val="auto"/>
                <w:sz w:val="21"/>
                <w:szCs w:val="21"/>
              </w:rPr>
            </w:pPr>
            <w:r>
              <w:rPr>
                <w:rFonts w:hint="eastAsia" w:hAnsi="宋体" w:cs="宋体"/>
                <w:color w:val="auto"/>
                <w:sz w:val="21"/>
                <w:szCs w:val="21"/>
              </w:rPr>
              <w:t>60</w:t>
            </w:r>
          </w:p>
        </w:tc>
        <w:tc>
          <w:tcPr>
            <w:tcW w:w="4471"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cs="宋体"/>
                <w:color w:val="auto"/>
                <w:sz w:val="21"/>
                <w:szCs w:val="21"/>
              </w:rPr>
            </w:pPr>
            <w:r>
              <w:rPr>
                <w:rFonts w:hint="eastAsia" w:hAnsi="宋体" w:cs="宋体"/>
                <w:color w:val="auto"/>
                <w:sz w:val="21"/>
                <w:szCs w:val="21"/>
              </w:rPr>
              <w:t>东莞市寮步镇向西村旭升路5号厂房内</w:t>
            </w:r>
          </w:p>
        </w:tc>
      </w:tr>
      <w:tr>
        <w:tblPrEx>
          <w:tblCellMar>
            <w:top w:w="15" w:type="dxa"/>
            <w:left w:w="15" w:type="dxa"/>
            <w:bottom w:w="15" w:type="dxa"/>
            <w:right w:w="15" w:type="dxa"/>
          </w:tblCellMar>
        </w:tblPrEx>
        <w:trPr>
          <w:trHeight w:val="495" w:hRule="atLeast"/>
          <w:jc w:val="center"/>
        </w:trPr>
        <w:tc>
          <w:tcPr>
            <w:tcW w:w="60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Ansi="宋体" w:cs="宋体"/>
                <w:color w:val="auto"/>
                <w:sz w:val="21"/>
                <w:szCs w:val="21"/>
              </w:rPr>
            </w:pPr>
            <w:r>
              <w:rPr>
                <w:rFonts w:hint="eastAsia" w:hAnsi="宋体" w:cs="宋体"/>
                <w:color w:val="auto"/>
                <w:sz w:val="21"/>
                <w:szCs w:val="21"/>
              </w:rPr>
              <w:t>4</w:t>
            </w:r>
          </w:p>
        </w:tc>
        <w:tc>
          <w:tcPr>
            <w:tcW w:w="197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Ansi="宋体" w:cs="宋体"/>
                <w:color w:val="auto"/>
                <w:sz w:val="21"/>
                <w:szCs w:val="21"/>
              </w:rPr>
            </w:pPr>
            <w:r>
              <w:rPr>
                <w:rFonts w:hint="eastAsia" w:hAnsi="宋体" w:cs="宋体"/>
                <w:color w:val="auto"/>
                <w:sz w:val="21"/>
                <w:szCs w:val="21"/>
              </w:rPr>
              <w:t>第三分公司食堂</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Ansi="宋体" w:cs="宋体"/>
                <w:color w:val="auto"/>
                <w:sz w:val="21"/>
                <w:szCs w:val="21"/>
              </w:rPr>
            </w:pPr>
            <w:r>
              <w:rPr>
                <w:rFonts w:hint="eastAsia" w:hAnsi="宋体" w:cs="宋体"/>
                <w:color w:val="auto"/>
                <w:sz w:val="21"/>
                <w:szCs w:val="21"/>
              </w:rPr>
              <w:t>52</w:t>
            </w:r>
          </w:p>
        </w:tc>
        <w:tc>
          <w:tcPr>
            <w:tcW w:w="447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Ansi="宋体" w:cs="宋体"/>
                <w:color w:val="auto"/>
                <w:sz w:val="21"/>
                <w:szCs w:val="21"/>
              </w:rPr>
            </w:pPr>
            <w:r>
              <w:rPr>
                <w:rFonts w:hint="eastAsia" w:hAnsi="宋体" w:cs="宋体"/>
                <w:color w:val="auto"/>
                <w:sz w:val="21"/>
                <w:szCs w:val="21"/>
              </w:rPr>
              <w:t>东莞市沙田镇稔洲山边路103号</w:t>
            </w:r>
          </w:p>
        </w:tc>
      </w:tr>
      <w:tr>
        <w:tblPrEx>
          <w:tblCellMar>
            <w:top w:w="15" w:type="dxa"/>
            <w:left w:w="15" w:type="dxa"/>
            <w:bottom w:w="15" w:type="dxa"/>
            <w:right w:w="15" w:type="dxa"/>
          </w:tblCellMar>
        </w:tblPrEx>
        <w:trPr>
          <w:trHeight w:val="495" w:hRule="atLeast"/>
          <w:jc w:val="center"/>
        </w:trPr>
        <w:tc>
          <w:tcPr>
            <w:tcW w:w="60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Ansi="宋体" w:cs="宋体"/>
                <w:color w:val="auto"/>
                <w:sz w:val="21"/>
                <w:szCs w:val="21"/>
              </w:rPr>
            </w:pPr>
            <w:r>
              <w:rPr>
                <w:rFonts w:hint="eastAsia" w:hAnsi="宋体" w:cs="宋体"/>
                <w:color w:val="auto"/>
                <w:sz w:val="21"/>
                <w:szCs w:val="21"/>
              </w:rPr>
              <w:t>5</w:t>
            </w:r>
          </w:p>
        </w:tc>
        <w:tc>
          <w:tcPr>
            <w:tcW w:w="197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Ansi="宋体" w:cs="宋体"/>
                <w:color w:val="auto"/>
                <w:sz w:val="21"/>
                <w:szCs w:val="21"/>
              </w:rPr>
            </w:pPr>
            <w:r>
              <w:rPr>
                <w:rFonts w:hint="eastAsia" w:hAnsi="宋体" w:cs="宋体"/>
                <w:color w:val="auto"/>
                <w:sz w:val="21"/>
                <w:szCs w:val="21"/>
              </w:rPr>
              <w:t>第四分公司食堂</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Ansi="宋体" w:cs="宋体"/>
                <w:color w:val="auto"/>
                <w:sz w:val="21"/>
                <w:szCs w:val="21"/>
              </w:rPr>
            </w:pPr>
            <w:r>
              <w:rPr>
                <w:rFonts w:hint="eastAsia" w:hAnsi="宋体" w:cs="宋体"/>
                <w:color w:val="auto"/>
                <w:sz w:val="21"/>
                <w:szCs w:val="21"/>
              </w:rPr>
              <w:t>44</w:t>
            </w:r>
          </w:p>
        </w:tc>
        <w:tc>
          <w:tcPr>
            <w:tcW w:w="447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Ansi="宋体" w:cs="宋体"/>
                <w:color w:val="auto"/>
                <w:sz w:val="21"/>
                <w:szCs w:val="21"/>
              </w:rPr>
            </w:pPr>
            <w:r>
              <w:rPr>
                <w:rFonts w:hint="eastAsia" w:hAnsi="宋体" w:cs="宋体"/>
                <w:color w:val="auto"/>
                <w:sz w:val="21"/>
                <w:szCs w:val="21"/>
              </w:rPr>
              <w:t>东莞市道滘镇华科城创新岛产业孵化园5号楼</w:t>
            </w:r>
          </w:p>
        </w:tc>
      </w:tr>
      <w:tr>
        <w:tblPrEx>
          <w:tblCellMar>
            <w:top w:w="15" w:type="dxa"/>
            <w:left w:w="15" w:type="dxa"/>
            <w:bottom w:w="15" w:type="dxa"/>
            <w:right w:w="15" w:type="dxa"/>
          </w:tblCellMar>
        </w:tblPrEx>
        <w:trPr>
          <w:trHeight w:val="495" w:hRule="atLeast"/>
          <w:jc w:val="center"/>
        </w:trPr>
        <w:tc>
          <w:tcPr>
            <w:tcW w:w="60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Ansi="宋体" w:cs="宋体"/>
                <w:color w:val="auto"/>
                <w:sz w:val="21"/>
                <w:szCs w:val="21"/>
              </w:rPr>
            </w:pPr>
            <w:r>
              <w:rPr>
                <w:rFonts w:hint="eastAsia" w:hAnsi="宋体" w:cs="宋体"/>
                <w:color w:val="auto"/>
                <w:sz w:val="21"/>
                <w:szCs w:val="21"/>
              </w:rPr>
              <w:t>6</w:t>
            </w:r>
          </w:p>
        </w:tc>
        <w:tc>
          <w:tcPr>
            <w:tcW w:w="197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Ansi="宋体" w:cs="宋体"/>
                <w:color w:val="auto"/>
                <w:sz w:val="21"/>
                <w:szCs w:val="21"/>
              </w:rPr>
            </w:pPr>
            <w:r>
              <w:rPr>
                <w:rFonts w:hint="eastAsia" w:hAnsi="宋体" w:cs="宋体"/>
                <w:color w:val="auto"/>
                <w:sz w:val="21"/>
                <w:szCs w:val="21"/>
              </w:rPr>
              <w:t>第五分公司食堂</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Ansi="宋体" w:cs="宋体"/>
                <w:color w:val="auto"/>
                <w:sz w:val="21"/>
                <w:szCs w:val="21"/>
              </w:rPr>
            </w:pPr>
            <w:r>
              <w:rPr>
                <w:rFonts w:hint="eastAsia" w:hAnsi="宋体" w:cs="宋体"/>
                <w:color w:val="auto"/>
                <w:sz w:val="21"/>
                <w:szCs w:val="21"/>
              </w:rPr>
              <w:t>49</w:t>
            </w:r>
          </w:p>
        </w:tc>
        <w:tc>
          <w:tcPr>
            <w:tcW w:w="447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Ansi="宋体" w:cs="宋体"/>
                <w:color w:val="auto"/>
                <w:sz w:val="21"/>
                <w:szCs w:val="21"/>
              </w:rPr>
            </w:pPr>
            <w:r>
              <w:rPr>
                <w:rFonts w:hint="eastAsia" w:hAnsi="宋体" w:cs="宋体"/>
                <w:color w:val="auto"/>
                <w:sz w:val="21"/>
                <w:szCs w:val="21"/>
              </w:rPr>
              <w:t>东莞市横沥镇中山东路82号骏业大厦</w:t>
            </w:r>
          </w:p>
        </w:tc>
      </w:tr>
      <w:tr>
        <w:tblPrEx>
          <w:tblCellMar>
            <w:top w:w="15" w:type="dxa"/>
            <w:left w:w="15" w:type="dxa"/>
            <w:bottom w:w="15" w:type="dxa"/>
            <w:right w:w="15" w:type="dxa"/>
          </w:tblCellMar>
        </w:tblPrEx>
        <w:trPr>
          <w:trHeight w:val="495" w:hRule="atLeast"/>
          <w:jc w:val="center"/>
        </w:trPr>
        <w:tc>
          <w:tcPr>
            <w:tcW w:w="60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Ansi="宋体" w:cs="宋体"/>
                <w:color w:val="auto"/>
                <w:sz w:val="21"/>
                <w:szCs w:val="21"/>
              </w:rPr>
            </w:pPr>
            <w:r>
              <w:rPr>
                <w:rFonts w:hint="eastAsia" w:hAnsi="宋体" w:cs="宋体"/>
                <w:color w:val="auto"/>
                <w:sz w:val="21"/>
                <w:szCs w:val="21"/>
              </w:rPr>
              <w:t>7</w:t>
            </w:r>
          </w:p>
        </w:tc>
        <w:tc>
          <w:tcPr>
            <w:tcW w:w="197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Ansi="宋体" w:cs="宋体"/>
                <w:color w:val="auto"/>
                <w:sz w:val="21"/>
                <w:szCs w:val="21"/>
              </w:rPr>
            </w:pPr>
            <w:r>
              <w:rPr>
                <w:rFonts w:hint="eastAsia" w:hAnsi="宋体" w:cs="宋体"/>
                <w:color w:val="auto"/>
                <w:sz w:val="21"/>
                <w:szCs w:val="21"/>
              </w:rPr>
              <w:t>第六分公司食堂</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Ansi="宋体" w:cs="宋体"/>
                <w:color w:val="auto"/>
                <w:sz w:val="21"/>
                <w:szCs w:val="21"/>
              </w:rPr>
            </w:pPr>
            <w:r>
              <w:rPr>
                <w:rFonts w:hint="eastAsia" w:hAnsi="宋体" w:cs="宋体"/>
                <w:color w:val="auto"/>
                <w:sz w:val="21"/>
                <w:szCs w:val="21"/>
              </w:rPr>
              <w:t>48</w:t>
            </w:r>
          </w:p>
        </w:tc>
        <w:tc>
          <w:tcPr>
            <w:tcW w:w="447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Ansi="宋体" w:cs="宋体"/>
                <w:color w:val="auto"/>
                <w:sz w:val="21"/>
                <w:szCs w:val="21"/>
              </w:rPr>
            </w:pPr>
            <w:r>
              <w:rPr>
                <w:rFonts w:hint="eastAsia" w:hAnsi="宋体" w:cs="宋体"/>
                <w:color w:val="auto"/>
                <w:sz w:val="21"/>
                <w:szCs w:val="21"/>
              </w:rPr>
              <w:t>塘厦镇蛟坪大道83A号星河科技园二楼</w:t>
            </w:r>
          </w:p>
        </w:tc>
      </w:tr>
      <w:tr>
        <w:tblPrEx>
          <w:tblCellMar>
            <w:top w:w="15" w:type="dxa"/>
            <w:left w:w="15" w:type="dxa"/>
            <w:bottom w:w="15" w:type="dxa"/>
            <w:right w:w="15" w:type="dxa"/>
          </w:tblCellMar>
        </w:tblPrEx>
        <w:trPr>
          <w:trHeight w:val="480" w:hRule="atLeast"/>
          <w:jc w:val="center"/>
        </w:trPr>
        <w:tc>
          <w:tcPr>
            <w:tcW w:w="2578"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Ansi="宋体" w:cs="宋体"/>
                <w:color w:val="auto"/>
                <w:sz w:val="21"/>
                <w:szCs w:val="21"/>
              </w:rPr>
            </w:pPr>
            <w:r>
              <w:rPr>
                <w:rFonts w:hint="eastAsia" w:hAnsi="宋体" w:cs="宋体"/>
                <w:color w:val="auto"/>
                <w:sz w:val="21"/>
                <w:szCs w:val="21"/>
              </w:rPr>
              <w:t>合计</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Ansi="宋体" w:cs="宋体"/>
                <w:color w:val="auto"/>
                <w:sz w:val="21"/>
                <w:szCs w:val="21"/>
              </w:rPr>
            </w:pPr>
            <w:r>
              <w:rPr>
                <w:rFonts w:hint="eastAsia" w:hAnsi="宋体" w:cs="宋体"/>
                <w:color w:val="auto"/>
                <w:sz w:val="21"/>
                <w:szCs w:val="21"/>
              </w:rPr>
              <w:t>499</w:t>
            </w:r>
          </w:p>
        </w:tc>
        <w:tc>
          <w:tcPr>
            <w:tcW w:w="447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Ansi="宋体" w:cs="宋体"/>
                <w:color w:val="auto"/>
                <w:sz w:val="21"/>
                <w:szCs w:val="21"/>
              </w:rPr>
            </w:pPr>
            <w:r>
              <w:rPr>
                <w:rFonts w:hint="eastAsia" w:hAnsi="宋体" w:cs="宋体"/>
                <w:color w:val="auto"/>
                <w:sz w:val="21"/>
                <w:szCs w:val="21"/>
              </w:rPr>
              <w:t>/</w:t>
            </w:r>
          </w:p>
        </w:tc>
      </w:tr>
    </w:tbl>
    <w:p>
      <w:pPr>
        <w:tabs>
          <w:tab w:val="left" w:pos="1800"/>
        </w:tabs>
        <w:spacing w:line="360" w:lineRule="auto"/>
        <w:jc w:val="both"/>
        <w:rPr>
          <w:rFonts w:hAnsi="宋体" w:cs="宋体"/>
          <w:b/>
          <w:color w:val="auto"/>
          <w:sz w:val="21"/>
          <w:szCs w:val="21"/>
        </w:rPr>
      </w:pPr>
      <w:r>
        <w:rPr>
          <w:rFonts w:hAnsi="宋体" w:cs="宋体"/>
          <w:color w:val="auto"/>
          <w:sz w:val="21"/>
          <w:szCs w:val="21"/>
        </w:rPr>
        <w:br w:type="page"/>
      </w:r>
      <w:r>
        <w:rPr>
          <w:rFonts w:hint="eastAsia" w:hAnsi="宋体" w:cs="宋体"/>
          <w:b/>
          <w:color w:val="auto"/>
          <w:sz w:val="21"/>
          <w:szCs w:val="21"/>
        </w:rPr>
        <w:t>附件2：</w:t>
      </w:r>
    </w:p>
    <w:p>
      <w:pPr>
        <w:spacing w:line="360" w:lineRule="auto"/>
        <w:jc w:val="center"/>
        <w:rPr>
          <w:rFonts w:hAnsi="宋体" w:cs="宋体"/>
          <w:b/>
          <w:bCs/>
          <w:color w:val="auto"/>
          <w:sz w:val="21"/>
          <w:szCs w:val="21"/>
        </w:rPr>
      </w:pPr>
      <w:r>
        <w:rPr>
          <w:rFonts w:hint="eastAsia" w:hAnsi="宋体" w:cs="宋体"/>
          <w:b/>
          <w:bCs/>
          <w:color w:val="auto"/>
          <w:sz w:val="21"/>
          <w:szCs w:val="21"/>
        </w:rPr>
        <w:t>食堂配送服务考核评分表（XX年XX月）</w:t>
      </w:r>
    </w:p>
    <w:p>
      <w:pPr>
        <w:pStyle w:val="147"/>
        <w:spacing w:line="360" w:lineRule="auto"/>
        <w:ind w:firstLine="0" w:firstLineChars="0"/>
        <w:jc w:val="both"/>
        <w:rPr>
          <w:rFonts w:hAnsi="宋体" w:cs="宋体"/>
          <w:color w:val="auto"/>
          <w:sz w:val="21"/>
          <w:szCs w:val="21"/>
          <w:lang w:val="en-US"/>
        </w:rPr>
      </w:pPr>
    </w:p>
    <w:tbl>
      <w:tblPr>
        <w:tblStyle w:val="48"/>
        <w:tblW w:w="8810" w:type="dxa"/>
        <w:tblInd w:w="0" w:type="dxa"/>
        <w:tblLayout w:type="fixed"/>
        <w:tblCellMar>
          <w:top w:w="0" w:type="dxa"/>
          <w:left w:w="108" w:type="dxa"/>
          <w:bottom w:w="0" w:type="dxa"/>
          <w:right w:w="108" w:type="dxa"/>
        </w:tblCellMar>
      </w:tblPr>
      <w:tblGrid>
        <w:gridCol w:w="1084"/>
        <w:gridCol w:w="559"/>
        <w:gridCol w:w="3913"/>
        <w:gridCol w:w="731"/>
        <w:gridCol w:w="764"/>
        <w:gridCol w:w="995"/>
        <w:gridCol w:w="764"/>
      </w:tblGrid>
      <w:tr>
        <w:tblPrEx>
          <w:tblCellMar>
            <w:top w:w="0" w:type="dxa"/>
            <w:left w:w="108" w:type="dxa"/>
            <w:bottom w:w="0" w:type="dxa"/>
            <w:right w:w="108" w:type="dxa"/>
          </w:tblCellMar>
        </w:tblPrEx>
        <w:trPr>
          <w:trHeight w:val="285" w:hRule="atLeast"/>
        </w:trPr>
        <w:tc>
          <w:tcPr>
            <w:tcW w:w="1084" w:type="dxa"/>
            <w:vMerge w:val="restart"/>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r>
              <w:rPr>
                <w:rFonts w:hint="eastAsia" w:hAnsi="宋体" w:cs="宋体"/>
                <w:color w:val="auto"/>
                <w:sz w:val="21"/>
                <w:szCs w:val="21"/>
              </w:rPr>
              <w:t>考核指标</w:t>
            </w:r>
          </w:p>
        </w:tc>
        <w:tc>
          <w:tcPr>
            <w:tcW w:w="559" w:type="dxa"/>
            <w:vMerge w:val="restart"/>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r>
              <w:rPr>
                <w:rFonts w:hint="eastAsia" w:hAnsi="宋体" w:cs="宋体"/>
                <w:color w:val="auto"/>
                <w:sz w:val="21"/>
                <w:szCs w:val="21"/>
              </w:rPr>
              <w:t>分值</w:t>
            </w:r>
          </w:p>
        </w:tc>
        <w:tc>
          <w:tcPr>
            <w:tcW w:w="3913" w:type="dxa"/>
            <w:vMerge w:val="restart"/>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r>
              <w:rPr>
                <w:rFonts w:hint="eastAsia" w:hAnsi="宋体" w:cs="宋体"/>
                <w:color w:val="auto"/>
                <w:sz w:val="21"/>
                <w:szCs w:val="21"/>
              </w:rPr>
              <w:t>考核要素和评估内容及其标准</w:t>
            </w:r>
          </w:p>
        </w:tc>
        <w:tc>
          <w:tcPr>
            <w:tcW w:w="731"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r>
              <w:rPr>
                <w:rFonts w:hint="eastAsia" w:hAnsi="宋体" w:cs="宋体"/>
                <w:color w:val="auto"/>
                <w:sz w:val="21"/>
                <w:szCs w:val="21"/>
              </w:rPr>
              <w:t>优秀</w:t>
            </w:r>
          </w:p>
        </w:tc>
        <w:tc>
          <w:tcPr>
            <w:tcW w:w="764"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r>
              <w:rPr>
                <w:rFonts w:hint="eastAsia" w:hAnsi="宋体" w:cs="宋体"/>
                <w:color w:val="auto"/>
                <w:sz w:val="21"/>
                <w:szCs w:val="21"/>
              </w:rPr>
              <w:t>良好</w:t>
            </w:r>
          </w:p>
        </w:tc>
        <w:tc>
          <w:tcPr>
            <w:tcW w:w="995"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r>
              <w:rPr>
                <w:rFonts w:hint="eastAsia" w:hAnsi="宋体" w:cs="宋体"/>
                <w:color w:val="auto"/>
                <w:sz w:val="21"/>
                <w:szCs w:val="21"/>
              </w:rPr>
              <w:t>不合格</w:t>
            </w:r>
          </w:p>
        </w:tc>
        <w:tc>
          <w:tcPr>
            <w:tcW w:w="764" w:type="dxa"/>
            <w:vMerge w:val="restart"/>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r>
              <w:rPr>
                <w:rFonts w:hint="eastAsia" w:hAnsi="宋体" w:cs="宋体"/>
                <w:color w:val="auto"/>
                <w:sz w:val="21"/>
                <w:szCs w:val="21"/>
              </w:rPr>
              <w:t>扣分情况</w:t>
            </w:r>
          </w:p>
        </w:tc>
      </w:tr>
      <w:tr>
        <w:tblPrEx>
          <w:tblCellMar>
            <w:top w:w="0" w:type="dxa"/>
            <w:left w:w="108" w:type="dxa"/>
            <w:bottom w:w="0" w:type="dxa"/>
            <w:right w:w="108" w:type="dxa"/>
          </w:tblCellMar>
        </w:tblPrEx>
        <w:trPr>
          <w:trHeight w:val="285" w:hRule="atLeast"/>
        </w:trPr>
        <w:tc>
          <w:tcPr>
            <w:tcW w:w="1084" w:type="dxa"/>
            <w:vMerge w:val="continue"/>
            <w:tcBorders>
              <w:top w:val="single" w:color="auto" w:sz="8" w:space="0"/>
              <w:left w:val="single" w:color="auto" w:sz="8" w:space="0"/>
              <w:bottom w:val="single" w:color="auto" w:sz="8" w:space="0"/>
              <w:right w:val="single" w:color="auto" w:sz="8" w:space="0"/>
            </w:tcBorders>
            <w:vAlign w:val="center"/>
          </w:tcPr>
          <w:p>
            <w:pPr>
              <w:rPr>
                <w:rFonts w:hAnsi="宋体" w:cs="宋体"/>
                <w:color w:val="auto"/>
                <w:sz w:val="21"/>
                <w:szCs w:val="21"/>
              </w:rPr>
            </w:pPr>
          </w:p>
        </w:tc>
        <w:tc>
          <w:tcPr>
            <w:tcW w:w="559" w:type="dxa"/>
            <w:vMerge w:val="continue"/>
            <w:tcBorders>
              <w:top w:val="single" w:color="auto" w:sz="8" w:space="0"/>
              <w:left w:val="single" w:color="auto" w:sz="8" w:space="0"/>
              <w:bottom w:val="single" w:color="auto" w:sz="8" w:space="0"/>
              <w:right w:val="single" w:color="auto" w:sz="8" w:space="0"/>
            </w:tcBorders>
            <w:vAlign w:val="center"/>
          </w:tcPr>
          <w:p>
            <w:pPr>
              <w:rPr>
                <w:rFonts w:hAnsi="宋体" w:cs="宋体"/>
                <w:color w:val="auto"/>
                <w:sz w:val="21"/>
                <w:szCs w:val="21"/>
              </w:rPr>
            </w:pPr>
          </w:p>
        </w:tc>
        <w:tc>
          <w:tcPr>
            <w:tcW w:w="3913" w:type="dxa"/>
            <w:vMerge w:val="continue"/>
            <w:tcBorders>
              <w:top w:val="single" w:color="auto" w:sz="8" w:space="0"/>
              <w:left w:val="single" w:color="auto" w:sz="8" w:space="0"/>
              <w:bottom w:val="single" w:color="auto" w:sz="8" w:space="0"/>
              <w:right w:val="single" w:color="auto" w:sz="8" w:space="0"/>
            </w:tcBorders>
            <w:vAlign w:val="center"/>
          </w:tcPr>
          <w:p>
            <w:pPr>
              <w:rPr>
                <w:rFonts w:hAnsi="宋体" w:cs="宋体"/>
                <w:color w:val="auto"/>
                <w:sz w:val="21"/>
                <w:szCs w:val="21"/>
              </w:rPr>
            </w:pPr>
          </w:p>
        </w:tc>
        <w:tc>
          <w:tcPr>
            <w:tcW w:w="731"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r>
              <w:rPr>
                <w:rFonts w:hint="eastAsia" w:hAnsi="宋体" w:cs="宋体"/>
                <w:color w:val="auto"/>
                <w:sz w:val="21"/>
                <w:szCs w:val="21"/>
              </w:rPr>
              <w:t>8-10分</w:t>
            </w:r>
          </w:p>
        </w:tc>
        <w:tc>
          <w:tcPr>
            <w:tcW w:w="764"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r>
              <w:rPr>
                <w:rFonts w:hint="eastAsia" w:hAnsi="宋体" w:cs="宋体"/>
                <w:color w:val="auto"/>
                <w:sz w:val="21"/>
                <w:szCs w:val="21"/>
              </w:rPr>
              <w:t>5-7分</w:t>
            </w:r>
          </w:p>
        </w:tc>
        <w:tc>
          <w:tcPr>
            <w:tcW w:w="995"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r>
              <w:rPr>
                <w:rFonts w:hint="eastAsia" w:hAnsi="宋体" w:cs="宋体"/>
                <w:color w:val="auto"/>
                <w:sz w:val="21"/>
                <w:szCs w:val="21"/>
              </w:rPr>
              <w:t>5分以下</w:t>
            </w:r>
          </w:p>
        </w:tc>
        <w:tc>
          <w:tcPr>
            <w:tcW w:w="764" w:type="dxa"/>
            <w:vMerge w:val="continue"/>
            <w:tcBorders>
              <w:top w:val="single" w:color="auto" w:sz="8" w:space="0"/>
              <w:left w:val="single" w:color="auto" w:sz="8" w:space="0"/>
              <w:bottom w:val="single" w:color="auto" w:sz="8" w:space="0"/>
              <w:right w:val="single" w:color="auto" w:sz="8" w:space="0"/>
            </w:tcBorders>
            <w:vAlign w:val="center"/>
          </w:tcPr>
          <w:p>
            <w:pPr>
              <w:rPr>
                <w:rFonts w:hAnsi="宋体" w:cs="宋体"/>
                <w:color w:val="auto"/>
                <w:sz w:val="21"/>
                <w:szCs w:val="21"/>
              </w:rPr>
            </w:pPr>
          </w:p>
        </w:tc>
      </w:tr>
      <w:tr>
        <w:trPr>
          <w:trHeight w:val="55" w:hRule="atLeast"/>
        </w:trPr>
        <w:tc>
          <w:tcPr>
            <w:tcW w:w="1084"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r>
              <w:rPr>
                <w:rFonts w:hint="eastAsia" w:hAnsi="宋体" w:cs="宋体"/>
                <w:color w:val="auto"/>
                <w:sz w:val="21"/>
                <w:szCs w:val="21"/>
              </w:rPr>
              <w:t>一、送货时间</w:t>
            </w:r>
          </w:p>
        </w:tc>
        <w:tc>
          <w:tcPr>
            <w:tcW w:w="559"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r>
              <w:rPr>
                <w:rFonts w:hint="eastAsia" w:hAnsi="宋体" w:cs="宋体"/>
                <w:color w:val="auto"/>
                <w:sz w:val="21"/>
                <w:szCs w:val="21"/>
              </w:rPr>
              <w:t>10</w:t>
            </w:r>
          </w:p>
        </w:tc>
        <w:tc>
          <w:tcPr>
            <w:tcW w:w="3913" w:type="dxa"/>
            <w:tcBorders>
              <w:top w:val="single" w:color="auto" w:sz="8" w:space="0"/>
              <w:left w:val="single" w:color="auto" w:sz="8" w:space="0"/>
              <w:bottom w:val="single" w:color="auto" w:sz="8" w:space="0"/>
              <w:right w:val="single" w:color="auto" w:sz="8" w:space="0"/>
            </w:tcBorders>
            <w:vAlign w:val="center"/>
          </w:tcPr>
          <w:p>
            <w:pPr>
              <w:jc w:val="both"/>
              <w:rPr>
                <w:rFonts w:hAnsi="宋体" w:cs="宋体"/>
                <w:color w:val="auto"/>
                <w:sz w:val="21"/>
                <w:szCs w:val="21"/>
              </w:rPr>
            </w:pPr>
            <w:r>
              <w:rPr>
                <w:rFonts w:hint="eastAsia" w:hAnsi="宋体" w:cs="宋体"/>
                <w:color w:val="auto"/>
                <w:sz w:val="21"/>
                <w:szCs w:val="21"/>
              </w:rPr>
              <w:t>非不可抗拒情况下：本月内每次送货准时得8-10分；本月内2次不准时但能与食堂方及时沟通得5-7分，不沟通或沟通不及时3次得5分以下。</w:t>
            </w:r>
          </w:p>
        </w:tc>
        <w:tc>
          <w:tcPr>
            <w:tcW w:w="731"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p>
        </w:tc>
        <w:tc>
          <w:tcPr>
            <w:tcW w:w="764"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p>
        </w:tc>
        <w:tc>
          <w:tcPr>
            <w:tcW w:w="995"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p>
        </w:tc>
        <w:tc>
          <w:tcPr>
            <w:tcW w:w="764"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p>
        </w:tc>
      </w:tr>
      <w:tr>
        <w:tblPrEx>
          <w:tblCellMar>
            <w:top w:w="0" w:type="dxa"/>
            <w:left w:w="108" w:type="dxa"/>
            <w:bottom w:w="0" w:type="dxa"/>
            <w:right w:w="108" w:type="dxa"/>
          </w:tblCellMar>
        </w:tblPrEx>
        <w:trPr>
          <w:trHeight w:val="327" w:hRule="atLeast"/>
        </w:trPr>
        <w:tc>
          <w:tcPr>
            <w:tcW w:w="1084"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r>
              <w:rPr>
                <w:rFonts w:hint="eastAsia" w:hAnsi="宋体" w:cs="宋体"/>
                <w:color w:val="auto"/>
                <w:sz w:val="21"/>
                <w:szCs w:val="21"/>
              </w:rPr>
              <w:t>二、服务态度</w:t>
            </w:r>
          </w:p>
        </w:tc>
        <w:tc>
          <w:tcPr>
            <w:tcW w:w="559"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r>
              <w:rPr>
                <w:rFonts w:hint="eastAsia" w:hAnsi="宋体" w:cs="宋体"/>
                <w:color w:val="auto"/>
                <w:sz w:val="21"/>
                <w:szCs w:val="21"/>
              </w:rPr>
              <w:t>10</w:t>
            </w:r>
          </w:p>
        </w:tc>
        <w:tc>
          <w:tcPr>
            <w:tcW w:w="3913" w:type="dxa"/>
            <w:tcBorders>
              <w:top w:val="single" w:color="auto" w:sz="8" w:space="0"/>
              <w:left w:val="single" w:color="auto" w:sz="8" w:space="0"/>
              <w:bottom w:val="single" w:color="auto" w:sz="8" w:space="0"/>
              <w:right w:val="single" w:color="auto" w:sz="8" w:space="0"/>
            </w:tcBorders>
            <w:vAlign w:val="center"/>
          </w:tcPr>
          <w:p>
            <w:pPr>
              <w:jc w:val="both"/>
              <w:rPr>
                <w:rFonts w:hAnsi="宋体" w:cs="宋体"/>
                <w:color w:val="auto"/>
                <w:sz w:val="21"/>
                <w:szCs w:val="21"/>
              </w:rPr>
            </w:pPr>
            <w:r>
              <w:rPr>
                <w:rFonts w:hint="eastAsia" w:hAnsi="宋体" w:cs="宋体"/>
                <w:color w:val="auto"/>
                <w:sz w:val="21"/>
                <w:szCs w:val="21"/>
              </w:rPr>
              <w:t>工作人员工作认真，服务热情周到，运送搬装文明得8-10分；本月内发现因搬装等原因造成食物污染、破损2次得5-7分；发生3次以上情况5分以下。</w:t>
            </w:r>
          </w:p>
        </w:tc>
        <w:tc>
          <w:tcPr>
            <w:tcW w:w="731"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p>
        </w:tc>
        <w:tc>
          <w:tcPr>
            <w:tcW w:w="764"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p>
        </w:tc>
        <w:tc>
          <w:tcPr>
            <w:tcW w:w="995"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p>
        </w:tc>
        <w:tc>
          <w:tcPr>
            <w:tcW w:w="764"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p>
        </w:tc>
      </w:tr>
      <w:tr>
        <w:trPr>
          <w:trHeight w:val="159" w:hRule="atLeast"/>
        </w:trPr>
        <w:tc>
          <w:tcPr>
            <w:tcW w:w="1084"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r>
              <w:rPr>
                <w:rFonts w:hint="eastAsia" w:hAnsi="宋体" w:cs="宋体"/>
                <w:color w:val="auto"/>
                <w:sz w:val="21"/>
                <w:szCs w:val="21"/>
              </w:rPr>
              <w:t>三、差错情况</w:t>
            </w:r>
          </w:p>
        </w:tc>
        <w:tc>
          <w:tcPr>
            <w:tcW w:w="559"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r>
              <w:rPr>
                <w:rFonts w:hint="eastAsia" w:hAnsi="宋体" w:cs="宋体"/>
                <w:color w:val="auto"/>
                <w:sz w:val="21"/>
                <w:szCs w:val="21"/>
              </w:rPr>
              <w:t>10</w:t>
            </w:r>
          </w:p>
        </w:tc>
        <w:tc>
          <w:tcPr>
            <w:tcW w:w="3913" w:type="dxa"/>
            <w:tcBorders>
              <w:top w:val="single" w:color="auto" w:sz="8" w:space="0"/>
              <w:left w:val="single" w:color="auto" w:sz="8" w:space="0"/>
              <w:bottom w:val="single" w:color="auto" w:sz="8" w:space="0"/>
              <w:right w:val="single" w:color="auto" w:sz="8" w:space="0"/>
            </w:tcBorders>
            <w:vAlign w:val="center"/>
          </w:tcPr>
          <w:p>
            <w:pPr>
              <w:jc w:val="both"/>
              <w:rPr>
                <w:rFonts w:hAnsi="宋体" w:cs="宋体"/>
                <w:color w:val="auto"/>
                <w:sz w:val="21"/>
                <w:szCs w:val="21"/>
              </w:rPr>
            </w:pPr>
            <w:r>
              <w:rPr>
                <w:rFonts w:hint="eastAsia" w:hAnsi="宋体" w:cs="宋体"/>
                <w:color w:val="auto"/>
                <w:sz w:val="21"/>
                <w:szCs w:val="21"/>
              </w:rPr>
              <w:t>本月内每次送货无差错得8-10分；有2次差错但能及时补救得5-7分；4次出错且补救不及时5分以下。</w:t>
            </w:r>
          </w:p>
        </w:tc>
        <w:tc>
          <w:tcPr>
            <w:tcW w:w="731"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p>
        </w:tc>
        <w:tc>
          <w:tcPr>
            <w:tcW w:w="764"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p>
        </w:tc>
        <w:tc>
          <w:tcPr>
            <w:tcW w:w="995"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p>
        </w:tc>
        <w:tc>
          <w:tcPr>
            <w:tcW w:w="764"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p>
        </w:tc>
      </w:tr>
      <w:tr>
        <w:tblPrEx>
          <w:tblCellMar>
            <w:top w:w="0" w:type="dxa"/>
            <w:left w:w="108" w:type="dxa"/>
            <w:bottom w:w="0" w:type="dxa"/>
            <w:right w:w="108" w:type="dxa"/>
          </w:tblCellMar>
        </w:tblPrEx>
        <w:trPr>
          <w:trHeight w:val="90" w:hRule="atLeast"/>
        </w:trPr>
        <w:tc>
          <w:tcPr>
            <w:tcW w:w="1084"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r>
              <w:rPr>
                <w:rFonts w:hint="eastAsia" w:hAnsi="宋体" w:cs="宋体"/>
                <w:color w:val="auto"/>
                <w:sz w:val="21"/>
                <w:szCs w:val="21"/>
              </w:rPr>
              <w:t>四、足斤足两</w:t>
            </w:r>
          </w:p>
        </w:tc>
        <w:tc>
          <w:tcPr>
            <w:tcW w:w="559"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r>
              <w:rPr>
                <w:rFonts w:hint="eastAsia" w:hAnsi="宋体" w:cs="宋体"/>
                <w:color w:val="auto"/>
                <w:sz w:val="21"/>
                <w:szCs w:val="21"/>
              </w:rPr>
              <w:t>10</w:t>
            </w:r>
          </w:p>
        </w:tc>
        <w:tc>
          <w:tcPr>
            <w:tcW w:w="3913" w:type="dxa"/>
            <w:tcBorders>
              <w:top w:val="single" w:color="auto" w:sz="8" w:space="0"/>
              <w:left w:val="single" w:color="auto" w:sz="8" w:space="0"/>
              <w:bottom w:val="single" w:color="auto" w:sz="8" w:space="0"/>
              <w:right w:val="single" w:color="auto" w:sz="8" w:space="0"/>
            </w:tcBorders>
            <w:vAlign w:val="center"/>
          </w:tcPr>
          <w:p>
            <w:pPr>
              <w:jc w:val="both"/>
              <w:rPr>
                <w:rFonts w:hAnsi="宋体" w:cs="宋体"/>
                <w:color w:val="auto"/>
                <w:sz w:val="21"/>
                <w:szCs w:val="21"/>
              </w:rPr>
            </w:pPr>
            <w:r>
              <w:rPr>
                <w:rFonts w:hint="eastAsia" w:hAnsi="宋体" w:cs="宋体"/>
                <w:color w:val="auto"/>
                <w:sz w:val="21"/>
                <w:szCs w:val="21"/>
              </w:rPr>
              <w:t>本月内送货没有出现短斤缺两现象得8-10分；2次出现短近缺两但能及时更正得5-7分；上述情况发生且不能及时更正3次得5分以下。</w:t>
            </w:r>
          </w:p>
        </w:tc>
        <w:tc>
          <w:tcPr>
            <w:tcW w:w="731"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p>
        </w:tc>
        <w:tc>
          <w:tcPr>
            <w:tcW w:w="764"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p>
        </w:tc>
        <w:tc>
          <w:tcPr>
            <w:tcW w:w="995"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p>
        </w:tc>
        <w:tc>
          <w:tcPr>
            <w:tcW w:w="764"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p>
        </w:tc>
      </w:tr>
      <w:tr>
        <w:tblPrEx>
          <w:tblCellMar>
            <w:top w:w="0" w:type="dxa"/>
            <w:left w:w="108" w:type="dxa"/>
            <w:bottom w:w="0" w:type="dxa"/>
            <w:right w:w="108" w:type="dxa"/>
          </w:tblCellMar>
        </w:tblPrEx>
        <w:trPr>
          <w:trHeight w:val="1092" w:hRule="atLeast"/>
        </w:trPr>
        <w:tc>
          <w:tcPr>
            <w:tcW w:w="1084"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r>
              <w:rPr>
                <w:rFonts w:hint="eastAsia" w:hAnsi="宋体" w:cs="宋体"/>
                <w:color w:val="auto"/>
                <w:sz w:val="21"/>
                <w:szCs w:val="21"/>
              </w:rPr>
              <w:t>五、价格与质量合理性</w:t>
            </w:r>
          </w:p>
        </w:tc>
        <w:tc>
          <w:tcPr>
            <w:tcW w:w="559"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r>
              <w:rPr>
                <w:rFonts w:hint="eastAsia" w:hAnsi="宋体" w:cs="宋体"/>
                <w:color w:val="auto"/>
                <w:sz w:val="21"/>
                <w:szCs w:val="21"/>
              </w:rPr>
              <w:t>10</w:t>
            </w:r>
          </w:p>
        </w:tc>
        <w:tc>
          <w:tcPr>
            <w:tcW w:w="3913" w:type="dxa"/>
            <w:tcBorders>
              <w:top w:val="single" w:color="auto" w:sz="8" w:space="0"/>
              <w:left w:val="single" w:color="auto" w:sz="8" w:space="0"/>
              <w:bottom w:val="single" w:color="auto" w:sz="8" w:space="0"/>
              <w:right w:val="single" w:color="auto" w:sz="8" w:space="0"/>
            </w:tcBorders>
            <w:vAlign w:val="center"/>
          </w:tcPr>
          <w:p>
            <w:pPr>
              <w:jc w:val="both"/>
              <w:rPr>
                <w:rFonts w:hAnsi="宋体" w:cs="宋体"/>
                <w:color w:val="auto"/>
                <w:sz w:val="21"/>
                <w:szCs w:val="21"/>
              </w:rPr>
            </w:pPr>
            <w:r>
              <w:rPr>
                <w:rFonts w:hint="eastAsia" w:hAnsi="宋体" w:cs="宋体"/>
                <w:color w:val="auto"/>
                <w:sz w:val="21"/>
                <w:szCs w:val="21"/>
              </w:rPr>
              <w:t>按照菜篮子价格与指定市场的同等价格品种的质量相比较，价格合理下浮得8-10分；对比市场价，价格有偏高20％，得5-7分；价格高于市场价30％，得5分以下。</w:t>
            </w:r>
          </w:p>
        </w:tc>
        <w:tc>
          <w:tcPr>
            <w:tcW w:w="731"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p>
        </w:tc>
        <w:tc>
          <w:tcPr>
            <w:tcW w:w="764"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p>
        </w:tc>
        <w:tc>
          <w:tcPr>
            <w:tcW w:w="995"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p>
        </w:tc>
        <w:tc>
          <w:tcPr>
            <w:tcW w:w="764"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p>
        </w:tc>
      </w:tr>
      <w:tr>
        <w:tblPrEx>
          <w:tblCellMar>
            <w:top w:w="0" w:type="dxa"/>
            <w:left w:w="108" w:type="dxa"/>
            <w:bottom w:w="0" w:type="dxa"/>
            <w:right w:w="108" w:type="dxa"/>
          </w:tblCellMar>
        </w:tblPrEx>
        <w:trPr>
          <w:trHeight w:val="1208" w:hRule="atLeast"/>
        </w:trPr>
        <w:tc>
          <w:tcPr>
            <w:tcW w:w="1084"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r>
              <w:rPr>
                <w:rFonts w:hint="eastAsia" w:hAnsi="宋体" w:cs="宋体"/>
                <w:color w:val="auto"/>
                <w:sz w:val="21"/>
                <w:szCs w:val="21"/>
              </w:rPr>
              <w:t>六、质量服务</w:t>
            </w:r>
          </w:p>
        </w:tc>
        <w:tc>
          <w:tcPr>
            <w:tcW w:w="559"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r>
              <w:rPr>
                <w:rFonts w:hint="eastAsia" w:hAnsi="宋体" w:cs="宋体"/>
                <w:color w:val="auto"/>
                <w:sz w:val="21"/>
                <w:szCs w:val="21"/>
              </w:rPr>
              <w:t>10</w:t>
            </w:r>
          </w:p>
        </w:tc>
        <w:tc>
          <w:tcPr>
            <w:tcW w:w="3913" w:type="dxa"/>
            <w:tcBorders>
              <w:top w:val="single" w:color="auto" w:sz="8" w:space="0"/>
              <w:left w:val="single" w:color="auto" w:sz="8" w:space="0"/>
              <w:bottom w:val="single" w:color="auto" w:sz="8" w:space="0"/>
              <w:right w:val="single" w:color="auto" w:sz="8" w:space="0"/>
            </w:tcBorders>
            <w:vAlign w:val="center"/>
          </w:tcPr>
          <w:p>
            <w:pPr>
              <w:jc w:val="both"/>
              <w:rPr>
                <w:rFonts w:hAnsi="宋体" w:cs="宋体"/>
                <w:color w:val="auto"/>
                <w:sz w:val="21"/>
                <w:szCs w:val="21"/>
              </w:rPr>
            </w:pPr>
            <w:r>
              <w:rPr>
                <w:rFonts w:hint="eastAsia" w:hAnsi="宋体" w:cs="宋体"/>
                <w:color w:val="auto"/>
                <w:sz w:val="21"/>
                <w:szCs w:val="21"/>
              </w:rPr>
              <w:t>所供商品经过挑选后利用率达到98%得 8-10分，本月内3次发现商品利用率在 97%-90%，得5-7分；4次发现未经挑选并有腐烂情况的质量问题得5分以下。</w:t>
            </w:r>
          </w:p>
        </w:tc>
        <w:tc>
          <w:tcPr>
            <w:tcW w:w="731"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p>
        </w:tc>
        <w:tc>
          <w:tcPr>
            <w:tcW w:w="764"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p>
        </w:tc>
        <w:tc>
          <w:tcPr>
            <w:tcW w:w="995"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p>
        </w:tc>
        <w:tc>
          <w:tcPr>
            <w:tcW w:w="764"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p>
        </w:tc>
      </w:tr>
      <w:tr>
        <w:tblPrEx>
          <w:tblCellMar>
            <w:top w:w="0" w:type="dxa"/>
            <w:left w:w="108" w:type="dxa"/>
            <w:bottom w:w="0" w:type="dxa"/>
            <w:right w:w="108" w:type="dxa"/>
          </w:tblCellMar>
        </w:tblPrEx>
        <w:trPr>
          <w:trHeight w:val="1098" w:hRule="atLeast"/>
        </w:trPr>
        <w:tc>
          <w:tcPr>
            <w:tcW w:w="1084"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r>
              <w:rPr>
                <w:rFonts w:hint="eastAsia" w:hAnsi="宋体" w:cs="宋体"/>
                <w:color w:val="auto"/>
                <w:sz w:val="21"/>
                <w:szCs w:val="21"/>
              </w:rPr>
              <w:t>七、品牌意识</w:t>
            </w:r>
          </w:p>
        </w:tc>
        <w:tc>
          <w:tcPr>
            <w:tcW w:w="559"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r>
              <w:rPr>
                <w:rFonts w:hint="eastAsia" w:hAnsi="宋体" w:cs="宋体"/>
                <w:color w:val="auto"/>
                <w:sz w:val="21"/>
                <w:szCs w:val="21"/>
              </w:rPr>
              <w:t>10</w:t>
            </w:r>
          </w:p>
        </w:tc>
        <w:tc>
          <w:tcPr>
            <w:tcW w:w="3913" w:type="dxa"/>
            <w:tcBorders>
              <w:top w:val="single" w:color="auto" w:sz="8" w:space="0"/>
              <w:left w:val="single" w:color="auto" w:sz="8" w:space="0"/>
              <w:bottom w:val="single" w:color="auto" w:sz="8" w:space="0"/>
              <w:right w:val="single" w:color="auto" w:sz="8" w:space="0"/>
            </w:tcBorders>
            <w:vAlign w:val="center"/>
          </w:tcPr>
          <w:p>
            <w:pPr>
              <w:jc w:val="both"/>
              <w:rPr>
                <w:rFonts w:hAnsi="宋体" w:cs="宋体"/>
                <w:color w:val="auto"/>
                <w:sz w:val="21"/>
                <w:szCs w:val="21"/>
              </w:rPr>
            </w:pPr>
            <w:r>
              <w:rPr>
                <w:rFonts w:hint="eastAsia" w:hAnsi="宋体" w:cs="宋体"/>
                <w:color w:val="auto"/>
                <w:sz w:val="21"/>
                <w:szCs w:val="21"/>
              </w:rPr>
              <w:t>按食堂发出的订单品种采购，无擅自更换商品品种现象8-10分；本月内发现有3次擅自更换商品品种现象得5-7分，发现 4次擅自更换商品品种现象得5分以下。</w:t>
            </w:r>
          </w:p>
        </w:tc>
        <w:tc>
          <w:tcPr>
            <w:tcW w:w="731"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p>
        </w:tc>
        <w:tc>
          <w:tcPr>
            <w:tcW w:w="764"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p>
        </w:tc>
        <w:tc>
          <w:tcPr>
            <w:tcW w:w="995"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p>
        </w:tc>
        <w:tc>
          <w:tcPr>
            <w:tcW w:w="764"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p>
        </w:tc>
      </w:tr>
      <w:tr>
        <w:tblPrEx>
          <w:tblCellMar>
            <w:top w:w="0" w:type="dxa"/>
            <w:left w:w="108" w:type="dxa"/>
            <w:bottom w:w="0" w:type="dxa"/>
            <w:right w:w="108" w:type="dxa"/>
          </w:tblCellMar>
        </w:tblPrEx>
        <w:trPr>
          <w:trHeight w:val="1072" w:hRule="atLeast"/>
        </w:trPr>
        <w:tc>
          <w:tcPr>
            <w:tcW w:w="1084"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r>
              <w:rPr>
                <w:rFonts w:hint="eastAsia" w:hAnsi="宋体" w:cs="宋体"/>
                <w:color w:val="auto"/>
                <w:sz w:val="21"/>
                <w:szCs w:val="21"/>
              </w:rPr>
              <w:t>八、联系制度</w:t>
            </w:r>
          </w:p>
        </w:tc>
        <w:tc>
          <w:tcPr>
            <w:tcW w:w="559"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r>
              <w:rPr>
                <w:rFonts w:hint="eastAsia" w:hAnsi="宋体" w:cs="宋体"/>
                <w:color w:val="auto"/>
                <w:sz w:val="21"/>
                <w:szCs w:val="21"/>
              </w:rPr>
              <w:t>10</w:t>
            </w:r>
          </w:p>
        </w:tc>
        <w:tc>
          <w:tcPr>
            <w:tcW w:w="3913" w:type="dxa"/>
            <w:tcBorders>
              <w:top w:val="single" w:color="auto" w:sz="8" w:space="0"/>
              <w:left w:val="single" w:color="auto" w:sz="8" w:space="0"/>
              <w:bottom w:val="single" w:color="auto" w:sz="8" w:space="0"/>
              <w:right w:val="single" w:color="auto" w:sz="8" w:space="0"/>
            </w:tcBorders>
            <w:vAlign w:val="center"/>
          </w:tcPr>
          <w:p>
            <w:pPr>
              <w:jc w:val="both"/>
              <w:rPr>
                <w:rFonts w:hAnsi="宋体" w:cs="宋体"/>
                <w:color w:val="auto"/>
                <w:sz w:val="21"/>
                <w:szCs w:val="21"/>
              </w:rPr>
            </w:pPr>
            <w:r>
              <w:rPr>
                <w:rFonts w:hint="eastAsia" w:hAnsi="宋体" w:cs="宋体"/>
                <w:color w:val="auto"/>
                <w:sz w:val="21"/>
                <w:szCs w:val="21"/>
              </w:rPr>
              <w:t>更换商品前，与食堂联系并谈妥商事项，得8-10分；本月内2次更改商品单方定价得5-7分；本月内3次出现更改商品单方定价得5分以下。</w:t>
            </w:r>
          </w:p>
        </w:tc>
        <w:tc>
          <w:tcPr>
            <w:tcW w:w="731"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p>
        </w:tc>
        <w:tc>
          <w:tcPr>
            <w:tcW w:w="764"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p>
        </w:tc>
        <w:tc>
          <w:tcPr>
            <w:tcW w:w="995"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p>
        </w:tc>
        <w:tc>
          <w:tcPr>
            <w:tcW w:w="764"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p>
        </w:tc>
      </w:tr>
      <w:tr>
        <w:tblPrEx>
          <w:tblCellMar>
            <w:top w:w="0" w:type="dxa"/>
            <w:left w:w="108" w:type="dxa"/>
            <w:bottom w:w="0" w:type="dxa"/>
            <w:right w:w="108" w:type="dxa"/>
          </w:tblCellMar>
        </w:tblPrEx>
        <w:trPr>
          <w:trHeight w:val="59" w:hRule="atLeast"/>
        </w:trPr>
        <w:tc>
          <w:tcPr>
            <w:tcW w:w="1084"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r>
              <w:rPr>
                <w:rFonts w:hint="eastAsia" w:hAnsi="宋体" w:cs="宋体"/>
                <w:color w:val="auto"/>
                <w:sz w:val="21"/>
                <w:szCs w:val="21"/>
              </w:rPr>
              <w:t>九、跟踪随访</w:t>
            </w:r>
          </w:p>
        </w:tc>
        <w:tc>
          <w:tcPr>
            <w:tcW w:w="559"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r>
              <w:rPr>
                <w:rFonts w:hint="eastAsia" w:hAnsi="宋体" w:cs="宋体"/>
                <w:color w:val="auto"/>
                <w:sz w:val="21"/>
                <w:szCs w:val="21"/>
              </w:rPr>
              <w:t>10</w:t>
            </w:r>
          </w:p>
        </w:tc>
        <w:tc>
          <w:tcPr>
            <w:tcW w:w="3913" w:type="dxa"/>
            <w:tcBorders>
              <w:top w:val="single" w:color="auto" w:sz="8" w:space="0"/>
              <w:left w:val="single" w:color="auto" w:sz="8" w:space="0"/>
              <w:bottom w:val="single" w:color="auto" w:sz="8" w:space="0"/>
              <w:right w:val="single" w:color="auto" w:sz="8" w:space="0"/>
            </w:tcBorders>
            <w:vAlign w:val="center"/>
          </w:tcPr>
          <w:p>
            <w:pPr>
              <w:jc w:val="both"/>
              <w:rPr>
                <w:rFonts w:hAnsi="宋体" w:cs="宋体"/>
                <w:color w:val="auto"/>
                <w:sz w:val="21"/>
                <w:szCs w:val="21"/>
              </w:rPr>
            </w:pPr>
            <w:r>
              <w:rPr>
                <w:rFonts w:hint="eastAsia" w:hAnsi="宋体" w:cs="宋体"/>
                <w:color w:val="auto"/>
                <w:sz w:val="21"/>
                <w:szCs w:val="21"/>
              </w:rPr>
              <w:t>供货商能主动到食堂随访，倾听食堂意见，每月2次得8-10分，供货商每月回访食堂1次得5-0分。</w:t>
            </w:r>
          </w:p>
        </w:tc>
        <w:tc>
          <w:tcPr>
            <w:tcW w:w="731"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p>
        </w:tc>
        <w:tc>
          <w:tcPr>
            <w:tcW w:w="764"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p>
        </w:tc>
        <w:tc>
          <w:tcPr>
            <w:tcW w:w="995"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p>
        </w:tc>
        <w:tc>
          <w:tcPr>
            <w:tcW w:w="764"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p>
        </w:tc>
      </w:tr>
      <w:tr>
        <w:trPr>
          <w:trHeight w:val="879" w:hRule="atLeast"/>
        </w:trPr>
        <w:tc>
          <w:tcPr>
            <w:tcW w:w="1084"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r>
              <w:rPr>
                <w:rFonts w:hint="eastAsia" w:hAnsi="宋体" w:cs="宋体"/>
                <w:color w:val="auto"/>
                <w:sz w:val="21"/>
                <w:szCs w:val="21"/>
              </w:rPr>
              <w:t>十、检测资料</w:t>
            </w:r>
          </w:p>
        </w:tc>
        <w:tc>
          <w:tcPr>
            <w:tcW w:w="559"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r>
              <w:rPr>
                <w:rFonts w:hint="eastAsia" w:hAnsi="宋体" w:cs="宋体"/>
                <w:color w:val="auto"/>
                <w:sz w:val="21"/>
                <w:szCs w:val="21"/>
              </w:rPr>
              <w:t>10</w:t>
            </w:r>
          </w:p>
        </w:tc>
        <w:tc>
          <w:tcPr>
            <w:tcW w:w="3913" w:type="dxa"/>
            <w:tcBorders>
              <w:top w:val="single" w:color="auto" w:sz="8" w:space="0"/>
              <w:left w:val="single" w:color="auto" w:sz="8" w:space="0"/>
              <w:bottom w:val="single" w:color="auto" w:sz="8" w:space="0"/>
              <w:right w:val="single" w:color="auto" w:sz="8" w:space="0"/>
            </w:tcBorders>
            <w:vAlign w:val="center"/>
          </w:tcPr>
          <w:p>
            <w:pPr>
              <w:jc w:val="both"/>
              <w:rPr>
                <w:rFonts w:hAnsi="宋体" w:cs="宋体"/>
                <w:color w:val="auto"/>
                <w:sz w:val="21"/>
                <w:szCs w:val="21"/>
              </w:rPr>
            </w:pPr>
            <w:r>
              <w:rPr>
                <w:rFonts w:hint="eastAsia" w:hAnsi="宋体" w:cs="宋体"/>
                <w:color w:val="auto"/>
                <w:sz w:val="21"/>
                <w:szCs w:val="21"/>
              </w:rPr>
              <w:t>本月内向食堂提供全部有关商品的检测资料得8-10分；遗漏2次但当月内可以及时补交的得5分，遗漏2次以上没有在当月份补充的得3分以下。</w:t>
            </w:r>
          </w:p>
        </w:tc>
        <w:tc>
          <w:tcPr>
            <w:tcW w:w="731"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p>
        </w:tc>
        <w:tc>
          <w:tcPr>
            <w:tcW w:w="764"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p>
        </w:tc>
        <w:tc>
          <w:tcPr>
            <w:tcW w:w="995"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p>
        </w:tc>
        <w:tc>
          <w:tcPr>
            <w:tcW w:w="764"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p>
        </w:tc>
      </w:tr>
      <w:tr>
        <w:trPr>
          <w:trHeight w:val="395" w:hRule="atLeast"/>
        </w:trPr>
        <w:tc>
          <w:tcPr>
            <w:tcW w:w="1643" w:type="dxa"/>
            <w:gridSpan w:val="2"/>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r>
              <w:rPr>
                <w:rFonts w:hint="eastAsia" w:hAnsi="宋体" w:cs="宋体"/>
                <w:color w:val="auto"/>
                <w:sz w:val="21"/>
                <w:szCs w:val="21"/>
              </w:rPr>
              <w:t>一票否决项</w:t>
            </w:r>
          </w:p>
        </w:tc>
        <w:tc>
          <w:tcPr>
            <w:tcW w:w="3913" w:type="dxa"/>
            <w:tcBorders>
              <w:top w:val="single" w:color="auto" w:sz="8" w:space="0"/>
              <w:left w:val="single" w:color="auto" w:sz="8" w:space="0"/>
              <w:bottom w:val="single" w:color="auto" w:sz="8" w:space="0"/>
              <w:right w:val="single" w:color="auto" w:sz="8" w:space="0"/>
            </w:tcBorders>
            <w:vAlign w:val="center"/>
          </w:tcPr>
          <w:p>
            <w:pPr>
              <w:jc w:val="both"/>
              <w:rPr>
                <w:rFonts w:hAnsi="宋体" w:cs="宋体"/>
                <w:color w:val="auto"/>
                <w:sz w:val="21"/>
                <w:szCs w:val="21"/>
              </w:rPr>
            </w:pPr>
            <w:r>
              <w:rPr>
                <w:rFonts w:hint="eastAsia" w:hAnsi="宋体" w:cs="宋体"/>
                <w:color w:val="auto"/>
                <w:sz w:val="21"/>
                <w:szCs w:val="21"/>
              </w:rPr>
              <w:t>1、食堂发现假冒伪劣、腐败变质、三无产品；2、商品由他人代送，经整改无效；3、要求检测的商品未经检测，且未按要求限时整改。</w:t>
            </w:r>
            <w:r>
              <w:rPr>
                <w:rFonts w:hint="eastAsia" w:hAnsi="宋体" w:cs="宋体"/>
                <w:color w:val="auto"/>
                <w:sz w:val="21"/>
                <w:szCs w:val="21"/>
                <w:lang w:val="en-US" w:eastAsia="zh-CN"/>
              </w:rPr>
              <w:t>4.配送食材经有资质单位检测出超出国家相关标准的，且未按要求限时整改。</w:t>
            </w:r>
          </w:p>
        </w:tc>
        <w:tc>
          <w:tcPr>
            <w:tcW w:w="3254" w:type="dxa"/>
            <w:gridSpan w:val="4"/>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p>
        </w:tc>
      </w:tr>
      <w:tr>
        <w:tblPrEx>
          <w:tblCellMar>
            <w:top w:w="0" w:type="dxa"/>
            <w:left w:w="108" w:type="dxa"/>
            <w:bottom w:w="0" w:type="dxa"/>
            <w:right w:w="108" w:type="dxa"/>
          </w:tblCellMar>
        </w:tblPrEx>
        <w:trPr>
          <w:trHeight w:val="285" w:hRule="atLeast"/>
        </w:trPr>
        <w:tc>
          <w:tcPr>
            <w:tcW w:w="8046" w:type="dxa"/>
            <w:gridSpan w:val="6"/>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r>
              <w:rPr>
                <w:rFonts w:hint="eastAsia" w:hAnsi="宋体" w:cs="宋体"/>
                <w:color w:val="auto"/>
                <w:sz w:val="21"/>
                <w:szCs w:val="21"/>
              </w:rPr>
              <w:t>总分</w:t>
            </w:r>
          </w:p>
        </w:tc>
        <w:tc>
          <w:tcPr>
            <w:tcW w:w="764"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p>
        </w:tc>
      </w:tr>
      <w:tr>
        <w:tblPrEx>
          <w:tblCellMar>
            <w:top w:w="0" w:type="dxa"/>
            <w:left w:w="108" w:type="dxa"/>
            <w:bottom w:w="0" w:type="dxa"/>
            <w:right w:w="108" w:type="dxa"/>
          </w:tblCellMar>
        </w:tblPrEx>
        <w:trPr>
          <w:trHeight w:val="285" w:hRule="atLeast"/>
        </w:trPr>
        <w:tc>
          <w:tcPr>
            <w:tcW w:w="5556" w:type="dxa"/>
            <w:gridSpan w:val="3"/>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r>
              <w:rPr>
                <w:rFonts w:hint="eastAsia" w:hAnsi="宋体" w:cs="宋体"/>
                <w:color w:val="auto"/>
                <w:sz w:val="21"/>
                <w:szCs w:val="21"/>
              </w:rPr>
              <w:t>考核结果：</w:t>
            </w:r>
          </w:p>
        </w:tc>
        <w:tc>
          <w:tcPr>
            <w:tcW w:w="731"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r>
              <w:rPr>
                <w:rFonts w:hint="eastAsia" w:hAnsi="宋体" w:cs="宋体"/>
                <w:color w:val="auto"/>
                <w:sz w:val="21"/>
                <w:szCs w:val="21"/>
              </w:rPr>
              <w:t>合格</w:t>
            </w:r>
          </w:p>
        </w:tc>
        <w:tc>
          <w:tcPr>
            <w:tcW w:w="764"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p>
        </w:tc>
        <w:tc>
          <w:tcPr>
            <w:tcW w:w="995"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r>
              <w:rPr>
                <w:rFonts w:hint="eastAsia" w:hAnsi="宋体" w:cs="宋体"/>
                <w:color w:val="auto"/>
                <w:sz w:val="21"/>
                <w:szCs w:val="21"/>
              </w:rPr>
              <w:t>不合格</w:t>
            </w:r>
          </w:p>
        </w:tc>
        <w:tc>
          <w:tcPr>
            <w:tcW w:w="764"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p>
        </w:tc>
      </w:tr>
      <w:tr>
        <w:tblPrEx>
          <w:tblCellMar>
            <w:top w:w="0" w:type="dxa"/>
            <w:left w:w="108" w:type="dxa"/>
            <w:bottom w:w="0" w:type="dxa"/>
            <w:right w:w="108" w:type="dxa"/>
          </w:tblCellMar>
        </w:tblPrEx>
        <w:trPr>
          <w:trHeight w:val="285" w:hRule="atLeast"/>
        </w:trPr>
        <w:tc>
          <w:tcPr>
            <w:tcW w:w="8810" w:type="dxa"/>
            <w:gridSpan w:val="7"/>
            <w:tcBorders>
              <w:top w:val="single" w:color="auto" w:sz="8" w:space="0"/>
              <w:left w:val="single" w:color="auto" w:sz="8" w:space="0"/>
              <w:bottom w:val="single" w:color="auto" w:sz="8" w:space="0"/>
              <w:right w:val="single" w:color="auto" w:sz="8" w:space="0"/>
            </w:tcBorders>
            <w:vAlign w:val="center"/>
          </w:tcPr>
          <w:p>
            <w:pPr>
              <w:jc w:val="both"/>
              <w:rPr>
                <w:rFonts w:hAnsi="宋体" w:cs="宋体"/>
                <w:color w:val="auto"/>
                <w:sz w:val="21"/>
                <w:szCs w:val="21"/>
              </w:rPr>
            </w:pPr>
            <w:r>
              <w:rPr>
                <w:rFonts w:hint="eastAsia" w:hAnsi="宋体" w:cs="宋体"/>
                <w:color w:val="auto"/>
                <w:sz w:val="21"/>
                <w:szCs w:val="21"/>
              </w:rPr>
              <w:t>评分人：                                            部门负责人：</w:t>
            </w:r>
          </w:p>
        </w:tc>
      </w:tr>
    </w:tbl>
    <w:p>
      <w:pPr>
        <w:pStyle w:val="147"/>
        <w:spacing w:line="360" w:lineRule="auto"/>
        <w:ind w:firstLine="0" w:firstLineChars="0"/>
        <w:jc w:val="both"/>
        <w:rPr>
          <w:rFonts w:hAnsi="宋体" w:cs="宋体"/>
          <w:color w:val="auto"/>
          <w:sz w:val="21"/>
          <w:szCs w:val="21"/>
          <w:lang w:val="en-US"/>
        </w:rPr>
      </w:pPr>
    </w:p>
    <w:p>
      <w:pPr>
        <w:pStyle w:val="147"/>
        <w:spacing w:line="360" w:lineRule="auto"/>
        <w:ind w:firstLine="0" w:firstLineChars="0"/>
        <w:jc w:val="both"/>
        <w:rPr>
          <w:rFonts w:hAnsi="宋体" w:cs="宋体"/>
          <w:color w:val="auto"/>
          <w:sz w:val="21"/>
          <w:szCs w:val="21"/>
          <w:lang w:val="en-US"/>
        </w:rPr>
      </w:pPr>
    </w:p>
    <w:p>
      <w:pPr>
        <w:pStyle w:val="147"/>
        <w:spacing w:line="360" w:lineRule="auto"/>
        <w:ind w:firstLine="0" w:firstLineChars="0"/>
        <w:jc w:val="both"/>
        <w:rPr>
          <w:rFonts w:hAnsi="宋体" w:cs="宋体"/>
          <w:color w:val="auto"/>
          <w:sz w:val="21"/>
          <w:szCs w:val="21"/>
          <w:lang w:val="en-US"/>
        </w:rPr>
      </w:pPr>
      <w:r>
        <w:rPr>
          <w:rFonts w:hint="eastAsia" w:hAnsi="宋体" w:cs="宋体"/>
          <w:color w:val="auto"/>
          <w:sz w:val="21"/>
          <w:szCs w:val="21"/>
          <w:lang w:val="en-US"/>
        </w:rPr>
        <w:br w:type="page"/>
      </w:r>
      <w:r>
        <w:rPr>
          <w:rFonts w:hint="eastAsia" w:hAnsi="宋体" w:cs="宋体"/>
          <w:b/>
          <w:color w:val="auto"/>
          <w:sz w:val="21"/>
          <w:szCs w:val="21"/>
          <w:lang w:val="en-US"/>
        </w:rPr>
        <w:t>附件3</w:t>
      </w:r>
    </w:p>
    <w:p>
      <w:pPr>
        <w:jc w:val="center"/>
        <w:rPr>
          <w:rFonts w:hAnsi="宋体" w:cs="宋体"/>
          <w:b/>
          <w:bCs/>
          <w:color w:val="auto"/>
          <w:szCs w:val="21"/>
        </w:rPr>
      </w:pPr>
      <w:r>
        <w:rPr>
          <w:rFonts w:hint="eastAsia" w:ascii="宋体" w:hAnsi="宋体" w:eastAsia="宋体" w:cs="宋体"/>
          <w:color w:val="auto"/>
          <w:sz w:val="28"/>
          <w:szCs w:val="28"/>
        </w:rPr>
        <w:t>食堂供应商考核登记表</w:t>
      </w:r>
    </w:p>
    <w:p>
      <w:pPr>
        <w:ind w:firstLine="240" w:firstLineChars="100"/>
        <w:rPr>
          <w:rFonts w:hint="eastAsia" w:ascii="宋体" w:hAnsi="宋体" w:eastAsia="宋体" w:cs="宋体"/>
          <w:color w:val="auto"/>
          <w:szCs w:val="21"/>
        </w:rPr>
      </w:pPr>
      <w:r>
        <w:rPr>
          <w:rFonts w:hint="eastAsia" w:ascii="宋体" w:hAnsi="宋体" w:eastAsia="宋体" w:cs="宋体"/>
          <w:color w:val="auto"/>
          <w:szCs w:val="21"/>
        </w:rPr>
        <w:t>考核单位：                                            考核日期：  年  月  日</w:t>
      </w:r>
    </w:p>
    <w:tbl>
      <w:tblPr>
        <w:tblStyle w:val="48"/>
        <w:tblW w:w="86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1"/>
        <w:gridCol w:w="1066"/>
        <w:gridCol w:w="3900"/>
        <w:gridCol w:w="1303"/>
        <w:gridCol w:w="14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jc w:val="center"/>
        </w:trPr>
        <w:tc>
          <w:tcPr>
            <w:tcW w:w="981" w:type="dxa"/>
            <w:vAlign w:val="center"/>
          </w:tcPr>
          <w:p>
            <w:pPr>
              <w:jc w:val="center"/>
              <w:rPr>
                <w:rFonts w:hint="eastAsia" w:ascii="宋体" w:hAnsi="宋体" w:eastAsia="宋体" w:cs="宋体"/>
                <w:bCs/>
                <w:color w:val="auto"/>
                <w:szCs w:val="21"/>
              </w:rPr>
            </w:pPr>
            <w:r>
              <w:rPr>
                <w:rFonts w:hint="eastAsia" w:ascii="宋体" w:hAnsi="宋体" w:eastAsia="宋体" w:cs="宋体"/>
                <w:bCs/>
                <w:color w:val="auto"/>
                <w:szCs w:val="21"/>
              </w:rPr>
              <w:t>供应商名称</w:t>
            </w:r>
          </w:p>
        </w:tc>
        <w:tc>
          <w:tcPr>
            <w:tcW w:w="4966" w:type="dxa"/>
            <w:gridSpan w:val="2"/>
            <w:vAlign w:val="center"/>
          </w:tcPr>
          <w:p>
            <w:pPr>
              <w:jc w:val="center"/>
              <w:rPr>
                <w:rFonts w:hint="eastAsia" w:ascii="宋体" w:hAnsi="宋体" w:eastAsia="宋体" w:cs="宋体"/>
                <w:bCs/>
                <w:color w:val="auto"/>
                <w:szCs w:val="21"/>
              </w:rPr>
            </w:pPr>
          </w:p>
        </w:tc>
        <w:tc>
          <w:tcPr>
            <w:tcW w:w="1303" w:type="dxa"/>
            <w:vAlign w:val="center"/>
          </w:tcPr>
          <w:p>
            <w:pPr>
              <w:jc w:val="center"/>
              <w:rPr>
                <w:rFonts w:hint="eastAsia" w:ascii="宋体" w:hAnsi="宋体" w:eastAsia="宋体" w:cs="宋体"/>
                <w:bCs/>
                <w:color w:val="auto"/>
                <w:szCs w:val="21"/>
              </w:rPr>
            </w:pPr>
            <w:r>
              <w:rPr>
                <w:rFonts w:hint="eastAsia" w:ascii="宋体" w:hAnsi="宋体" w:eastAsia="宋体" w:cs="宋体"/>
                <w:bCs/>
                <w:color w:val="auto"/>
                <w:szCs w:val="21"/>
              </w:rPr>
              <w:t>供应期限</w:t>
            </w:r>
          </w:p>
        </w:tc>
        <w:tc>
          <w:tcPr>
            <w:tcW w:w="1423" w:type="dxa"/>
            <w:vAlign w:val="center"/>
          </w:tcPr>
          <w:p>
            <w:pPr>
              <w:jc w:val="center"/>
              <w:rPr>
                <w:rFonts w:hint="eastAsia" w:ascii="宋体" w:hAnsi="宋体" w:eastAsia="宋体" w:cs="宋体"/>
                <w:b/>
                <w:bCs/>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jc w:val="center"/>
        </w:trPr>
        <w:tc>
          <w:tcPr>
            <w:tcW w:w="981" w:type="dxa"/>
            <w:vAlign w:val="center"/>
          </w:tcPr>
          <w:p>
            <w:pPr>
              <w:jc w:val="center"/>
              <w:rPr>
                <w:rFonts w:hint="eastAsia" w:ascii="宋体" w:hAnsi="宋体" w:eastAsia="宋体" w:cs="宋体"/>
                <w:bCs/>
                <w:color w:val="auto"/>
                <w:szCs w:val="21"/>
              </w:rPr>
            </w:pPr>
            <w:r>
              <w:rPr>
                <w:rFonts w:hint="eastAsia" w:ascii="宋体" w:hAnsi="宋体" w:eastAsia="宋体" w:cs="宋体"/>
                <w:bCs/>
                <w:color w:val="auto"/>
                <w:szCs w:val="21"/>
              </w:rPr>
              <w:t>序号</w:t>
            </w:r>
          </w:p>
        </w:tc>
        <w:tc>
          <w:tcPr>
            <w:tcW w:w="1066" w:type="dxa"/>
            <w:vAlign w:val="center"/>
          </w:tcPr>
          <w:p>
            <w:pPr>
              <w:jc w:val="center"/>
              <w:rPr>
                <w:rFonts w:hint="eastAsia" w:ascii="宋体" w:hAnsi="宋体" w:eastAsia="宋体" w:cs="宋体"/>
                <w:bCs/>
                <w:color w:val="auto"/>
                <w:szCs w:val="21"/>
              </w:rPr>
            </w:pPr>
            <w:r>
              <w:rPr>
                <w:rFonts w:hint="eastAsia" w:ascii="宋体" w:hAnsi="宋体" w:eastAsia="宋体" w:cs="宋体"/>
                <w:bCs/>
                <w:color w:val="auto"/>
                <w:szCs w:val="21"/>
              </w:rPr>
              <w:t>年月</w:t>
            </w:r>
          </w:p>
        </w:tc>
        <w:tc>
          <w:tcPr>
            <w:tcW w:w="3900" w:type="dxa"/>
            <w:vAlign w:val="center"/>
          </w:tcPr>
          <w:p>
            <w:pPr>
              <w:jc w:val="center"/>
              <w:rPr>
                <w:rFonts w:hint="eastAsia" w:ascii="宋体" w:hAnsi="宋体" w:eastAsia="宋体" w:cs="宋体"/>
                <w:bCs/>
                <w:color w:val="auto"/>
                <w:szCs w:val="21"/>
              </w:rPr>
            </w:pPr>
            <w:r>
              <w:rPr>
                <w:rFonts w:hint="eastAsia" w:ascii="宋体" w:hAnsi="宋体" w:eastAsia="宋体" w:cs="宋体"/>
                <w:bCs/>
                <w:color w:val="auto"/>
                <w:szCs w:val="21"/>
              </w:rPr>
              <w:t>扣分事由</w:t>
            </w:r>
          </w:p>
        </w:tc>
        <w:tc>
          <w:tcPr>
            <w:tcW w:w="1303" w:type="dxa"/>
            <w:vAlign w:val="center"/>
          </w:tcPr>
          <w:p>
            <w:pPr>
              <w:jc w:val="center"/>
              <w:rPr>
                <w:rFonts w:hint="eastAsia" w:ascii="宋体" w:hAnsi="宋体" w:eastAsia="宋体" w:cs="宋体"/>
                <w:bCs/>
                <w:color w:val="auto"/>
                <w:szCs w:val="21"/>
              </w:rPr>
            </w:pPr>
            <w:r>
              <w:rPr>
                <w:rFonts w:hint="eastAsia" w:ascii="宋体" w:hAnsi="宋体" w:eastAsia="宋体" w:cs="宋体"/>
                <w:bCs/>
                <w:color w:val="auto"/>
                <w:szCs w:val="21"/>
              </w:rPr>
              <w:t>扣分值</w:t>
            </w:r>
          </w:p>
        </w:tc>
        <w:tc>
          <w:tcPr>
            <w:tcW w:w="1423" w:type="dxa"/>
            <w:vAlign w:val="center"/>
          </w:tcPr>
          <w:p>
            <w:pPr>
              <w:jc w:val="center"/>
              <w:rPr>
                <w:rFonts w:hint="eastAsia" w:ascii="宋体" w:hAnsi="宋体" w:eastAsia="宋体" w:cs="宋体"/>
                <w:bCs/>
                <w:color w:val="auto"/>
                <w:szCs w:val="21"/>
              </w:rPr>
            </w:pPr>
            <w:r>
              <w:rPr>
                <w:rFonts w:hint="eastAsia" w:ascii="宋体" w:hAnsi="宋体" w:eastAsia="宋体" w:cs="宋体"/>
                <w:bCs/>
                <w:color w:val="auto"/>
                <w:szCs w:val="21"/>
              </w:rPr>
              <w:t>备注</w:t>
            </w:r>
          </w:p>
        </w:tc>
      </w:tr>
      <w:tr>
        <w:tblPrEx>
          <w:tblCellMar>
            <w:top w:w="0" w:type="dxa"/>
            <w:left w:w="108" w:type="dxa"/>
            <w:bottom w:w="0" w:type="dxa"/>
            <w:right w:w="108" w:type="dxa"/>
          </w:tblCellMar>
        </w:tblPrEx>
        <w:trPr>
          <w:trHeight w:val="563" w:hRule="atLeast"/>
          <w:jc w:val="center"/>
        </w:trPr>
        <w:tc>
          <w:tcPr>
            <w:tcW w:w="981" w:type="dxa"/>
            <w:vAlign w:val="center"/>
          </w:tcPr>
          <w:p>
            <w:pPr>
              <w:jc w:val="center"/>
              <w:rPr>
                <w:rFonts w:hint="eastAsia" w:ascii="宋体" w:hAnsi="宋体" w:eastAsia="宋体" w:cs="宋体"/>
                <w:b/>
                <w:bCs/>
                <w:color w:val="auto"/>
                <w:szCs w:val="21"/>
              </w:rPr>
            </w:pPr>
          </w:p>
        </w:tc>
        <w:tc>
          <w:tcPr>
            <w:tcW w:w="1066" w:type="dxa"/>
            <w:vAlign w:val="center"/>
          </w:tcPr>
          <w:p>
            <w:pPr>
              <w:jc w:val="center"/>
              <w:rPr>
                <w:rFonts w:hint="eastAsia" w:ascii="宋体" w:hAnsi="宋体" w:eastAsia="宋体" w:cs="宋体"/>
                <w:b/>
                <w:bCs/>
                <w:color w:val="auto"/>
                <w:szCs w:val="21"/>
              </w:rPr>
            </w:pPr>
          </w:p>
        </w:tc>
        <w:tc>
          <w:tcPr>
            <w:tcW w:w="3900" w:type="dxa"/>
            <w:vAlign w:val="center"/>
          </w:tcPr>
          <w:p>
            <w:pPr>
              <w:jc w:val="center"/>
              <w:rPr>
                <w:rFonts w:hint="eastAsia" w:ascii="宋体" w:hAnsi="宋体" w:eastAsia="宋体" w:cs="宋体"/>
                <w:b/>
                <w:bCs/>
                <w:color w:val="auto"/>
                <w:szCs w:val="21"/>
              </w:rPr>
            </w:pPr>
          </w:p>
        </w:tc>
        <w:tc>
          <w:tcPr>
            <w:tcW w:w="1303" w:type="dxa"/>
            <w:vAlign w:val="center"/>
          </w:tcPr>
          <w:p>
            <w:pPr>
              <w:jc w:val="center"/>
              <w:rPr>
                <w:rFonts w:hint="eastAsia" w:ascii="宋体" w:hAnsi="宋体" w:eastAsia="宋体" w:cs="宋体"/>
                <w:b/>
                <w:bCs/>
                <w:color w:val="auto"/>
                <w:szCs w:val="21"/>
              </w:rPr>
            </w:pPr>
          </w:p>
        </w:tc>
        <w:tc>
          <w:tcPr>
            <w:tcW w:w="1423" w:type="dxa"/>
            <w:vAlign w:val="center"/>
          </w:tcPr>
          <w:p>
            <w:pPr>
              <w:jc w:val="center"/>
              <w:rPr>
                <w:rFonts w:hint="eastAsia" w:ascii="宋体" w:hAnsi="宋体" w:eastAsia="宋体" w:cs="宋体"/>
                <w:b/>
                <w:bCs/>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jc w:val="center"/>
        </w:trPr>
        <w:tc>
          <w:tcPr>
            <w:tcW w:w="981" w:type="dxa"/>
            <w:vAlign w:val="center"/>
          </w:tcPr>
          <w:p>
            <w:pPr>
              <w:jc w:val="center"/>
              <w:rPr>
                <w:rFonts w:hint="eastAsia" w:ascii="宋体" w:hAnsi="宋体" w:eastAsia="宋体" w:cs="宋体"/>
                <w:b/>
                <w:bCs/>
                <w:color w:val="auto"/>
                <w:szCs w:val="21"/>
              </w:rPr>
            </w:pPr>
          </w:p>
        </w:tc>
        <w:tc>
          <w:tcPr>
            <w:tcW w:w="1066" w:type="dxa"/>
            <w:vAlign w:val="center"/>
          </w:tcPr>
          <w:p>
            <w:pPr>
              <w:jc w:val="center"/>
              <w:rPr>
                <w:rFonts w:hint="eastAsia" w:ascii="宋体" w:hAnsi="宋体" w:eastAsia="宋体" w:cs="宋体"/>
                <w:b/>
                <w:bCs/>
                <w:color w:val="auto"/>
                <w:szCs w:val="21"/>
              </w:rPr>
            </w:pPr>
          </w:p>
        </w:tc>
        <w:tc>
          <w:tcPr>
            <w:tcW w:w="3900" w:type="dxa"/>
            <w:vAlign w:val="center"/>
          </w:tcPr>
          <w:p>
            <w:pPr>
              <w:jc w:val="center"/>
              <w:rPr>
                <w:rFonts w:hint="eastAsia" w:ascii="宋体" w:hAnsi="宋体" w:eastAsia="宋体" w:cs="宋体"/>
                <w:b/>
                <w:bCs/>
                <w:color w:val="auto"/>
                <w:szCs w:val="21"/>
              </w:rPr>
            </w:pPr>
          </w:p>
        </w:tc>
        <w:tc>
          <w:tcPr>
            <w:tcW w:w="1303" w:type="dxa"/>
            <w:vAlign w:val="center"/>
          </w:tcPr>
          <w:p>
            <w:pPr>
              <w:jc w:val="center"/>
              <w:rPr>
                <w:rFonts w:hint="eastAsia" w:ascii="宋体" w:hAnsi="宋体" w:eastAsia="宋体" w:cs="宋体"/>
                <w:b/>
                <w:bCs/>
                <w:color w:val="auto"/>
                <w:szCs w:val="21"/>
              </w:rPr>
            </w:pPr>
          </w:p>
        </w:tc>
        <w:tc>
          <w:tcPr>
            <w:tcW w:w="1423" w:type="dxa"/>
            <w:vAlign w:val="center"/>
          </w:tcPr>
          <w:p>
            <w:pPr>
              <w:jc w:val="center"/>
              <w:rPr>
                <w:rFonts w:hint="eastAsia" w:ascii="宋体" w:hAnsi="宋体" w:eastAsia="宋体" w:cs="宋体"/>
                <w:b/>
                <w:bCs/>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981" w:type="dxa"/>
            <w:vAlign w:val="center"/>
          </w:tcPr>
          <w:p>
            <w:pPr>
              <w:jc w:val="center"/>
              <w:rPr>
                <w:rFonts w:hint="eastAsia" w:ascii="宋体" w:hAnsi="宋体" w:eastAsia="宋体" w:cs="宋体"/>
                <w:b/>
                <w:bCs/>
                <w:color w:val="auto"/>
                <w:szCs w:val="21"/>
              </w:rPr>
            </w:pPr>
          </w:p>
        </w:tc>
        <w:tc>
          <w:tcPr>
            <w:tcW w:w="1066" w:type="dxa"/>
            <w:vAlign w:val="center"/>
          </w:tcPr>
          <w:p>
            <w:pPr>
              <w:jc w:val="center"/>
              <w:rPr>
                <w:rFonts w:hint="eastAsia" w:ascii="宋体" w:hAnsi="宋体" w:eastAsia="宋体" w:cs="宋体"/>
                <w:b/>
                <w:bCs/>
                <w:color w:val="auto"/>
                <w:szCs w:val="21"/>
              </w:rPr>
            </w:pPr>
          </w:p>
        </w:tc>
        <w:tc>
          <w:tcPr>
            <w:tcW w:w="3900" w:type="dxa"/>
            <w:vAlign w:val="center"/>
          </w:tcPr>
          <w:p>
            <w:pPr>
              <w:jc w:val="center"/>
              <w:rPr>
                <w:rFonts w:hint="eastAsia" w:ascii="宋体" w:hAnsi="宋体" w:eastAsia="宋体" w:cs="宋体"/>
                <w:b/>
                <w:bCs/>
                <w:color w:val="auto"/>
                <w:szCs w:val="21"/>
              </w:rPr>
            </w:pPr>
          </w:p>
        </w:tc>
        <w:tc>
          <w:tcPr>
            <w:tcW w:w="1303" w:type="dxa"/>
            <w:vAlign w:val="center"/>
          </w:tcPr>
          <w:p>
            <w:pPr>
              <w:jc w:val="center"/>
              <w:rPr>
                <w:rFonts w:hint="eastAsia" w:ascii="宋体" w:hAnsi="宋体" w:eastAsia="宋体" w:cs="宋体"/>
                <w:b/>
                <w:bCs/>
                <w:color w:val="auto"/>
                <w:szCs w:val="21"/>
              </w:rPr>
            </w:pPr>
          </w:p>
        </w:tc>
        <w:tc>
          <w:tcPr>
            <w:tcW w:w="1423" w:type="dxa"/>
            <w:vAlign w:val="center"/>
          </w:tcPr>
          <w:p>
            <w:pPr>
              <w:jc w:val="center"/>
              <w:rPr>
                <w:rFonts w:hint="eastAsia" w:ascii="宋体" w:hAnsi="宋体" w:eastAsia="宋体" w:cs="宋体"/>
                <w:b/>
                <w:bCs/>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jc w:val="center"/>
        </w:trPr>
        <w:tc>
          <w:tcPr>
            <w:tcW w:w="981" w:type="dxa"/>
            <w:vAlign w:val="center"/>
          </w:tcPr>
          <w:p>
            <w:pPr>
              <w:jc w:val="center"/>
              <w:rPr>
                <w:rFonts w:hint="eastAsia" w:ascii="宋体" w:hAnsi="宋体" w:eastAsia="宋体" w:cs="宋体"/>
                <w:b/>
                <w:bCs/>
                <w:color w:val="auto"/>
                <w:szCs w:val="21"/>
              </w:rPr>
            </w:pPr>
          </w:p>
        </w:tc>
        <w:tc>
          <w:tcPr>
            <w:tcW w:w="1066" w:type="dxa"/>
            <w:vAlign w:val="center"/>
          </w:tcPr>
          <w:p>
            <w:pPr>
              <w:jc w:val="center"/>
              <w:rPr>
                <w:rFonts w:hint="eastAsia" w:ascii="宋体" w:hAnsi="宋体" w:eastAsia="宋体" w:cs="宋体"/>
                <w:b/>
                <w:bCs/>
                <w:color w:val="auto"/>
                <w:szCs w:val="21"/>
              </w:rPr>
            </w:pPr>
          </w:p>
        </w:tc>
        <w:tc>
          <w:tcPr>
            <w:tcW w:w="3900" w:type="dxa"/>
            <w:vAlign w:val="center"/>
          </w:tcPr>
          <w:p>
            <w:pPr>
              <w:jc w:val="center"/>
              <w:rPr>
                <w:rFonts w:hint="eastAsia" w:ascii="宋体" w:hAnsi="宋体" w:eastAsia="宋体" w:cs="宋体"/>
                <w:b/>
                <w:bCs/>
                <w:color w:val="auto"/>
                <w:szCs w:val="21"/>
              </w:rPr>
            </w:pPr>
          </w:p>
        </w:tc>
        <w:tc>
          <w:tcPr>
            <w:tcW w:w="1303" w:type="dxa"/>
            <w:vAlign w:val="center"/>
          </w:tcPr>
          <w:p>
            <w:pPr>
              <w:jc w:val="center"/>
              <w:rPr>
                <w:rFonts w:hint="eastAsia" w:ascii="宋体" w:hAnsi="宋体" w:eastAsia="宋体" w:cs="宋体"/>
                <w:b/>
                <w:bCs/>
                <w:color w:val="auto"/>
                <w:szCs w:val="21"/>
              </w:rPr>
            </w:pPr>
          </w:p>
        </w:tc>
        <w:tc>
          <w:tcPr>
            <w:tcW w:w="1423" w:type="dxa"/>
            <w:vAlign w:val="center"/>
          </w:tcPr>
          <w:p>
            <w:pPr>
              <w:jc w:val="center"/>
              <w:rPr>
                <w:rFonts w:hint="eastAsia" w:ascii="宋体" w:hAnsi="宋体" w:eastAsia="宋体" w:cs="宋体"/>
                <w:b/>
                <w:bCs/>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81" w:type="dxa"/>
            <w:vAlign w:val="center"/>
          </w:tcPr>
          <w:p>
            <w:pPr>
              <w:jc w:val="center"/>
              <w:rPr>
                <w:rFonts w:hint="eastAsia" w:ascii="宋体" w:hAnsi="宋体" w:eastAsia="宋体" w:cs="宋体"/>
                <w:b/>
                <w:bCs/>
                <w:color w:val="auto"/>
                <w:szCs w:val="21"/>
              </w:rPr>
            </w:pPr>
          </w:p>
        </w:tc>
        <w:tc>
          <w:tcPr>
            <w:tcW w:w="1066" w:type="dxa"/>
            <w:vAlign w:val="center"/>
          </w:tcPr>
          <w:p>
            <w:pPr>
              <w:jc w:val="center"/>
              <w:rPr>
                <w:rFonts w:hint="eastAsia" w:ascii="宋体" w:hAnsi="宋体" w:eastAsia="宋体" w:cs="宋体"/>
                <w:b/>
                <w:bCs/>
                <w:color w:val="auto"/>
                <w:szCs w:val="21"/>
              </w:rPr>
            </w:pPr>
          </w:p>
        </w:tc>
        <w:tc>
          <w:tcPr>
            <w:tcW w:w="3900" w:type="dxa"/>
            <w:vAlign w:val="center"/>
          </w:tcPr>
          <w:p>
            <w:pPr>
              <w:jc w:val="center"/>
              <w:rPr>
                <w:rFonts w:hint="eastAsia" w:ascii="宋体" w:hAnsi="宋体" w:eastAsia="宋体" w:cs="宋体"/>
                <w:b/>
                <w:bCs/>
                <w:color w:val="auto"/>
                <w:szCs w:val="21"/>
              </w:rPr>
            </w:pPr>
          </w:p>
        </w:tc>
        <w:tc>
          <w:tcPr>
            <w:tcW w:w="1303" w:type="dxa"/>
            <w:vAlign w:val="center"/>
          </w:tcPr>
          <w:p>
            <w:pPr>
              <w:jc w:val="center"/>
              <w:rPr>
                <w:rFonts w:hint="eastAsia" w:ascii="宋体" w:hAnsi="宋体" w:eastAsia="宋体" w:cs="宋体"/>
                <w:b/>
                <w:bCs/>
                <w:color w:val="auto"/>
                <w:szCs w:val="21"/>
              </w:rPr>
            </w:pPr>
          </w:p>
        </w:tc>
        <w:tc>
          <w:tcPr>
            <w:tcW w:w="1423" w:type="dxa"/>
            <w:vAlign w:val="center"/>
          </w:tcPr>
          <w:p>
            <w:pPr>
              <w:jc w:val="center"/>
              <w:rPr>
                <w:rFonts w:hint="eastAsia" w:ascii="宋体" w:hAnsi="宋体" w:eastAsia="宋体" w:cs="宋体"/>
                <w:b/>
                <w:bCs/>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81" w:type="dxa"/>
            <w:vAlign w:val="center"/>
          </w:tcPr>
          <w:p>
            <w:pPr>
              <w:jc w:val="center"/>
              <w:rPr>
                <w:rFonts w:hint="eastAsia" w:ascii="宋体" w:hAnsi="宋体" w:eastAsia="宋体" w:cs="宋体"/>
                <w:b/>
                <w:bCs/>
                <w:color w:val="auto"/>
                <w:szCs w:val="21"/>
              </w:rPr>
            </w:pPr>
          </w:p>
        </w:tc>
        <w:tc>
          <w:tcPr>
            <w:tcW w:w="1066" w:type="dxa"/>
            <w:vAlign w:val="center"/>
          </w:tcPr>
          <w:p>
            <w:pPr>
              <w:jc w:val="center"/>
              <w:rPr>
                <w:rFonts w:hint="eastAsia" w:ascii="宋体" w:hAnsi="宋体" w:eastAsia="宋体" w:cs="宋体"/>
                <w:b/>
                <w:bCs/>
                <w:color w:val="auto"/>
                <w:szCs w:val="21"/>
              </w:rPr>
            </w:pPr>
          </w:p>
        </w:tc>
        <w:tc>
          <w:tcPr>
            <w:tcW w:w="3900" w:type="dxa"/>
            <w:vAlign w:val="center"/>
          </w:tcPr>
          <w:p>
            <w:pPr>
              <w:jc w:val="center"/>
              <w:rPr>
                <w:rFonts w:hint="eastAsia" w:ascii="宋体" w:hAnsi="宋体" w:eastAsia="宋体" w:cs="宋体"/>
                <w:b/>
                <w:bCs/>
                <w:color w:val="auto"/>
                <w:szCs w:val="21"/>
              </w:rPr>
            </w:pPr>
          </w:p>
        </w:tc>
        <w:tc>
          <w:tcPr>
            <w:tcW w:w="1303" w:type="dxa"/>
            <w:vAlign w:val="center"/>
          </w:tcPr>
          <w:p>
            <w:pPr>
              <w:jc w:val="center"/>
              <w:rPr>
                <w:rFonts w:hint="eastAsia" w:ascii="宋体" w:hAnsi="宋体" w:eastAsia="宋体" w:cs="宋体"/>
                <w:b/>
                <w:bCs/>
                <w:color w:val="auto"/>
                <w:szCs w:val="21"/>
              </w:rPr>
            </w:pPr>
          </w:p>
        </w:tc>
        <w:tc>
          <w:tcPr>
            <w:tcW w:w="1423" w:type="dxa"/>
            <w:vAlign w:val="center"/>
          </w:tcPr>
          <w:p>
            <w:pPr>
              <w:jc w:val="center"/>
              <w:rPr>
                <w:rFonts w:hint="eastAsia" w:ascii="宋体" w:hAnsi="宋体" w:eastAsia="宋体" w:cs="宋体"/>
                <w:b/>
                <w:bCs/>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81" w:type="dxa"/>
            <w:vAlign w:val="center"/>
          </w:tcPr>
          <w:p>
            <w:pPr>
              <w:jc w:val="center"/>
              <w:rPr>
                <w:rFonts w:hint="eastAsia" w:ascii="宋体" w:hAnsi="宋体" w:eastAsia="宋体" w:cs="宋体"/>
                <w:b/>
                <w:bCs/>
                <w:color w:val="auto"/>
                <w:szCs w:val="21"/>
              </w:rPr>
            </w:pPr>
          </w:p>
        </w:tc>
        <w:tc>
          <w:tcPr>
            <w:tcW w:w="1066" w:type="dxa"/>
            <w:vAlign w:val="center"/>
          </w:tcPr>
          <w:p>
            <w:pPr>
              <w:jc w:val="center"/>
              <w:rPr>
                <w:rFonts w:hint="eastAsia" w:ascii="宋体" w:hAnsi="宋体" w:eastAsia="宋体" w:cs="宋体"/>
                <w:b/>
                <w:bCs/>
                <w:color w:val="auto"/>
                <w:szCs w:val="21"/>
              </w:rPr>
            </w:pPr>
          </w:p>
        </w:tc>
        <w:tc>
          <w:tcPr>
            <w:tcW w:w="3900" w:type="dxa"/>
            <w:vAlign w:val="center"/>
          </w:tcPr>
          <w:p>
            <w:pPr>
              <w:jc w:val="center"/>
              <w:rPr>
                <w:rFonts w:hint="eastAsia" w:ascii="宋体" w:hAnsi="宋体" w:eastAsia="宋体" w:cs="宋体"/>
                <w:b/>
                <w:bCs/>
                <w:color w:val="auto"/>
                <w:szCs w:val="21"/>
              </w:rPr>
            </w:pPr>
          </w:p>
        </w:tc>
        <w:tc>
          <w:tcPr>
            <w:tcW w:w="1303" w:type="dxa"/>
            <w:vAlign w:val="center"/>
          </w:tcPr>
          <w:p>
            <w:pPr>
              <w:jc w:val="center"/>
              <w:rPr>
                <w:rFonts w:hint="eastAsia" w:ascii="宋体" w:hAnsi="宋体" w:eastAsia="宋体" w:cs="宋体"/>
                <w:b/>
                <w:bCs/>
                <w:color w:val="auto"/>
                <w:szCs w:val="21"/>
              </w:rPr>
            </w:pPr>
          </w:p>
        </w:tc>
        <w:tc>
          <w:tcPr>
            <w:tcW w:w="1423" w:type="dxa"/>
            <w:vAlign w:val="center"/>
          </w:tcPr>
          <w:p>
            <w:pPr>
              <w:jc w:val="center"/>
              <w:rPr>
                <w:rFonts w:hint="eastAsia" w:ascii="宋体" w:hAnsi="宋体" w:eastAsia="宋体" w:cs="宋体"/>
                <w:b/>
                <w:bCs/>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81" w:type="dxa"/>
            <w:vAlign w:val="center"/>
          </w:tcPr>
          <w:p>
            <w:pPr>
              <w:jc w:val="center"/>
              <w:rPr>
                <w:rFonts w:hint="eastAsia" w:ascii="宋体" w:hAnsi="宋体" w:eastAsia="宋体" w:cs="宋体"/>
                <w:b/>
                <w:bCs/>
                <w:color w:val="auto"/>
                <w:szCs w:val="21"/>
              </w:rPr>
            </w:pPr>
          </w:p>
        </w:tc>
        <w:tc>
          <w:tcPr>
            <w:tcW w:w="1066" w:type="dxa"/>
            <w:vAlign w:val="center"/>
          </w:tcPr>
          <w:p>
            <w:pPr>
              <w:jc w:val="center"/>
              <w:rPr>
                <w:rFonts w:hint="eastAsia" w:ascii="宋体" w:hAnsi="宋体" w:eastAsia="宋体" w:cs="宋体"/>
                <w:b/>
                <w:bCs/>
                <w:color w:val="auto"/>
                <w:szCs w:val="21"/>
              </w:rPr>
            </w:pPr>
          </w:p>
        </w:tc>
        <w:tc>
          <w:tcPr>
            <w:tcW w:w="3900" w:type="dxa"/>
            <w:vAlign w:val="center"/>
          </w:tcPr>
          <w:p>
            <w:pPr>
              <w:jc w:val="center"/>
              <w:rPr>
                <w:rFonts w:hint="eastAsia" w:ascii="宋体" w:hAnsi="宋体" w:eastAsia="宋体" w:cs="宋体"/>
                <w:b/>
                <w:bCs/>
                <w:color w:val="auto"/>
                <w:szCs w:val="21"/>
              </w:rPr>
            </w:pPr>
          </w:p>
        </w:tc>
        <w:tc>
          <w:tcPr>
            <w:tcW w:w="1303" w:type="dxa"/>
            <w:vAlign w:val="center"/>
          </w:tcPr>
          <w:p>
            <w:pPr>
              <w:jc w:val="center"/>
              <w:rPr>
                <w:rFonts w:hint="eastAsia" w:ascii="宋体" w:hAnsi="宋体" w:eastAsia="宋体" w:cs="宋体"/>
                <w:b/>
                <w:bCs/>
                <w:color w:val="auto"/>
                <w:szCs w:val="21"/>
              </w:rPr>
            </w:pPr>
          </w:p>
        </w:tc>
        <w:tc>
          <w:tcPr>
            <w:tcW w:w="1423" w:type="dxa"/>
            <w:vAlign w:val="center"/>
          </w:tcPr>
          <w:p>
            <w:pPr>
              <w:jc w:val="center"/>
              <w:rPr>
                <w:rFonts w:hint="eastAsia" w:ascii="宋体" w:hAnsi="宋体" w:eastAsia="宋体" w:cs="宋体"/>
                <w:b/>
                <w:bCs/>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81" w:type="dxa"/>
            <w:vAlign w:val="center"/>
          </w:tcPr>
          <w:p>
            <w:pPr>
              <w:jc w:val="center"/>
              <w:rPr>
                <w:rFonts w:hint="eastAsia" w:ascii="宋体" w:hAnsi="宋体" w:eastAsia="宋体" w:cs="宋体"/>
                <w:b/>
                <w:bCs/>
                <w:color w:val="auto"/>
                <w:szCs w:val="21"/>
              </w:rPr>
            </w:pPr>
          </w:p>
        </w:tc>
        <w:tc>
          <w:tcPr>
            <w:tcW w:w="1066" w:type="dxa"/>
            <w:vAlign w:val="center"/>
          </w:tcPr>
          <w:p>
            <w:pPr>
              <w:jc w:val="center"/>
              <w:rPr>
                <w:rFonts w:hint="eastAsia" w:ascii="宋体" w:hAnsi="宋体" w:eastAsia="宋体" w:cs="宋体"/>
                <w:b/>
                <w:bCs/>
                <w:color w:val="auto"/>
                <w:szCs w:val="21"/>
              </w:rPr>
            </w:pPr>
          </w:p>
        </w:tc>
        <w:tc>
          <w:tcPr>
            <w:tcW w:w="3900" w:type="dxa"/>
            <w:vAlign w:val="center"/>
          </w:tcPr>
          <w:p>
            <w:pPr>
              <w:jc w:val="center"/>
              <w:rPr>
                <w:rFonts w:hint="eastAsia" w:ascii="宋体" w:hAnsi="宋体" w:eastAsia="宋体" w:cs="宋体"/>
                <w:b/>
                <w:bCs/>
                <w:color w:val="auto"/>
                <w:szCs w:val="21"/>
              </w:rPr>
            </w:pPr>
          </w:p>
        </w:tc>
        <w:tc>
          <w:tcPr>
            <w:tcW w:w="1303" w:type="dxa"/>
            <w:vAlign w:val="center"/>
          </w:tcPr>
          <w:p>
            <w:pPr>
              <w:jc w:val="center"/>
              <w:rPr>
                <w:rFonts w:hint="eastAsia" w:ascii="宋体" w:hAnsi="宋体" w:eastAsia="宋体" w:cs="宋体"/>
                <w:b/>
                <w:bCs/>
                <w:color w:val="auto"/>
                <w:szCs w:val="21"/>
              </w:rPr>
            </w:pPr>
          </w:p>
        </w:tc>
        <w:tc>
          <w:tcPr>
            <w:tcW w:w="1423" w:type="dxa"/>
            <w:vAlign w:val="center"/>
          </w:tcPr>
          <w:p>
            <w:pPr>
              <w:jc w:val="center"/>
              <w:rPr>
                <w:rFonts w:hint="eastAsia" w:ascii="宋体" w:hAnsi="宋体" w:eastAsia="宋体" w:cs="宋体"/>
                <w:b/>
                <w:bCs/>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81" w:type="dxa"/>
            <w:vAlign w:val="center"/>
          </w:tcPr>
          <w:p>
            <w:pPr>
              <w:jc w:val="center"/>
              <w:rPr>
                <w:rFonts w:hint="eastAsia" w:ascii="宋体" w:hAnsi="宋体" w:eastAsia="宋体" w:cs="宋体"/>
                <w:b/>
                <w:bCs/>
                <w:color w:val="auto"/>
                <w:szCs w:val="21"/>
              </w:rPr>
            </w:pPr>
          </w:p>
        </w:tc>
        <w:tc>
          <w:tcPr>
            <w:tcW w:w="1066" w:type="dxa"/>
            <w:vAlign w:val="center"/>
          </w:tcPr>
          <w:p>
            <w:pPr>
              <w:jc w:val="center"/>
              <w:rPr>
                <w:rFonts w:hint="eastAsia" w:ascii="宋体" w:hAnsi="宋体" w:eastAsia="宋体" w:cs="宋体"/>
                <w:b/>
                <w:bCs/>
                <w:color w:val="auto"/>
                <w:szCs w:val="21"/>
              </w:rPr>
            </w:pPr>
          </w:p>
        </w:tc>
        <w:tc>
          <w:tcPr>
            <w:tcW w:w="3900" w:type="dxa"/>
            <w:vAlign w:val="center"/>
          </w:tcPr>
          <w:p>
            <w:pPr>
              <w:jc w:val="center"/>
              <w:rPr>
                <w:rFonts w:hint="eastAsia" w:ascii="宋体" w:hAnsi="宋体" w:eastAsia="宋体" w:cs="宋体"/>
                <w:b/>
                <w:bCs/>
                <w:color w:val="auto"/>
                <w:szCs w:val="21"/>
              </w:rPr>
            </w:pPr>
          </w:p>
        </w:tc>
        <w:tc>
          <w:tcPr>
            <w:tcW w:w="1303" w:type="dxa"/>
            <w:vAlign w:val="center"/>
          </w:tcPr>
          <w:p>
            <w:pPr>
              <w:jc w:val="center"/>
              <w:rPr>
                <w:rFonts w:hint="eastAsia" w:ascii="宋体" w:hAnsi="宋体" w:eastAsia="宋体" w:cs="宋体"/>
                <w:b/>
                <w:bCs/>
                <w:color w:val="auto"/>
                <w:szCs w:val="21"/>
              </w:rPr>
            </w:pPr>
          </w:p>
        </w:tc>
        <w:tc>
          <w:tcPr>
            <w:tcW w:w="1423" w:type="dxa"/>
            <w:vAlign w:val="center"/>
          </w:tcPr>
          <w:p>
            <w:pPr>
              <w:jc w:val="center"/>
              <w:rPr>
                <w:rFonts w:hint="eastAsia" w:ascii="宋体" w:hAnsi="宋体" w:eastAsia="宋体" w:cs="宋体"/>
                <w:b/>
                <w:bCs/>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81" w:type="dxa"/>
            <w:vAlign w:val="center"/>
          </w:tcPr>
          <w:p>
            <w:pPr>
              <w:jc w:val="center"/>
              <w:rPr>
                <w:rFonts w:hint="eastAsia" w:ascii="宋体" w:hAnsi="宋体" w:eastAsia="宋体" w:cs="宋体"/>
                <w:b/>
                <w:bCs/>
                <w:color w:val="auto"/>
                <w:szCs w:val="21"/>
              </w:rPr>
            </w:pPr>
          </w:p>
        </w:tc>
        <w:tc>
          <w:tcPr>
            <w:tcW w:w="1066" w:type="dxa"/>
            <w:vAlign w:val="center"/>
          </w:tcPr>
          <w:p>
            <w:pPr>
              <w:jc w:val="center"/>
              <w:rPr>
                <w:rFonts w:hint="eastAsia" w:ascii="宋体" w:hAnsi="宋体" w:eastAsia="宋体" w:cs="宋体"/>
                <w:b/>
                <w:bCs/>
                <w:color w:val="auto"/>
                <w:szCs w:val="21"/>
              </w:rPr>
            </w:pPr>
          </w:p>
        </w:tc>
        <w:tc>
          <w:tcPr>
            <w:tcW w:w="3900" w:type="dxa"/>
            <w:vAlign w:val="center"/>
          </w:tcPr>
          <w:p>
            <w:pPr>
              <w:jc w:val="center"/>
              <w:rPr>
                <w:rFonts w:hint="eastAsia" w:ascii="宋体" w:hAnsi="宋体" w:eastAsia="宋体" w:cs="宋体"/>
                <w:b/>
                <w:bCs/>
                <w:color w:val="auto"/>
                <w:szCs w:val="21"/>
              </w:rPr>
            </w:pPr>
          </w:p>
        </w:tc>
        <w:tc>
          <w:tcPr>
            <w:tcW w:w="1303" w:type="dxa"/>
            <w:vAlign w:val="center"/>
          </w:tcPr>
          <w:p>
            <w:pPr>
              <w:jc w:val="center"/>
              <w:rPr>
                <w:rFonts w:hint="eastAsia" w:ascii="宋体" w:hAnsi="宋体" w:eastAsia="宋体" w:cs="宋体"/>
                <w:b/>
                <w:bCs/>
                <w:color w:val="auto"/>
                <w:szCs w:val="21"/>
              </w:rPr>
            </w:pPr>
          </w:p>
        </w:tc>
        <w:tc>
          <w:tcPr>
            <w:tcW w:w="1423" w:type="dxa"/>
            <w:vAlign w:val="center"/>
          </w:tcPr>
          <w:p>
            <w:pPr>
              <w:jc w:val="center"/>
              <w:rPr>
                <w:rFonts w:hint="eastAsia" w:ascii="宋体" w:hAnsi="宋体" w:eastAsia="宋体" w:cs="宋体"/>
                <w:b/>
                <w:bCs/>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81" w:type="dxa"/>
            <w:vAlign w:val="center"/>
          </w:tcPr>
          <w:p>
            <w:pPr>
              <w:jc w:val="center"/>
              <w:rPr>
                <w:rFonts w:hint="eastAsia" w:ascii="宋体" w:hAnsi="宋体" w:eastAsia="宋体" w:cs="宋体"/>
                <w:b/>
                <w:bCs/>
                <w:color w:val="auto"/>
                <w:szCs w:val="21"/>
              </w:rPr>
            </w:pPr>
          </w:p>
        </w:tc>
        <w:tc>
          <w:tcPr>
            <w:tcW w:w="1066" w:type="dxa"/>
            <w:vAlign w:val="center"/>
          </w:tcPr>
          <w:p>
            <w:pPr>
              <w:jc w:val="center"/>
              <w:rPr>
                <w:rFonts w:hint="eastAsia" w:ascii="宋体" w:hAnsi="宋体" w:eastAsia="宋体" w:cs="宋体"/>
                <w:b/>
                <w:bCs/>
                <w:color w:val="auto"/>
                <w:szCs w:val="21"/>
              </w:rPr>
            </w:pPr>
          </w:p>
        </w:tc>
        <w:tc>
          <w:tcPr>
            <w:tcW w:w="3900" w:type="dxa"/>
            <w:vAlign w:val="center"/>
          </w:tcPr>
          <w:p>
            <w:pPr>
              <w:jc w:val="center"/>
              <w:rPr>
                <w:rFonts w:hint="eastAsia" w:ascii="宋体" w:hAnsi="宋体" w:eastAsia="宋体" w:cs="宋体"/>
                <w:b/>
                <w:bCs/>
                <w:color w:val="auto"/>
                <w:szCs w:val="21"/>
              </w:rPr>
            </w:pPr>
          </w:p>
        </w:tc>
        <w:tc>
          <w:tcPr>
            <w:tcW w:w="1303" w:type="dxa"/>
            <w:vAlign w:val="center"/>
          </w:tcPr>
          <w:p>
            <w:pPr>
              <w:jc w:val="center"/>
              <w:rPr>
                <w:rFonts w:hint="eastAsia" w:ascii="宋体" w:hAnsi="宋体" w:eastAsia="宋体" w:cs="宋体"/>
                <w:b/>
                <w:bCs/>
                <w:color w:val="auto"/>
                <w:szCs w:val="21"/>
              </w:rPr>
            </w:pPr>
          </w:p>
        </w:tc>
        <w:tc>
          <w:tcPr>
            <w:tcW w:w="1423" w:type="dxa"/>
            <w:vAlign w:val="center"/>
          </w:tcPr>
          <w:p>
            <w:pPr>
              <w:jc w:val="center"/>
              <w:rPr>
                <w:rFonts w:hint="eastAsia" w:ascii="宋体" w:hAnsi="宋体" w:eastAsia="宋体" w:cs="宋体"/>
                <w:b/>
                <w:bCs/>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81" w:type="dxa"/>
            <w:vAlign w:val="center"/>
          </w:tcPr>
          <w:p>
            <w:pPr>
              <w:jc w:val="center"/>
              <w:rPr>
                <w:rFonts w:hint="eastAsia" w:ascii="宋体" w:hAnsi="宋体" w:eastAsia="宋体" w:cs="宋体"/>
                <w:b/>
                <w:bCs/>
                <w:color w:val="auto"/>
                <w:szCs w:val="21"/>
              </w:rPr>
            </w:pPr>
          </w:p>
        </w:tc>
        <w:tc>
          <w:tcPr>
            <w:tcW w:w="1066" w:type="dxa"/>
            <w:vAlign w:val="center"/>
          </w:tcPr>
          <w:p>
            <w:pPr>
              <w:jc w:val="center"/>
              <w:rPr>
                <w:rFonts w:hint="eastAsia" w:ascii="宋体" w:hAnsi="宋体" w:eastAsia="宋体" w:cs="宋体"/>
                <w:b/>
                <w:bCs/>
                <w:color w:val="auto"/>
                <w:szCs w:val="21"/>
              </w:rPr>
            </w:pPr>
          </w:p>
        </w:tc>
        <w:tc>
          <w:tcPr>
            <w:tcW w:w="3900" w:type="dxa"/>
            <w:vAlign w:val="center"/>
          </w:tcPr>
          <w:p>
            <w:pPr>
              <w:jc w:val="center"/>
              <w:rPr>
                <w:rFonts w:hint="eastAsia" w:ascii="宋体" w:hAnsi="宋体" w:eastAsia="宋体" w:cs="宋体"/>
                <w:b/>
                <w:bCs/>
                <w:color w:val="auto"/>
                <w:szCs w:val="21"/>
              </w:rPr>
            </w:pPr>
          </w:p>
        </w:tc>
        <w:tc>
          <w:tcPr>
            <w:tcW w:w="1303" w:type="dxa"/>
            <w:vAlign w:val="center"/>
          </w:tcPr>
          <w:p>
            <w:pPr>
              <w:jc w:val="center"/>
              <w:rPr>
                <w:rFonts w:hint="eastAsia" w:ascii="宋体" w:hAnsi="宋体" w:eastAsia="宋体" w:cs="宋体"/>
                <w:b/>
                <w:bCs/>
                <w:color w:val="auto"/>
                <w:szCs w:val="21"/>
              </w:rPr>
            </w:pPr>
          </w:p>
        </w:tc>
        <w:tc>
          <w:tcPr>
            <w:tcW w:w="1423" w:type="dxa"/>
            <w:vAlign w:val="center"/>
          </w:tcPr>
          <w:p>
            <w:pPr>
              <w:jc w:val="center"/>
              <w:rPr>
                <w:rFonts w:hint="eastAsia" w:ascii="宋体" w:hAnsi="宋体" w:eastAsia="宋体" w:cs="宋体"/>
                <w:b/>
                <w:bCs/>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81" w:type="dxa"/>
            <w:vAlign w:val="center"/>
          </w:tcPr>
          <w:p>
            <w:pPr>
              <w:jc w:val="center"/>
              <w:rPr>
                <w:rFonts w:hint="eastAsia" w:ascii="宋体" w:hAnsi="宋体" w:eastAsia="宋体" w:cs="宋体"/>
                <w:b/>
                <w:bCs/>
                <w:color w:val="auto"/>
                <w:szCs w:val="21"/>
              </w:rPr>
            </w:pPr>
          </w:p>
        </w:tc>
        <w:tc>
          <w:tcPr>
            <w:tcW w:w="1066" w:type="dxa"/>
            <w:vAlign w:val="center"/>
          </w:tcPr>
          <w:p>
            <w:pPr>
              <w:jc w:val="center"/>
              <w:rPr>
                <w:rFonts w:hint="eastAsia" w:ascii="宋体" w:hAnsi="宋体" w:eastAsia="宋体" w:cs="宋体"/>
                <w:b/>
                <w:bCs/>
                <w:color w:val="auto"/>
                <w:szCs w:val="21"/>
              </w:rPr>
            </w:pPr>
          </w:p>
        </w:tc>
        <w:tc>
          <w:tcPr>
            <w:tcW w:w="3900" w:type="dxa"/>
            <w:vAlign w:val="center"/>
          </w:tcPr>
          <w:p>
            <w:pPr>
              <w:jc w:val="center"/>
              <w:rPr>
                <w:rFonts w:hint="eastAsia" w:ascii="宋体" w:hAnsi="宋体" w:eastAsia="宋体" w:cs="宋体"/>
                <w:b/>
                <w:bCs/>
                <w:color w:val="auto"/>
                <w:szCs w:val="21"/>
              </w:rPr>
            </w:pPr>
          </w:p>
        </w:tc>
        <w:tc>
          <w:tcPr>
            <w:tcW w:w="1303" w:type="dxa"/>
            <w:vAlign w:val="center"/>
          </w:tcPr>
          <w:p>
            <w:pPr>
              <w:jc w:val="center"/>
              <w:rPr>
                <w:rFonts w:hint="eastAsia" w:ascii="宋体" w:hAnsi="宋体" w:eastAsia="宋体" w:cs="宋体"/>
                <w:b/>
                <w:bCs/>
                <w:color w:val="auto"/>
                <w:szCs w:val="21"/>
              </w:rPr>
            </w:pPr>
          </w:p>
        </w:tc>
        <w:tc>
          <w:tcPr>
            <w:tcW w:w="1423" w:type="dxa"/>
            <w:vAlign w:val="center"/>
          </w:tcPr>
          <w:p>
            <w:pPr>
              <w:jc w:val="center"/>
              <w:rPr>
                <w:rFonts w:hint="eastAsia" w:ascii="宋体" w:hAnsi="宋体" w:eastAsia="宋体" w:cs="宋体"/>
                <w:b/>
                <w:bCs/>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81" w:type="dxa"/>
            <w:vAlign w:val="center"/>
          </w:tcPr>
          <w:p>
            <w:pPr>
              <w:jc w:val="center"/>
              <w:rPr>
                <w:rFonts w:hint="eastAsia" w:ascii="宋体" w:hAnsi="宋体" w:eastAsia="宋体" w:cs="宋体"/>
                <w:b/>
                <w:bCs/>
                <w:color w:val="auto"/>
                <w:szCs w:val="21"/>
              </w:rPr>
            </w:pPr>
          </w:p>
        </w:tc>
        <w:tc>
          <w:tcPr>
            <w:tcW w:w="1066" w:type="dxa"/>
            <w:vAlign w:val="center"/>
          </w:tcPr>
          <w:p>
            <w:pPr>
              <w:jc w:val="center"/>
              <w:rPr>
                <w:rFonts w:hint="eastAsia" w:ascii="宋体" w:hAnsi="宋体" w:eastAsia="宋体" w:cs="宋体"/>
                <w:b/>
                <w:bCs/>
                <w:color w:val="auto"/>
                <w:szCs w:val="21"/>
              </w:rPr>
            </w:pPr>
          </w:p>
        </w:tc>
        <w:tc>
          <w:tcPr>
            <w:tcW w:w="3900" w:type="dxa"/>
            <w:vAlign w:val="center"/>
          </w:tcPr>
          <w:p>
            <w:pPr>
              <w:jc w:val="center"/>
              <w:rPr>
                <w:rFonts w:hint="eastAsia" w:ascii="宋体" w:hAnsi="宋体" w:eastAsia="宋体" w:cs="宋体"/>
                <w:b/>
                <w:bCs/>
                <w:color w:val="auto"/>
                <w:szCs w:val="21"/>
              </w:rPr>
            </w:pPr>
          </w:p>
        </w:tc>
        <w:tc>
          <w:tcPr>
            <w:tcW w:w="1303" w:type="dxa"/>
            <w:vAlign w:val="center"/>
          </w:tcPr>
          <w:p>
            <w:pPr>
              <w:jc w:val="center"/>
              <w:rPr>
                <w:rFonts w:hint="eastAsia" w:ascii="宋体" w:hAnsi="宋体" w:eastAsia="宋体" w:cs="宋体"/>
                <w:b/>
                <w:bCs/>
                <w:color w:val="auto"/>
                <w:szCs w:val="21"/>
              </w:rPr>
            </w:pPr>
          </w:p>
        </w:tc>
        <w:tc>
          <w:tcPr>
            <w:tcW w:w="1423" w:type="dxa"/>
            <w:vAlign w:val="center"/>
          </w:tcPr>
          <w:p>
            <w:pPr>
              <w:jc w:val="center"/>
              <w:rPr>
                <w:rFonts w:hint="eastAsia" w:ascii="宋体" w:hAnsi="宋体" w:eastAsia="宋体" w:cs="宋体"/>
                <w:b/>
                <w:bCs/>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81" w:type="dxa"/>
            <w:vAlign w:val="center"/>
          </w:tcPr>
          <w:p>
            <w:pPr>
              <w:jc w:val="center"/>
              <w:rPr>
                <w:rFonts w:hint="eastAsia" w:ascii="宋体" w:hAnsi="宋体" w:eastAsia="宋体" w:cs="宋体"/>
                <w:b/>
                <w:bCs/>
                <w:color w:val="auto"/>
                <w:szCs w:val="21"/>
              </w:rPr>
            </w:pPr>
          </w:p>
        </w:tc>
        <w:tc>
          <w:tcPr>
            <w:tcW w:w="1066" w:type="dxa"/>
            <w:vAlign w:val="center"/>
          </w:tcPr>
          <w:p>
            <w:pPr>
              <w:jc w:val="center"/>
              <w:rPr>
                <w:rFonts w:hint="eastAsia" w:ascii="宋体" w:hAnsi="宋体" w:eastAsia="宋体" w:cs="宋体"/>
                <w:b/>
                <w:bCs/>
                <w:color w:val="auto"/>
                <w:szCs w:val="21"/>
              </w:rPr>
            </w:pPr>
          </w:p>
        </w:tc>
        <w:tc>
          <w:tcPr>
            <w:tcW w:w="3900" w:type="dxa"/>
            <w:vAlign w:val="center"/>
          </w:tcPr>
          <w:p>
            <w:pPr>
              <w:jc w:val="center"/>
              <w:rPr>
                <w:rFonts w:hint="eastAsia" w:ascii="宋体" w:hAnsi="宋体" w:eastAsia="宋体" w:cs="宋体"/>
                <w:b/>
                <w:bCs/>
                <w:color w:val="auto"/>
                <w:szCs w:val="21"/>
              </w:rPr>
            </w:pPr>
          </w:p>
        </w:tc>
        <w:tc>
          <w:tcPr>
            <w:tcW w:w="1303" w:type="dxa"/>
            <w:vAlign w:val="center"/>
          </w:tcPr>
          <w:p>
            <w:pPr>
              <w:jc w:val="center"/>
              <w:rPr>
                <w:rFonts w:hint="eastAsia" w:ascii="宋体" w:hAnsi="宋体" w:eastAsia="宋体" w:cs="宋体"/>
                <w:b/>
                <w:bCs/>
                <w:color w:val="auto"/>
                <w:szCs w:val="21"/>
              </w:rPr>
            </w:pPr>
          </w:p>
        </w:tc>
        <w:tc>
          <w:tcPr>
            <w:tcW w:w="1423" w:type="dxa"/>
            <w:vAlign w:val="center"/>
          </w:tcPr>
          <w:p>
            <w:pPr>
              <w:jc w:val="center"/>
              <w:rPr>
                <w:rFonts w:hint="eastAsia" w:ascii="宋体" w:hAnsi="宋体" w:eastAsia="宋体" w:cs="宋体"/>
                <w:b/>
                <w:bCs/>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81" w:type="dxa"/>
            <w:vAlign w:val="center"/>
          </w:tcPr>
          <w:p>
            <w:pPr>
              <w:jc w:val="center"/>
              <w:rPr>
                <w:rFonts w:hint="eastAsia" w:ascii="宋体" w:hAnsi="宋体" w:eastAsia="宋体" w:cs="宋体"/>
                <w:b/>
                <w:bCs/>
                <w:color w:val="auto"/>
                <w:szCs w:val="21"/>
              </w:rPr>
            </w:pPr>
          </w:p>
        </w:tc>
        <w:tc>
          <w:tcPr>
            <w:tcW w:w="1066" w:type="dxa"/>
            <w:vAlign w:val="center"/>
          </w:tcPr>
          <w:p>
            <w:pPr>
              <w:jc w:val="center"/>
              <w:rPr>
                <w:rFonts w:hint="eastAsia" w:ascii="宋体" w:hAnsi="宋体" w:eastAsia="宋体" w:cs="宋体"/>
                <w:b/>
                <w:bCs/>
                <w:color w:val="auto"/>
                <w:szCs w:val="21"/>
              </w:rPr>
            </w:pPr>
          </w:p>
        </w:tc>
        <w:tc>
          <w:tcPr>
            <w:tcW w:w="3900" w:type="dxa"/>
            <w:vAlign w:val="center"/>
          </w:tcPr>
          <w:p>
            <w:pPr>
              <w:jc w:val="center"/>
              <w:rPr>
                <w:rFonts w:hint="eastAsia" w:ascii="宋体" w:hAnsi="宋体" w:eastAsia="宋体" w:cs="宋体"/>
                <w:b/>
                <w:bCs/>
                <w:color w:val="auto"/>
                <w:szCs w:val="21"/>
              </w:rPr>
            </w:pPr>
          </w:p>
        </w:tc>
        <w:tc>
          <w:tcPr>
            <w:tcW w:w="1303" w:type="dxa"/>
            <w:vAlign w:val="center"/>
          </w:tcPr>
          <w:p>
            <w:pPr>
              <w:jc w:val="center"/>
              <w:rPr>
                <w:rFonts w:hint="eastAsia" w:ascii="宋体" w:hAnsi="宋体" w:eastAsia="宋体" w:cs="宋体"/>
                <w:b/>
                <w:bCs/>
                <w:color w:val="auto"/>
                <w:szCs w:val="21"/>
              </w:rPr>
            </w:pPr>
          </w:p>
        </w:tc>
        <w:tc>
          <w:tcPr>
            <w:tcW w:w="1423" w:type="dxa"/>
            <w:vAlign w:val="center"/>
          </w:tcPr>
          <w:p>
            <w:pPr>
              <w:jc w:val="center"/>
              <w:rPr>
                <w:rFonts w:hint="eastAsia" w:ascii="宋体" w:hAnsi="宋体" w:eastAsia="宋体" w:cs="宋体"/>
                <w:b/>
                <w:bCs/>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81" w:type="dxa"/>
            <w:vAlign w:val="center"/>
          </w:tcPr>
          <w:p>
            <w:pPr>
              <w:jc w:val="center"/>
              <w:rPr>
                <w:rFonts w:hint="eastAsia" w:ascii="宋体" w:hAnsi="宋体" w:eastAsia="宋体" w:cs="宋体"/>
                <w:b/>
                <w:bCs/>
                <w:color w:val="auto"/>
                <w:szCs w:val="21"/>
              </w:rPr>
            </w:pPr>
          </w:p>
        </w:tc>
        <w:tc>
          <w:tcPr>
            <w:tcW w:w="1066" w:type="dxa"/>
            <w:vAlign w:val="center"/>
          </w:tcPr>
          <w:p>
            <w:pPr>
              <w:jc w:val="center"/>
              <w:rPr>
                <w:rFonts w:hint="eastAsia" w:ascii="宋体" w:hAnsi="宋体" w:eastAsia="宋体" w:cs="宋体"/>
                <w:b/>
                <w:bCs/>
                <w:color w:val="auto"/>
                <w:szCs w:val="21"/>
              </w:rPr>
            </w:pPr>
          </w:p>
        </w:tc>
        <w:tc>
          <w:tcPr>
            <w:tcW w:w="3900" w:type="dxa"/>
            <w:vAlign w:val="center"/>
          </w:tcPr>
          <w:p>
            <w:pPr>
              <w:jc w:val="center"/>
              <w:rPr>
                <w:rFonts w:hint="eastAsia" w:ascii="宋体" w:hAnsi="宋体" w:eastAsia="宋体" w:cs="宋体"/>
                <w:b/>
                <w:bCs/>
                <w:color w:val="auto"/>
                <w:szCs w:val="21"/>
              </w:rPr>
            </w:pPr>
          </w:p>
        </w:tc>
        <w:tc>
          <w:tcPr>
            <w:tcW w:w="1303" w:type="dxa"/>
            <w:vAlign w:val="center"/>
          </w:tcPr>
          <w:p>
            <w:pPr>
              <w:jc w:val="center"/>
              <w:rPr>
                <w:rFonts w:hint="eastAsia" w:ascii="宋体" w:hAnsi="宋体" w:eastAsia="宋体" w:cs="宋体"/>
                <w:b/>
                <w:bCs/>
                <w:color w:val="auto"/>
                <w:szCs w:val="21"/>
              </w:rPr>
            </w:pPr>
          </w:p>
        </w:tc>
        <w:tc>
          <w:tcPr>
            <w:tcW w:w="1423" w:type="dxa"/>
            <w:vAlign w:val="center"/>
          </w:tcPr>
          <w:p>
            <w:pPr>
              <w:jc w:val="center"/>
              <w:rPr>
                <w:rFonts w:hint="eastAsia" w:ascii="宋体" w:hAnsi="宋体" w:eastAsia="宋体" w:cs="宋体"/>
                <w:b/>
                <w:bCs/>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81" w:type="dxa"/>
            <w:vAlign w:val="center"/>
          </w:tcPr>
          <w:p>
            <w:pPr>
              <w:jc w:val="center"/>
              <w:rPr>
                <w:rFonts w:hint="eastAsia" w:ascii="宋体" w:hAnsi="宋体" w:eastAsia="宋体" w:cs="宋体"/>
                <w:b/>
                <w:bCs/>
                <w:color w:val="auto"/>
                <w:szCs w:val="21"/>
              </w:rPr>
            </w:pPr>
          </w:p>
        </w:tc>
        <w:tc>
          <w:tcPr>
            <w:tcW w:w="1066" w:type="dxa"/>
            <w:vAlign w:val="center"/>
          </w:tcPr>
          <w:p>
            <w:pPr>
              <w:jc w:val="center"/>
              <w:rPr>
                <w:rFonts w:hint="eastAsia" w:ascii="宋体" w:hAnsi="宋体" w:eastAsia="宋体" w:cs="宋体"/>
                <w:b/>
                <w:bCs/>
                <w:color w:val="auto"/>
                <w:szCs w:val="21"/>
              </w:rPr>
            </w:pPr>
          </w:p>
        </w:tc>
        <w:tc>
          <w:tcPr>
            <w:tcW w:w="3900" w:type="dxa"/>
            <w:vAlign w:val="center"/>
          </w:tcPr>
          <w:p>
            <w:pPr>
              <w:jc w:val="center"/>
              <w:rPr>
                <w:rFonts w:hint="eastAsia" w:ascii="宋体" w:hAnsi="宋体" w:eastAsia="宋体" w:cs="宋体"/>
                <w:b/>
                <w:bCs/>
                <w:color w:val="auto"/>
                <w:szCs w:val="21"/>
              </w:rPr>
            </w:pPr>
          </w:p>
        </w:tc>
        <w:tc>
          <w:tcPr>
            <w:tcW w:w="1303" w:type="dxa"/>
            <w:vAlign w:val="center"/>
          </w:tcPr>
          <w:p>
            <w:pPr>
              <w:jc w:val="center"/>
              <w:rPr>
                <w:rFonts w:hint="eastAsia" w:ascii="宋体" w:hAnsi="宋体" w:eastAsia="宋体" w:cs="宋体"/>
                <w:b/>
                <w:bCs/>
                <w:color w:val="auto"/>
                <w:szCs w:val="21"/>
              </w:rPr>
            </w:pPr>
          </w:p>
        </w:tc>
        <w:tc>
          <w:tcPr>
            <w:tcW w:w="1423" w:type="dxa"/>
            <w:vAlign w:val="center"/>
          </w:tcPr>
          <w:p>
            <w:pPr>
              <w:jc w:val="center"/>
              <w:rPr>
                <w:rFonts w:hint="eastAsia" w:ascii="宋体" w:hAnsi="宋体" w:eastAsia="宋体" w:cs="宋体"/>
                <w:b/>
                <w:bCs/>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8673" w:type="dxa"/>
            <w:gridSpan w:val="5"/>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由食堂管理员负责登记</w:t>
            </w:r>
          </w:p>
        </w:tc>
      </w:tr>
    </w:tbl>
    <w:p>
      <w:pPr>
        <w:rPr>
          <w:rFonts w:hint="eastAsia" w:hAnsi="宋体" w:cs="宋体"/>
          <w:color w:val="auto"/>
        </w:rPr>
      </w:pPr>
    </w:p>
    <w:p>
      <w:pPr>
        <w:pStyle w:val="147"/>
        <w:numPr>
          <w:ilvl w:val="-1"/>
          <w:numId w:val="0"/>
        </w:numPr>
        <w:ind w:firstLine="0" w:firstLineChars="0"/>
        <w:jc w:val="center"/>
        <w:outlineLvl w:val="0"/>
        <w:rPr>
          <w:rFonts w:hAnsi="宋体" w:cs="宋体"/>
          <w:b/>
          <w:bCs/>
          <w:color w:val="auto"/>
          <w:sz w:val="32"/>
          <w:szCs w:val="32"/>
        </w:rPr>
      </w:pPr>
      <w:r>
        <w:rPr>
          <w:rFonts w:hint="eastAsia" w:hAnsi="宋体" w:cs="宋体"/>
          <w:color w:val="auto"/>
          <w:lang w:val="en-US"/>
        </w:rPr>
        <w:br w:type="page"/>
      </w:r>
      <w:bookmarkStart w:id="128" w:name="_Toc11136"/>
      <w:r>
        <w:rPr>
          <w:rFonts w:hint="eastAsia" w:hAnsi="宋体" w:cs="宋体"/>
          <w:b/>
          <w:bCs/>
          <w:color w:val="auto"/>
          <w:sz w:val="32"/>
          <w:szCs w:val="32"/>
          <w:lang w:val="en-US" w:eastAsia="zh-CN"/>
        </w:rPr>
        <w:t xml:space="preserve">第四篇 </w:t>
      </w:r>
      <w:r>
        <w:rPr>
          <w:rFonts w:hint="eastAsia" w:hAnsi="宋体" w:cs="宋体"/>
          <w:b/>
          <w:bCs/>
          <w:color w:val="auto"/>
          <w:sz w:val="32"/>
          <w:szCs w:val="32"/>
        </w:rPr>
        <w:t>合同条款</w:t>
      </w:r>
      <w:bookmarkEnd w:id="125"/>
      <w:bookmarkEnd w:id="126"/>
      <w:bookmarkEnd w:id="127"/>
      <w:bookmarkEnd w:id="128"/>
    </w:p>
    <w:p>
      <w:pPr>
        <w:pStyle w:val="147"/>
        <w:ind w:firstLine="0" w:firstLineChars="0"/>
        <w:jc w:val="both"/>
        <w:rPr>
          <w:rFonts w:hAnsi="宋体" w:cs="宋体"/>
          <w:b/>
          <w:bCs/>
          <w:color w:val="auto"/>
          <w:sz w:val="32"/>
          <w:szCs w:val="32"/>
        </w:rPr>
      </w:pPr>
    </w:p>
    <w:p>
      <w:pPr>
        <w:pStyle w:val="147"/>
        <w:ind w:firstLine="0" w:firstLineChars="0"/>
        <w:jc w:val="both"/>
        <w:rPr>
          <w:rFonts w:hAnsi="宋体" w:cs="宋体"/>
          <w:b/>
          <w:bCs/>
          <w:color w:val="auto"/>
          <w:sz w:val="32"/>
          <w:szCs w:val="32"/>
        </w:rPr>
      </w:pPr>
    </w:p>
    <w:p>
      <w:pPr>
        <w:pStyle w:val="147"/>
        <w:ind w:firstLine="0" w:firstLineChars="0"/>
        <w:jc w:val="both"/>
        <w:rPr>
          <w:rFonts w:hAnsi="宋体" w:cs="宋体"/>
          <w:b/>
          <w:bCs/>
          <w:color w:val="auto"/>
          <w:sz w:val="32"/>
          <w:szCs w:val="32"/>
        </w:rPr>
      </w:pPr>
    </w:p>
    <w:p>
      <w:pPr>
        <w:pStyle w:val="147"/>
        <w:ind w:firstLine="0" w:firstLineChars="0"/>
        <w:jc w:val="both"/>
        <w:rPr>
          <w:rFonts w:hAnsi="宋体" w:cs="宋体"/>
          <w:b/>
          <w:bCs/>
          <w:color w:val="auto"/>
          <w:sz w:val="32"/>
          <w:szCs w:val="32"/>
        </w:rPr>
      </w:pPr>
    </w:p>
    <w:p>
      <w:pPr>
        <w:pStyle w:val="147"/>
        <w:ind w:firstLine="0" w:firstLineChars="0"/>
        <w:jc w:val="both"/>
        <w:rPr>
          <w:rFonts w:hAnsi="宋体" w:cs="宋体"/>
          <w:b/>
          <w:bCs/>
          <w:color w:val="auto"/>
          <w:sz w:val="32"/>
          <w:szCs w:val="32"/>
        </w:rPr>
      </w:pPr>
    </w:p>
    <w:p>
      <w:pPr>
        <w:pStyle w:val="147"/>
        <w:ind w:firstLine="0" w:firstLineChars="0"/>
        <w:jc w:val="both"/>
        <w:rPr>
          <w:rFonts w:hAnsi="宋体" w:cs="宋体"/>
          <w:b/>
          <w:bCs/>
          <w:color w:val="auto"/>
          <w:sz w:val="32"/>
          <w:szCs w:val="32"/>
        </w:rPr>
      </w:pPr>
    </w:p>
    <w:p>
      <w:pPr>
        <w:spacing w:line="360" w:lineRule="auto"/>
        <w:jc w:val="center"/>
        <w:rPr>
          <w:rFonts w:hAnsi="宋体" w:cs="宋体"/>
          <w:b/>
          <w:color w:val="auto"/>
          <w:szCs w:val="21"/>
        </w:rPr>
      </w:pPr>
      <w:r>
        <w:rPr>
          <w:rFonts w:hint="eastAsia" w:hAnsi="宋体" w:cs="宋体"/>
          <w:b/>
          <w:color w:val="auto"/>
          <w:sz w:val="44"/>
          <w:szCs w:val="44"/>
        </w:rPr>
        <w:t>东莞市水务集团管网有限公司2022年食堂食材配送服务采购项目采购合同</w:t>
      </w:r>
    </w:p>
    <w:p>
      <w:pPr>
        <w:spacing w:line="360" w:lineRule="auto"/>
        <w:rPr>
          <w:rFonts w:hAnsi="宋体" w:cs="宋体"/>
          <w:b/>
          <w:color w:val="auto"/>
          <w:szCs w:val="21"/>
        </w:rPr>
      </w:pPr>
    </w:p>
    <w:p>
      <w:pPr>
        <w:spacing w:line="360" w:lineRule="auto"/>
        <w:rPr>
          <w:rFonts w:hAnsi="宋体" w:cs="宋体"/>
          <w:b/>
          <w:color w:val="auto"/>
          <w:szCs w:val="21"/>
        </w:rPr>
      </w:pPr>
    </w:p>
    <w:p>
      <w:pPr>
        <w:spacing w:line="360" w:lineRule="auto"/>
        <w:rPr>
          <w:rFonts w:hAnsi="宋体" w:cs="宋体"/>
          <w:b/>
          <w:color w:val="auto"/>
          <w:szCs w:val="21"/>
        </w:rPr>
      </w:pPr>
    </w:p>
    <w:p>
      <w:pPr>
        <w:spacing w:line="360" w:lineRule="auto"/>
        <w:rPr>
          <w:rFonts w:hAnsi="宋体" w:cs="宋体"/>
          <w:b/>
          <w:color w:val="auto"/>
          <w:szCs w:val="21"/>
        </w:rPr>
      </w:pPr>
    </w:p>
    <w:p>
      <w:pPr>
        <w:spacing w:line="360" w:lineRule="auto"/>
        <w:rPr>
          <w:rFonts w:hAnsi="宋体" w:cs="宋体"/>
          <w:b/>
          <w:color w:val="auto"/>
          <w:szCs w:val="21"/>
        </w:rPr>
      </w:pPr>
    </w:p>
    <w:p>
      <w:pPr>
        <w:spacing w:line="360" w:lineRule="auto"/>
        <w:ind w:firstLine="1446" w:firstLineChars="600"/>
        <w:rPr>
          <w:rFonts w:hAnsi="宋体" w:cs="宋体"/>
          <w:b/>
          <w:color w:val="auto"/>
          <w:szCs w:val="21"/>
        </w:rPr>
      </w:pPr>
    </w:p>
    <w:p>
      <w:pPr>
        <w:spacing w:line="360" w:lineRule="auto"/>
        <w:ind w:firstLine="1446" w:firstLineChars="600"/>
        <w:rPr>
          <w:rFonts w:hAnsi="宋体" w:cs="宋体"/>
          <w:b/>
          <w:color w:val="auto"/>
          <w:szCs w:val="21"/>
        </w:rPr>
      </w:pPr>
    </w:p>
    <w:p>
      <w:pPr>
        <w:spacing w:line="360" w:lineRule="auto"/>
        <w:ind w:firstLine="1446" w:firstLineChars="600"/>
        <w:rPr>
          <w:rFonts w:hAnsi="宋体" w:cs="宋体"/>
          <w:b/>
          <w:color w:val="auto"/>
          <w:szCs w:val="21"/>
        </w:rPr>
      </w:pPr>
    </w:p>
    <w:p>
      <w:pPr>
        <w:spacing w:line="360" w:lineRule="auto"/>
        <w:ind w:firstLine="1446" w:firstLineChars="600"/>
        <w:rPr>
          <w:rFonts w:hAnsi="宋体" w:cs="宋体"/>
          <w:b/>
          <w:color w:val="auto"/>
          <w:szCs w:val="21"/>
          <w:u w:val="single"/>
        </w:rPr>
      </w:pPr>
      <w:r>
        <w:rPr>
          <w:rFonts w:hint="eastAsia" w:hAnsi="宋体" w:cs="宋体"/>
          <w:b/>
          <w:color w:val="auto"/>
          <w:szCs w:val="21"/>
        </w:rPr>
        <w:t>甲方：</w:t>
      </w:r>
      <w:r>
        <w:rPr>
          <w:rFonts w:hint="eastAsia" w:hAnsi="宋体" w:cs="宋体"/>
          <w:b/>
          <w:color w:val="auto"/>
          <w:szCs w:val="21"/>
          <w:u w:val="single"/>
        </w:rPr>
        <w:t xml:space="preserve"> </w:t>
      </w:r>
      <w:r>
        <w:rPr>
          <w:rFonts w:hAnsi="宋体" w:cs="宋体"/>
          <w:b/>
          <w:color w:val="auto"/>
          <w:szCs w:val="21"/>
          <w:u w:val="single"/>
        </w:rPr>
        <w:t xml:space="preserve">                                     </w:t>
      </w:r>
    </w:p>
    <w:p>
      <w:pPr>
        <w:spacing w:line="360" w:lineRule="auto"/>
        <w:rPr>
          <w:rFonts w:hAnsi="宋体" w:cs="宋体"/>
          <w:b/>
          <w:color w:val="auto"/>
          <w:szCs w:val="21"/>
        </w:rPr>
      </w:pPr>
    </w:p>
    <w:p>
      <w:pPr>
        <w:spacing w:line="360" w:lineRule="auto"/>
        <w:ind w:firstLine="1446" w:firstLineChars="600"/>
        <w:rPr>
          <w:rFonts w:hAnsi="宋体" w:cs="宋体"/>
          <w:b/>
          <w:color w:val="auto"/>
          <w:szCs w:val="21"/>
          <w:u w:val="single"/>
        </w:rPr>
      </w:pPr>
      <w:r>
        <w:rPr>
          <w:rFonts w:hint="eastAsia" w:hAnsi="宋体" w:cs="宋体"/>
          <w:b/>
          <w:color w:val="auto"/>
          <w:szCs w:val="21"/>
        </w:rPr>
        <w:t>乙方：</w:t>
      </w:r>
      <w:r>
        <w:rPr>
          <w:rFonts w:hint="eastAsia" w:hAnsi="宋体" w:cs="宋体"/>
          <w:b/>
          <w:color w:val="auto"/>
          <w:szCs w:val="21"/>
          <w:u w:val="single"/>
        </w:rPr>
        <w:t xml:space="preserve">    </w:t>
      </w:r>
      <w:r>
        <w:rPr>
          <w:rFonts w:hAnsi="宋体" w:cs="宋体"/>
          <w:b/>
          <w:color w:val="auto"/>
          <w:szCs w:val="21"/>
          <w:u w:val="single"/>
        </w:rPr>
        <w:t xml:space="preserve">                                 </w:t>
      </w:r>
      <w:r>
        <w:rPr>
          <w:rFonts w:hint="eastAsia" w:hAnsi="宋体" w:cs="宋体"/>
          <w:b/>
          <w:color w:val="auto"/>
          <w:szCs w:val="21"/>
          <w:u w:val="single"/>
        </w:rPr>
        <w:t xml:space="preserve"> </w:t>
      </w:r>
    </w:p>
    <w:p>
      <w:pPr>
        <w:spacing w:line="360" w:lineRule="auto"/>
        <w:ind w:firstLine="1446" w:firstLineChars="600"/>
        <w:rPr>
          <w:rFonts w:hAnsi="宋体" w:cs="宋体"/>
          <w:b/>
          <w:color w:val="auto"/>
          <w:szCs w:val="21"/>
        </w:rPr>
      </w:pPr>
    </w:p>
    <w:p>
      <w:pPr>
        <w:spacing w:line="360" w:lineRule="auto"/>
        <w:ind w:firstLine="1446" w:firstLineChars="600"/>
        <w:rPr>
          <w:rFonts w:hAnsi="宋体" w:cs="宋体"/>
          <w:b/>
          <w:color w:val="auto"/>
          <w:szCs w:val="21"/>
          <w:u w:val="single"/>
        </w:rPr>
      </w:pPr>
      <w:r>
        <w:rPr>
          <w:rFonts w:hint="eastAsia" w:hAnsi="宋体" w:cs="宋体"/>
          <w:b/>
          <w:color w:val="auto"/>
          <w:szCs w:val="21"/>
        </w:rPr>
        <w:t>签约地点：</w:t>
      </w:r>
      <w:r>
        <w:rPr>
          <w:rFonts w:hint="eastAsia" w:hAnsi="宋体" w:cs="宋体"/>
          <w:b/>
          <w:color w:val="auto"/>
          <w:szCs w:val="21"/>
          <w:u w:val="single"/>
        </w:rPr>
        <w:t xml:space="preserve">       东莞市                      </w:t>
      </w:r>
    </w:p>
    <w:p>
      <w:pPr>
        <w:spacing w:line="360" w:lineRule="auto"/>
        <w:rPr>
          <w:rFonts w:hAnsi="宋体" w:cs="宋体"/>
          <w:b/>
          <w:color w:val="auto"/>
          <w:szCs w:val="21"/>
        </w:rPr>
      </w:pPr>
    </w:p>
    <w:p>
      <w:pPr>
        <w:spacing w:line="360" w:lineRule="auto"/>
        <w:ind w:firstLine="1446" w:firstLineChars="600"/>
        <w:rPr>
          <w:rFonts w:hAnsi="宋体" w:cs="宋体"/>
          <w:b/>
          <w:color w:val="auto"/>
          <w:szCs w:val="21"/>
          <w:u w:val="single"/>
        </w:rPr>
      </w:pPr>
      <w:r>
        <w:rPr>
          <w:rFonts w:hint="eastAsia" w:hAnsi="宋体" w:cs="宋体"/>
          <w:b/>
          <w:color w:val="auto"/>
          <w:szCs w:val="21"/>
        </w:rPr>
        <w:t>签约日期：</w:t>
      </w:r>
      <w:r>
        <w:rPr>
          <w:rFonts w:hint="eastAsia" w:hAnsi="宋体" w:cs="宋体"/>
          <w:b/>
          <w:color w:val="auto"/>
          <w:szCs w:val="21"/>
          <w:u w:val="single"/>
        </w:rPr>
        <w:t xml:space="preserve">                                    </w:t>
      </w:r>
    </w:p>
    <w:p>
      <w:pPr>
        <w:spacing w:line="360" w:lineRule="auto"/>
        <w:rPr>
          <w:rFonts w:hAnsi="宋体" w:cs="宋体"/>
          <w:b/>
          <w:color w:val="auto"/>
          <w:szCs w:val="21"/>
        </w:rPr>
      </w:pPr>
    </w:p>
    <w:p>
      <w:pPr>
        <w:tabs>
          <w:tab w:val="left" w:pos="840"/>
        </w:tabs>
        <w:spacing w:line="360" w:lineRule="auto"/>
        <w:rPr>
          <w:rFonts w:hint="eastAsia" w:hAnsi="宋体" w:cs="宋体"/>
          <w:color w:val="auto"/>
          <w:sz w:val="21"/>
          <w:szCs w:val="21"/>
        </w:rPr>
      </w:pPr>
    </w:p>
    <w:p>
      <w:pPr>
        <w:autoSpaceDE/>
        <w:autoSpaceDN/>
        <w:adjustRightInd/>
        <w:spacing w:line="520" w:lineRule="exact"/>
        <w:jc w:val="both"/>
        <w:rPr>
          <w:rFonts w:hAnsi="宋体" w:cs="宋体"/>
          <w:color w:val="auto"/>
          <w:sz w:val="21"/>
          <w:szCs w:val="21"/>
          <w:u w:val="single"/>
        </w:rPr>
      </w:pPr>
      <w:r>
        <w:rPr>
          <w:rFonts w:hint="eastAsia" w:hAnsi="宋体" w:cs="宋体"/>
          <w:b/>
          <w:bCs/>
          <w:color w:val="auto"/>
          <w:sz w:val="21"/>
          <w:szCs w:val="21"/>
        </w:rPr>
        <w:br w:type="page"/>
      </w:r>
      <w:bookmarkStart w:id="129" w:name="_Toc447044479"/>
      <w:bookmarkStart w:id="130" w:name="_Toc447044603"/>
      <w:bookmarkStart w:id="131" w:name="_Toc447045090"/>
      <w:r>
        <w:rPr>
          <w:rFonts w:hint="eastAsia" w:hAnsi="宋体" w:cs="宋体"/>
          <w:b/>
          <w:bCs/>
          <w:color w:val="auto"/>
          <w:sz w:val="21"/>
          <w:szCs w:val="21"/>
        </w:rPr>
        <w:t>甲方</w:t>
      </w:r>
      <w:r>
        <w:rPr>
          <w:rFonts w:hint="eastAsia" w:hAnsi="宋体" w:cs="宋体"/>
          <w:color w:val="auto"/>
          <w:sz w:val="21"/>
          <w:szCs w:val="21"/>
        </w:rPr>
        <w:t>：</w:t>
      </w:r>
      <w:r>
        <w:rPr>
          <w:rFonts w:hint="eastAsia" w:hAnsi="宋体" w:cs="宋体"/>
          <w:color w:val="auto"/>
          <w:sz w:val="21"/>
          <w:szCs w:val="21"/>
          <w:u w:val="single"/>
        </w:rPr>
        <w:t xml:space="preserve">                         </w:t>
      </w:r>
    </w:p>
    <w:p>
      <w:pPr>
        <w:spacing w:line="360" w:lineRule="auto"/>
        <w:rPr>
          <w:rFonts w:hAnsi="宋体" w:cs="宋体"/>
          <w:b/>
          <w:color w:val="auto"/>
          <w:sz w:val="21"/>
          <w:szCs w:val="21"/>
        </w:rPr>
      </w:pPr>
      <w:r>
        <w:rPr>
          <w:rFonts w:hint="eastAsia" w:hAnsi="宋体" w:cs="宋体"/>
          <w:b/>
          <w:color w:val="auto"/>
          <w:sz w:val="21"/>
          <w:szCs w:val="21"/>
        </w:rPr>
        <w:t>乙方：</w:t>
      </w:r>
      <w:r>
        <w:rPr>
          <w:rFonts w:hint="eastAsia" w:hAnsi="宋体" w:cs="宋体"/>
          <w:b/>
          <w:color w:val="auto"/>
          <w:sz w:val="21"/>
          <w:szCs w:val="21"/>
          <w:u w:val="single"/>
        </w:rPr>
        <w:t xml:space="preserve">                         </w:t>
      </w:r>
      <w:r>
        <w:rPr>
          <w:rFonts w:hint="eastAsia" w:hAnsi="宋体" w:cs="宋体"/>
          <w:b/>
          <w:color w:val="auto"/>
          <w:sz w:val="21"/>
          <w:szCs w:val="21"/>
        </w:rPr>
        <w:t xml:space="preserve">                      </w:t>
      </w:r>
    </w:p>
    <w:p>
      <w:pPr>
        <w:spacing w:line="360" w:lineRule="auto"/>
        <w:rPr>
          <w:rFonts w:hAnsi="宋体" w:cs="宋体"/>
          <w:b/>
          <w:color w:val="auto"/>
          <w:sz w:val="21"/>
          <w:szCs w:val="21"/>
        </w:rPr>
      </w:pPr>
    </w:p>
    <w:p>
      <w:pPr>
        <w:spacing w:line="360" w:lineRule="auto"/>
        <w:ind w:firstLine="420" w:firstLineChars="200"/>
        <w:rPr>
          <w:rFonts w:hAnsi="宋体" w:cs="宋体"/>
          <w:color w:val="auto"/>
          <w:sz w:val="21"/>
          <w:szCs w:val="21"/>
        </w:rPr>
      </w:pPr>
      <w:bookmarkStart w:id="132" w:name="_Toc383940877"/>
      <w:bookmarkStart w:id="133" w:name="_Toc389663453"/>
      <w:bookmarkStart w:id="134" w:name="_Toc384026351"/>
      <w:bookmarkStart w:id="135" w:name="_Toc384137522"/>
      <w:bookmarkStart w:id="136" w:name="_Toc389602796"/>
      <w:r>
        <w:rPr>
          <w:rFonts w:hint="eastAsia" w:hAnsi="宋体" w:cs="宋体"/>
          <w:color w:val="auto"/>
          <w:sz w:val="21"/>
          <w:szCs w:val="21"/>
        </w:rPr>
        <w:t>根据《中华人民共和国民法典》及广东华迪工程管理有限公司通知的东莞市水务集团管网有限公司2022年食堂食材配送服务采购项目(招标编号：</w:t>
      </w:r>
      <w:r>
        <w:rPr>
          <w:rFonts w:hint="eastAsia" w:hAnsi="宋体" w:cs="宋体"/>
          <w:color w:val="auto"/>
          <w:sz w:val="21"/>
          <w:szCs w:val="21"/>
          <w:u w:val="single"/>
        </w:rPr>
        <w:t>GDHD-ST-2021-14)</w:t>
      </w:r>
      <w:r>
        <w:rPr>
          <w:rFonts w:hint="eastAsia" w:hAnsi="宋体" w:cs="宋体"/>
          <w:color w:val="auto"/>
          <w:sz w:val="21"/>
          <w:szCs w:val="21"/>
        </w:rPr>
        <w:t>中标结果和招标文件的要求，结合东莞市相关规定及本项目具体情况，及其它有关法律、行政法规，甲、乙双方在自愿、平等、协商一致的基础上订立本合同。</w:t>
      </w:r>
    </w:p>
    <w:bookmarkEnd w:id="132"/>
    <w:bookmarkEnd w:id="133"/>
    <w:bookmarkEnd w:id="134"/>
    <w:bookmarkEnd w:id="135"/>
    <w:bookmarkEnd w:id="136"/>
    <w:p>
      <w:pPr>
        <w:spacing w:line="360" w:lineRule="auto"/>
        <w:ind w:firstLine="422" w:firstLineChars="200"/>
        <w:rPr>
          <w:rFonts w:hAnsi="宋体" w:cs="宋体"/>
          <w:b/>
          <w:color w:val="auto"/>
          <w:sz w:val="21"/>
          <w:szCs w:val="21"/>
        </w:rPr>
      </w:pPr>
      <w:r>
        <w:rPr>
          <w:rFonts w:hint="eastAsia" w:hAnsi="宋体" w:cs="宋体"/>
          <w:b/>
          <w:color w:val="auto"/>
          <w:sz w:val="21"/>
          <w:szCs w:val="21"/>
        </w:rPr>
        <w:t>一、食品材料名称、规格、品牌</w:t>
      </w:r>
    </w:p>
    <w:p>
      <w:pPr>
        <w:autoSpaceDE/>
        <w:autoSpaceDN/>
        <w:adjustRightInd/>
        <w:spacing w:line="360" w:lineRule="auto"/>
        <w:ind w:firstLine="420" w:firstLineChars="200"/>
        <w:jc w:val="both"/>
        <w:rPr>
          <w:rFonts w:hAnsi="宋体" w:cs="宋体"/>
          <w:color w:val="auto"/>
          <w:sz w:val="21"/>
          <w:szCs w:val="21"/>
        </w:rPr>
      </w:pPr>
      <w:r>
        <w:rPr>
          <w:rFonts w:hint="eastAsia" w:hAnsi="宋体" w:cs="宋体"/>
          <w:color w:val="auto"/>
          <w:sz w:val="21"/>
          <w:szCs w:val="21"/>
        </w:rPr>
        <w:t>员工食堂食品材料配送服务采购包括但不限于：</w:t>
      </w:r>
    </w:p>
    <w:p>
      <w:pPr>
        <w:spacing w:line="360" w:lineRule="auto"/>
        <w:ind w:firstLine="420" w:firstLineChars="200"/>
        <w:rPr>
          <w:rFonts w:hAnsi="宋体" w:cs="宋体"/>
          <w:color w:val="auto"/>
          <w:sz w:val="21"/>
          <w:szCs w:val="21"/>
        </w:rPr>
      </w:pPr>
      <w:r>
        <w:rPr>
          <w:rFonts w:hint="eastAsia" w:hAnsi="宋体" w:cs="宋体"/>
          <w:color w:val="auto"/>
          <w:sz w:val="21"/>
          <w:szCs w:val="21"/>
        </w:rPr>
        <w:t>1.1 A类（粮油干货类）：大米、食用油、调味品、干货、杂货、米粉面粉类等食品材料；B类（肉类）：生鲜猪、牛、羊、三鸟，鱼及冰冻水产、畜、禽肉类；C类（蔬果类）：生鲜蔬菜、水果等食品材料。未列入物资明细表内而甲方又需采购的食材，单价根据本合同第五条约定的定价原则确定价格。</w:t>
      </w:r>
    </w:p>
    <w:p>
      <w:pPr>
        <w:spacing w:line="360" w:lineRule="auto"/>
        <w:ind w:firstLine="420" w:firstLineChars="200"/>
        <w:rPr>
          <w:rFonts w:hAnsi="宋体" w:cs="宋体"/>
          <w:color w:val="auto"/>
          <w:sz w:val="21"/>
          <w:szCs w:val="21"/>
        </w:rPr>
      </w:pPr>
      <w:r>
        <w:rPr>
          <w:rFonts w:hint="eastAsia" w:hAnsi="宋体" w:cs="宋体"/>
          <w:color w:val="auto"/>
          <w:sz w:val="21"/>
          <w:szCs w:val="21"/>
        </w:rPr>
        <w:t>1.2乙方知悉并同意，甲方不确保本条第1.1项约定的各项食材的配送量，均根据实际需要确定。</w:t>
      </w:r>
    </w:p>
    <w:p>
      <w:pPr>
        <w:autoSpaceDE/>
        <w:autoSpaceDN/>
        <w:spacing w:line="360" w:lineRule="auto"/>
        <w:ind w:firstLine="422" w:firstLineChars="200"/>
        <w:rPr>
          <w:rFonts w:hAnsi="宋体" w:cs="宋体"/>
          <w:b/>
          <w:color w:val="auto"/>
          <w:sz w:val="21"/>
          <w:szCs w:val="21"/>
        </w:rPr>
      </w:pPr>
      <w:r>
        <w:rPr>
          <w:rFonts w:hint="eastAsia" w:hAnsi="宋体" w:cs="宋体"/>
          <w:b/>
          <w:color w:val="auto"/>
          <w:sz w:val="21"/>
          <w:szCs w:val="21"/>
        </w:rPr>
        <w:t>二、订货方式、送货时间、地点及凭证</w:t>
      </w:r>
    </w:p>
    <w:p>
      <w:pPr>
        <w:autoSpaceDE/>
        <w:autoSpaceDN/>
        <w:spacing w:line="360" w:lineRule="auto"/>
        <w:ind w:firstLine="420" w:firstLineChars="200"/>
        <w:rPr>
          <w:rFonts w:hAnsi="宋体" w:cs="宋体"/>
          <w:color w:val="auto"/>
          <w:sz w:val="21"/>
          <w:szCs w:val="21"/>
        </w:rPr>
      </w:pPr>
      <w:r>
        <w:rPr>
          <w:rFonts w:hint="eastAsia" w:hAnsi="宋体" w:cs="宋体"/>
          <w:color w:val="auto"/>
          <w:sz w:val="21"/>
          <w:szCs w:val="21"/>
        </w:rPr>
        <w:t>2.1订货方式：送货前一天，甲方以电话、书面、传真或电子邮箱的形式向乙方下达订货清单。</w:t>
      </w:r>
    </w:p>
    <w:p>
      <w:pPr>
        <w:autoSpaceDE/>
        <w:autoSpaceDN/>
        <w:spacing w:line="360" w:lineRule="auto"/>
        <w:ind w:firstLine="420" w:firstLineChars="200"/>
        <w:rPr>
          <w:rFonts w:hAnsi="宋体" w:cs="宋体"/>
          <w:color w:val="auto"/>
          <w:sz w:val="21"/>
          <w:szCs w:val="21"/>
        </w:rPr>
      </w:pPr>
      <w:r>
        <w:rPr>
          <w:rFonts w:hint="eastAsia" w:hAnsi="宋体" w:cs="宋体"/>
          <w:color w:val="auto"/>
          <w:sz w:val="21"/>
          <w:szCs w:val="21"/>
        </w:rPr>
        <w:t>2.2送货时间：以订单时间或双方协商为准；A、B、C类货品每天均需按配送订单送货，送货验收时间段为6：00-6：30；其他或临时送货，具体时间以订单或双方协商为准。</w:t>
      </w:r>
    </w:p>
    <w:p>
      <w:pPr>
        <w:autoSpaceDE/>
        <w:autoSpaceDN/>
        <w:spacing w:line="360" w:lineRule="auto"/>
        <w:ind w:firstLine="420" w:firstLineChars="200"/>
        <w:rPr>
          <w:rFonts w:hAnsi="宋体" w:cs="宋体"/>
          <w:color w:val="auto"/>
          <w:sz w:val="21"/>
          <w:szCs w:val="21"/>
        </w:rPr>
      </w:pPr>
      <w:r>
        <w:rPr>
          <w:rFonts w:hint="eastAsia" w:hAnsi="宋体" w:cs="宋体"/>
          <w:color w:val="auto"/>
          <w:sz w:val="21"/>
          <w:szCs w:val="21"/>
        </w:rPr>
        <w:t>2.3送货地点：甲方指定地点。</w:t>
      </w:r>
    </w:p>
    <w:p>
      <w:pPr>
        <w:autoSpaceDE/>
        <w:autoSpaceDN/>
        <w:spacing w:line="360" w:lineRule="auto"/>
        <w:ind w:firstLine="420" w:firstLineChars="200"/>
        <w:rPr>
          <w:rFonts w:hAnsi="宋体" w:cs="宋体"/>
          <w:color w:val="auto"/>
          <w:sz w:val="21"/>
          <w:szCs w:val="21"/>
        </w:rPr>
      </w:pPr>
      <w:r>
        <w:rPr>
          <w:rFonts w:hint="eastAsia" w:hAnsi="宋体" w:cs="宋体"/>
          <w:color w:val="auto"/>
          <w:sz w:val="21"/>
          <w:szCs w:val="21"/>
        </w:rPr>
        <w:t>2.4送货凭证：乙方每次送货必须出具送货清单及合法的进货单据并以此作为送货凭证，送货清单一式三份（甲方两份、乙方一份）并加盖乙方公章。</w:t>
      </w:r>
    </w:p>
    <w:p>
      <w:pPr>
        <w:autoSpaceDE/>
        <w:autoSpaceDN/>
        <w:spacing w:line="360" w:lineRule="auto"/>
        <w:ind w:firstLine="422" w:firstLineChars="200"/>
        <w:rPr>
          <w:rFonts w:hAnsi="宋体" w:cs="宋体"/>
          <w:b/>
          <w:color w:val="auto"/>
          <w:sz w:val="21"/>
          <w:szCs w:val="21"/>
        </w:rPr>
      </w:pPr>
      <w:r>
        <w:rPr>
          <w:rFonts w:hint="eastAsia" w:hAnsi="宋体" w:cs="宋体"/>
          <w:b/>
          <w:color w:val="auto"/>
          <w:sz w:val="21"/>
          <w:szCs w:val="21"/>
        </w:rPr>
        <w:t>三、验收要求</w:t>
      </w:r>
    </w:p>
    <w:p>
      <w:pPr>
        <w:spacing w:line="360" w:lineRule="auto"/>
        <w:ind w:firstLine="420" w:firstLineChars="200"/>
        <w:rPr>
          <w:rFonts w:hAnsi="宋体" w:cs="宋体"/>
          <w:color w:val="auto"/>
          <w:sz w:val="21"/>
          <w:szCs w:val="21"/>
        </w:rPr>
      </w:pPr>
      <w:r>
        <w:rPr>
          <w:rFonts w:hint="eastAsia" w:hAnsi="宋体" w:cs="宋体"/>
          <w:color w:val="auto"/>
          <w:sz w:val="21"/>
          <w:szCs w:val="21"/>
        </w:rPr>
        <w:t>3.1按招标文件中《用户需求书》第四条第（六）款“验收标准”的要求执行。</w:t>
      </w:r>
    </w:p>
    <w:p>
      <w:pPr>
        <w:spacing w:line="360" w:lineRule="auto"/>
        <w:ind w:firstLine="420" w:firstLineChars="200"/>
        <w:rPr>
          <w:rFonts w:hAnsi="宋体" w:cs="宋体"/>
          <w:color w:val="auto"/>
          <w:sz w:val="21"/>
          <w:szCs w:val="21"/>
        </w:rPr>
      </w:pPr>
      <w:r>
        <w:rPr>
          <w:rFonts w:hint="eastAsia" w:hAnsi="宋体" w:cs="宋体"/>
          <w:color w:val="auto"/>
          <w:sz w:val="21"/>
          <w:szCs w:val="21"/>
        </w:rPr>
        <w:t>3.2乙方必须履行招标文件要求的所有承诺内容，如乙方投标文件承诺标准高于招标文件要求的，乙方应按其投标承诺内容履行义务，甲方在合同有效期内定期对乙方进行评估考核。</w:t>
      </w:r>
    </w:p>
    <w:p>
      <w:pPr>
        <w:spacing w:line="360" w:lineRule="auto"/>
        <w:ind w:firstLine="420" w:firstLineChars="200"/>
        <w:rPr>
          <w:rFonts w:hAnsi="宋体" w:cs="宋体"/>
          <w:color w:val="auto"/>
          <w:sz w:val="21"/>
          <w:szCs w:val="21"/>
        </w:rPr>
      </w:pPr>
      <w:r>
        <w:rPr>
          <w:rFonts w:hint="eastAsia" w:hAnsi="宋体" w:cs="宋体"/>
          <w:color w:val="auto"/>
          <w:sz w:val="21"/>
          <w:szCs w:val="21"/>
        </w:rPr>
        <w:t>3.3经验收不符合《用户需求书》以及甲方要求的，甲方有权拒绝收货、要求退货或换货，乙方应及时将相应货物自行运回，并在甲方指定期限内重新提供相应食材，由此产生的费用由乙方承担。</w:t>
      </w:r>
    </w:p>
    <w:p>
      <w:pPr>
        <w:autoSpaceDE/>
        <w:autoSpaceDN/>
        <w:spacing w:line="360" w:lineRule="auto"/>
        <w:ind w:firstLine="422" w:firstLineChars="200"/>
        <w:rPr>
          <w:rFonts w:hAnsi="宋体" w:cs="宋体"/>
          <w:b/>
          <w:color w:val="auto"/>
          <w:sz w:val="21"/>
          <w:szCs w:val="21"/>
        </w:rPr>
      </w:pPr>
      <w:r>
        <w:rPr>
          <w:rFonts w:hint="eastAsia" w:hAnsi="宋体" w:cs="宋体"/>
          <w:b/>
          <w:color w:val="auto"/>
          <w:sz w:val="21"/>
          <w:szCs w:val="21"/>
        </w:rPr>
        <w:t>四、合同期限</w:t>
      </w:r>
    </w:p>
    <w:p>
      <w:pPr>
        <w:widowControl/>
        <w:autoSpaceDE/>
        <w:autoSpaceDN/>
        <w:spacing w:line="360" w:lineRule="auto"/>
        <w:ind w:firstLine="420" w:firstLineChars="200"/>
        <w:rPr>
          <w:rFonts w:hAnsi="宋体" w:cs="宋体"/>
          <w:color w:val="auto"/>
          <w:sz w:val="21"/>
          <w:szCs w:val="21"/>
        </w:rPr>
      </w:pPr>
      <w:r>
        <w:rPr>
          <w:rFonts w:hint="eastAsia" w:hAnsi="宋体" w:cs="宋体"/>
          <w:color w:val="auto"/>
          <w:sz w:val="21"/>
          <w:szCs w:val="21"/>
        </w:rPr>
        <w:t>合同服务期限：从</w:t>
      </w:r>
      <w:r>
        <w:rPr>
          <w:rFonts w:hint="eastAsia" w:hAnsi="宋体" w:cs="宋体"/>
          <w:color w:val="auto"/>
          <w:sz w:val="21"/>
          <w:szCs w:val="21"/>
          <w:u w:val="single"/>
        </w:rPr>
        <w:t xml:space="preserve"> </w:t>
      </w:r>
      <w:r>
        <w:rPr>
          <w:rFonts w:hAnsi="宋体" w:cs="宋体"/>
          <w:color w:val="auto"/>
          <w:sz w:val="21"/>
          <w:szCs w:val="21"/>
          <w:u w:val="single"/>
        </w:rPr>
        <w:t xml:space="preserve">  </w:t>
      </w:r>
      <w:r>
        <w:rPr>
          <w:rFonts w:hint="eastAsia" w:hAnsi="宋体" w:cs="宋体"/>
          <w:color w:val="auto"/>
          <w:sz w:val="21"/>
          <w:szCs w:val="21"/>
        </w:rPr>
        <w:t>年</w:t>
      </w:r>
      <w:r>
        <w:rPr>
          <w:rFonts w:hAnsi="宋体" w:cs="宋体"/>
          <w:color w:val="auto"/>
          <w:sz w:val="21"/>
          <w:szCs w:val="21"/>
          <w:u w:val="single"/>
        </w:rPr>
        <w:t xml:space="preserve">    </w:t>
      </w:r>
      <w:r>
        <w:rPr>
          <w:rFonts w:hint="eastAsia" w:hAnsi="宋体" w:cs="宋体"/>
          <w:color w:val="auto"/>
          <w:sz w:val="21"/>
          <w:szCs w:val="21"/>
        </w:rPr>
        <w:t>月</w:t>
      </w:r>
      <w:r>
        <w:rPr>
          <w:rFonts w:hAnsi="宋体" w:cs="宋体"/>
          <w:color w:val="auto"/>
          <w:sz w:val="21"/>
          <w:szCs w:val="21"/>
          <w:u w:val="single"/>
        </w:rPr>
        <w:t xml:space="preserve">    </w:t>
      </w:r>
      <w:r>
        <w:rPr>
          <w:rFonts w:hint="eastAsia" w:hAnsi="宋体" w:cs="宋体"/>
          <w:color w:val="auto"/>
          <w:sz w:val="21"/>
          <w:szCs w:val="21"/>
        </w:rPr>
        <w:t>日至</w:t>
      </w:r>
      <w:r>
        <w:rPr>
          <w:rFonts w:hAnsi="宋体" w:cs="宋体"/>
          <w:color w:val="auto"/>
          <w:sz w:val="21"/>
          <w:szCs w:val="21"/>
          <w:u w:val="single"/>
        </w:rPr>
        <w:t>202</w:t>
      </w:r>
      <w:r>
        <w:rPr>
          <w:rFonts w:hint="eastAsia" w:hAnsi="宋体" w:cs="宋体"/>
          <w:color w:val="auto"/>
          <w:sz w:val="21"/>
          <w:szCs w:val="21"/>
          <w:u w:val="single"/>
        </w:rPr>
        <w:t>2</w:t>
      </w:r>
      <w:r>
        <w:rPr>
          <w:rFonts w:hint="eastAsia" w:hAnsi="宋体" w:cs="宋体"/>
          <w:color w:val="auto"/>
          <w:sz w:val="21"/>
          <w:szCs w:val="21"/>
        </w:rPr>
        <w:t>年</w:t>
      </w:r>
      <w:r>
        <w:rPr>
          <w:rFonts w:hAnsi="宋体" w:cs="宋体"/>
          <w:color w:val="auto"/>
          <w:sz w:val="21"/>
          <w:szCs w:val="21"/>
          <w:u w:val="single"/>
        </w:rPr>
        <w:t>12</w:t>
      </w:r>
      <w:r>
        <w:rPr>
          <w:rFonts w:hint="eastAsia" w:hAnsi="宋体" w:cs="宋体"/>
          <w:color w:val="auto"/>
          <w:sz w:val="21"/>
          <w:szCs w:val="21"/>
        </w:rPr>
        <w:t>月</w:t>
      </w:r>
      <w:r>
        <w:rPr>
          <w:rFonts w:hAnsi="宋体" w:cs="宋体"/>
          <w:color w:val="auto"/>
          <w:sz w:val="21"/>
          <w:szCs w:val="21"/>
          <w:u w:val="single"/>
        </w:rPr>
        <w:t>31</w:t>
      </w:r>
      <w:r>
        <w:rPr>
          <w:rFonts w:hint="eastAsia" w:hAnsi="宋体" w:cs="宋体"/>
          <w:color w:val="auto"/>
          <w:sz w:val="21"/>
          <w:szCs w:val="21"/>
        </w:rPr>
        <w:t>日止</w:t>
      </w:r>
      <w:r>
        <w:rPr>
          <w:rFonts w:hint="eastAsia" w:hAnsi="宋体" w:cs="宋体"/>
          <w:color w:val="auto"/>
          <w:sz w:val="21"/>
          <w:szCs w:val="21"/>
          <w:lang w:val="zh-CN"/>
        </w:rPr>
        <w:t>。</w:t>
      </w:r>
    </w:p>
    <w:p>
      <w:pPr>
        <w:autoSpaceDE/>
        <w:autoSpaceDN/>
        <w:spacing w:line="360" w:lineRule="auto"/>
        <w:ind w:firstLine="422" w:firstLineChars="200"/>
        <w:rPr>
          <w:rFonts w:hAnsi="宋体" w:cs="宋体"/>
          <w:b/>
          <w:color w:val="auto"/>
          <w:sz w:val="21"/>
          <w:szCs w:val="21"/>
        </w:rPr>
      </w:pPr>
      <w:r>
        <w:rPr>
          <w:rFonts w:hint="eastAsia" w:hAnsi="宋体" w:cs="宋体"/>
          <w:b/>
          <w:color w:val="auto"/>
          <w:sz w:val="21"/>
          <w:szCs w:val="21"/>
        </w:rPr>
        <w:t>五、合同价格</w:t>
      </w:r>
    </w:p>
    <w:p>
      <w:pPr>
        <w:autoSpaceDE/>
        <w:autoSpaceDN/>
        <w:spacing w:line="360" w:lineRule="auto"/>
        <w:ind w:firstLine="420" w:firstLineChars="200"/>
        <w:rPr>
          <w:rFonts w:hAnsi="宋体" w:cs="宋体"/>
          <w:color w:val="auto"/>
          <w:sz w:val="21"/>
          <w:szCs w:val="21"/>
        </w:rPr>
      </w:pPr>
      <w:r>
        <w:rPr>
          <w:rFonts w:hint="eastAsia" w:hAnsi="宋体" w:cs="宋体"/>
          <w:color w:val="auto"/>
          <w:sz w:val="21"/>
          <w:szCs w:val="21"/>
        </w:rPr>
        <w:t>5.1</w:t>
      </w:r>
      <w:r>
        <w:rPr>
          <w:rFonts w:hint="eastAsia" w:hAnsi="宋体" w:cs="宋体"/>
          <w:b/>
          <w:color w:val="auto"/>
          <w:sz w:val="21"/>
          <w:szCs w:val="21"/>
        </w:rPr>
        <w:t>定价原则</w:t>
      </w:r>
    </w:p>
    <w:p>
      <w:pPr>
        <w:autoSpaceDE/>
        <w:autoSpaceDN/>
        <w:spacing w:line="360" w:lineRule="auto"/>
        <w:ind w:firstLine="420" w:firstLineChars="200"/>
        <w:rPr>
          <w:rFonts w:hAnsi="宋体" w:cs="宋体"/>
          <w:color w:val="auto"/>
          <w:sz w:val="21"/>
          <w:szCs w:val="21"/>
        </w:rPr>
      </w:pPr>
      <w:r>
        <w:rPr>
          <w:rFonts w:hint="eastAsia" w:hAnsi="宋体" w:cs="宋体"/>
          <w:color w:val="auto"/>
          <w:sz w:val="21"/>
          <w:szCs w:val="21"/>
        </w:rPr>
        <w:t>5.1.1基准价的确定方式：原则上以东莞市发展和改革局（http://dgdp.dg.gov.cn/jggl/jgjc/gdsclzjgjcb/index.html）“东莞市菜篮子价格监测表”当月最新公布本期（指甲方审批之日的最新期次）价格作为基准价；若东莞物价专栏无最近当月份公布或甲方所需的相同品种，则甲方将对本市区农副产品市场（莞城</w:t>
      </w:r>
      <w:r>
        <w:rPr>
          <w:rFonts w:hint="eastAsia" w:hAnsi="宋体" w:cs="宋体"/>
          <w:color w:val="auto"/>
          <w:sz w:val="21"/>
          <w:szCs w:val="21"/>
          <w:lang w:val="en-US" w:eastAsia="zh-CN"/>
        </w:rPr>
        <w:t>光明</w:t>
      </w:r>
      <w:r>
        <w:rPr>
          <w:rFonts w:hint="eastAsia" w:hAnsi="宋体" w:cs="宋体"/>
          <w:color w:val="auto"/>
          <w:sz w:val="21"/>
          <w:szCs w:val="21"/>
        </w:rPr>
        <w:t>市场）的市场零售价（精品零售价）进行抽样调查，核定相同品种的市场平均价格，并以该平均价格作为基准价，同时作为甲方监督乙方食品报价的依椐。</w:t>
      </w:r>
    </w:p>
    <w:p>
      <w:pPr>
        <w:spacing w:line="360" w:lineRule="auto"/>
        <w:ind w:firstLine="420" w:firstLineChars="200"/>
        <w:rPr>
          <w:rFonts w:hAnsi="宋体" w:cs="宋体"/>
          <w:color w:val="auto"/>
          <w:sz w:val="21"/>
          <w:szCs w:val="21"/>
        </w:rPr>
      </w:pPr>
      <w:r>
        <w:rPr>
          <w:rFonts w:hint="eastAsia" w:hAnsi="宋体" w:cs="宋体"/>
          <w:color w:val="auto"/>
          <w:sz w:val="21"/>
          <w:szCs w:val="21"/>
        </w:rPr>
        <w:t>5.1.2日常委托采购：乙方必须按照甲方每日所需的物资品种、数量在指定时间内送货到指定地点，甲方有权在送货前一天18:00前将所需物资清单发送至乙方确认。</w:t>
      </w:r>
    </w:p>
    <w:p>
      <w:pPr>
        <w:autoSpaceDE/>
        <w:autoSpaceDN/>
        <w:spacing w:line="360" w:lineRule="auto"/>
        <w:ind w:firstLine="420" w:firstLineChars="200"/>
        <w:rPr>
          <w:rFonts w:hAnsi="宋体" w:cs="宋体"/>
          <w:color w:val="auto"/>
          <w:sz w:val="21"/>
          <w:szCs w:val="21"/>
        </w:rPr>
      </w:pPr>
      <w:r>
        <w:rPr>
          <w:rFonts w:hint="eastAsia" w:hAnsi="宋体" w:cs="宋体"/>
          <w:color w:val="auto"/>
          <w:sz w:val="21"/>
          <w:szCs w:val="21"/>
        </w:rPr>
        <w:t>5.1.3临时委托采购：乙方必须按照甲方急需餐料物资品种、数量、送货时间、地点等在2小时内进行供货，若急需餐料物资不在供货物资清单表上，乙方必须按甲方要求供货，该项临时需求食品材料纳入下次供货清单内，并按上述定价原则确定供货价。</w:t>
      </w:r>
    </w:p>
    <w:p>
      <w:pPr>
        <w:widowControl/>
        <w:autoSpaceDE/>
        <w:autoSpaceDN/>
        <w:spacing w:line="360" w:lineRule="auto"/>
        <w:ind w:firstLine="420" w:firstLineChars="200"/>
        <w:rPr>
          <w:rFonts w:hAnsi="宋体" w:cs="宋体"/>
          <w:color w:val="auto"/>
          <w:sz w:val="21"/>
          <w:szCs w:val="21"/>
        </w:rPr>
      </w:pPr>
      <w:r>
        <w:rPr>
          <w:rFonts w:hint="eastAsia" w:hAnsi="宋体" w:cs="宋体"/>
          <w:color w:val="auto"/>
          <w:sz w:val="21"/>
          <w:szCs w:val="21"/>
        </w:rPr>
        <w:t>5.1.4食材定价为综合单价，该价格包含食材货物单价、运至合同指定地点的运输费、装卸费、检验费、储存费、保险费及招标文件所要求的相关服务等全过程产生的一切成本和费用以及税费，并由乙方承担送货途中的风险，货物未被甲方签收前发生的毁损、灭失等风险均由乙方自行承担。</w:t>
      </w:r>
    </w:p>
    <w:p>
      <w:pPr>
        <w:autoSpaceDE/>
        <w:autoSpaceDN/>
        <w:spacing w:line="360" w:lineRule="auto"/>
        <w:ind w:firstLine="422" w:firstLineChars="200"/>
        <w:rPr>
          <w:rFonts w:hAnsi="宋体" w:cs="宋体"/>
          <w:b/>
          <w:color w:val="auto"/>
          <w:sz w:val="21"/>
          <w:szCs w:val="21"/>
        </w:rPr>
      </w:pPr>
      <w:r>
        <w:rPr>
          <w:rFonts w:hint="eastAsia" w:hAnsi="宋体" w:cs="宋体"/>
          <w:b/>
          <w:color w:val="auto"/>
          <w:sz w:val="21"/>
          <w:szCs w:val="21"/>
        </w:rPr>
        <w:t>5.2定价周期</w:t>
      </w:r>
    </w:p>
    <w:p>
      <w:pPr>
        <w:autoSpaceDE/>
        <w:autoSpaceDN/>
        <w:adjustRightInd/>
        <w:spacing w:line="360" w:lineRule="auto"/>
        <w:ind w:firstLine="420" w:firstLineChars="200"/>
        <w:rPr>
          <w:rFonts w:hAnsi="宋体" w:cs="宋体"/>
          <w:color w:val="auto"/>
          <w:sz w:val="21"/>
          <w:szCs w:val="21"/>
        </w:rPr>
      </w:pPr>
      <w:r>
        <w:rPr>
          <w:rFonts w:hint="eastAsia" w:hAnsi="宋体" w:cs="宋体"/>
          <w:color w:val="auto"/>
          <w:sz w:val="21"/>
          <w:szCs w:val="21"/>
        </w:rPr>
        <w:t>食品材料供货价格为浮动价格，A类（粮油干货类）、B类（肉类）及C类（蔬果类）价格每半个月更新一次，乙方每月12日前提交下半月报价给甲方审核，每月25日前提交下个月上半月报价给甲方审核。</w:t>
      </w:r>
    </w:p>
    <w:p>
      <w:pPr>
        <w:autoSpaceDE/>
        <w:autoSpaceDN/>
        <w:spacing w:line="360" w:lineRule="auto"/>
        <w:ind w:firstLine="422" w:firstLineChars="200"/>
        <w:rPr>
          <w:rFonts w:hAnsi="宋体" w:cs="宋体"/>
          <w:b/>
          <w:bCs/>
          <w:color w:val="auto"/>
          <w:sz w:val="21"/>
          <w:szCs w:val="21"/>
        </w:rPr>
      </w:pPr>
      <w:r>
        <w:rPr>
          <w:rFonts w:hint="eastAsia" w:hAnsi="宋体" w:cs="宋体"/>
          <w:b/>
          <w:bCs/>
          <w:color w:val="auto"/>
          <w:sz w:val="21"/>
          <w:szCs w:val="21"/>
        </w:rPr>
        <w:t>5.3价格调整</w:t>
      </w:r>
    </w:p>
    <w:p>
      <w:pPr>
        <w:autoSpaceDE/>
        <w:autoSpaceDN/>
        <w:spacing w:line="360" w:lineRule="auto"/>
        <w:ind w:firstLine="420" w:firstLineChars="200"/>
        <w:rPr>
          <w:rFonts w:hAnsi="宋体" w:cs="宋体"/>
          <w:color w:val="auto"/>
          <w:sz w:val="21"/>
          <w:szCs w:val="21"/>
        </w:rPr>
      </w:pPr>
      <w:r>
        <w:rPr>
          <w:rFonts w:hint="eastAsia" w:hAnsi="宋体" w:cs="宋体"/>
          <w:color w:val="auto"/>
          <w:sz w:val="21"/>
          <w:szCs w:val="21"/>
        </w:rPr>
        <w:t>核定价格后若供货时期市场出现食品材料价格升降在30%或以上时，双方均可以书面形式提出价格调整请求（未提出调整请求的部分则以原核定价格执行），双方通过市场调查核实后，按上述定价原则确定新的价格（双方确认生效后开始以新的价格执行，在此之前的仍以原核定价格执行），并在3个工作日内给予函复，若在此期限内不予函复则以新定价格执行，除此之外，双方约定的食品材料供货价格在有效期内任何一方不得随意更改。</w:t>
      </w:r>
    </w:p>
    <w:p>
      <w:pPr>
        <w:autoSpaceDE/>
        <w:autoSpaceDN/>
        <w:spacing w:line="360" w:lineRule="auto"/>
        <w:ind w:firstLine="422" w:firstLineChars="200"/>
        <w:rPr>
          <w:rFonts w:hAnsi="宋体" w:cs="宋体"/>
          <w:b/>
          <w:bCs/>
          <w:color w:val="auto"/>
          <w:sz w:val="21"/>
          <w:szCs w:val="21"/>
        </w:rPr>
      </w:pPr>
      <w:r>
        <w:rPr>
          <w:rFonts w:hint="eastAsia" w:hAnsi="宋体" w:cs="宋体"/>
          <w:b/>
          <w:bCs/>
          <w:color w:val="auto"/>
          <w:sz w:val="21"/>
          <w:szCs w:val="21"/>
        </w:rPr>
        <w:t>六、支付方式</w:t>
      </w:r>
    </w:p>
    <w:p>
      <w:pPr>
        <w:pStyle w:val="102"/>
        <w:spacing w:line="360" w:lineRule="auto"/>
        <w:rPr>
          <w:rFonts w:hAnsi="宋体" w:cs="宋体"/>
          <w:color w:val="auto"/>
          <w:sz w:val="21"/>
          <w:szCs w:val="21"/>
        </w:rPr>
      </w:pPr>
      <w:r>
        <w:rPr>
          <w:rFonts w:hint="eastAsia" w:hAnsi="宋体" w:cs="宋体"/>
          <w:color w:val="auto"/>
          <w:sz w:val="21"/>
          <w:szCs w:val="21"/>
        </w:rPr>
        <w:t>6.1本合同生效后15日内，乙方按本合同第十条第</w:t>
      </w:r>
      <w:r>
        <w:rPr>
          <w:rFonts w:hAnsi="宋体" w:cs="宋体"/>
          <w:color w:val="auto"/>
          <w:sz w:val="21"/>
          <w:szCs w:val="21"/>
        </w:rPr>
        <w:t>10</w:t>
      </w:r>
      <w:r>
        <w:rPr>
          <w:rFonts w:hint="eastAsia" w:hAnsi="宋体" w:cs="宋体"/>
          <w:color w:val="auto"/>
          <w:sz w:val="21"/>
          <w:szCs w:val="21"/>
        </w:rPr>
        <w:t>.7款要求购买食品安全责任险后，乙方按甲方的每次订单提交货物，由甲方收货验收并签字确认，并由甲方按月支付给乙方。</w:t>
      </w:r>
    </w:p>
    <w:p>
      <w:pPr>
        <w:pStyle w:val="102"/>
        <w:spacing w:line="360" w:lineRule="auto"/>
        <w:rPr>
          <w:rFonts w:hAnsi="宋体" w:cs="宋体"/>
          <w:color w:val="auto"/>
          <w:sz w:val="21"/>
          <w:szCs w:val="21"/>
        </w:rPr>
      </w:pPr>
      <w:r>
        <w:rPr>
          <w:rFonts w:hint="eastAsia" w:hAnsi="宋体" w:cs="宋体"/>
          <w:color w:val="auto"/>
          <w:sz w:val="21"/>
          <w:szCs w:val="21"/>
        </w:rPr>
        <w:t>6.2双方于每月10日（节假日顺延）对账核算上月采购货物明细，核对无误后，结算款项。乙方向甲方提交请款报告并根据甲方需求，分别按照应支付结算款项开具对应金额的合法有效的增值税普通发票，开票信息如下：</w:t>
      </w:r>
    </w:p>
    <w:p>
      <w:pPr>
        <w:pStyle w:val="102"/>
        <w:spacing w:line="360" w:lineRule="auto"/>
        <w:rPr>
          <w:rFonts w:hAnsi="宋体" w:cs="宋体"/>
          <w:color w:val="auto"/>
          <w:sz w:val="21"/>
          <w:szCs w:val="21"/>
        </w:rPr>
      </w:pPr>
      <w:r>
        <w:rPr>
          <w:rFonts w:hint="eastAsia" w:hAnsi="宋体" w:cs="宋体"/>
          <w:color w:val="auto"/>
          <w:sz w:val="21"/>
          <w:szCs w:val="21"/>
        </w:rPr>
        <w:t>户名：</w:t>
      </w:r>
    </w:p>
    <w:p>
      <w:pPr>
        <w:spacing w:line="360" w:lineRule="auto"/>
        <w:ind w:firstLine="420" w:firstLineChars="200"/>
        <w:rPr>
          <w:rFonts w:hAnsi="宋体" w:cs="宋体"/>
          <w:color w:val="auto"/>
          <w:sz w:val="21"/>
          <w:szCs w:val="21"/>
        </w:rPr>
      </w:pPr>
      <w:r>
        <w:rPr>
          <w:rFonts w:hint="eastAsia" w:hAnsi="宋体" w:cs="宋体"/>
          <w:color w:val="auto"/>
          <w:sz w:val="21"/>
          <w:szCs w:val="21"/>
        </w:rPr>
        <w:t>纳税人识别号：</w:t>
      </w:r>
    </w:p>
    <w:p>
      <w:pPr>
        <w:pStyle w:val="102"/>
        <w:spacing w:line="360" w:lineRule="auto"/>
        <w:rPr>
          <w:rFonts w:hAnsi="宋体" w:cs="宋体"/>
          <w:color w:val="auto"/>
          <w:sz w:val="21"/>
          <w:szCs w:val="21"/>
        </w:rPr>
      </w:pPr>
      <w:r>
        <w:rPr>
          <w:rFonts w:hint="eastAsia" w:hAnsi="宋体" w:cs="宋体"/>
          <w:color w:val="auto"/>
          <w:sz w:val="21"/>
          <w:szCs w:val="21"/>
        </w:rPr>
        <w:t>账号：</w:t>
      </w:r>
    </w:p>
    <w:p>
      <w:pPr>
        <w:pStyle w:val="102"/>
        <w:spacing w:line="360" w:lineRule="auto"/>
        <w:rPr>
          <w:rFonts w:hAnsi="宋体" w:cs="宋体"/>
          <w:color w:val="auto"/>
          <w:sz w:val="21"/>
          <w:szCs w:val="21"/>
        </w:rPr>
      </w:pPr>
      <w:r>
        <w:rPr>
          <w:rFonts w:hint="eastAsia" w:hAnsi="宋体" w:cs="宋体"/>
          <w:color w:val="auto"/>
          <w:sz w:val="21"/>
          <w:szCs w:val="21"/>
        </w:rPr>
        <w:t>开户行：</w:t>
      </w:r>
    </w:p>
    <w:p>
      <w:pPr>
        <w:spacing w:line="360" w:lineRule="auto"/>
        <w:ind w:firstLine="420" w:firstLineChars="200"/>
        <w:rPr>
          <w:rFonts w:hAnsi="宋体" w:cs="宋体"/>
          <w:color w:val="auto"/>
          <w:sz w:val="21"/>
          <w:szCs w:val="21"/>
        </w:rPr>
      </w:pPr>
      <w:r>
        <w:rPr>
          <w:rFonts w:hint="eastAsia" w:hAnsi="宋体" w:cs="宋体"/>
          <w:color w:val="auto"/>
          <w:sz w:val="21"/>
          <w:szCs w:val="21"/>
        </w:rPr>
        <w:t>地址：</w:t>
      </w:r>
    </w:p>
    <w:p>
      <w:pPr>
        <w:autoSpaceDE/>
        <w:autoSpaceDN/>
        <w:spacing w:line="360" w:lineRule="auto"/>
        <w:ind w:firstLine="420" w:firstLineChars="200"/>
        <w:rPr>
          <w:rFonts w:hAnsi="宋体" w:cs="宋体"/>
          <w:color w:val="auto"/>
          <w:sz w:val="21"/>
          <w:szCs w:val="21"/>
        </w:rPr>
      </w:pPr>
      <w:r>
        <w:rPr>
          <w:rFonts w:hint="eastAsia" w:hAnsi="宋体" w:cs="宋体"/>
          <w:color w:val="auto"/>
          <w:sz w:val="21"/>
          <w:szCs w:val="21"/>
        </w:rPr>
        <w:t>甲方于收到发票后15个工作日内向乙方一次性支付结算款项。乙方迟延提供发票或提供的发票不合格，甲方的付款时间可相应顺延，且不视为违约。由于乙方提供的发票不符合税法规定，给甲方造成的损失由乙方承担赔偿责任。</w:t>
      </w:r>
    </w:p>
    <w:p>
      <w:pPr>
        <w:autoSpaceDE/>
        <w:autoSpaceDN/>
        <w:spacing w:line="360" w:lineRule="auto"/>
        <w:ind w:firstLine="420" w:firstLineChars="200"/>
        <w:rPr>
          <w:rFonts w:hAnsi="宋体" w:cs="宋体"/>
          <w:color w:val="auto"/>
          <w:sz w:val="21"/>
          <w:szCs w:val="21"/>
        </w:rPr>
      </w:pPr>
      <w:r>
        <w:rPr>
          <w:rFonts w:hint="eastAsia" w:hAnsi="宋体" w:cs="宋体"/>
          <w:color w:val="auto"/>
          <w:sz w:val="21"/>
          <w:szCs w:val="21"/>
        </w:rPr>
        <w:t xml:space="preserve">6.3乙方的指定收款账户信息如下： </w:t>
      </w:r>
    </w:p>
    <w:p>
      <w:pPr>
        <w:autoSpaceDE/>
        <w:autoSpaceDN/>
        <w:spacing w:line="360" w:lineRule="auto"/>
        <w:ind w:firstLine="420" w:firstLineChars="200"/>
        <w:rPr>
          <w:rFonts w:hAnsi="宋体" w:cs="宋体"/>
          <w:color w:val="auto"/>
          <w:sz w:val="21"/>
          <w:szCs w:val="21"/>
        </w:rPr>
      </w:pPr>
      <w:r>
        <w:rPr>
          <w:rFonts w:hint="eastAsia" w:hAnsi="宋体" w:cs="宋体"/>
          <w:color w:val="auto"/>
          <w:sz w:val="21"/>
          <w:szCs w:val="21"/>
        </w:rPr>
        <w:t>账户名称：</w:t>
      </w:r>
    </w:p>
    <w:p>
      <w:pPr>
        <w:autoSpaceDE/>
        <w:autoSpaceDN/>
        <w:spacing w:line="360" w:lineRule="auto"/>
        <w:ind w:firstLine="420" w:firstLineChars="200"/>
        <w:rPr>
          <w:rFonts w:hAnsi="宋体" w:cs="宋体"/>
          <w:color w:val="auto"/>
          <w:sz w:val="21"/>
          <w:szCs w:val="21"/>
        </w:rPr>
      </w:pPr>
      <w:r>
        <w:rPr>
          <w:rFonts w:hint="eastAsia" w:hAnsi="宋体" w:cs="宋体"/>
          <w:color w:val="auto"/>
          <w:sz w:val="21"/>
          <w:szCs w:val="21"/>
        </w:rPr>
        <w:t>开户行：</w:t>
      </w:r>
    </w:p>
    <w:p>
      <w:pPr>
        <w:autoSpaceDE/>
        <w:autoSpaceDN/>
        <w:spacing w:line="360" w:lineRule="auto"/>
        <w:ind w:firstLine="420" w:firstLineChars="200"/>
        <w:rPr>
          <w:rFonts w:hAnsi="宋体" w:cs="宋体"/>
          <w:color w:val="auto"/>
          <w:sz w:val="21"/>
          <w:szCs w:val="21"/>
        </w:rPr>
      </w:pPr>
      <w:r>
        <w:rPr>
          <w:rFonts w:hint="eastAsia" w:hAnsi="宋体" w:cs="宋体"/>
          <w:color w:val="auto"/>
          <w:sz w:val="21"/>
          <w:szCs w:val="21"/>
        </w:rPr>
        <w:t>账号：</w:t>
      </w:r>
    </w:p>
    <w:p>
      <w:pPr>
        <w:autoSpaceDE/>
        <w:autoSpaceDN/>
        <w:spacing w:line="360" w:lineRule="auto"/>
        <w:ind w:firstLine="422" w:firstLineChars="200"/>
        <w:rPr>
          <w:rFonts w:hAnsi="宋体" w:cs="宋体"/>
          <w:b/>
          <w:bCs/>
          <w:color w:val="auto"/>
          <w:sz w:val="21"/>
          <w:szCs w:val="21"/>
        </w:rPr>
      </w:pPr>
      <w:r>
        <w:rPr>
          <w:rFonts w:hint="eastAsia" w:hAnsi="宋体" w:cs="宋体"/>
          <w:b/>
          <w:bCs/>
          <w:color w:val="auto"/>
          <w:sz w:val="21"/>
          <w:szCs w:val="21"/>
        </w:rPr>
        <w:t>七、履约担保</w:t>
      </w:r>
    </w:p>
    <w:p>
      <w:pPr>
        <w:autoSpaceDE/>
        <w:autoSpaceDN/>
        <w:spacing w:line="360" w:lineRule="auto"/>
        <w:ind w:firstLine="420" w:firstLineChars="200"/>
        <w:rPr>
          <w:rFonts w:hAnsi="宋体" w:cs="宋体"/>
          <w:color w:val="auto"/>
          <w:sz w:val="21"/>
          <w:szCs w:val="21"/>
        </w:rPr>
      </w:pPr>
      <w:r>
        <w:rPr>
          <w:rFonts w:hint="eastAsia" w:hAnsi="宋体" w:cs="宋体"/>
          <w:color w:val="auto"/>
          <w:sz w:val="21"/>
          <w:szCs w:val="21"/>
        </w:rPr>
        <w:t>7.1乙方应当根据招标文件的规定在签订本合同前向甲方提供履约担保，履约担保形式及金额由乙方从以下方式中任选一种：</w:t>
      </w:r>
    </w:p>
    <w:p>
      <w:pPr>
        <w:spacing w:line="360" w:lineRule="auto"/>
        <w:ind w:left="420"/>
        <w:rPr>
          <w:rFonts w:hint="eastAsia" w:hAnsi="宋体" w:cs="宋体"/>
          <w:color w:val="auto"/>
          <w:sz w:val="21"/>
          <w:szCs w:val="21"/>
        </w:rPr>
      </w:pPr>
      <w:r>
        <w:rPr>
          <w:rFonts w:hint="eastAsia" w:hAnsi="宋体" w:cs="宋体"/>
          <w:color w:val="auto"/>
          <w:sz w:val="21"/>
          <w:szCs w:val="21"/>
        </w:rPr>
        <w:t>□ 履约保证金（银行转账形式）金额为人民币</w:t>
      </w:r>
      <w:bookmarkStart w:id="137" w:name="_Hlk57203487"/>
      <w:r>
        <w:rPr>
          <w:rFonts w:hint="eastAsia" w:hAnsi="宋体" w:cs="宋体"/>
          <w:color w:val="auto"/>
          <w:sz w:val="21"/>
          <w:szCs w:val="21"/>
          <w:lang w:val="en-US" w:eastAsia="zh-CN"/>
        </w:rPr>
        <w:t>壹拾陆</w:t>
      </w:r>
      <w:r>
        <w:rPr>
          <w:rFonts w:hint="eastAsia" w:hAnsi="宋体" w:cs="宋体"/>
          <w:color w:val="auto"/>
          <w:sz w:val="21"/>
          <w:szCs w:val="21"/>
        </w:rPr>
        <w:t>万元整（￥</w:t>
      </w:r>
      <w:r>
        <w:rPr>
          <w:rFonts w:hint="eastAsia" w:hAnsi="宋体" w:cs="宋体"/>
          <w:color w:val="auto"/>
          <w:sz w:val="21"/>
          <w:szCs w:val="21"/>
          <w:lang w:val="en-US" w:eastAsia="zh-CN"/>
        </w:rPr>
        <w:t>16</w:t>
      </w:r>
      <w:r>
        <w:rPr>
          <w:rFonts w:hint="eastAsia" w:hAnsi="宋体" w:cs="宋体"/>
          <w:color w:val="auto"/>
          <w:sz w:val="21"/>
          <w:szCs w:val="21"/>
        </w:rPr>
        <w:t>0,000.00）</w:t>
      </w:r>
      <w:bookmarkEnd w:id="137"/>
      <w:r>
        <w:rPr>
          <w:rFonts w:hint="eastAsia" w:hAnsi="宋体" w:cs="宋体"/>
          <w:color w:val="auto"/>
          <w:sz w:val="21"/>
          <w:szCs w:val="21"/>
        </w:rPr>
        <w:t>；</w:t>
      </w:r>
    </w:p>
    <w:p>
      <w:pPr>
        <w:spacing w:line="360" w:lineRule="auto"/>
        <w:ind w:left="420"/>
        <w:rPr>
          <w:rFonts w:hint="eastAsia" w:hAnsi="宋体" w:cs="宋体"/>
          <w:color w:val="auto"/>
          <w:sz w:val="21"/>
          <w:szCs w:val="21"/>
        </w:rPr>
      </w:pPr>
      <w:r>
        <w:rPr>
          <w:rFonts w:hint="eastAsia" w:hAnsi="宋体" w:cs="宋体"/>
          <w:color w:val="auto"/>
          <w:sz w:val="21"/>
          <w:szCs w:val="21"/>
        </w:rPr>
        <w:t>□ 银行不可撤销履约保函金额为人民币贰拾</w:t>
      </w:r>
      <w:r>
        <w:rPr>
          <w:rFonts w:hint="eastAsia" w:hAnsi="宋体" w:cs="宋体"/>
          <w:color w:val="auto"/>
          <w:sz w:val="21"/>
          <w:szCs w:val="21"/>
          <w:lang w:val="en-US" w:eastAsia="zh-CN"/>
        </w:rPr>
        <w:t>陆</w:t>
      </w:r>
      <w:r>
        <w:rPr>
          <w:rFonts w:hint="eastAsia" w:hAnsi="宋体" w:cs="宋体"/>
          <w:color w:val="auto"/>
          <w:sz w:val="21"/>
          <w:szCs w:val="21"/>
        </w:rPr>
        <w:t>万元整（￥</w:t>
      </w:r>
      <w:r>
        <w:rPr>
          <w:rFonts w:hint="eastAsia" w:hAnsi="宋体" w:cs="宋体"/>
          <w:color w:val="auto"/>
          <w:sz w:val="21"/>
          <w:szCs w:val="21"/>
          <w:lang w:val="en-US" w:eastAsia="zh-CN"/>
        </w:rPr>
        <w:t>26</w:t>
      </w:r>
      <w:r>
        <w:rPr>
          <w:rFonts w:hint="eastAsia" w:hAnsi="宋体" w:cs="宋体"/>
          <w:color w:val="auto"/>
          <w:sz w:val="21"/>
          <w:szCs w:val="21"/>
        </w:rPr>
        <w:t>0,000.00）；</w:t>
      </w:r>
    </w:p>
    <w:p>
      <w:pPr>
        <w:autoSpaceDE/>
        <w:autoSpaceDN/>
        <w:spacing w:line="360" w:lineRule="auto"/>
        <w:ind w:firstLine="420" w:firstLineChars="200"/>
        <w:rPr>
          <w:rFonts w:hint="eastAsia" w:hAnsi="宋体" w:cs="宋体"/>
          <w:color w:val="auto"/>
          <w:sz w:val="21"/>
          <w:szCs w:val="21"/>
        </w:rPr>
      </w:pPr>
      <w:r>
        <w:rPr>
          <w:rFonts w:hint="eastAsia" w:hAnsi="宋体" w:cs="宋体"/>
          <w:color w:val="auto"/>
          <w:sz w:val="21"/>
          <w:szCs w:val="21"/>
        </w:rPr>
        <w:t>□ 担保公司履约担保书金额为人民币</w:t>
      </w:r>
      <w:bookmarkStart w:id="138" w:name="_Hlk57203512"/>
      <w:r>
        <w:rPr>
          <w:rFonts w:hint="eastAsia" w:hAnsi="宋体" w:cs="宋体"/>
          <w:color w:val="auto"/>
          <w:sz w:val="21"/>
          <w:szCs w:val="21"/>
          <w:lang w:val="en-US" w:eastAsia="zh-CN"/>
        </w:rPr>
        <w:t>叁拾贰</w:t>
      </w:r>
      <w:r>
        <w:rPr>
          <w:rFonts w:hint="eastAsia" w:hAnsi="宋体" w:cs="宋体"/>
          <w:color w:val="auto"/>
          <w:sz w:val="21"/>
          <w:szCs w:val="21"/>
        </w:rPr>
        <w:t>万元整（￥</w:t>
      </w:r>
      <w:r>
        <w:rPr>
          <w:rFonts w:hint="eastAsia" w:hAnsi="宋体" w:cs="宋体"/>
          <w:color w:val="auto"/>
          <w:sz w:val="21"/>
          <w:szCs w:val="21"/>
          <w:lang w:val="en-US" w:eastAsia="zh-CN"/>
        </w:rPr>
        <w:t>32</w:t>
      </w:r>
      <w:r>
        <w:rPr>
          <w:rFonts w:hint="eastAsia" w:hAnsi="宋体" w:cs="宋体"/>
          <w:color w:val="auto"/>
          <w:sz w:val="21"/>
          <w:szCs w:val="21"/>
        </w:rPr>
        <w:t>0,000.00）</w:t>
      </w:r>
      <w:bookmarkEnd w:id="138"/>
    </w:p>
    <w:p>
      <w:pPr>
        <w:autoSpaceDE/>
        <w:autoSpaceDN/>
        <w:spacing w:line="360" w:lineRule="auto"/>
        <w:ind w:firstLine="420" w:firstLineChars="200"/>
        <w:rPr>
          <w:rFonts w:hAnsi="宋体" w:cs="宋体"/>
          <w:color w:val="auto"/>
          <w:sz w:val="21"/>
          <w:szCs w:val="21"/>
        </w:rPr>
      </w:pPr>
      <w:r>
        <w:rPr>
          <w:rFonts w:hint="eastAsia" w:hAnsi="宋体" w:cs="宋体"/>
          <w:color w:val="auto"/>
          <w:sz w:val="21"/>
          <w:szCs w:val="21"/>
        </w:rPr>
        <w:t>7.2履约担保用于补偿甲方因乙方不能完全履行其合同义务而蒙受的损失或其他合同的约定事项，如发生下列任一情况时，甲方除有权依据合同追究乙方给甲方造成的损失责任外，同时有权按下列情况进行相应处理：</w:t>
      </w:r>
    </w:p>
    <w:p>
      <w:pPr>
        <w:autoSpaceDE/>
        <w:autoSpaceDN/>
        <w:spacing w:line="360" w:lineRule="auto"/>
        <w:ind w:firstLine="420" w:firstLineChars="200"/>
        <w:rPr>
          <w:rFonts w:hAnsi="宋体" w:cs="宋体"/>
          <w:color w:val="auto"/>
          <w:sz w:val="21"/>
          <w:szCs w:val="21"/>
        </w:rPr>
      </w:pPr>
      <w:r>
        <w:rPr>
          <w:rFonts w:hint="eastAsia" w:hAnsi="宋体" w:cs="宋体"/>
          <w:color w:val="auto"/>
          <w:sz w:val="21"/>
          <w:szCs w:val="21"/>
        </w:rPr>
        <w:t>7.2.1乙方将合同项下乙方的权利义务全部转让给第三方，或未经甲方书面同意将部分权利义务转让给第三方的，甲方有权没收其履约担保。</w:t>
      </w:r>
    </w:p>
    <w:p>
      <w:pPr>
        <w:autoSpaceDE/>
        <w:autoSpaceDN/>
        <w:spacing w:line="360" w:lineRule="auto"/>
        <w:ind w:firstLine="420" w:firstLineChars="200"/>
        <w:rPr>
          <w:rFonts w:hint="eastAsia" w:hAnsi="宋体" w:cs="宋体"/>
          <w:color w:val="auto"/>
          <w:sz w:val="21"/>
          <w:szCs w:val="21"/>
        </w:rPr>
      </w:pPr>
      <w:r>
        <w:rPr>
          <w:rFonts w:hint="eastAsia" w:hAnsi="宋体" w:cs="宋体"/>
          <w:color w:val="auto"/>
          <w:sz w:val="21"/>
          <w:szCs w:val="21"/>
        </w:rPr>
        <w:t>7.2.2在合同履行期间，乙方怠于履行合同义务，经甲方通知或要求承担当月订货款总额的</w:t>
      </w:r>
      <w:r>
        <w:rPr>
          <w:rFonts w:hint="eastAsia" w:hAnsi="宋体" w:cs="宋体"/>
          <w:color w:val="auto"/>
          <w:sz w:val="21"/>
          <w:szCs w:val="21"/>
          <w:u w:val="single"/>
        </w:rPr>
        <w:t xml:space="preserve">20 </w:t>
      </w:r>
      <w:r>
        <w:rPr>
          <w:rFonts w:hint="eastAsia" w:hAnsi="宋体" w:cs="宋体"/>
          <w:color w:val="auto"/>
          <w:sz w:val="21"/>
          <w:szCs w:val="21"/>
        </w:rPr>
        <w:t>%的违约金后仍拒不改正的，甲方可依法没收或适当扣除其履约担保。</w:t>
      </w:r>
    </w:p>
    <w:p>
      <w:pPr>
        <w:autoSpaceDE/>
        <w:autoSpaceDN/>
        <w:spacing w:line="360" w:lineRule="auto"/>
        <w:ind w:firstLine="420" w:firstLineChars="200"/>
        <w:rPr>
          <w:rFonts w:hAnsi="宋体" w:cs="宋体"/>
          <w:color w:val="auto"/>
          <w:sz w:val="21"/>
          <w:szCs w:val="21"/>
        </w:rPr>
      </w:pPr>
      <w:r>
        <w:rPr>
          <w:rFonts w:hint="eastAsia" w:hAnsi="宋体" w:cs="宋体"/>
          <w:color w:val="auto"/>
          <w:sz w:val="21"/>
          <w:szCs w:val="21"/>
        </w:rPr>
        <w:t>7.2.3在合同履行期间，因乙方货物、服务质量问题造成损害、侵权损失（包括但不限于甲方（含其人员）经济损失、乙方所雇佣人员及第三人人身财产损失等）、拖欠原材料供应商货款或与其所雇用员工发生劳资纠纷、上访、闹事或其他影响甲方生产经营等情况而其未及时妥善处理的，甲方有权使用履约担保予以支付或作出相应处理，由此产生的法律后果由乙方承担。</w:t>
      </w:r>
    </w:p>
    <w:p>
      <w:pPr>
        <w:pStyle w:val="2"/>
        <w:autoSpaceDE/>
        <w:autoSpaceDN/>
        <w:spacing w:line="360" w:lineRule="auto"/>
        <w:ind w:firstLine="480" w:firstLineChars="200"/>
        <w:rPr>
          <w:rFonts w:hAnsi="宋体" w:cs="宋体"/>
          <w:color w:val="auto"/>
          <w:sz w:val="21"/>
          <w:szCs w:val="21"/>
        </w:rPr>
      </w:pPr>
      <w:r>
        <w:rPr>
          <w:rFonts w:hint="eastAsia" w:hAnsi="宋体" w:cs="宋体"/>
          <w:color w:val="auto"/>
        </w:rPr>
        <w:t>7.2.4</w:t>
      </w:r>
      <w:r>
        <w:rPr>
          <w:rFonts w:hint="eastAsia" w:hAnsi="宋体" w:cs="宋体"/>
          <w:color w:val="auto"/>
          <w:sz w:val="21"/>
          <w:szCs w:val="21"/>
        </w:rPr>
        <w:t>在合同履行期间，乙方违约产生的违约金、赔偿、罚款或其他应付费用等款项，甲方有权直接从未付款项中直接扣除或启用履约担保予以支付。</w:t>
      </w:r>
    </w:p>
    <w:p>
      <w:pPr>
        <w:autoSpaceDE/>
        <w:autoSpaceDN/>
        <w:spacing w:line="360" w:lineRule="auto"/>
        <w:ind w:firstLine="420" w:firstLineChars="200"/>
        <w:rPr>
          <w:rFonts w:hAnsi="宋体" w:cs="宋体"/>
          <w:color w:val="auto"/>
          <w:sz w:val="21"/>
          <w:szCs w:val="21"/>
        </w:rPr>
      </w:pPr>
      <w:r>
        <w:rPr>
          <w:rFonts w:hint="eastAsia" w:hAnsi="宋体" w:cs="宋体"/>
          <w:color w:val="auto"/>
          <w:sz w:val="21"/>
          <w:szCs w:val="21"/>
        </w:rPr>
        <w:t>7.2.5合同期内，乙方不能及时完成合同某项义务的，甲方有权使用履约担保用于处理该项工作。</w:t>
      </w:r>
    </w:p>
    <w:p>
      <w:pPr>
        <w:autoSpaceDE/>
        <w:autoSpaceDN/>
        <w:spacing w:line="360" w:lineRule="auto"/>
        <w:ind w:firstLine="420" w:firstLineChars="200"/>
        <w:rPr>
          <w:rFonts w:hAnsi="宋体" w:cs="宋体"/>
          <w:color w:val="auto"/>
          <w:sz w:val="21"/>
          <w:szCs w:val="21"/>
        </w:rPr>
      </w:pPr>
      <w:r>
        <w:rPr>
          <w:rFonts w:hint="eastAsia" w:hAnsi="宋体" w:cs="宋体"/>
          <w:color w:val="auto"/>
          <w:sz w:val="21"/>
          <w:szCs w:val="21"/>
        </w:rPr>
        <w:t>7.2.6其他根据本合同约定或法律规定，甲方可使用履约担保的情形。</w:t>
      </w:r>
    </w:p>
    <w:p>
      <w:pPr>
        <w:autoSpaceDE/>
        <w:autoSpaceDN/>
        <w:spacing w:line="360" w:lineRule="auto"/>
        <w:ind w:firstLine="420" w:firstLineChars="200"/>
        <w:rPr>
          <w:rFonts w:hAnsi="宋体" w:cs="宋体"/>
          <w:color w:val="auto"/>
          <w:sz w:val="21"/>
          <w:szCs w:val="21"/>
        </w:rPr>
      </w:pPr>
      <w:r>
        <w:rPr>
          <w:rFonts w:hint="eastAsia" w:hAnsi="宋体" w:cs="宋体"/>
          <w:color w:val="auto"/>
          <w:sz w:val="21"/>
          <w:szCs w:val="21"/>
        </w:rPr>
        <w:t>7.3在乙方完成本合同下全部义务，且在合同期限届满并完成全部供货及相关服务义务后二十八（28）日内，</w:t>
      </w:r>
      <w:r>
        <w:rPr>
          <w:rFonts w:hint="eastAsia" w:hAnsi="宋体" w:cs="宋体"/>
          <w:bCs/>
          <w:color w:val="auto"/>
          <w:sz w:val="21"/>
          <w:szCs w:val="21"/>
        </w:rPr>
        <w:t>经</w:t>
      </w:r>
      <w:r>
        <w:rPr>
          <w:rFonts w:hint="eastAsia" w:hAnsi="宋体" w:cs="宋体"/>
          <w:color w:val="auto"/>
          <w:sz w:val="21"/>
          <w:szCs w:val="21"/>
        </w:rPr>
        <w:t>甲方</w:t>
      </w:r>
      <w:r>
        <w:rPr>
          <w:rFonts w:hint="eastAsia" w:hAnsi="宋体" w:cs="宋体"/>
          <w:bCs/>
          <w:color w:val="auto"/>
          <w:sz w:val="21"/>
          <w:szCs w:val="21"/>
        </w:rPr>
        <w:t>确认，乙方可向</w:t>
      </w:r>
      <w:r>
        <w:rPr>
          <w:rFonts w:hint="eastAsia" w:hAnsi="宋体" w:cs="宋体"/>
          <w:color w:val="auto"/>
          <w:sz w:val="21"/>
          <w:szCs w:val="21"/>
        </w:rPr>
        <w:t>甲方</w:t>
      </w:r>
      <w:r>
        <w:rPr>
          <w:rFonts w:hint="eastAsia" w:hAnsi="宋体" w:cs="宋体"/>
          <w:bCs/>
          <w:color w:val="auto"/>
          <w:sz w:val="21"/>
          <w:szCs w:val="21"/>
        </w:rPr>
        <w:t>提交退回履约担保的申请。</w:t>
      </w:r>
      <w:r>
        <w:rPr>
          <w:rFonts w:hint="eastAsia" w:hAnsi="宋体" w:cs="宋体"/>
          <w:color w:val="auto"/>
          <w:sz w:val="21"/>
          <w:szCs w:val="21"/>
        </w:rPr>
        <w:t>甲方</w:t>
      </w:r>
      <w:r>
        <w:rPr>
          <w:rFonts w:hint="eastAsia" w:hAnsi="宋体" w:cs="宋体"/>
          <w:bCs/>
          <w:color w:val="auto"/>
          <w:sz w:val="21"/>
          <w:szCs w:val="21"/>
        </w:rPr>
        <w:t>审核无异议后，办理履约担保退还手续，履约保证金形式提交的履约担保余额退回时一律以银行转账的形式无息退回到乙方的账户。</w:t>
      </w:r>
      <w:r>
        <w:rPr>
          <w:rFonts w:hint="eastAsia" w:hAnsi="宋体" w:cs="宋体"/>
          <w:color w:val="auto"/>
          <w:sz w:val="21"/>
          <w:szCs w:val="21"/>
        </w:rPr>
        <w:t xml:space="preserve"> </w:t>
      </w:r>
    </w:p>
    <w:p>
      <w:pPr>
        <w:autoSpaceDE/>
        <w:autoSpaceDN/>
        <w:spacing w:line="360" w:lineRule="auto"/>
        <w:ind w:firstLine="420" w:firstLineChars="200"/>
        <w:rPr>
          <w:rFonts w:hAnsi="宋体" w:cs="宋体"/>
          <w:color w:val="auto"/>
          <w:sz w:val="21"/>
          <w:szCs w:val="21"/>
        </w:rPr>
      </w:pPr>
      <w:r>
        <w:rPr>
          <w:rFonts w:hint="eastAsia" w:hAnsi="宋体" w:cs="宋体"/>
          <w:color w:val="auto"/>
          <w:sz w:val="21"/>
          <w:szCs w:val="21"/>
        </w:rPr>
        <w:t>7.4如乙方提供银行不可撤销履约保函（或担保公司履约担保书）作为履约担保的，银行不可撤销履约保函（或担保公司履约担保书）应从合同签订之日起至合同期限届满并完成全部供货及相关服务义务后二十八（28）日内保持有效。如银行不可撤销履约保函（或担保公司履约担保书）在规定有效期届满时而乙方尚未完成全部供货及相关服务义务或货物尚未全部最终验收合格的，乙方必须在银行不可撤销履约保函（或担保公司履约担保书）到期15日前无条件办理办妥符合甲方要求的延期手续或重新提供银行不可撤销履约保函（或担保公司履约担保书）；否则视为乙方违约，甲方有权在银行不可撤销履约保函（或担保公司履约担保书）到期前向出具履约担保的机构提取履约保证金。在银行不可撤销履约保函（或担保公司履约担保书）到期后乙方未按甲方要求重新提供的，甲方有权要求乙方以履约担保金额为限承担违约金，违约金甲方可直接从未付款项中扣除。</w:t>
      </w:r>
    </w:p>
    <w:p>
      <w:pPr>
        <w:autoSpaceDE/>
        <w:autoSpaceDN/>
        <w:spacing w:line="360" w:lineRule="auto"/>
        <w:ind w:firstLine="420" w:firstLineChars="200"/>
        <w:rPr>
          <w:rFonts w:hAnsi="宋体" w:cs="宋体"/>
          <w:color w:val="auto"/>
          <w:sz w:val="21"/>
          <w:szCs w:val="21"/>
        </w:rPr>
      </w:pPr>
      <w:r>
        <w:rPr>
          <w:rFonts w:hint="eastAsia" w:hAnsi="宋体" w:cs="宋体"/>
          <w:color w:val="auto"/>
          <w:sz w:val="21"/>
          <w:szCs w:val="21"/>
        </w:rPr>
        <w:t>7.5在合同履行过程中，不论何种原因导致履约担保金数额不符合招标文件要求的，乙方应当在5日内予以补足。逾期不予补足的，甲方有权按需补足的金额要求乙方承担违约金，并要求限期补足。如乙方仍不补足的，甲方有权单方解除合同。</w:t>
      </w:r>
    </w:p>
    <w:p>
      <w:pPr>
        <w:spacing w:line="360" w:lineRule="auto"/>
        <w:ind w:firstLine="422" w:firstLineChars="200"/>
        <w:rPr>
          <w:rFonts w:hAnsi="宋体" w:cs="宋体"/>
          <w:b/>
          <w:bCs/>
          <w:color w:val="auto"/>
          <w:sz w:val="21"/>
          <w:szCs w:val="21"/>
        </w:rPr>
      </w:pPr>
      <w:r>
        <w:rPr>
          <w:rFonts w:hint="eastAsia" w:hAnsi="宋体" w:cs="宋体"/>
          <w:b/>
          <w:bCs/>
          <w:color w:val="auto"/>
          <w:sz w:val="21"/>
          <w:szCs w:val="21"/>
        </w:rPr>
        <w:t>八、考核管理</w:t>
      </w:r>
    </w:p>
    <w:p>
      <w:pPr>
        <w:spacing w:line="360" w:lineRule="auto"/>
        <w:ind w:firstLine="420" w:firstLineChars="200"/>
        <w:contextualSpacing/>
        <w:jc w:val="both"/>
        <w:rPr>
          <w:rFonts w:hAnsi="宋体" w:cs="宋体"/>
          <w:color w:val="auto"/>
          <w:sz w:val="21"/>
          <w:szCs w:val="21"/>
        </w:rPr>
      </w:pPr>
      <w:r>
        <w:rPr>
          <w:rFonts w:hint="eastAsia" w:hAnsi="宋体" w:cs="宋体"/>
          <w:color w:val="auto"/>
          <w:sz w:val="21"/>
          <w:szCs w:val="21"/>
        </w:rPr>
        <w:t>甲方每月安排相关人员对乙方进行服务质量跟踪，一个月为一个考核期，并填写</w:t>
      </w:r>
      <w:r>
        <w:rPr>
          <w:rFonts w:hint="eastAsia" w:hAnsi="宋体" w:cs="宋体"/>
          <w:color w:val="auto"/>
          <w:sz w:val="21"/>
          <w:szCs w:val="21"/>
          <w:lang w:eastAsia="zh-CN"/>
        </w:rPr>
        <w:t>《</w:t>
      </w:r>
      <w:r>
        <w:rPr>
          <w:rFonts w:hint="eastAsia" w:hAnsi="宋体" w:cs="宋体"/>
          <w:color w:val="auto"/>
          <w:sz w:val="21"/>
          <w:szCs w:val="21"/>
        </w:rPr>
        <w:t>食堂配送服务考核评分表</w:t>
      </w:r>
      <w:r>
        <w:rPr>
          <w:rFonts w:hint="eastAsia" w:hAnsi="宋体" w:cs="宋体"/>
          <w:color w:val="auto"/>
          <w:sz w:val="21"/>
          <w:szCs w:val="21"/>
          <w:lang w:eastAsia="zh-CN"/>
        </w:rPr>
        <w:t>》</w:t>
      </w:r>
      <w:r>
        <w:rPr>
          <w:rFonts w:hint="eastAsia" w:hAnsi="宋体" w:cs="宋体"/>
          <w:color w:val="auto"/>
          <w:sz w:val="21"/>
          <w:szCs w:val="21"/>
        </w:rPr>
        <w:t>（附件</w:t>
      </w:r>
      <w:r>
        <w:rPr>
          <w:rFonts w:hAnsi="宋体" w:cs="宋体"/>
          <w:color w:val="auto"/>
          <w:sz w:val="21"/>
          <w:szCs w:val="21"/>
        </w:rPr>
        <w:t>2</w:t>
      </w:r>
      <w:r>
        <w:rPr>
          <w:rFonts w:hint="eastAsia" w:hAnsi="宋体" w:cs="宋体"/>
          <w:color w:val="auto"/>
          <w:sz w:val="21"/>
          <w:szCs w:val="21"/>
        </w:rPr>
        <w:t>）具体如下：对乙方分别配送的食堂考核调查，考核成绩90分（含）以上，当月配送费用按100%支付；考核成绩为80（含）-90分（</w:t>
      </w:r>
      <w:r>
        <w:rPr>
          <w:rFonts w:hint="eastAsia" w:hAnsi="宋体" w:cs="宋体"/>
          <w:color w:val="auto"/>
          <w:sz w:val="21"/>
          <w:szCs w:val="21"/>
          <w:lang w:val="en-US" w:eastAsia="zh-CN"/>
        </w:rPr>
        <w:t>不</w:t>
      </w:r>
      <w:r>
        <w:rPr>
          <w:rFonts w:hint="eastAsia" w:hAnsi="宋体" w:cs="宋体"/>
          <w:color w:val="auto"/>
          <w:sz w:val="21"/>
          <w:szCs w:val="21"/>
        </w:rPr>
        <w:t>含）的中标人，当月配送费用按90%支付；考核成绩为70（含）-80分（</w:t>
      </w:r>
      <w:r>
        <w:rPr>
          <w:rFonts w:hint="eastAsia" w:hAnsi="宋体" w:cs="宋体"/>
          <w:color w:val="auto"/>
          <w:sz w:val="21"/>
          <w:szCs w:val="21"/>
          <w:lang w:val="en-US" w:eastAsia="zh-CN"/>
        </w:rPr>
        <w:t>不</w:t>
      </w:r>
      <w:r>
        <w:rPr>
          <w:rFonts w:hint="eastAsia" w:hAnsi="宋体" w:cs="宋体"/>
          <w:color w:val="auto"/>
          <w:sz w:val="21"/>
          <w:szCs w:val="21"/>
        </w:rPr>
        <w:t>含）的中标人，当月配送费用按80%支付；对考核成绩为70分（含）以下的中标人，当月配送费用按70%支付；考核成绩较差（低于90分）时由甲方下达整改意见书，以确保乙方的服务质量能满足甲方要求；如连续两次整改仍未合符整改要求，甲方将有权单方解除相关配送合同，并没收履约担保，同时乙方应当承担违约责任。甲方有权有权另行委派其他单位实施。</w:t>
      </w:r>
    </w:p>
    <w:p>
      <w:pPr>
        <w:autoSpaceDE/>
        <w:autoSpaceDN/>
        <w:spacing w:line="360" w:lineRule="auto"/>
        <w:ind w:firstLine="422" w:firstLineChars="200"/>
        <w:rPr>
          <w:rFonts w:hAnsi="宋体" w:cs="宋体"/>
          <w:b/>
          <w:bCs/>
          <w:color w:val="auto"/>
          <w:sz w:val="21"/>
          <w:szCs w:val="21"/>
        </w:rPr>
      </w:pPr>
      <w:r>
        <w:rPr>
          <w:rFonts w:hint="eastAsia" w:hAnsi="宋体" w:cs="宋体"/>
          <w:b/>
          <w:bCs/>
          <w:color w:val="auto"/>
          <w:sz w:val="21"/>
          <w:szCs w:val="21"/>
        </w:rPr>
        <w:t>九、甲方的权利和义务</w:t>
      </w:r>
    </w:p>
    <w:p>
      <w:pPr>
        <w:autoSpaceDE/>
        <w:autoSpaceDN/>
        <w:spacing w:line="360" w:lineRule="auto"/>
        <w:ind w:firstLine="420" w:firstLineChars="200"/>
        <w:rPr>
          <w:rFonts w:hAnsi="宋体" w:cs="宋体"/>
          <w:color w:val="auto"/>
          <w:sz w:val="21"/>
          <w:szCs w:val="21"/>
        </w:rPr>
      </w:pPr>
      <w:r>
        <w:rPr>
          <w:rFonts w:hint="eastAsia" w:hAnsi="宋体" w:cs="宋体"/>
          <w:color w:val="auto"/>
          <w:sz w:val="21"/>
          <w:szCs w:val="21"/>
        </w:rPr>
        <w:t>9.1甲方应按合同条款的有关规定向乙方支付货款。</w:t>
      </w:r>
    </w:p>
    <w:p>
      <w:pPr>
        <w:autoSpaceDE/>
        <w:autoSpaceDN/>
        <w:spacing w:line="360" w:lineRule="auto"/>
        <w:ind w:firstLine="420" w:firstLineChars="200"/>
        <w:rPr>
          <w:rFonts w:hAnsi="宋体" w:cs="宋体"/>
          <w:color w:val="auto"/>
          <w:sz w:val="21"/>
          <w:szCs w:val="21"/>
        </w:rPr>
      </w:pPr>
      <w:r>
        <w:rPr>
          <w:rFonts w:hint="eastAsia" w:hAnsi="宋体" w:cs="宋体"/>
          <w:color w:val="auto"/>
          <w:sz w:val="21"/>
          <w:szCs w:val="21"/>
        </w:rPr>
        <w:t>9.2甲方安排相关人员配合乙方做好订货、收货、验货、结算等工作。</w:t>
      </w:r>
    </w:p>
    <w:p>
      <w:pPr>
        <w:autoSpaceDE/>
        <w:autoSpaceDN/>
        <w:spacing w:line="360" w:lineRule="auto"/>
        <w:ind w:firstLine="420" w:firstLineChars="200"/>
        <w:rPr>
          <w:rFonts w:hAnsi="宋体" w:cs="宋体"/>
          <w:color w:val="auto"/>
          <w:sz w:val="21"/>
          <w:szCs w:val="21"/>
        </w:rPr>
      </w:pPr>
      <w:r>
        <w:rPr>
          <w:rFonts w:hint="eastAsia" w:hAnsi="宋体" w:cs="宋体"/>
          <w:color w:val="auto"/>
          <w:sz w:val="21"/>
          <w:szCs w:val="21"/>
        </w:rPr>
        <w:t>9.3甲方有权对乙方供货质量、配送时间、服务态度等方面出现误差建立档案记录。</w:t>
      </w:r>
    </w:p>
    <w:p>
      <w:pPr>
        <w:autoSpaceDE/>
        <w:autoSpaceDN/>
        <w:spacing w:line="360" w:lineRule="auto"/>
        <w:ind w:firstLine="420" w:firstLineChars="200"/>
        <w:rPr>
          <w:rFonts w:hAnsi="宋体" w:cs="宋体"/>
          <w:color w:val="auto"/>
          <w:sz w:val="21"/>
          <w:szCs w:val="21"/>
        </w:rPr>
      </w:pPr>
      <w:r>
        <w:rPr>
          <w:rFonts w:hint="eastAsia" w:hAnsi="宋体" w:cs="宋体"/>
          <w:color w:val="auto"/>
          <w:sz w:val="21"/>
          <w:szCs w:val="21"/>
        </w:rPr>
        <w:t>9.4乙方因供货物资质量问题导致甲方发生食品、安全事故，经市（镇街）级卫生防疫部门鉴定属乙方责任，甲方有权单方终止合同，乙方应承担事故相关的一切赔偿责任，并承担违约责任。</w:t>
      </w:r>
    </w:p>
    <w:p>
      <w:pPr>
        <w:spacing w:line="360" w:lineRule="auto"/>
        <w:ind w:firstLine="420" w:firstLineChars="200"/>
        <w:rPr>
          <w:rFonts w:hAnsi="宋体" w:cs="宋体"/>
          <w:color w:val="auto"/>
          <w:sz w:val="21"/>
          <w:szCs w:val="21"/>
        </w:rPr>
      </w:pPr>
      <w:r>
        <w:rPr>
          <w:rFonts w:hint="eastAsia" w:hAnsi="宋体" w:cs="宋体"/>
          <w:color w:val="auto"/>
          <w:sz w:val="21"/>
          <w:szCs w:val="21"/>
        </w:rPr>
        <w:t>9.5在日常供货过程中，因乙方工作出现失误等原因而影响甲方生产或食堂供餐的正常运作，经甲方2次告知仍不整改或整改不到位的，甲方有权单方终止合同，没收乙方履约担保，并选择其他供货商的权利。</w:t>
      </w:r>
    </w:p>
    <w:p>
      <w:pPr>
        <w:spacing w:line="360" w:lineRule="auto"/>
        <w:ind w:firstLine="420" w:firstLineChars="200"/>
        <w:rPr>
          <w:rFonts w:hAnsi="宋体" w:cs="宋体"/>
          <w:color w:val="auto"/>
          <w:sz w:val="21"/>
          <w:szCs w:val="21"/>
        </w:rPr>
      </w:pPr>
      <w:r>
        <w:rPr>
          <w:rFonts w:hint="eastAsia" w:hAnsi="宋体" w:cs="宋体"/>
          <w:color w:val="auto"/>
          <w:sz w:val="21"/>
          <w:szCs w:val="21"/>
        </w:rPr>
        <w:t>9.6本项目确定的乙方与甲方签定农副产品食品材料配送合同，甲方不确保乙方农副产品、主副食品、其他食品材料实际产生配送量，每月份按实际产生量结算。</w:t>
      </w:r>
    </w:p>
    <w:p>
      <w:pPr>
        <w:spacing w:line="360" w:lineRule="auto"/>
        <w:ind w:firstLine="420" w:firstLineChars="200"/>
        <w:rPr>
          <w:rFonts w:hAnsi="宋体" w:cs="宋体"/>
          <w:color w:val="auto"/>
          <w:sz w:val="21"/>
          <w:szCs w:val="21"/>
        </w:rPr>
      </w:pPr>
      <w:r>
        <w:rPr>
          <w:rFonts w:hint="eastAsia" w:hAnsi="宋体" w:cs="宋体"/>
          <w:color w:val="auto"/>
          <w:sz w:val="21"/>
          <w:szCs w:val="21"/>
        </w:rPr>
        <w:t>9.7甲方有权要求乙方提供以往交易记录。</w:t>
      </w:r>
    </w:p>
    <w:p>
      <w:pPr>
        <w:pStyle w:val="19"/>
        <w:spacing w:line="360" w:lineRule="auto"/>
        <w:ind w:firstLine="420" w:firstLineChars="200"/>
        <w:jc w:val="left"/>
        <w:rPr>
          <w:rFonts w:hint="eastAsia" w:hAnsi="宋体" w:cs="宋体"/>
          <w:b w:val="0"/>
          <w:bCs w:val="0"/>
          <w:color w:val="auto"/>
          <w:sz w:val="21"/>
          <w:szCs w:val="21"/>
          <w:lang w:val="en-US"/>
        </w:rPr>
      </w:pPr>
      <w:r>
        <w:rPr>
          <w:rFonts w:hint="eastAsia" w:hAnsi="宋体" w:cs="宋体"/>
          <w:b w:val="0"/>
          <w:bCs w:val="0"/>
          <w:color w:val="auto"/>
          <w:sz w:val="21"/>
          <w:szCs w:val="21"/>
          <w:lang w:val="en-US"/>
        </w:rPr>
        <w:t>9.8甲方有权要求乙方提出相关人员72小时以内的核酸检测证明文件。</w:t>
      </w:r>
    </w:p>
    <w:p>
      <w:pPr>
        <w:autoSpaceDE/>
        <w:autoSpaceDN/>
        <w:spacing w:line="360" w:lineRule="auto"/>
        <w:ind w:firstLine="422" w:firstLineChars="200"/>
        <w:rPr>
          <w:rFonts w:hAnsi="宋体" w:cs="宋体"/>
          <w:b/>
          <w:bCs/>
          <w:color w:val="auto"/>
          <w:sz w:val="21"/>
          <w:szCs w:val="21"/>
        </w:rPr>
      </w:pPr>
      <w:r>
        <w:rPr>
          <w:rFonts w:hint="eastAsia" w:hAnsi="宋体" w:cs="宋体"/>
          <w:b/>
          <w:bCs/>
          <w:color w:val="auto"/>
          <w:sz w:val="21"/>
          <w:szCs w:val="21"/>
        </w:rPr>
        <w:t>十、乙方的权利和义务</w:t>
      </w:r>
    </w:p>
    <w:p>
      <w:pPr>
        <w:spacing w:line="360" w:lineRule="auto"/>
        <w:ind w:firstLine="420" w:firstLineChars="200"/>
        <w:rPr>
          <w:rFonts w:hAnsi="宋体" w:cs="宋体"/>
          <w:color w:val="auto"/>
          <w:sz w:val="21"/>
          <w:szCs w:val="21"/>
        </w:rPr>
      </w:pPr>
      <w:r>
        <w:rPr>
          <w:rFonts w:hint="eastAsia" w:hAnsi="宋体" w:cs="宋体"/>
          <w:color w:val="auto"/>
          <w:sz w:val="21"/>
          <w:szCs w:val="21"/>
        </w:rPr>
        <w:t>10.1乙方须按甲方订货内容按时按质按量配送到达约定地点。乙方每次送货应有相应的送货清单（盖有乙方的有效公章），且必须时提供合法的进货单据。</w:t>
      </w:r>
    </w:p>
    <w:p>
      <w:pPr>
        <w:autoSpaceDE/>
        <w:autoSpaceDN/>
        <w:spacing w:line="360" w:lineRule="auto"/>
        <w:ind w:firstLine="420" w:firstLineChars="200"/>
        <w:rPr>
          <w:rFonts w:hAnsi="宋体" w:cs="宋体"/>
          <w:color w:val="auto"/>
          <w:sz w:val="21"/>
          <w:szCs w:val="21"/>
        </w:rPr>
      </w:pPr>
      <w:r>
        <w:rPr>
          <w:rFonts w:hint="eastAsia" w:hAnsi="宋体" w:cs="宋体"/>
          <w:color w:val="auto"/>
          <w:sz w:val="21"/>
          <w:szCs w:val="21"/>
        </w:rPr>
        <w:t>10.2甲方对乙方供货质量、配送时间、服务态度等方面出现误差建立档案记录，乙方人员应予以签名确认。</w:t>
      </w:r>
    </w:p>
    <w:p>
      <w:pPr>
        <w:autoSpaceDE/>
        <w:autoSpaceDN/>
        <w:spacing w:line="360" w:lineRule="auto"/>
        <w:ind w:firstLine="422" w:firstLineChars="201"/>
        <w:rPr>
          <w:rFonts w:hAnsi="宋体" w:cs="宋体"/>
          <w:color w:val="auto"/>
          <w:sz w:val="21"/>
          <w:szCs w:val="21"/>
        </w:rPr>
      </w:pPr>
      <w:r>
        <w:rPr>
          <w:rFonts w:hint="eastAsia" w:hAnsi="宋体" w:cs="宋体"/>
          <w:color w:val="auto"/>
          <w:sz w:val="21"/>
          <w:szCs w:val="21"/>
        </w:rPr>
        <w:t>10.3乙方提供的食物货品应符合国家食品卫生法、食品安全法等有关法规和标准，并确保所配送包装商品的有效使用期或保质期达到该商品标注的有效使用期或保质期2/3及以上使用期的合格商品（鲜奶制品需保质期1/2及以上），不合格的餐料物资及商品必须包退包换，提供假冒伪劣商品，甲方保留追究乙方法律责任的权利。</w:t>
      </w:r>
    </w:p>
    <w:p>
      <w:pPr>
        <w:snapToGrid w:val="0"/>
        <w:spacing w:line="360" w:lineRule="auto"/>
        <w:ind w:firstLine="420" w:firstLineChars="200"/>
        <w:contextualSpacing/>
        <w:rPr>
          <w:rFonts w:hAnsi="宋体" w:cs="宋体"/>
          <w:color w:val="auto"/>
          <w:sz w:val="21"/>
          <w:szCs w:val="21"/>
        </w:rPr>
      </w:pPr>
      <w:r>
        <w:rPr>
          <w:rFonts w:hint="eastAsia" w:hAnsi="宋体" w:cs="宋体"/>
          <w:color w:val="auto"/>
          <w:sz w:val="21"/>
          <w:szCs w:val="21"/>
        </w:rPr>
        <w:t>10.4乙方应按照国家《餐饮服务食品安全监督管理办法》相关规定，按时段或批次向甲方提交卫生防疫合格证明或产品检验合格证明，并保证所提供餐料商品的卫生防疫合格证或产品检验合格证均是真实有效。其中A类食品材料根据甲方要求定期提供有效检验合格报告；B类、C类食品要提交所有相关检验、检测证明报告。凡国家有明文规定的必须提供产品检验报告交食堂存档，符合国家溯源制度规定。</w:t>
      </w:r>
    </w:p>
    <w:p>
      <w:pPr>
        <w:autoSpaceDE/>
        <w:autoSpaceDN/>
        <w:spacing w:line="360" w:lineRule="auto"/>
        <w:ind w:firstLine="420" w:firstLineChars="200"/>
        <w:rPr>
          <w:rFonts w:hAnsi="宋体" w:cs="宋体"/>
          <w:color w:val="auto"/>
          <w:sz w:val="21"/>
          <w:szCs w:val="21"/>
        </w:rPr>
      </w:pPr>
      <w:r>
        <w:rPr>
          <w:rFonts w:hint="eastAsia" w:hAnsi="宋体" w:cs="宋体"/>
          <w:color w:val="auto"/>
          <w:sz w:val="21"/>
          <w:szCs w:val="21"/>
        </w:rPr>
        <w:t>10.5乙方配送食品材料车辆应符合卫生防疫技术标准或要求，食品材料应分类储运或独立包装，确保在运输途中不受污染。</w:t>
      </w:r>
    </w:p>
    <w:p>
      <w:pPr>
        <w:autoSpaceDE/>
        <w:autoSpaceDN/>
        <w:spacing w:line="360" w:lineRule="auto"/>
        <w:ind w:firstLine="420" w:firstLineChars="200"/>
        <w:rPr>
          <w:rFonts w:hAnsi="宋体" w:cs="宋体"/>
          <w:color w:val="auto"/>
          <w:sz w:val="21"/>
          <w:szCs w:val="21"/>
        </w:rPr>
      </w:pPr>
      <w:r>
        <w:rPr>
          <w:rFonts w:hint="eastAsia" w:hAnsi="宋体" w:cs="宋体"/>
          <w:color w:val="auto"/>
          <w:sz w:val="21"/>
          <w:szCs w:val="21"/>
        </w:rPr>
        <w:t>10.6乙方应配合甲方做好食品材料供应朔源工作，乙方有义务对提供给甲方的食品材料来源信息予以存档、备查、生产厂可朔源。</w:t>
      </w:r>
    </w:p>
    <w:p>
      <w:pPr>
        <w:spacing w:line="360" w:lineRule="auto"/>
        <w:ind w:firstLine="420" w:firstLineChars="200"/>
        <w:rPr>
          <w:rFonts w:hAnsi="宋体" w:cs="宋体"/>
          <w:color w:val="auto"/>
          <w:sz w:val="21"/>
          <w:szCs w:val="21"/>
        </w:rPr>
      </w:pPr>
      <w:r>
        <w:rPr>
          <w:rFonts w:hint="eastAsia" w:hAnsi="宋体" w:cs="宋体"/>
          <w:color w:val="auto"/>
          <w:sz w:val="21"/>
          <w:szCs w:val="21"/>
        </w:rPr>
        <w:t>10.7乙方须为甲方就A类（粮油干货类），B类（肉类）及C类（蔬果类）货品免费提供一份以</w:t>
      </w:r>
      <w:r>
        <w:rPr>
          <w:rFonts w:hint="eastAsia" w:hAnsi="宋体" w:cs="宋体"/>
          <w:color w:val="auto"/>
          <w:sz w:val="21"/>
          <w:szCs w:val="21"/>
          <w:u w:val="single"/>
        </w:rPr>
        <w:t xml:space="preserve"> </w:t>
      </w:r>
      <w:r>
        <w:rPr>
          <w:rFonts w:hAnsi="宋体" w:cs="宋体"/>
          <w:color w:val="auto"/>
          <w:sz w:val="21"/>
          <w:szCs w:val="21"/>
          <w:u w:val="single"/>
        </w:rPr>
        <w:t xml:space="preserve">     </w:t>
      </w:r>
      <w:r>
        <w:rPr>
          <w:rFonts w:hint="eastAsia" w:hAnsi="宋体" w:cs="宋体"/>
          <w:color w:val="auto"/>
          <w:sz w:val="21"/>
          <w:szCs w:val="21"/>
        </w:rPr>
        <w:t>为受益人、额度为</w:t>
      </w:r>
      <w:r>
        <w:rPr>
          <w:rFonts w:hint="eastAsia" w:hAnsi="宋体" w:cs="宋体"/>
          <w:color w:val="auto"/>
          <w:sz w:val="21"/>
          <w:szCs w:val="21"/>
          <w:u w:val="single"/>
        </w:rPr>
        <w:t xml:space="preserve"> </w:t>
      </w:r>
      <w:r>
        <w:rPr>
          <w:rFonts w:hAnsi="宋体" w:cs="宋体"/>
          <w:color w:val="auto"/>
          <w:sz w:val="21"/>
          <w:szCs w:val="21"/>
          <w:u w:val="single"/>
        </w:rPr>
        <w:t xml:space="preserve">      </w:t>
      </w:r>
      <w:r>
        <w:rPr>
          <w:rFonts w:hint="eastAsia" w:hAnsi="宋体" w:cs="宋体"/>
          <w:color w:val="auto"/>
          <w:sz w:val="21"/>
          <w:szCs w:val="21"/>
        </w:rPr>
        <w:t>万元以上的保险（食品安全责任险），上述保险承保期限与配送合同同步，若因乙方原因造成甲方人员食物中毒等事故而索赔并超出相应保险赔偿额度，超出部分由乙方负责承担。</w:t>
      </w:r>
    </w:p>
    <w:p>
      <w:pPr>
        <w:spacing w:line="360" w:lineRule="auto"/>
        <w:ind w:firstLine="420" w:firstLineChars="200"/>
        <w:rPr>
          <w:rFonts w:hAnsi="宋体" w:cs="宋体"/>
          <w:color w:val="auto"/>
          <w:sz w:val="21"/>
          <w:szCs w:val="21"/>
        </w:rPr>
      </w:pPr>
      <w:r>
        <w:rPr>
          <w:rFonts w:hint="eastAsia" w:hAnsi="宋体" w:cs="宋体"/>
          <w:color w:val="auto"/>
          <w:sz w:val="21"/>
          <w:szCs w:val="21"/>
        </w:rPr>
        <w:t>10.8乙方进入甲方范围内必须遵守甲方有关规定，不得影响甲方的正常工作，由于乙方的过失造成甲方直接经济损失的，乙方应承担全部责任及赔偿甲方的一切损失。</w:t>
      </w:r>
    </w:p>
    <w:p>
      <w:pPr>
        <w:spacing w:line="360" w:lineRule="auto"/>
        <w:ind w:firstLine="420" w:firstLineChars="200"/>
        <w:rPr>
          <w:rFonts w:hAnsi="宋体" w:cs="宋体"/>
          <w:color w:val="auto"/>
          <w:sz w:val="21"/>
          <w:szCs w:val="21"/>
        </w:rPr>
      </w:pPr>
      <w:r>
        <w:rPr>
          <w:rFonts w:hint="eastAsia" w:hAnsi="宋体" w:cs="宋体"/>
          <w:color w:val="auto"/>
          <w:sz w:val="21"/>
          <w:szCs w:val="21"/>
        </w:rPr>
        <w:t>10.9乙方须有固定分割肉加工场所，具备空调作业环境，配套设备设施齐全，有相应加工作业流程及相关管理制度。</w:t>
      </w:r>
    </w:p>
    <w:p>
      <w:pPr>
        <w:spacing w:line="360" w:lineRule="auto"/>
        <w:ind w:firstLine="420" w:firstLineChars="200"/>
        <w:rPr>
          <w:rFonts w:hint="eastAsia" w:hAnsi="宋体" w:cs="宋体"/>
          <w:color w:val="auto"/>
        </w:rPr>
      </w:pPr>
      <w:r>
        <w:rPr>
          <w:rFonts w:hint="eastAsia" w:hAnsi="宋体" w:cs="宋体"/>
          <w:color w:val="auto"/>
          <w:sz w:val="21"/>
          <w:szCs w:val="21"/>
        </w:rPr>
        <w:t>1</w:t>
      </w:r>
      <w:r>
        <w:rPr>
          <w:rFonts w:hAnsi="宋体" w:cs="宋体"/>
          <w:color w:val="auto"/>
          <w:sz w:val="21"/>
          <w:szCs w:val="21"/>
        </w:rPr>
        <w:t>0.10</w:t>
      </w:r>
      <w:r>
        <w:rPr>
          <w:rFonts w:hint="eastAsia" w:hAnsi="宋体" w:cs="宋体"/>
          <w:color w:val="auto"/>
          <w:sz w:val="21"/>
          <w:szCs w:val="21"/>
        </w:rPr>
        <w:t>乙方如需更换配送场所、食品冷藏冷冻库，需征得甲方书面同意，否则视为乙方违约。乙方配送场所地点：</w:t>
      </w:r>
      <w:r>
        <w:rPr>
          <w:rFonts w:hint="eastAsia" w:hAnsi="宋体" w:cs="宋体"/>
          <w:color w:val="auto"/>
          <w:sz w:val="21"/>
          <w:szCs w:val="21"/>
          <w:u w:val="single"/>
        </w:rPr>
        <w:t xml:space="preserve"> </w:t>
      </w:r>
      <w:r>
        <w:rPr>
          <w:rFonts w:hAnsi="宋体" w:cs="宋体"/>
          <w:color w:val="auto"/>
          <w:sz w:val="21"/>
          <w:szCs w:val="21"/>
          <w:u w:val="single"/>
        </w:rPr>
        <w:t xml:space="preserve">    </w:t>
      </w:r>
      <w:r>
        <w:rPr>
          <w:rFonts w:hint="eastAsia" w:hAnsi="宋体" w:cs="宋体"/>
          <w:color w:val="auto"/>
          <w:sz w:val="21"/>
          <w:szCs w:val="21"/>
        </w:rPr>
        <w:t>，面积：</w:t>
      </w:r>
      <w:r>
        <w:rPr>
          <w:rFonts w:hint="eastAsia" w:hAnsi="宋体" w:cs="宋体"/>
          <w:color w:val="auto"/>
          <w:sz w:val="21"/>
          <w:szCs w:val="21"/>
          <w:u w:val="single"/>
        </w:rPr>
        <w:t xml:space="preserve"> </w:t>
      </w:r>
      <w:r>
        <w:rPr>
          <w:rFonts w:hAnsi="宋体" w:cs="宋体"/>
          <w:color w:val="auto"/>
          <w:sz w:val="21"/>
          <w:szCs w:val="21"/>
          <w:u w:val="single"/>
        </w:rPr>
        <w:t xml:space="preserve">    </w:t>
      </w:r>
      <w:r>
        <w:rPr>
          <w:rFonts w:hint="eastAsia" w:hAnsi="宋体" w:cs="宋体"/>
          <w:color w:val="auto"/>
          <w:sz w:val="21"/>
          <w:szCs w:val="21"/>
        </w:rPr>
        <w:t>平方米；食品冷藏冷冻库地点：</w:t>
      </w:r>
      <w:r>
        <w:rPr>
          <w:rFonts w:hint="eastAsia" w:hAnsi="宋体" w:cs="宋体"/>
          <w:color w:val="auto"/>
          <w:sz w:val="21"/>
          <w:szCs w:val="21"/>
          <w:u w:val="single"/>
        </w:rPr>
        <w:t xml:space="preserve"> </w:t>
      </w:r>
      <w:r>
        <w:rPr>
          <w:rFonts w:hAnsi="宋体" w:cs="宋体"/>
          <w:color w:val="auto"/>
          <w:sz w:val="21"/>
          <w:szCs w:val="21"/>
          <w:u w:val="single"/>
        </w:rPr>
        <w:t xml:space="preserve">    </w:t>
      </w:r>
      <w:r>
        <w:rPr>
          <w:rFonts w:hint="eastAsia" w:hAnsi="宋体" w:cs="宋体"/>
          <w:color w:val="auto"/>
          <w:sz w:val="21"/>
          <w:szCs w:val="21"/>
        </w:rPr>
        <w:t>，面积：</w:t>
      </w:r>
      <w:r>
        <w:rPr>
          <w:rFonts w:hint="eastAsia" w:hAnsi="宋体" w:cs="宋体"/>
          <w:color w:val="auto"/>
          <w:sz w:val="21"/>
          <w:szCs w:val="21"/>
          <w:u w:val="single"/>
        </w:rPr>
        <w:t xml:space="preserve"> </w:t>
      </w:r>
      <w:r>
        <w:rPr>
          <w:rFonts w:hAnsi="宋体" w:cs="宋体"/>
          <w:color w:val="auto"/>
          <w:sz w:val="21"/>
          <w:szCs w:val="21"/>
          <w:u w:val="single"/>
        </w:rPr>
        <w:t xml:space="preserve">    </w:t>
      </w:r>
      <w:r>
        <w:rPr>
          <w:rFonts w:hint="eastAsia" w:hAnsi="宋体" w:cs="宋体"/>
          <w:color w:val="auto"/>
          <w:sz w:val="21"/>
          <w:szCs w:val="21"/>
        </w:rPr>
        <w:t>平方米。</w:t>
      </w:r>
    </w:p>
    <w:p>
      <w:pPr>
        <w:autoSpaceDE/>
        <w:autoSpaceDN/>
        <w:spacing w:line="360" w:lineRule="auto"/>
        <w:ind w:firstLine="422" w:firstLineChars="200"/>
        <w:rPr>
          <w:rFonts w:hAnsi="宋体" w:cs="宋体"/>
          <w:b/>
          <w:bCs/>
          <w:color w:val="auto"/>
          <w:sz w:val="21"/>
          <w:szCs w:val="21"/>
        </w:rPr>
      </w:pPr>
      <w:r>
        <w:rPr>
          <w:rFonts w:hint="eastAsia" w:hAnsi="宋体" w:cs="宋体"/>
          <w:b/>
          <w:bCs/>
          <w:color w:val="auto"/>
          <w:sz w:val="21"/>
          <w:szCs w:val="21"/>
        </w:rPr>
        <w:t>十一、保密条款</w:t>
      </w:r>
    </w:p>
    <w:p>
      <w:pPr>
        <w:spacing w:line="360" w:lineRule="auto"/>
        <w:ind w:firstLine="420" w:firstLineChars="200"/>
        <w:rPr>
          <w:rFonts w:hAnsi="宋体" w:cs="宋体"/>
          <w:color w:val="auto"/>
          <w:sz w:val="21"/>
          <w:szCs w:val="21"/>
        </w:rPr>
      </w:pPr>
      <w:r>
        <w:rPr>
          <w:rFonts w:hint="eastAsia" w:hAnsi="宋体" w:cs="宋体"/>
          <w:color w:val="auto"/>
          <w:sz w:val="21"/>
          <w:szCs w:val="21"/>
        </w:rPr>
        <w:t>甲乙双方保证对在履行本合同过程中所获悉的属于对方的商业秘密、技术秘密、相关资料所记载的信息，以及其他经营管理信息予以保密。未经一方同意，另一方不得向任何第三方泄露。无论本合同是否生效、被撤销、变更、解除或终止，双方仍须执行本保密条款，直至相关信息被依法公开为止。</w:t>
      </w:r>
    </w:p>
    <w:p>
      <w:pPr>
        <w:autoSpaceDE/>
        <w:autoSpaceDN/>
        <w:spacing w:line="360" w:lineRule="auto"/>
        <w:ind w:firstLine="422" w:firstLineChars="200"/>
        <w:rPr>
          <w:rFonts w:hAnsi="宋体" w:cs="宋体"/>
          <w:b/>
          <w:bCs/>
          <w:color w:val="auto"/>
          <w:sz w:val="21"/>
          <w:szCs w:val="21"/>
        </w:rPr>
      </w:pPr>
      <w:r>
        <w:rPr>
          <w:rFonts w:hint="eastAsia" w:hAnsi="宋体" w:cs="宋体"/>
          <w:b/>
          <w:bCs/>
          <w:color w:val="auto"/>
          <w:sz w:val="21"/>
          <w:szCs w:val="21"/>
        </w:rPr>
        <w:t>十二、违约处理</w:t>
      </w:r>
    </w:p>
    <w:p>
      <w:pPr>
        <w:spacing w:line="360" w:lineRule="auto"/>
        <w:ind w:firstLine="420" w:firstLineChars="200"/>
        <w:rPr>
          <w:rFonts w:hAnsi="宋体" w:cs="宋体"/>
          <w:color w:val="auto"/>
          <w:sz w:val="21"/>
          <w:szCs w:val="21"/>
        </w:rPr>
      </w:pPr>
      <w:r>
        <w:rPr>
          <w:rFonts w:hint="eastAsia" w:hAnsi="宋体" w:cs="宋体"/>
          <w:color w:val="auto"/>
          <w:sz w:val="21"/>
          <w:szCs w:val="21"/>
        </w:rPr>
        <w:t>12.1如果甲方或乙方违反本合同条款，守约方可向违约方提出书面通知，违约方接到通知须在5个工作日内给予书面回复，回复内容应包含承诺的整改或补救措施内容，并立即落实执行。如果守约方向违约方发出书面通知10个工作日后，违约方不予回复或没有补救措施，守约方可以终止本合同执行，要求赔偿损失，并支付累计已结算货款的10%的违约金。</w:t>
      </w:r>
    </w:p>
    <w:p>
      <w:pPr>
        <w:spacing w:line="360" w:lineRule="auto"/>
        <w:ind w:firstLine="420" w:firstLineChars="200"/>
        <w:rPr>
          <w:rFonts w:hAnsi="宋体" w:cs="宋体"/>
          <w:color w:val="auto"/>
          <w:sz w:val="21"/>
          <w:szCs w:val="21"/>
        </w:rPr>
      </w:pPr>
      <w:r>
        <w:rPr>
          <w:rFonts w:hint="eastAsia" w:hAnsi="宋体" w:cs="宋体"/>
          <w:color w:val="auto"/>
          <w:sz w:val="21"/>
          <w:szCs w:val="21"/>
        </w:rPr>
        <w:t>12.2乙方人员进入甲方管辖区域、工作范围，必须遵守甲方有关管理规章制度，未经许可不得自行操控甲方设备、设施以及影响甲方的生产和正常工作，若造成甲方事故或经济损失，乙方须负全部法律责任或赔偿甲方经济损失，并处予扣除全部履约担保。</w:t>
      </w:r>
    </w:p>
    <w:p>
      <w:pPr>
        <w:spacing w:line="360" w:lineRule="auto"/>
        <w:ind w:firstLine="420" w:firstLineChars="200"/>
        <w:rPr>
          <w:rFonts w:hAnsi="宋体" w:cs="宋体"/>
          <w:color w:val="auto"/>
          <w:sz w:val="21"/>
          <w:szCs w:val="21"/>
        </w:rPr>
      </w:pPr>
      <w:r>
        <w:rPr>
          <w:rFonts w:hint="eastAsia" w:hAnsi="宋体" w:cs="宋体"/>
          <w:color w:val="auto"/>
          <w:sz w:val="21"/>
          <w:szCs w:val="21"/>
        </w:rPr>
        <w:t>12.3合同在有效期内，因乙方提供食品材料质量问题造成甲方人员食物中毒事故，经市（或镇街）级卫生防疫部门鉴定属乙方责任的，或虽未造成中毒事故但给甲方造成经济损失的，乙方须承担全部法律责任并赔偿甲方全部经济损失（包括直接和间接经济损失），甲方有权单方终止本合同执行，并没收乙方全部履约担保。</w:t>
      </w:r>
    </w:p>
    <w:p>
      <w:pPr>
        <w:spacing w:line="360" w:lineRule="auto"/>
        <w:ind w:firstLine="420" w:firstLineChars="200"/>
        <w:rPr>
          <w:rFonts w:hAnsi="宋体" w:cs="宋体"/>
          <w:color w:val="auto"/>
          <w:sz w:val="21"/>
          <w:szCs w:val="21"/>
        </w:rPr>
      </w:pPr>
      <w:r>
        <w:rPr>
          <w:rFonts w:hint="eastAsia" w:hAnsi="宋体" w:cs="宋体"/>
          <w:color w:val="auto"/>
          <w:sz w:val="21"/>
          <w:szCs w:val="21"/>
        </w:rPr>
        <w:t>12.4</w:t>
      </w:r>
      <w:r>
        <w:rPr>
          <w:rFonts w:hint="eastAsia" w:hAnsi="宋体" w:cs="宋体"/>
          <w:color w:val="auto"/>
          <w:sz w:val="21"/>
          <w:szCs w:val="21"/>
          <w:lang w:val="zh-CN"/>
        </w:rPr>
        <w:t>若送货时间超过合同规定30分钟以上，甲方有权要求乙方支付当天订购货款总额5%的违约金。如果超时一个小时以上，甲方</w:t>
      </w:r>
      <w:r>
        <w:rPr>
          <w:rFonts w:hint="eastAsia" w:hAnsi="宋体" w:cs="宋体"/>
          <w:color w:val="auto"/>
          <w:sz w:val="21"/>
          <w:szCs w:val="21"/>
        </w:rPr>
        <w:t>有权</w:t>
      </w:r>
      <w:r>
        <w:rPr>
          <w:rFonts w:hint="eastAsia" w:hAnsi="宋体" w:cs="宋体"/>
          <w:color w:val="auto"/>
          <w:sz w:val="21"/>
          <w:szCs w:val="21"/>
          <w:lang w:val="zh-CN"/>
        </w:rPr>
        <w:t>自行采购并拒收乙方货物</w:t>
      </w:r>
      <w:r>
        <w:rPr>
          <w:rFonts w:hint="eastAsia" w:hAnsi="宋体" w:cs="宋体"/>
          <w:color w:val="auto"/>
          <w:sz w:val="21"/>
          <w:szCs w:val="21"/>
        </w:rPr>
        <w:t>及拒绝支付当日货款</w:t>
      </w:r>
      <w:r>
        <w:rPr>
          <w:rFonts w:hint="eastAsia" w:hAnsi="宋体" w:cs="宋体"/>
          <w:color w:val="auto"/>
          <w:sz w:val="21"/>
          <w:szCs w:val="21"/>
          <w:lang w:val="zh-CN"/>
        </w:rPr>
        <w:t>，</w:t>
      </w:r>
      <w:r>
        <w:rPr>
          <w:rFonts w:hint="eastAsia" w:hAnsi="宋体" w:cs="宋体"/>
          <w:color w:val="auto"/>
          <w:sz w:val="21"/>
          <w:szCs w:val="21"/>
        </w:rPr>
        <w:t>并对乙方处1000元罚款，于当月货款中扣除。</w:t>
      </w:r>
      <w:r>
        <w:rPr>
          <w:rFonts w:hint="eastAsia" w:hAnsi="宋体" w:cs="宋体"/>
          <w:color w:val="auto"/>
          <w:sz w:val="21"/>
          <w:szCs w:val="21"/>
          <w:lang w:val="zh-CN"/>
        </w:rPr>
        <w:t>每月累计逾期送货超过</w:t>
      </w:r>
      <w:r>
        <w:rPr>
          <w:rFonts w:hint="eastAsia" w:hAnsi="宋体" w:cs="宋体"/>
          <w:color w:val="auto"/>
          <w:sz w:val="21"/>
          <w:szCs w:val="21"/>
        </w:rPr>
        <w:t>两</w:t>
      </w:r>
      <w:r>
        <w:rPr>
          <w:rFonts w:hint="eastAsia" w:hAnsi="宋体" w:cs="宋体"/>
          <w:color w:val="auto"/>
          <w:sz w:val="21"/>
          <w:szCs w:val="21"/>
          <w:lang w:val="zh-CN"/>
        </w:rPr>
        <w:t>次</w:t>
      </w:r>
      <w:r>
        <w:rPr>
          <w:rFonts w:hint="eastAsia" w:hAnsi="宋体" w:cs="宋体"/>
          <w:color w:val="auto"/>
          <w:sz w:val="21"/>
          <w:szCs w:val="21"/>
        </w:rPr>
        <w:t>或以上</w:t>
      </w:r>
      <w:r>
        <w:rPr>
          <w:rFonts w:hint="eastAsia" w:hAnsi="宋体" w:cs="宋体"/>
          <w:color w:val="auto"/>
          <w:sz w:val="21"/>
          <w:szCs w:val="21"/>
          <w:lang w:val="zh-CN"/>
        </w:rPr>
        <w:t>的，甲方有权单方解除本合同。如给甲方造成损失的，</w:t>
      </w:r>
      <w:r>
        <w:rPr>
          <w:rFonts w:hint="eastAsia" w:hAnsi="宋体" w:cs="宋体"/>
          <w:color w:val="auto"/>
          <w:sz w:val="21"/>
          <w:szCs w:val="21"/>
        </w:rPr>
        <w:t>甲方有权根据损失从履约担保中扣除和要求</w:t>
      </w:r>
      <w:r>
        <w:rPr>
          <w:rFonts w:hint="eastAsia" w:hAnsi="宋体" w:cs="宋体"/>
          <w:color w:val="auto"/>
          <w:sz w:val="21"/>
          <w:szCs w:val="21"/>
          <w:lang w:val="zh-CN"/>
        </w:rPr>
        <w:t>乙方</w:t>
      </w:r>
      <w:r>
        <w:rPr>
          <w:rFonts w:hint="eastAsia" w:hAnsi="宋体" w:cs="宋体"/>
          <w:color w:val="auto"/>
          <w:sz w:val="21"/>
          <w:szCs w:val="21"/>
        </w:rPr>
        <w:t>支付造成损失的所有费用</w:t>
      </w:r>
      <w:r>
        <w:rPr>
          <w:rFonts w:hint="eastAsia" w:hAnsi="宋体" w:cs="宋体"/>
          <w:color w:val="auto"/>
          <w:sz w:val="21"/>
          <w:szCs w:val="21"/>
          <w:lang w:val="zh-CN"/>
        </w:rPr>
        <w:t>。</w:t>
      </w:r>
    </w:p>
    <w:p>
      <w:pPr>
        <w:spacing w:line="360" w:lineRule="auto"/>
        <w:ind w:firstLine="420" w:firstLineChars="200"/>
        <w:rPr>
          <w:rFonts w:hAnsi="宋体" w:cs="宋体"/>
          <w:color w:val="auto"/>
          <w:sz w:val="21"/>
          <w:szCs w:val="21"/>
        </w:rPr>
      </w:pPr>
      <w:r>
        <w:rPr>
          <w:rFonts w:hint="eastAsia" w:hAnsi="宋体" w:cs="宋体"/>
          <w:color w:val="auto"/>
          <w:sz w:val="21"/>
          <w:szCs w:val="21"/>
        </w:rPr>
        <w:t>12.5</w:t>
      </w:r>
      <w:r>
        <w:rPr>
          <w:rFonts w:hint="eastAsia" w:hAnsi="宋体" w:cs="宋体"/>
          <w:color w:val="auto"/>
          <w:sz w:val="21"/>
          <w:szCs w:val="21"/>
          <w:lang w:val="zh-CN"/>
        </w:rPr>
        <w:t>乙方提供货品，经甲方验收，出现重量不足（重量少于100克及以上的即为重量不足）或质量不好（被拒收或要求退换货的即视为质量不好）的情况，每月累计达</w:t>
      </w:r>
      <w:r>
        <w:rPr>
          <w:rFonts w:hint="eastAsia" w:hAnsi="宋体" w:cs="宋体"/>
          <w:color w:val="auto"/>
          <w:sz w:val="21"/>
          <w:szCs w:val="21"/>
        </w:rPr>
        <w:t>两</w:t>
      </w:r>
      <w:r>
        <w:rPr>
          <w:rFonts w:hint="eastAsia" w:hAnsi="宋体" w:cs="宋体"/>
          <w:color w:val="auto"/>
          <w:sz w:val="21"/>
          <w:szCs w:val="21"/>
          <w:lang w:val="zh-CN"/>
        </w:rPr>
        <w:t>次</w:t>
      </w:r>
      <w:r>
        <w:rPr>
          <w:rFonts w:hint="eastAsia" w:hAnsi="宋体" w:cs="宋体"/>
          <w:color w:val="auto"/>
          <w:sz w:val="21"/>
          <w:szCs w:val="21"/>
        </w:rPr>
        <w:t>及</w:t>
      </w:r>
      <w:r>
        <w:rPr>
          <w:rFonts w:hint="eastAsia" w:hAnsi="宋体" w:cs="宋体"/>
          <w:color w:val="auto"/>
          <w:sz w:val="21"/>
          <w:szCs w:val="21"/>
          <w:lang w:val="zh-CN"/>
        </w:rPr>
        <w:t>以上的，甲方有权单方解除本合同，并有权要求乙方</w:t>
      </w:r>
      <w:r>
        <w:rPr>
          <w:rFonts w:hint="eastAsia" w:hAnsi="宋体" w:cs="宋体"/>
          <w:color w:val="auto"/>
          <w:sz w:val="21"/>
          <w:szCs w:val="21"/>
        </w:rPr>
        <w:t>支付当月货款10%的违约金</w:t>
      </w:r>
      <w:r>
        <w:rPr>
          <w:rFonts w:hint="eastAsia" w:hAnsi="宋体" w:cs="宋体"/>
          <w:color w:val="auto"/>
          <w:sz w:val="21"/>
          <w:szCs w:val="21"/>
          <w:lang w:val="zh-CN"/>
        </w:rPr>
        <w:t>。</w:t>
      </w:r>
      <w:r>
        <w:rPr>
          <w:rFonts w:hint="eastAsia" w:hAnsi="宋体" w:cs="宋体"/>
          <w:color w:val="auto"/>
          <w:sz w:val="21"/>
          <w:szCs w:val="21"/>
        </w:rPr>
        <w:t>若因乙方提供的食物货品质量问题，导致甲方出现食物安全问题，甲方有权单方面解除本合同，乙方应承担全部法律责任和由此给甲方造成的全部损失。</w:t>
      </w:r>
    </w:p>
    <w:p>
      <w:pPr>
        <w:spacing w:line="360" w:lineRule="auto"/>
        <w:ind w:firstLine="420" w:firstLineChars="200"/>
        <w:rPr>
          <w:rFonts w:hAnsi="宋体" w:cs="宋体"/>
          <w:color w:val="auto"/>
          <w:sz w:val="21"/>
          <w:szCs w:val="21"/>
          <w:lang w:val="zh-CN"/>
        </w:rPr>
      </w:pPr>
      <w:r>
        <w:rPr>
          <w:rFonts w:hint="eastAsia" w:hAnsi="宋体" w:cs="宋体"/>
          <w:color w:val="auto"/>
          <w:sz w:val="21"/>
          <w:szCs w:val="21"/>
        </w:rPr>
        <w:t>12.6</w:t>
      </w:r>
      <w:r>
        <w:rPr>
          <w:rFonts w:hint="eastAsia" w:hAnsi="宋体" w:cs="宋体"/>
          <w:color w:val="auto"/>
          <w:sz w:val="21"/>
          <w:szCs w:val="21"/>
          <w:lang w:val="zh-CN"/>
        </w:rPr>
        <w:t>甲方如有临时决定的加餐，需要临时增加采购的，乙方应及时全力配合，并在甲方要求的期限内送达。</w:t>
      </w:r>
    </w:p>
    <w:p>
      <w:pPr>
        <w:spacing w:line="360" w:lineRule="auto"/>
        <w:ind w:firstLine="420" w:firstLineChars="200"/>
        <w:rPr>
          <w:rFonts w:hAnsi="宋体" w:cs="宋体"/>
          <w:color w:val="auto"/>
          <w:sz w:val="21"/>
          <w:szCs w:val="21"/>
        </w:rPr>
      </w:pPr>
      <w:r>
        <w:rPr>
          <w:rFonts w:hint="eastAsia" w:hAnsi="宋体" w:cs="宋体"/>
          <w:color w:val="auto"/>
          <w:sz w:val="21"/>
          <w:szCs w:val="21"/>
        </w:rPr>
        <w:t>12.7合同在有效期内，因乙方货物、服务质量问题造成损害、侵权损失（包括但不限于甲方（含其人员）经济损失、乙方所雇佣人员及第三人人身财产损失等）、拖欠原材料供应商货款或与其所雇用员工发生劳资纠纷、上访、闹事或其他影响甲方生产经营等情况而其未及时妥善处理的，甲方有权单方终止合同执行，并没收全部履约担保，由此产生的一切法律后果及费用由乙方承担。</w:t>
      </w:r>
    </w:p>
    <w:p>
      <w:pPr>
        <w:spacing w:line="360" w:lineRule="auto"/>
        <w:ind w:firstLine="420" w:firstLineChars="200"/>
        <w:rPr>
          <w:rFonts w:hAnsi="宋体" w:cs="宋体"/>
          <w:color w:val="auto"/>
          <w:sz w:val="21"/>
          <w:szCs w:val="21"/>
        </w:rPr>
      </w:pPr>
      <w:r>
        <w:rPr>
          <w:rFonts w:hint="eastAsia" w:hAnsi="宋体" w:cs="宋体"/>
          <w:color w:val="auto"/>
          <w:sz w:val="21"/>
          <w:szCs w:val="21"/>
        </w:rPr>
        <w:t>12.8乙方应及时、足额向配送人员发放工资待遇以及其他劳动待遇等，不得无故拖欠或克扣，如乙方违反上述约定，并造成损失的，由乙方独立承担全部责任。如该行为对甲方工作造成影响的，甲方有权根据配送人员的诉求，从当月应支付的订货款中直接扣除，先行支付，如因此给甲方造成损失的，甲方有权要求乙方承担赔偿责任。情况严重的，甲方有权上报相关行政主管部门处理且有权单方解除本合同。</w:t>
      </w:r>
    </w:p>
    <w:p>
      <w:pPr>
        <w:spacing w:line="360" w:lineRule="auto"/>
        <w:ind w:firstLine="420" w:firstLineChars="200"/>
        <w:rPr>
          <w:rFonts w:hAnsi="宋体" w:cs="宋体"/>
          <w:color w:val="auto"/>
          <w:sz w:val="21"/>
          <w:szCs w:val="21"/>
        </w:rPr>
      </w:pPr>
      <w:r>
        <w:rPr>
          <w:rFonts w:hint="eastAsia" w:hAnsi="宋体" w:cs="宋体"/>
          <w:color w:val="auto"/>
          <w:sz w:val="21"/>
          <w:szCs w:val="21"/>
        </w:rPr>
        <w:t>12.9在合同履行期间，因乙方违约而产生的违约金、赔偿、罚款或其他应付费用等款项，甲方有权直接从未付货款中直接扣除或启用履约担保予以支付。</w:t>
      </w:r>
    </w:p>
    <w:p>
      <w:pPr>
        <w:spacing w:line="360" w:lineRule="auto"/>
        <w:ind w:firstLine="422" w:firstLineChars="200"/>
        <w:rPr>
          <w:rFonts w:hAnsi="宋体" w:cs="宋体"/>
          <w:b/>
          <w:bCs/>
          <w:color w:val="auto"/>
          <w:sz w:val="21"/>
          <w:szCs w:val="21"/>
        </w:rPr>
      </w:pPr>
      <w:r>
        <w:rPr>
          <w:rFonts w:hint="eastAsia" w:hAnsi="宋体" w:cs="宋体"/>
          <w:b/>
          <w:bCs/>
          <w:color w:val="auto"/>
          <w:sz w:val="21"/>
          <w:szCs w:val="21"/>
        </w:rPr>
        <w:t>十三、严禁转包或再分包</w:t>
      </w:r>
    </w:p>
    <w:p>
      <w:pPr>
        <w:spacing w:line="360" w:lineRule="auto"/>
        <w:ind w:firstLine="420" w:firstLineChars="200"/>
        <w:rPr>
          <w:rFonts w:hAnsi="宋体" w:cs="宋体"/>
          <w:color w:val="auto"/>
          <w:sz w:val="21"/>
          <w:szCs w:val="21"/>
        </w:rPr>
      </w:pPr>
      <w:r>
        <w:rPr>
          <w:rFonts w:hint="eastAsia" w:hAnsi="宋体" w:cs="宋体"/>
          <w:color w:val="auto"/>
          <w:sz w:val="21"/>
          <w:szCs w:val="21"/>
        </w:rPr>
        <w:t>乙方不得将本合同项下的食材配送服务转包或再分包给其他单位或个人。否则，甲方有权单方解除本合同并要求乙方承担当月订货款总额的20%的违约金，如因此造成甲方损失的，乙方还应予全额赔偿。</w:t>
      </w:r>
    </w:p>
    <w:p>
      <w:pPr>
        <w:autoSpaceDE/>
        <w:autoSpaceDN/>
        <w:spacing w:line="360" w:lineRule="auto"/>
        <w:ind w:firstLine="422" w:firstLineChars="200"/>
        <w:rPr>
          <w:rFonts w:hAnsi="宋体" w:cs="宋体"/>
          <w:b/>
          <w:bCs/>
          <w:color w:val="auto"/>
          <w:sz w:val="21"/>
          <w:szCs w:val="21"/>
        </w:rPr>
      </w:pPr>
      <w:r>
        <w:rPr>
          <w:rFonts w:hint="eastAsia" w:hAnsi="宋体" w:cs="宋体"/>
          <w:b/>
          <w:bCs/>
          <w:color w:val="auto"/>
          <w:sz w:val="21"/>
          <w:szCs w:val="21"/>
        </w:rPr>
        <w:t>十四、合同终止</w:t>
      </w:r>
    </w:p>
    <w:p>
      <w:pPr>
        <w:spacing w:line="360" w:lineRule="auto"/>
        <w:ind w:firstLine="420" w:firstLineChars="200"/>
        <w:rPr>
          <w:rFonts w:hAnsi="宋体" w:cs="宋体"/>
          <w:b/>
          <w:color w:val="auto"/>
          <w:sz w:val="21"/>
          <w:szCs w:val="21"/>
        </w:rPr>
      </w:pPr>
      <w:r>
        <w:rPr>
          <w:rFonts w:hint="eastAsia" w:hAnsi="宋体" w:cs="宋体"/>
          <w:color w:val="auto"/>
          <w:sz w:val="21"/>
          <w:szCs w:val="21"/>
        </w:rPr>
        <w:t>14.1本合同服务期满且双方权利义务履行完毕后终止。</w:t>
      </w:r>
    </w:p>
    <w:p>
      <w:pPr>
        <w:autoSpaceDE/>
        <w:autoSpaceDN/>
        <w:spacing w:line="360" w:lineRule="auto"/>
        <w:ind w:firstLine="420" w:firstLineChars="200"/>
        <w:rPr>
          <w:rFonts w:hAnsi="宋体" w:cs="宋体"/>
          <w:color w:val="auto"/>
          <w:sz w:val="21"/>
          <w:szCs w:val="21"/>
        </w:rPr>
      </w:pPr>
      <w:r>
        <w:rPr>
          <w:rFonts w:hint="eastAsia" w:hAnsi="宋体" w:cs="宋体"/>
          <w:color w:val="auto"/>
          <w:sz w:val="21"/>
          <w:szCs w:val="21"/>
        </w:rPr>
        <w:t>14.2在合同有效期内，若发现乙方有转包（部分转包或全部转包）或对食品供应安全构成威胁，经查证后，甲方有权单方终止本合同执行、没收履约担保和使用其它备选供货商。</w:t>
      </w:r>
    </w:p>
    <w:p>
      <w:pPr>
        <w:widowControl/>
        <w:autoSpaceDE/>
        <w:autoSpaceDN/>
        <w:spacing w:line="360" w:lineRule="auto"/>
        <w:ind w:firstLine="420" w:firstLineChars="200"/>
        <w:rPr>
          <w:rFonts w:hAnsi="宋体" w:cs="宋体"/>
          <w:color w:val="auto"/>
          <w:sz w:val="21"/>
          <w:szCs w:val="21"/>
        </w:rPr>
      </w:pPr>
      <w:r>
        <w:rPr>
          <w:rFonts w:hint="eastAsia" w:hAnsi="宋体" w:cs="宋体"/>
          <w:color w:val="auto"/>
          <w:sz w:val="21"/>
          <w:szCs w:val="21"/>
        </w:rPr>
        <w:t>14.</w:t>
      </w:r>
      <w:r>
        <w:rPr>
          <w:rFonts w:hint="eastAsia" w:hAnsi="宋体" w:cs="宋体"/>
          <w:color w:val="auto"/>
          <w:sz w:val="21"/>
          <w:szCs w:val="21"/>
          <w:lang w:val="en-US" w:eastAsia="zh-CN"/>
        </w:rPr>
        <w:t>3</w:t>
      </w:r>
      <w:r>
        <w:rPr>
          <w:rFonts w:hint="eastAsia" w:hAnsi="宋体" w:cs="宋体"/>
          <w:color w:val="auto"/>
          <w:sz w:val="21"/>
          <w:szCs w:val="21"/>
        </w:rPr>
        <w:t xml:space="preserve">甲方或乙方存在其他违反双方约定可以终止合同的情形。 </w:t>
      </w:r>
    </w:p>
    <w:p>
      <w:pPr>
        <w:autoSpaceDE/>
        <w:autoSpaceDN/>
        <w:spacing w:line="360" w:lineRule="auto"/>
        <w:ind w:firstLine="422" w:firstLineChars="200"/>
        <w:rPr>
          <w:rFonts w:hAnsi="宋体" w:cs="宋体"/>
          <w:b/>
          <w:bCs/>
          <w:color w:val="auto"/>
          <w:sz w:val="21"/>
          <w:szCs w:val="21"/>
        </w:rPr>
      </w:pPr>
      <w:r>
        <w:rPr>
          <w:rFonts w:hint="eastAsia" w:hAnsi="宋体" w:cs="宋体"/>
          <w:b/>
          <w:bCs/>
          <w:color w:val="auto"/>
          <w:sz w:val="21"/>
          <w:szCs w:val="21"/>
        </w:rPr>
        <w:t>十五、争议处理</w:t>
      </w:r>
    </w:p>
    <w:p>
      <w:pPr>
        <w:autoSpaceDE/>
        <w:autoSpaceDN/>
        <w:spacing w:line="360" w:lineRule="auto"/>
        <w:ind w:firstLine="420" w:firstLineChars="200"/>
        <w:rPr>
          <w:rFonts w:hAnsi="宋体" w:cs="宋体"/>
          <w:color w:val="auto"/>
          <w:sz w:val="21"/>
          <w:szCs w:val="21"/>
        </w:rPr>
      </w:pPr>
      <w:r>
        <w:rPr>
          <w:rFonts w:hint="eastAsia" w:hAnsi="宋体" w:cs="宋体"/>
          <w:color w:val="auto"/>
          <w:sz w:val="21"/>
          <w:szCs w:val="21"/>
        </w:rPr>
        <w:t>15.1执行本合同发生争议，当事人双方应尽力协商解决；若协商不能解决，任何一方有权向甲方所在地有管辖权的人民法院提起诉讼。</w:t>
      </w:r>
    </w:p>
    <w:p>
      <w:pPr>
        <w:spacing w:line="360" w:lineRule="auto"/>
        <w:ind w:firstLine="420" w:firstLineChars="200"/>
        <w:rPr>
          <w:rFonts w:hAnsi="宋体" w:cs="宋体"/>
          <w:color w:val="auto"/>
          <w:sz w:val="21"/>
          <w:szCs w:val="21"/>
        </w:rPr>
      </w:pPr>
      <w:r>
        <w:rPr>
          <w:rFonts w:hint="eastAsia" w:hAnsi="宋体" w:cs="宋体"/>
          <w:color w:val="auto"/>
          <w:sz w:val="21"/>
          <w:szCs w:val="21"/>
        </w:rPr>
        <w:t>15.2发生争议时，乙方应保护好已完成的食堂食材配送服务记录，除出现下列情况外，双方必须继续履行合同，保持服务的连续性。</w:t>
      </w:r>
    </w:p>
    <w:p>
      <w:pPr>
        <w:spacing w:line="360" w:lineRule="auto"/>
        <w:ind w:firstLine="420" w:firstLineChars="200"/>
        <w:rPr>
          <w:rFonts w:hAnsi="宋体" w:cs="宋体"/>
          <w:color w:val="auto"/>
          <w:sz w:val="21"/>
          <w:szCs w:val="21"/>
        </w:rPr>
      </w:pPr>
      <w:r>
        <w:rPr>
          <w:rFonts w:hint="eastAsia" w:hAnsi="宋体" w:cs="宋体"/>
          <w:color w:val="auto"/>
          <w:sz w:val="21"/>
          <w:szCs w:val="21"/>
        </w:rPr>
        <w:t>（1）合同确已无法履行；</w:t>
      </w:r>
    </w:p>
    <w:p>
      <w:pPr>
        <w:spacing w:line="360" w:lineRule="auto"/>
        <w:ind w:firstLine="420" w:firstLineChars="200"/>
        <w:rPr>
          <w:rFonts w:hAnsi="宋体" w:cs="宋体"/>
          <w:color w:val="auto"/>
          <w:sz w:val="21"/>
          <w:szCs w:val="21"/>
        </w:rPr>
      </w:pPr>
      <w:r>
        <w:rPr>
          <w:rFonts w:hint="eastAsia" w:hAnsi="宋体" w:cs="宋体"/>
          <w:color w:val="auto"/>
          <w:sz w:val="21"/>
          <w:szCs w:val="21"/>
        </w:rPr>
        <w:t>（2）双方协议停止服务；</w:t>
      </w:r>
    </w:p>
    <w:p>
      <w:pPr>
        <w:spacing w:line="360" w:lineRule="auto"/>
        <w:ind w:firstLine="420" w:firstLineChars="200"/>
        <w:rPr>
          <w:rFonts w:hAnsi="宋体" w:cs="宋体"/>
          <w:color w:val="auto"/>
          <w:sz w:val="21"/>
          <w:szCs w:val="21"/>
        </w:rPr>
      </w:pPr>
      <w:r>
        <w:rPr>
          <w:rFonts w:hint="eastAsia" w:hAnsi="宋体" w:cs="宋体"/>
          <w:color w:val="auto"/>
          <w:sz w:val="21"/>
          <w:szCs w:val="21"/>
        </w:rPr>
        <w:t>（3）调解要求停止服务，且双方接受；</w:t>
      </w:r>
    </w:p>
    <w:p>
      <w:pPr>
        <w:spacing w:line="360" w:lineRule="auto"/>
        <w:ind w:firstLine="420" w:firstLineChars="200"/>
        <w:rPr>
          <w:rFonts w:hAnsi="宋体" w:cs="宋体"/>
          <w:color w:val="auto"/>
          <w:sz w:val="21"/>
          <w:szCs w:val="21"/>
        </w:rPr>
      </w:pPr>
      <w:r>
        <w:rPr>
          <w:rFonts w:hint="eastAsia" w:hAnsi="宋体" w:cs="宋体"/>
          <w:color w:val="auto"/>
          <w:sz w:val="21"/>
          <w:szCs w:val="21"/>
        </w:rPr>
        <w:t>（4）法院或仲裁机关要求停止服务；</w:t>
      </w:r>
    </w:p>
    <w:p>
      <w:pPr>
        <w:spacing w:line="360" w:lineRule="auto"/>
        <w:ind w:firstLine="420" w:firstLineChars="200"/>
        <w:rPr>
          <w:rFonts w:hAnsi="宋体" w:cs="宋体"/>
          <w:color w:val="auto"/>
          <w:sz w:val="21"/>
          <w:szCs w:val="21"/>
        </w:rPr>
      </w:pPr>
      <w:r>
        <w:rPr>
          <w:rFonts w:hint="eastAsia" w:hAnsi="宋体" w:cs="宋体"/>
          <w:color w:val="auto"/>
          <w:sz w:val="21"/>
          <w:szCs w:val="21"/>
        </w:rPr>
        <w:t>（5）甲方按约定另行委托第三方提供本合同项下服务的；</w:t>
      </w:r>
    </w:p>
    <w:p>
      <w:pPr>
        <w:spacing w:line="360" w:lineRule="auto"/>
        <w:ind w:firstLine="420" w:firstLineChars="200"/>
        <w:rPr>
          <w:rFonts w:hAnsi="宋体" w:cs="宋体"/>
          <w:color w:val="auto"/>
          <w:sz w:val="21"/>
          <w:szCs w:val="21"/>
        </w:rPr>
      </w:pPr>
      <w:r>
        <w:rPr>
          <w:rFonts w:hint="eastAsia" w:hAnsi="宋体" w:cs="宋体"/>
          <w:color w:val="auto"/>
          <w:sz w:val="21"/>
          <w:szCs w:val="21"/>
        </w:rPr>
        <w:t>（6）甲方按约定单方解除或者提前终止合同。</w:t>
      </w:r>
    </w:p>
    <w:p>
      <w:pPr>
        <w:autoSpaceDE/>
        <w:autoSpaceDN/>
        <w:spacing w:line="360" w:lineRule="auto"/>
        <w:ind w:firstLine="422" w:firstLineChars="200"/>
        <w:rPr>
          <w:rFonts w:hAnsi="宋体" w:cs="宋体"/>
          <w:b/>
          <w:bCs/>
          <w:color w:val="auto"/>
          <w:sz w:val="21"/>
          <w:szCs w:val="21"/>
        </w:rPr>
      </w:pPr>
      <w:r>
        <w:rPr>
          <w:rFonts w:hint="eastAsia" w:hAnsi="宋体" w:cs="宋体"/>
          <w:b/>
          <w:bCs/>
          <w:color w:val="auto"/>
          <w:sz w:val="21"/>
          <w:szCs w:val="21"/>
        </w:rPr>
        <w:t>十六、不可抗力</w:t>
      </w:r>
    </w:p>
    <w:p>
      <w:pPr>
        <w:autoSpaceDE/>
        <w:autoSpaceDN/>
        <w:spacing w:line="360" w:lineRule="auto"/>
        <w:ind w:firstLine="420" w:firstLineChars="200"/>
        <w:rPr>
          <w:rFonts w:hAnsi="宋体" w:cs="宋体"/>
          <w:color w:val="auto"/>
          <w:sz w:val="21"/>
          <w:szCs w:val="21"/>
        </w:rPr>
      </w:pPr>
      <w:r>
        <w:rPr>
          <w:rFonts w:hint="eastAsia" w:hAnsi="宋体" w:cs="宋体"/>
          <w:color w:val="auto"/>
          <w:sz w:val="21"/>
          <w:szCs w:val="21"/>
        </w:rPr>
        <w:t>因不可抗力事件（包括但不限于：地震、水灾或其他灾难，战争或暴乱，以及其他在受影响的一方合理控制范围以外且经该方合理努力后也不能防止的类似事件；国家宏观政策调控导致资源紧张视为不可抗力）导致本合同延迟履行或未能履行，甲乙双方互不承担责任，受不可抗力影响的一方应及时向另一方反映情况，以减轻给对方造成的损失。</w:t>
      </w:r>
    </w:p>
    <w:p>
      <w:pPr>
        <w:autoSpaceDE/>
        <w:autoSpaceDN/>
        <w:spacing w:line="360" w:lineRule="auto"/>
        <w:ind w:firstLine="420" w:firstLineChars="200"/>
        <w:rPr>
          <w:rFonts w:hAnsi="宋体" w:cs="宋体"/>
          <w:color w:val="auto"/>
          <w:sz w:val="21"/>
          <w:szCs w:val="21"/>
        </w:rPr>
      </w:pPr>
      <w:r>
        <w:rPr>
          <w:rFonts w:hint="eastAsia" w:hAnsi="宋体" w:cs="宋体"/>
          <w:color w:val="auto"/>
          <w:sz w:val="21"/>
          <w:szCs w:val="21"/>
        </w:rPr>
        <w:t>不可抗力是指合同双方在订立合同时不可预见，在项目实施过程中不可避免发生并不能克服的自然灾害和社会性突发事件，如海啸、瘟疫、暴动、战争和下述情形：</w:t>
      </w:r>
    </w:p>
    <w:p>
      <w:pPr>
        <w:autoSpaceDE/>
        <w:autoSpaceDN/>
        <w:spacing w:line="360" w:lineRule="auto"/>
        <w:ind w:firstLine="420" w:firstLineChars="200"/>
        <w:rPr>
          <w:rFonts w:hAnsi="宋体" w:cs="宋体"/>
          <w:color w:val="auto"/>
          <w:sz w:val="21"/>
          <w:szCs w:val="21"/>
        </w:rPr>
      </w:pPr>
      <w:r>
        <w:rPr>
          <w:rFonts w:hint="eastAsia" w:hAnsi="宋体" w:cs="宋体"/>
          <w:color w:val="auto"/>
          <w:sz w:val="21"/>
          <w:szCs w:val="21"/>
        </w:rPr>
        <w:t>（1）6级以上的地震；</w:t>
      </w:r>
    </w:p>
    <w:p>
      <w:pPr>
        <w:autoSpaceDE/>
        <w:autoSpaceDN/>
        <w:spacing w:line="360" w:lineRule="auto"/>
        <w:ind w:firstLine="420" w:firstLineChars="200"/>
        <w:rPr>
          <w:rFonts w:hAnsi="宋体" w:cs="宋体"/>
          <w:color w:val="auto"/>
          <w:sz w:val="21"/>
          <w:szCs w:val="21"/>
        </w:rPr>
      </w:pPr>
      <w:r>
        <w:rPr>
          <w:rFonts w:hint="eastAsia" w:hAnsi="宋体" w:cs="宋体"/>
          <w:color w:val="auto"/>
          <w:sz w:val="21"/>
          <w:szCs w:val="21"/>
        </w:rPr>
        <w:t>（2）8级以上的持续2天的台风；</w:t>
      </w:r>
    </w:p>
    <w:p>
      <w:pPr>
        <w:autoSpaceDE/>
        <w:autoSpaceDN/>
        <w:spacing w:line="360" w:lineRule="auto"/>
        <w:ind w:firstLine="420" w:firstLineChars="200"/>
        <w:rPr>
          <w:rFonts w:hAnsi="宋体" w:cs="宋体"/>
          <w:color w:val="auto"/>
          <w:sz w:val="21"/>
          <w:szCs w:val="21"/>
        </w:rPr>
      </w:pPr>
      <w:r>
        <w:rPr>
          <w:rFonts w:hint="eastAsia" w:hAnsi="宋体" w:cs="宋体"/>
          <w:color w:val="auto"/>
          <w:sz w:val="21"/>
          <w:szCs w:val="21"/>
        </w:rPr>
        <w:t>（3）250mm以上的持续24小时的大雨、暴雨；</w:t>
      </w:r>
    </w:p>
    <w:p>
      <w:pPr>
        <w:autoSpaceDE/>
        <w:autoSpaceDN/>
        <w:spacing w:line="360" w:lineRule="auto"/>
        <w:ind w:firstLine="420" w:firstLineChars="200"/>
        <w:rPr>
          <w:rFonts w:hAnsi="宋体" w:cs="宋体"/>
          <w:color w:val="auto"/>
          <w:sz w:val="21"/>
          <w:szCs w:val="21"/>
        </w:rPr>
      </w:pPr>
      <w:r>
        <w:rPr>
          <w:rFonts w:hint="eastAsia" w:hAnsi="宋体" w:cs="宋体"/>
          <w:color w:val="auto"/>
          <w:sz w:val="21"/>
          <w:szCs w:val="21"/>
        </w:rPr>
        <w:t>（4）50年以上未发生过、持续2天的高温天气；</w:t>
      </w:r>
    </w:p>
    <w:p>
      <w:pPr>
        <w:autoSpaceDE/>
        <w:autoSpaceDN/>
        <w:spacing w:line="360" w:lineRule="auto"/>
        <w:ind w:firstLine="420" w:firstLineChars="200"/>
        <w:rPr>
          <w:rFonts w:hAnsi="宋体" w:cs="宋体"/>
          <w:color w:val="auto"/>
          <w:sz w:val="21"/>
          <w:szCs w:val="21"/>
        </w:rPr>
      </w:pPr>
      <w:r>
        <w:rPr>
          <w:rFonts w:hint="eastAsia" w:hAnsi="宋体" w:cs="宋体"/>
          <w:color w:val="auto"/>
          <w:sz w:val="21"/>
          <w:szCs w:val="21"/>
        </w:rPr>
        <w:t>（5）因项目所在地政府抽象行政行为和具体行政行为导致的项目暂停、取消等，如政府决策、政策调整等原因。</w:t>
      </w:r>
    </w:p>
    <w:p>
      <w:pPr>
        <w:autoSpaceDE/>
        <w:autoSpaceDN/>
        <w:spacing w:line="360" w:lineRule="auto"/>
        <w:ind w:firstLine="422" w:firstLineChars="200"/>
        <w:rPr>
          <w:rFonts w:hAnsi="宋体" w:cs="宋体"/>
          <w:b/>
          <w:bCs/>
          <w:color w:val="auto"/>
          <w:sz w:val="21"/>
          <w:szCs w:val="21"/>
        </w:rPr>
      </w:pPr>
      <w:r>
        <w:rPr>
          <w:rFonts w:hint="eastAsia" w:hAnsi="宋体" w:cs="宋体"/>
          <w:b/>
          <w:bCs/>
          <w:color w:val="auto"/>
          <w:sz w:val="21"/>
          <w:szCs w:val="21"/>
        </w:rPr>
        <w:t>十七、需要双方明确的其他事项</w:t>
      </w:r>
    </w:p>
    <w:p>
      <w:pPr>
        <w:autoSpaceDE/>
        <w:autoSpaceDN/>
        <w:spacing w:line="360" w:lineRule="auto"/>
        <w:ind w:firstLine="420" w:firstLineChars="200"/>
        <w:rPr>
          <w:rFonts w:hAnsi="宋体" w:cs="宋体"/>
          <w:color w:val="auto"/>
          <w:sz w:val="21"/>
          <w:szCs w:val="21"/>
        </w:rPr>
      </w:pPr>
      <w:r>
        <w:rPr>
          <w:rFonts w:hint="eastAsia" w:hAnsi="宋体" w:cs="宋体"/>
          <w:color w:val="auto"/>
          <w:sz w:val="21"/>
          <w:szCs w:val="21"/>
        </w:rPr>
        <w:t>若市场供应原因，乙方无法按甲方的一些特别要求供货时，甲方有权向市场其他机构开展采购，甲方不负违约责任；乙方无权对甲方的行为提出异议。</w:t>
      </w:r>
    </w:p>
    <w:p>
      <w:pPr>
        <w:autoSpaceDE/>
        <w:autoSpaceDN/>
        <w:spacing w:line="360" w:lineRule="auto"/>
        <w:ind w:firstLine="422" w:firstLineChars="200"/>
        <w:rPr>
          <w:rFonts w:hAnsi="宋体" w:cs="宋体"/>
          <w:b/>
          <w:bCs/>
          <w:color w:val="auto"/>
          <w:sz w:val="21"/>
          <w:szCs w:val="21"/>
        </w:rPr>
      </w:pPr>
      <w:r>
        <w:rPr>
          <w:rFonts w:hint="eastAsia" w:hAnsi="宋体" w:cs="宋体"/>
          <w:b/>
          <w:bCs/>
          <w:color w:val="auto"/>
          <w:sz w:val="21"/>
          <w:szCs w:val="21"/>
        </w:rPr>
        <w:t>十八、合同生效</w:t>
      </w:r>
    </w:p>
    <w:p>
      <w:pPr>
        <w:autoSpaceDE/>
        <w:autoSpaceDN/>
        <w:spacing w:line="360" w:lineRule="auto"/>
        <w:ind w:firstLine="420" w:firstLineChars="200"/>
        <w:rPr>
          <w:rFonts w:hAnsi="宋体" w:cs="宋体"/>
          <w:color w:val="auto"/>
          <w:sz w:val="21"/>
          <w:szCs w:val="21"/>
        </w:rPr>
      </w:pPr>
      <w:r>
        <w:rPr>
          <w:rFonts w:hint="eastAsia" w:hAnsi="宋体" w:cs="宋体"/>
          <w:color w:val="auto"/>
          <w:sz w:val="21"/>
          <w:szCs w:val="21"/>
        </w:rPr>
        <w:t>18.1本合同经双方签字、盖章之日起生效。本合同一式四份，甲方两份、乙方一份、招标代理机构一份。</w:t>
      </w:r>
    </w:p>
    <w:p>
      <w:pPr>
        <w:autoSpaceDE/>
        <w:autoSpaceDN/>
        <w:spacing w:line="360" w:lineRule="auto"/>
        <w:ind w:firstLine="420" w:firstLineChars="200"/>
        <w:rPr>
          <w:rFonts w:hAnsi="宋体" w:cs="宋体"/>
          <w:color w:val="auto"/>
          <w:sz w:val="21"/>
          <w:szCs w:val="21"/>
        </w:rPr>
      </w:pPr>
      <w:r>
        <w:rPr>
          <w:rFonts w:hint="eastAsia" w:hAnsi="宋体" w:cs="宋体"/>
          <w:color w:val="auto"/>
          <w:sz w:val="21"/>
          <w:szCs w:val="21"/>
        </w:rPr>
        <w:t>18.2本合同和招标文件以及乙方的投标文件具有同等的法律和约束效力，如本合同、招标文件以及乙方的投标文件自身内容有冲突，甲乙双方同意以有利于甲方的解释为准。</w:t>
      </w:r>
    </w:p>
    <w:p>
      <w:pPr>
        <w:autoSpaceDE/>
        <w:autoSpaceDN/>
        <w:spacing w:line="360" w:lineRule="auto"/>
        <w:ind w:firstLine="422" w:firstLineChars="200"/>
        <w:rPr>
          <w:rFonts w:hAnsi="宋体" w:cs="宋体"/>
          <w:b/>
          <w:bCs/>
          <w:color w:val="auto"/>
          <w:sz w:val="21"/>
          <w:szCs w:val="21"/>
        </w:rPr>
      </w:pPr>
      <w:r>
        <w:rPr>
          <w:rFonts w:hint="eastAsia" w:hAnsi="宋体" w:cs="宋体"/>
          <w:b/>
          <w:bCs/>
          <w:color w:val="auto"/>
          <w:sz w:val="21"/>
          <w:szCs w:val="21"/>
        </w:rPr>
        <w:t>十九、附件</w:t>
      </w:r>
    </w:p>
    <w:p>
      <w:pPr>
        <w:spacing w:line="360" w:lineRule="auto"/>
        <w:ind w:firstLine="420" w:firstLineChars="200"/>
        <w:rPr>
          <w:rFonts w:hAnsi="宋体" w:cs="宋体"/>
          <w:color w:val="auto"/>
          <w:sz w:val="21"/>
          <w:szCs w:val="21"/>
        </w:rPr>
      </w:pPr>
      <w:r>
        <w:rPr>
          <w:rFonts w:hint="eastAsia" w:hAnsi="宋体" w:cs="宋体"/>
          <w:color w:val="auto"/>
          <w:sz w:val="21"/>
          <w:szCs w:val="21"/>
        </w:rPr>
        <w:t>1.饭堂就餐人员、地址</w:t>
      </w:r>
    </w:p>
    <w:p>
      <w:pPr>
        <w:spacing w:line="360" w:lineRule="auto"/>
        <w:ind w:firstLine="420" w:firstLineChars="200"/>
        <w:rPr>
          <w:rFonts w:hAnsi="宋体" w:cs="宋体"/>
          <w:color w:val="auto"/>
          <w:sz w:val="21"/>
          <w:szCs w:val="21"/>
        </w:rPr>
      </w:pPr>
      <w:r>
        <w:rPr>
          <w:rFonts w:hint="eastAsia" w:hAnsi="宋体" w:cs="宋体"/>
          <w:color w:val="auto"/>
          <w:sz w:val="21"/>
          <w:szCs w:val="21"/>
        </w:rPr>
        <w:t>2.食堂配送服务考核评分表</w:t>
      </w:r>
    </w:p>
    <w:p>
      <w:pPr>
        <w:pStyle w:val="19"/>
        <w:spacing w:line="360" w:lineRule="auto"/>
        <w:ind w:right="0" w:firstLine="420" w:firstLineChars="200"/>
        <w:jc w:val="both"/>
        <w:rPr>
          <w:rFonts w:hAnsi="宋体" w:cs="宋体"/>
          <w:b w:val="0"/>
          <w:bCs w:val="0"/>
          <w:color w:val="auto"/>
          <w:sz w:val="21"/>
          <w:szCs w:val="21"/>
          <w:lang w:val="en-US"/>
        </w:rPr>
      </w:pPr>
      <w:r>
        <w:rPr>
          <w:rFonts w:hint="eastAsia" w:hAnsi="宋体" w:cs="宋体"/>
          <w:b w:val="0"/>
          <w:bCs w:val="0"/>
          <w:color w:val="auto"/>
          <w:sz w:val="21"/>
          <w:szCs w:val="21"/>
          <w:lang w:val="en-US"/>
        </w:rPr>
        <w:t>3.食堂供应商考核登记表</w:t>
      </w:r>
    </w:p>
    <w:p>
      <w:pPr>
        <w:pStyle w:val="20"/>
        <w:ind w:firstLineChars="200"/>
        <w:rPr>
          <w:rFonts w:ascii="宋体" w:hAnsi="宋体" w:cs="宋体"/>
          <w:color w:val="auto"/>
          <w:lang w:val="en-US"/>
        </w:rPr>
      </w:pPr>
      <w:r>
        <w:rPr>
          <w:rFonts w:hint="eastAsia" w:ascii="宋体" w:hAnsi="宋体" w:cs="宋体"/>
          <w:color w:val="auto"/>
          <w:lang w:val="en-US"/>
        </w:rPr>
        <w:t>4.廉洁协议书</w:t>
      </w:r>
    </w:p>
    <w:p>
      <w:pPr>
        <w:pStyle w:val="20"/>
        <w:ind w:firstLineChars="200"/>
        <w:rPr>
          <w:rFonts w:ascii="宋体" w:hAnsi="宋体" w:cs="宋体"/>
          <w:color w:val="auto"/>
          <w:lang w:val="en-US"/>
        </w:rPr>
      </w:pPr>
      <w:r>
        <w:rPr>
          <w:rFonts w:hint="eastAsia" w:ascii="宋体" w:hAnsi="宋体" w:cs="宋体"/>
          <w:color w:val="auto"/>
          <w:lang w:val="en-US"/>
        </w:rPr>
        <w:t>5.承诺书</w:t>
      </w:r>
    </w:p>
    <w:p>
      <w:pPr>
        <w:spacing w:line="360" w:lineRule="auto"/>
        <w:ind w:firstLine="420" w:firstLineChars="200"/>
        <w:rPr>
          <w:rFonts w:hint="eastAsia" w:hAnsi="宋体" w:cs="宋体"/>
          <w:color w:val="auto"/>
          <w:sz w:val="21"/>
          <w:szCs w:val="21"/>
        </w:rPr>
      </w:pPr>
      <w:r>
        <w:rPr>
          <w:rFonts w:hint="eastAsia" w:hAnsi="宋体" w:cs="宋体"/>
          <w:color w:val="auto"/>
          <w:sz w:val="21"/>
          <w:szCs w:val="21"/>
        </w:rPr>
        <w:t>6、中标通知书、招标文件、投标文件</w:t>
      </w:r>
    </w:p>
    <w:p>
      <w:pPr>
        <w:spacing w:line="360" w:lineRule="auto"/>
        <w:ind w:firstLine="420" w:firstLineChars="200"/>
        <w:rPr>
          <w:rFonts w:hint="eastAsia" w:hAnsi="宋体" w:cs="宋体"/>
          <w:color w:val="auto"/>
          <w:sz w:val="21"/>
          <w:szCs w:val="21"/>
        </w:rPr>
      </w:pPr>
      <w:r>
        <w:rPr>
          <w:rFonts w:hint="eastAsia" w:hAnsi="宋体" w:cs="宋体"/>
          <w:color w:val="auto"/>
          <w:sz w:val="21"/>
          <w:szCs w:val="21"/>
        </w:rPr>
        <w:t>7、履约担保</w:t>
      </w:r>
    </w:p>
    <w:p>
      <w:pPr>
        <w:spacing w:line="360" w:lineRule="auto"/>
        <w:ind w:firstLine="420" w:firstLineChars="200"/>
        <w:rPr>
          <w:rFonts w:hAnsi="宋体" w:cs="宋体"/>
          <w:color w:val="auto"/>
          <w:sz w:val="21"/>
          <w:szCs w:val="21"/>
        </w:rPr>
      </w:pPr>
      <w:r>
        <w:rPr>
          <w:rFonts w:hint="eastAsia" w:hAnsi="宋体" w:cs="宋体"/>
          <w:color w:val="auto"/>
          <w:sz w:val="21"/>
          <w:szCs w:val="21"/>
        </w:rPr>
        <w:t>（以下无正文）</w:t>
      </w:r>
    </w:p>
    <w:p>
      <w:pPr>
        <w:pStyle w:val="20"/>
        <w:ind w:firstLineChars="200"/>
        <w:rPr>
          <w:rFonts w:ascii="宋体" w:hAnsi="宋体" w:cs="宋体"/>
          <w:color w:val="auto"/>
          <w:lang w:val="en-US"/>
        </w:rPr>
      </w:pPr>
    </w:p>
    <w:p>
      <w:pPr>
        <w:autoSpaceDE/>
        <w:autoSpaceDN/>
        <w:spacing w:line="520" w:lineRule="exact"/>
        <w:ind w:firstLine="640" w:firstLineChars="200"/>
        <w:rPr>
          <w:rFonts w:hAnsi="宋体" w:cs="宋体"/>
          <w:color w:val="auto"/>
          <w:sz w:val="32"/>
          <w:szCs w:val="32"/>
        </w:rPr>
      </w:pPr>
    </w:p>
    <w:p>
      <w:pPr>
        <w:autoSpaceDE/>
        <w:autoSpaceDN/>
        <w:spacing w:line="360" w:lineRule="auto"/>
        <w:rPr>
          <w:rFonts w:hAnsi="宋体" w:cs="宋体"/>
          <w:color w:val="auto"/>
          <w:sz w:val="32"/>
          <w:szCs w:val="32"/>
        </w:rPr>
      </w:pPr>
    </w:p>
    <w:tbl>
      <w:tblPr>
        <w:tblStyle w:val="48"/>
        <w:tblW w:w="9344" w:type="dxa"/>
        <w:tblInd w:w="0" w:type="dxa"/>
        <w:tblLayout w:type="fixed"/>
        <w:tblCellMar>
          <w:top w:w="15" w:type="dxa"/>
          <w:left w:w="15" w:type="dxa"/>
          <w:bottom w:w="15" w:type="dxa"/>
          <w:right w:w="15" w:type="dxa"/>
        </w:tblCellMar>
      </w:tblPr>
      <w:tblGrid>
        <w:gridCol w:w="4919"/>
        <w:gridCol w:w="4425"/>
      </w:tblGrid>
      <w:tr>
        <w:tblPrEx>
          <w:tblCellMar>
            <w:top w:w="15" w:type="dxa"/>
            <w:left w:w="15" w:type="dxa"/>
            <w:bottom w:w="15" w:type="dxa"/>
            <w:right w:w="15" w:type="dxa"/>
          </w:tblCellMar>
        </w:tblPrEx>
        <w:trPr>
          <w:trHeight w:val="540" w:hRule="atLeast"/>
        </w:trPr>
        <w:tc>
          <w:tcPr>
            <w:tcW w:w="4919" w:type="dxa"/>
            <w:vAlign w:val="center"/>
          </w:tcPr>
          <w:p>
            <w:pPr>
              <w:autoSpaceDE/>
              <w:autoSpaceDN/>
              <w:spacing w:line="360" w:lineRule="auto"/>
              <w:rPr>
                <w:rFonts w:hAnsi="宋体" w:cs="宋体"/>
                <w:color w:val="auto"/>
                <w:sz w:val="21"/>
                <w:szCs w:val="21"/>
              </w:rPr>
            </w:pPr>
            <w:r>
              <w:rPr>
                <w:rFonts w:hint="eastAsia" w:hAnsi="宋体" w:cs="宋体"/>
                <w:color w:val="auto"/>
                <w:sz w:val="21"/>
                <w:szCs w:val="21"/>
              </w:rPr>
              <w:t>甲方（公章）：</w:t>
            </w:r>
          </w:p>
        </w:tc>
        <w:tc>
          <w:tcPr>
            <w:tcW w:w="4425" w:type="dxa"/>
            <w:vAlign w:val="center"/>
          </w:tcPr>
          <w:p>
            <w:pPr>
              <w:autoSpaceDE/>
              <w:autoSpaceDN/>
              <w:spacing w:line="360" w:lineRule="auto"/>
              <w:rPr>
                <w:rFonts w:hAnsi="宋体" w:cs="宋体"/>
                <w:color w:val="auto"/>
                <w:sz w:val="21"/>
                <w:szCs w:val="21"/>
              </w:rPr>
            </w:pPr>
            <w:r>
              <w:rPr>
                <w:rFonts w:hint="eastAsia" w:hAnsi="宋体" w:cs="宋体"/>
                <w:color w:val="auto"/>
                <w:sz w:val="21"/>
                <w:szCs w:val="21"/>
              </w:rPr>
              <w:t>乙方（公章）：</w:t>
            </w:r>
          </w:p>
        </w:tc>
      </w:tr>
      <w:tr>
        <w:tblPrEx>
          <w:tblCellMar>
            <w:top w:w="15" w:type="dxa"/>
            <w:left w:w="15" w:type="dxa"/>
            <w:bottom w:w="15" w:type="dxa"/>
            <w:right w:w="15" w:type="dxa"/>
          </w:tblCellMar>
        </w:tblPrEx>
        <w:trPr>
          <w:trHeight w:val="540" w:hRule="atLeast"/>
        </w:trPr>
        <w:tc>
          <w:tcPr>
            <w:tcW w:w="4919" w:type="dxa"/>
            <w:vAlign w:val="center"/>
          </w:tcPr>
          <w:p>
            <w:pPr>
              <w:autoSpaceDE/>
              <w:autoSpaceDN/>
              <w:spacing w:line="360" w:lineRule="auto"/>
              <w:ind w:firstLine="422" w:firstLineChars="201"/>
              <w:rPr>
                <w:rFonts w:hAnsi="宋体" w:cs="宋体"/>
                <w:color w:val="auto"/>
                <w:sz w:val="21"/>
                <w:szCs w:val="21"/>
              </w:rPr>
            </w:pPr>
          </w:p>
        </w:tc>
        <w:tc>
          <w:tcPr>
            <w:tcW w:w="4425" w:type="dxa"/>
            <w:vAlign w:val="center"/>
          </w:tcPr>
          <w:p>
            <w:pPr>
              <w:autoSpaceDE/>
              <w:autoSpaceDN/>
              <w:spacing w:line="360" w:lineRule="auto"/>
              <w:ind w:firstLine="422" w:firstLineChars="201"/>
              <w:rPr>
                <w:rFonts w:hAnsi="宋体" w:cs="宋体"/>
                <w:color w:val="auto"/>
                <w:sz w:val="21"/>
                <w:szCs w:val="21"/>
              </w:rPr>
            </w:pPr>
          </w:p>
        </w:tc>
      </w:tr>
      <w:tr>
        <w:tblPrEx>
          <w:tblCellMar>
            <w:top w:w="15" w:type="dxa"/>
            <w:left w:w="15" w:type="dxa"/>
            <w:bottom w:w="15" w:type="dxa"/>
            <w:right w:w="15" w:type="dxa"/>
          </w:tblCellMar>
        </w:tblPrEx>
        <w:trPr>
          <w:trHeight w:val="540" w:hRule="atLeast"/>
        </w:trPr>
        <w:tc>
          <w:tcPr>
            <w:tcW w:w="4919" w:type="dxa"/>
            <w:vAlign w:val="center"/>
          </w:tcPr>
          <w:p>
            <w:pPr>
              <w:autoSpaceDE/>
              <w:autoSpaceDN/>
              <w:spacing w:line="360" w:lineRule="auto"/>
              <w:rPr>
                <w:rFonts w:hAnsi="宋体" w:cs="宋体"/>
                <w:color w:val="auto"/>
                <w:sz w:val="21"/>
                <w:szCs w:val="21"/>
              </w:rPr>
            </w:pPr>
            <w:r>
              <w:rPr>
                <w:rFonts w:hint="eastAsia" w:hAnsi="宋体" w:cs="宋体"/>
                <w:color w:val="auto"/>
                <w:sz w:val="21"/>
                <w:szCs w:val="21"/>
              </w:rPr>
              <w:t>法定代表人或</w:t>
            </w:r>
          </w:p>
        </w:tc>
        <w:tc>
          <w:tcPr>
            <w:tcW w:w="4425" w:type="dxa"/>
            <w:vAlign w:val="center"/>
          </w:tcPr>
          <w:p>
            <w:pPr>
              <w:autoSpaceDE/>
              <w:autoSpaceDN/>
              <w:spacing w:line="360" w:lineRule="auto"/>
              <w:rPr>
                <w:rFonts w:hAnsi="宋体" w:cs="宋体"/>
                <w:color w:val="auto"/>
                <w:sz w:val="21"/>
                <w:szCs w:val="21"/>
              </w:rPr>
            </w:pPr>
            <w:r>
              <w:rPr>
                <w:rFonts w:hint="eastAsia" w:hAnsi="宋体" w:cs="宋体"/>
                <w:color w:val="auto"/>
                <w:sz w:val="21"/>
                <w:szCs w:val="21"/>
              </w:rPr>
              <w:t>法定代表人或</w:t>
            </w:r>
          </w:p>
        </w:tc>
      </w:tr>
      <w:tr>
        <w:tblPrEx>
          <w:tblCellMar>
            <w:top w:w="15" w:type="dxa"/>
            <w:left w:w="15" w:type="dxa"/>
            <w:bottom w:w="15" w:type="dxa"/>
            <w:right w:w="15" w:type="dxa"/>
          </w:tblCellMar>
        </w:tblPrEx>
        <w:trPr>
          <w:trHeight w:val="540" w:hRule="atLeast"/>
        </w:trPr>
        <w:tc>
          <w:tcPr>
            <w:tcW w:w="4919" w:type="dxa"/>
            <w:vAlign w:val="center"/>
          </w:tcPr>
          <w:p>
            <w:pPr>
              <w:autoSpaceDE/>
              <w:autoSpaceDN/>
              <w:spacing w:line="360" w:lineRule="auto"/>
              <w:rPr>
                <w:rFonts w:hAnsi="宋体" w:cs="宋体"/>
                <w:color w:val="auto"/>
                <w:sz w:val="21"/>
                <w:szCs w:val="21"/>
              </w:rPr>
            </w:pPr>
            <w:r>
              <w:rPr>
                <w:rFonts w:hint="eastAsia" w:hAnsi="宋体" w:cs="宋体"/>
                <w:color w:val="auto"/>
                <w:sz w:val="21"/>
                <w:szCs w:val="21"/>
              </w:rPr>
              <w:t>授权代表（签字）：</w:t>
            </w:r>
          </w:p>
        </w:tc>
        <w:tc>
          <w:tcPr>
            <w:tcW w:w="4425" w:type="dxa"/>
            <w:vAlign w:val="center"/>
          </w:tcPr>
          <w:p>
            <w:pPr>
              <w:autoSpaceDE/>
              <w:autoSpaceDN/>
              <w:spacing w:line="360" w:lineRule="auto"/>
              <w:rPr>
                <w:rFonts w:hAnsi="宋体" w:cs="宋体"/>
                <w:color w:val="auto"/>
                <w:sz w:val="21"/>
                <w:szCs w:val="21"/>
              </w:rPr>
            </w:pPr>
            <w:r>
              <w:rPr>
                <w:rFonts w:hint="eastAsia" w:hAnsi="宋体" w:cs="宋体"/>
                <w:color w:val="auto"/>
                <w:sz w:val="21"/>
                <w:szCs w:val="21"/>
              </w:rPr>
              <w:t>授权代表（签字）：</w:t>
            </w:r>
          </w:p>
        </w:tc>
      </w:tr>
      <w:tr>
        <w:tblPrEx>
          <w:tblCellMar>
            <w:top w:w="15" w:type="dxa"/>
            <w:left w:w="15" w:type="dxa"/>
            <w:bottom w:w="15" w:type="dxa"/>
            <w:right w:w="15" w:type="dxa"/>
          </w:tblCellMar>
        </w:tblPrEx>
        <w:trPr>
          <w:trHeight w:val="540" w:hRule="atLeast"/>
        </w:trPr>
        <w:tc>
          <w:tcPr>
            <w:tcW w:w="4919" w:type="dxa"/>
          </w:tcPr>
          <w:p>
            <w:pPr>
              <w:spacing w:line="360" w:lineRule="auto"/>
              <w:rPr>
                <w:rFonts w:hint="eastAsia" w:hAnsi="宋体" w:cs="宋体"/>
                <w:color w:val="auto"/>
                <w:sz w:val="21"/>
                <w:szCs w:val="21"/>
              </w:rPr>
            </w:pPr>
            <w:r>
              <w:rPr>
                <w:rFonts w:hint="eastAsia" w:hAnsi="宋体" w:cs="宋体"/>
                <w:color w:val="auto"/>
                <w:sz w:val="21"/>
                <w:szCs w:val="21"/>
              </w:rPr>
              <w:t>地址：</w:t>
            </w:r>
          </w:p>
        </w:tc>
        <w:tc>
          <w:tcPr>
            <w:tcW w:w="4425" w:type="dxa"/>
          </w:tcPr>
          <w:p>
            <w:pPr>
              <w:spacing w:line="360" w:lineRule="auto"/>
              <w:rPr>
                <w:rFonts w:hint="eastAsia" w:hAnsi="宋体" w:cs="宋体"/>
                <w:color w:val="auto"/>
                <w:sz w:val="21"/>
                <w:szCs w:val="21"/>
              </w:rPr>
            </w:pPr>
            <w:r>
              <w:rPr>
                <w:rFonts w:hint="eastAsia" w:hAnsi="宋体" w:cs="宋体"/>
                <w:color w:val="auto"/>
                <w:sz w:val="21"/>
                <w:szCs w:val="21"/>
              </w:rPr>
              <w:t>地址：</w:t>
            </w:r>
          </w:p>
        </w:tc>
      </w:tr>
      <w:tr>
        <w:tblPrEx>
          <w:tblCellMar>
            <w:top w:w="15" w:type="dxa"/>
            <w:left w:w="15" w:type="dxa"/>
            <w:bottom w:w="15" w:type="dxa"/>
            <w:right w:w="15" w:type="dxa"/>
          </w:tblCellMar>
        </w:tblPrEx>
        <w:trPr>
          <w:trHeight w:val="540" w:hRule="atLeast"/>
        </w:trPr>
        <w:tc>
          <w:tcPr>
            <w:tcW w:w="4919" w:type="dxa"/>
          </w:tcPr>
          <w:p>
            <w:pPr>
              <w:spacing w:line="360" w:lineRule="auto"/>
              <w:rPr>
                <w:rFonts w:hint="eastAsia" w:hAnsi="宋体" w:cs="宋体"/>
                <w:color w:val="auto"/>
                <w:sz w:val="21"/>
                <w:szCs w:val="21"/>
              </w:rPr>
            </w:pPr>
            <w:r>
              <w:rPr>
                <w:rFonts w:hint="eastAsia" w:hAnsi="宋体" w:cs="宋体"/>
                <w:color w:val="auto"/>
                <w:sz w:val="21"/>
                <w:szCs w:val="21"/>
              </w:rPr>
              <w:t>电话：</w:t>
            </w:r>
          </w:p>
        </w:tc>
        <w:tc>
          <w:tcPr>
            <w:tcW w:w="4425" w:type="dxa"/>
          </w:tcPr>
          <w:p>
            <w:pPr>
              <w:spacing w:line="360" w:lineRule="auto"/>
              <w:rPr>
                <w:rFonts w:hint="eastAsia" w:hAnsi="宋体" w:cs="宋体"/>
                <w:color w:val="auto"/>
                <w:sz w:val="21"/>
                <w:szCs w:val="21"/>
              </w:rPr>
            </w:pPr>
            <w:r>
              <w:rPr>
                <w:rFonts w:hint="eastAsia" w:hAnsi="宋体" w:cs="宋体"/>
                <w:color w:val="auto"/>
                <w:sz w:val="21"/>
                <w:szCs w:val="21"/>
              </w:rPr>
              <w:t>电话：</w:t>
            </w:r>
          </w:p>
        </w:tc>
      </w:tr>
      <w:tr>
        <w:tblPrEx>
          <w:tblCellMar>
            <w:top w:w="15" w:type="dxa"/>
            <w:left w:w="15" w:type="dxa"/>
            <w:bottom w:w="15" w:type="dxa"/>
            <w:right w:w="15" w:type="dxa"/>
          </w:tblCellMar>
        </w:tblPrEx>
        <w:trPr>
          <w:trHeight w:val="540" w:hRule="atLeast"/>
        </w:trPr>
        <w:tc>
          <w:tcPr>
            <w:tcW w:w="4919" w:type="dxa"/>
          </w:tcPr>
          <w:p>
            <w:pPr>
              <w:spacing w:line="360" w:lineRule="auto"/>
              <w:rPr>
                <w:rFonts w:hint="eastAsia" w:hAnsi="宋体" w:cs="宋体"/>
                <w:color w:val="auto"/>
                <w:sz w:val="21"/>
                <w:szCs w:val="21"/>
              </w:rPr>
            </w:pPr>
            <w:r>
              <w:rPr>
                <w:rFonts w:hint="eastAsia" w:hAnsi="宋体" w:cs="宋体"/>
                <w:color w:val="auto"/>
                <w:sz w:val="21"/>
                <w:szCs w:val="21"/>
              </w:rPr>
              <w:t>传真：</w:t>
            </w:r>
          </w:p>
        </w:tc>
        <w:tc>
          <w:tcPr>
            <w:tcW w:w="4425" w:type="dxa"/>
          </w:tcPr>
          <w:p>
            <w:pPr>
              <w:spacing w:line="360" w:lineRule="auto"/>
              <w:rPr>
                <w:rFonts w:hint="eastAsia" w:hAnsi="宋体" w:cs="宋体"/>
                <w:color w:val="auto"/>
                <w:sz w:val="21"/>
                <w:szCs w:val="21"/>
              </w:rPr>
            </w:pPr>
            <w:r>
              <w:rPr>
                <w:rFonts w:hint="eastAsia" w:hAnsi="宋体" w:cs="宋体"/>
                <w:color w:val="auto"/>
                <w:sz w:val="21"/>
                <w:szCs w:val="21"/>
              </w:rPr>
              <w:t>传真：</w:t>
            </w:r>
          </w:p>
        </w:tc>
      </w:tr>
      <w:tr>
        <w:tblPrEx>
          <w:tblCellMar>
            <w:top w:w="15" w:type="dxa"/>
            <w:left w:w="15" w:type="dxa"/>
            <w:bottom w:w="15" w:type="dxa"/>
            <w:right w:w="15" w:type="dxa"/>
          </w:tblCellMar>
        </w:tblPrEx>
        <w:trPr>
          <w:trHeight w:val="540" w:hRule="atLeast"/>
        </w:trPr>
        <w:tc>
          <w:tcPr>
            <w:tcW w:w="4919" w:type="dxa"/>
          </w:tcPr>
          <w:p>
            <w:pPr>
              <w:spacing w:line="360" w:lineRule="auto"/>
              <w:rPr>
                <w:rFonts w:hint="eastAsia" w:hAnsi="宋体" w:cs="宋体"/>
                <w:color w:val="auto"/>
                <w:sz w:val="21"/>
                <w:szCs w:val="21"/>
              </w:rPr>
            </w:pPr>
            <w:r>
              <w:rPr>
                <w:rFonts w:hint="eastAsia" w:hAnsi="宋体" w:cs="宋体"/>
                <w:color w:val="auto"/>
                <w:sz w:val="21"/>
                <w:szCs w:val="21"/>
              </w:rPr>
              <w:t>电子信箱：</w:t>
            </w:r>
          </w:p>
        </w:tc>
        <w:tc>
          <w:tcPr>
            <w:tcW w:w="4425" w:type="dxa"/>
          </w:tcPr>
          <w:p>
            <w:pPr>
              <w:spacing w:line="360" w:lineRule="auto"/>
              <w:rPr>
                <w:rFonts w:hint="eastAsia" w:hAnsi="宋体" w:cs="宋体"/>
                <w:color w:val="auto"/>
                <w:sz w:val="21"/>
                <w:szCs w:val="21"/>
              </w:rPr>
            </w:pPr>
            <w:r>
              <w:rPr>
                <w:rFonts w:hint="eastAsia" w:hAnsi="宋体" w:cs="宋体"/>
                <w:color w:val="auto"/>
                <w:sz w:val="21"/>
                <w:szCs w:val="21"/>
              </w:rPr>
              <w:t>电子信箱：</w:t>
            </w:r>
          </w:p>
        </w:tc>
      </w:tr>
      <w:tr>
        <w:tblPrEx>
          <w:tblCellMar>
            <w:top w:w="15" w:type="dxa"/>
            <w:left w:w="15" w:type="dxa"/>
            <w:bottom w:w="15" w:type="dxa"/>
            <w:right w:w="15" w:type="dxa"/>
          </w:tblCellMar>
        </w:tblPrEx>
        <w:trPr>
          <w:trHeight w:val="540" w:hRule="atLeast"/>
        </w:trPr>
        <w:tc>
          <w:tcPr>
            <w:tcW w:w="4919" w:type="dxa"/>
          </w:tcPr>
          <w:p>
            <w:pPr>
              <w:spacing w:line="360" w:lineRule="auto"/>
              <w:rPr>
                <w:rFonts w:hint="eastAsia" w:hAnsi="宋体" w:cs="宋体"/>
                <w:color w:val="auto"/>
                <w:sz w:val="21"/>
                <w:szCs w:val="21"/>
              </w:rPr>
            </w:pPr>
            <w:r>
              <w:rPr>
                <w:rFonts w:hint="eastAsia" w:hAnsi="宋体" w:cs="宋体"/>
                <w:color w:val="auto"/>
                <w:sz w:val="21"/>
                <w:szCs w:val="21"/>
              </w:rPr>
              <w:t>开户银行：</w:t>
            </w:r>
          </w:p>
        </w:tc>
        <w:tc>
          <w:tcPr>
            <w:tcW w:w="4425" w:type="dxa"/>
          </w:tcPr>
          <w:p>
            <w:pPr>
              <w:spacing w:line="360" w:lineRule="auto"/>
              <w:rPr>
                <w:rFonts w:hint="eastAsia" w:hAnsi="宋体" w:cs="宋体"/>
                <w:color w:val="auto"/>
                <w:sz w:val="21"/>
                <w:szCs w:val="21"/>
              </w:rPr>
            </w:pPr>
            <w:r>
              <w:rPr>
                <w:rFonts w:hint="eastAsia" w:hAnsi="宋体" w:cs="宋体"/>
                <w:color w:val="auto"/>
                <w:sz w:val="21"/>
                <w:szCs w:val="21"/>
              </w:rPr>
              <w:t>开户银行：</w:t>
            </w:r>
          </w:p>
        </w:tc>
      </w:tr>
      <w:tr>
        <w:tblPrEx>
          <w:tblCellMar>
            <w:top w:w="15" w:type="dxa"/>
            <w:left w:w="15" w:type="dxa"/>
            <w:bottom w:w="15" w:type="dxa"/>
            <w:right w:w="15" w:type="dxa"/>
          </w:tblCellMar>
        </w:tblPrEx>
        <w:trPr>
          <w:trHeight w:val="540" w:hRule="atLeast"/>
        </w:trPr>
        <w:tc>
          <w:tcPr>
            <w:tcW w:w="4919" w:type="dxa"/>
          </w:tcPr>
          <w:p>
            <w:pPr>
              <w:spacing w:line="360" w:lineRule="auto"/>
              <w:rPr>
                <w:rFonts w:hint="eastAsia" w:hAnsi="宋体" w:cs="宋体"/>
                <w:color w:val="auto"/>
                <w:sz w:val="21"/>
                <w:szCs w:val="21"/>
              </w:rPr>
            </w:pPr>
            <w:r>
              <w:rPr>
                <w:rFonts w:hint="eastAsia" w:hAnsi="宋体" w:cs="宋体"/>
                <w:color w:val="auto"/>
                <w:sz w:val="21"/>
                <w:szCs w:val="21"/>
              </w:rPr>
              <w:t>银行账户：</w:t>
            </w:r>
          </w:p>
        </w:tc>
        <w:tc>
          <w:tcPr>
            <w:tcW w:w="4425" w:type="dxa"/>
          </w:tcPr>
          <w:p>
            <w:pPr>
              <w:spacing w:line="360" w:lineRule="auto"/>
              <w:rPr>
                <w:rFonts w:hint="eastAsia" w:hAnsi="宋体" w:cs="宋体"/>
                <w:color w:val="auto"/>
                <w:sz w:val="21"/>
                <w:szCs w:val="21"/>
              </w:rPr>
            </w:pPr>
            <w:r>
              <w:rPr>
                <w:rFonts w:hint="eastAsia" w:hAnsi="宋体" w:cs="宋体"/>
                <w:color w:val="auto"/>
                <w:sz w:val="21"/>
                <w:szCs w:val="21"/>
              </w:rPr>
              <w:t>银行账户：</w:t>
            </w:r>
          </w:p>
        </w:tc>
      </w:tr>
      <w:tr>
        <w:tblPrEx>
          <w:tblCellMar>
            <w:top w:w="15" w:type="dxa"/>
            <w:left w:w="15" w:type="dxa"/>
            <w:bottom w:w="15" w:type="dxa"/>
            <w:right w:w="15" w:type="dxa"/>
          </w:tblCellMar>
        </w:tblPrEx>
        <w:trPr>
          <w:trHeight w:val="540" w:hRule="atLeast"/>
        </w:trPr>
        <w:tc>
          <w:tcPr>
            <w:tcW w:w="4919" w:type="dxa"/>
          </w:tcPr>
          <w:p>
            <w:pPr>
              <w:spacing w:line="360" w:lineRule="auto"/>
              <w:rPr>
                <w:rFonts w:hint="eastAsia" w:hAnsi="宋体" w:cs="宋体"/>
                <w:color w:val="auto"/>
                <w:sz w:val="21"/>
                <w:szCs w:val="21"/>
              </w:rPr>
            </w:pPr>
            <w:r>
              <w:rPr>
                <w:rFonts w:hint="eastAsia" w:hAnsi="宋体" w:cs="宋体"/>
                <w:color w:val="auto"/>
                <w:sz w:val="21"/>
                <w:szCs w:val="21"/>
              </w:rPr>
              <w:t>订立地点：</w:t>
            </w:r>
          </w:p>
        </w:tc>
        <w:tc>
          <w:tcPr>
            <w:tcW w:w="4425" w:type="dxa"/>
          </w:tcPr>
          <w:p>
            <w:pPr>
              <w:autoSpaceDE/>
              <w:autoSpaceDN/>
              <w:spacing w:line="360" w:lineRule="auto"/>
              <w:rPr>
                <w:rFonts w:hAnsi="宋体" w:cs="宋体"/>
                <w:color w:val="auto"/>
                <w:sz w:val="21"/>
                <w:szCs w:val="21"/>
              </w:rPr>
            </w:pPr>
          </w:p>
        </w:tc>
      </w:tr>
      <w:tr>
        <w:tblPrEx>
          <w:tblCellMar>
            <w:top w:w="15" w:type="dxa"/>
            <w:left w:w="15" w:type="dxa"/>
            <w:bottom w:w="15" w:type="dxa"/>
            <w:right w:w="15" w:type="dxa"/>
          </w:tblCellMar>
        </w:tblPrEx>
        <w:trPr>
          <w:trHeight w:val="540" w:hRule="atLeast"/>
        </w:trPr>
        <w:tc>
          <w:tcPr>
            <w:tcW w:w="4919" w:type="dxa"/>
          </w:tcPr>
          <w:p>
            <w:pPr>
              <w:spacing w:line="360" w:lineRule="auto"/>
              <w:rPr>
                <w:rFonts w:hint="eastAsia" w:hAnsi="宋体" w:cs="宋体"/>
                <w:color w:val="auto"/>
                <w:sz w:val="21"/>
                <w:szCs w:val="21"/>
              </w:rPr>
            </w:pPr>
            <w:r>
              <w:rPr>
                <w:rFonts w:hint="eastAsia" w:hAnsi="宋体" w:cs="宋体"/>
                <w:color w:val="auto"/>
                <w:sz w:val="21"/>
                <w:szCs w:val="21"/>
              </w:rPr>
              <w:t>合同订立时间：    年   月   日</w:t>
            </w:r>
          </w:p>
        </w:tc>
        <w:tc>
          <w:tcPr>
            <w:tcW w:w="4425" w:type="dxa"/>
          </w:tcPr>
          <w:p>
            <w:pPr>
              <w:autoSpaceDE/>
              <w:autoSpaceDN/>
              <w:spacing w:line="360" w:lineRule="auto"/>
              <w:rPr>
                <w:rFonts w:hAnsi="宋体" w:cs="宋体"/>
                <w:color w:val="auto"/>
                <w:sz w:val="21"/>
                <w:szCs w:val="21"/>
              </w:rPr>
            </w:pPr>
          </w:p>
        </w:tc>
      </w:tr>
    </w:tbl>
    <w:p>
      <w:pPr>
        <w:autoSpaceDE/>
        <w:autoSpaceDN/>
        <w:spacing w:line="360" w:lineRule="auto"/>
        <w:ind w:firstLine="643" w:firstLineChars="201"/>
        <w:rPr>
          <w:rFonts w:hAnsi="宋体" w:cs="宋体"/>
          <w:color w:val="auto"/>
          <w:sz w:val="32"/>
          <w:szCs w:val="32"/>
        </w:rPr>
      </w:pPr>
    </w:p>
    <w:p>
      <w:pPr>
        <w:autoSpaceDE/>
        <w:autoSpaceDN/>
        <w:spacing w:line="360" w:lineRule="auto"/>
        <w:ind w:firstLine="643" w:firstLineChars="201"/>
        <w:rPr>
          <w:rFonts w:hAnsi="宋体" w:cs="宋体"/>
          <w:color w:val="auto"/>
          <w:sz w:val="32"/>
          <w:szCs w:val="32"/>
        </w:rPr>
      </w:pPr>
    </w:p>
    <w:p>
      <w:pPr>
        <w:autoSpaceDE/>
        <w:autoSpaceDN/>
        <w:spacing w:line="360" w:lineRule="auto"/>
        <w:ind w:firstLine="422" w:firstLineChars="201"/>
        <w:rPr>
          <w:rFonts w:hAnsi="宋体" w:cs="宋体"/>
          <w:color w:val="auto"/>
          <w:sz w:val="21"/>
          <w:szCs w:val="21"/>
        </w:rPr>
      </w:pPr>
    </w:p>
    <w:p>
      <w:pPr>
        <w:widowControl/>
        <w:snapToGrid w:val="0"/>
        <w:spacing w:line="360" w:lineRule="auto"/>
        <w:contextualSpacing/>
        <w:rPr>
          <w:rFonts w:hAnsi="宋体" w:cs="宋体"/>
          <w:b/>
          <w:bCs/>
          <w:color w:val="auto"/>
          <w:sz w:val="21"/>
          <w:szCs w:val="21"/>
        </w:rPr>
      </w:pPr>
      <w:r>
        <w:rPr>
          <w:rFonts w:hint="eastAsia" w:hAnsi="宋体" w:cs="宋体"/>
          <w:b/>
          <w:bCs/>
          <w:color w:val="auto"/>
          <w:szCs w:val="21"/>
        </w:rPr>
        <w:br w:type="page"/>
      </w:r>
      <w:r>
        <w:rPr>
          <w:rFonts w:hint="eastAsia" w:hAnsi="宋体" w:cs="宋体"/>
          <w:b/>
          <w:bCs/>
          <w:color w:val="auto"/>
          <w:sz w:val="21"/>
          <w:szCs w:val="21"/>
        </w:rPr>
        <w:t>附件1</w:t>
      </w:r>
    </w:p>
    <w:p>
      <w:pPr>
        <w:spacing w:line="288" w:lineRule="auto"/>
        <w:jc w:val="center"/>
        <w:rPr>
          <w:rFonts w:hAnsi="宋体" w:cs="宋体"/>
          <w:b/>
          <w:bCs/>
          <w:color w:val="auto"/>
          <w:sz w:val="28"/>
          <w:szCs w:val="28"/>
        </w:rPr>
      </w:pPr>
      <w:r>
        <w:rPr>
          <w:rFonts w:hint="eastAsia" w:hAnsi="宋体" w:cs="宋体"/>
          <w:b/>
          <w:bCs/>
          <w:color w:val="auto"/>
          <w:sz w:val="28"/>
          <w:szCs w:val="28"/>
        </w:rPr>
        <w:t>招标人</w:t>
      </w:r>
      <w:r>
        <w:rPr>
          <w:rFonts w:hint="eastAsia" w:hAnsi="宋体" w:cs="宋体"/>
          <w:b/>
          <w:bCs/>
          <w:color w:val="auto"/>
          <w:sz w:val="28"/>
          <w:szCs w:val="28"/>
          <w:lang w:val="en-US" w:eastAsia="zh-CN"/>
        </w:rPr>
        <w:t>及其子公司</w:t>
      </w:r>
      <w:r>
        <w:rPr>
          <w:rFonts w:hint="eastAsia" w:hAnsi="宋体" w:cs="宋体"/>
          <w:b/>
          <w:bCs/>
          <w:color w:val="auto"/>
          <w:sz w:val="28"/>
          <w:szCs w:val="28"/>
        </w:rPr>
        <w:t>（管网公司、东信公司、东泽公司、清泽公司、莞泽公司、</w:t>
      </w:r>
      <w:r>
        <w:rPr>
          <w:rFonts w:hint="eastAsia" w:hAnsi="宋体" w:cs="宋体"/>
          <w:b/>
          <w:bCs/>
          <w:color w:val="auto"/>
          <w:sz w:val="28"/>
          <w:szCs w:val="28"/>
        </w:rPr>
        <w:br w:type="textWrapping"/>
      </w:r>
      <w:r>
        <w:rPr>
          <w:rFonts w:hint="eastAsia" w:hAnsi="宋体" w:cs="宋体"/>
          <w:b/>
          <w:bCs/>
          <w:color w:val="auto"/>
          <w:sz w:val="28"/>
          <w:szCs w:val="28"/>
        </w:rPr>
        <w:t>莞清公司、东江公司）食堂就餐人员及配送地址</w:t>
      </w:r>
    </w:p>
    <w:tbl>
      <w:tblPr>
        <w:tblStyle w:val="48"/>
        <w:tblW w:w="8158" w:type="dxa"/>
        <w:jc w:val="center"/>
        <w:tblLayout w:type="fixed"/>
        <w:tblCellMar>
          <w:top w:w="15" w:type="dxa"/>
          <w:left w:w="15" w:type="dxa"/>
          <w:bottom w:w="15" w:type="dxa"/>
          <w:right w:w="15" w:type="dxa"/>
        </w:tblCellMar>
      </w:tblPr>
      <w:tblGrid>
        <w:gridCol w:w="605"/>
        <w:gridCol w:w="1973"/>
        <w:gridCol w:w="1109"/>
        <w:gridCol w:w="4471"/>
      </w:tblGrid>
      <w:tr>
        <w:tblPrEx>
          <w:tblCellMar>
            <w:top w:w="15" w:type="dxa"/>
            <w:left w:w="15" w:type="dxa"/>
            <w:bottom w:w="15" w:type="dxa"/>
            <w:right w:w="15" w:type="dxa"/>
          </w:tblCellMar>
        </w:tblPrEx>
        <w:trPr>
          <w:trHeight w:val="495" w:hRule="atLeast"/>
          <w:jc w:val="center"/>
        </w:trPr>
        <w:tc>
          <w:tcPr>
            <w:tcW w:w="60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Ansi="宋体" w:cs="宋体"/>
                <w:color w:val="auto"/>
                <w:sz w:val="21"/>
                <w:szCs w:val="21"/>
              </w:rPr>
            </w:pPr>
            <w:r>
              <w:rPr>
                <w:rFonts w:hint="eastAsia" w:hAnsi="宋体" w:cs="宋体"/>
                <w:color w:val="auto"/>
                <w:sz w:val="21"/>
                <w:szCs w:val="21"/>
              </w:rPr>
              <w:t>序号</w:t>
            </w:r>
          </w:p>
        </w:tc>
        <w:tc>
          <w:tcPr>
            <w:tcW w:w="197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Ansi="宋体" w:cs="宋体"/>
                <w:color w:val="auto"/>
                <w:sz w:val="21"/>
                <w:szCs w:val="21"/>
              </w:rPr>
            </w:pPr>
            <w:r>
              <w:rPr>
                <w:rFonts w:hint="eastAsia" w:hAnsi="宋体" w:cs="宋体"/>
                <w:color w:val="auto"/>
                <w:sz w:val="21"/>
                <w:szCs w:val="21"/>
              </w:rPr>
              <w:t>单位</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Ansi="宋体" w:cs="宋体"/>
                <w:color w:val="auto"/>
                <w:sz w:val="21"/>
                <w:szCs w:val="21"/>
              </w:rPr>
            </w:pPr>
            <w:r>
              <w:rPr>
                <w:rFonts w:hint="eastAsia" w:hAnsi="宋体" w:cs="宋体"/>
                <w:color w:val="auto"/>
                <w:sz w:val="21"/>
                <w:szCs w:val="21"/>
              </w:rPr>
              <w:t>就餐人数</w:t>
            </w:r>
          </w:p>
        </w:tc>
        <w:tc>
          <w:tcPr>
            <w:tcW w:w="447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Ansi="宋体" w:cs="宋体"/>
                <w:color w:val="auto"/>
                <w:sz w:val="21"/>
                <w:szCs w:val="21"/>
              </w:rPr>
            </w:pPr>
            <w:r>
              <w:rPr>
                <w:rFonts w:hint="eastAsia" w:hAnsi="宋体" w:cs="宋体"/>
                <w:color w:val="auto"/>
                <w:sz w:val="21"/>
                <w:szCs w:val="21"/>
              </w:rPr>
              <w:t>地址</w:t>
            </w:r>
          </w:p>
        </w:tc>
      </w:tr>
      <w:tr>
        <w:tblPrEx>
          <w:tblCellMar>
            <w:top w:w="15" w:type="dxa"/>
            <w:left w:w="15" w:type="dxa"/>
            <w:bottom w:w="15" w:type="dxa"/>
            <w:right w:w="15" w:type="dxa"/>
          </w:tblCellMar>
        </w:tblPrEx>
        <w:trPr>
          <w:trHeight w:val="495" w:hRule="atLeast"/>
          <w:jc w:val="center"/>
        </w:trPr>
        <w:tc>
          <w:tcPr>
            <w:tcW w:w="60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Ansi="宋体" w:cs="宋体"/>
                <w:color w:val="auto"/>
                <w:sz w:val="21"/>
                <w:szCs w:val="21"/>
              </w:rPr>
            </w:pPr>
            <w:r>
              <w:rPr>
                <w:rFonts w:hint="eastAsia" w:hAnsi="宋体" w:cs="宋体"/>
                <w:color w:val="auto"/>
                <w:sz w:val="21"/>
                <w:szCs w:val="21"/>
              </w:rPr>
              <w:t>1</w:t>
            </w:r>
          </w:p>
        </w:tc>
        <w:tc>
          <w:tcPr>
            <w:tcW w:w="197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Ansi="宋体" w:cs="宋体"/>
                <w:color w:val="auto"/>
                <w:sz w:val="21"/>
                <w:szCs w:val="21"/>
              </w:rPr>
            </w:pPr>
            <w:r>
              <w:rPr>
                <w:rFonts w:hint="eastAsia" w:hAnsi="宋体" w:cs="宋体"/>
                <w:color w:val="auto"/>
                <w:sz w:val="21"/>
                <w:szCs w:val="21"/>
              </w:rPr>
              <w:t>本部食堂</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Ansi="宋体" w:cs="宋体"/>
                <w:color w:val="auto"/>
                <w:sz w:val="21"/>
                <w:szCs w:val="21"/>
              </w:rPr>
            </w:pPr>
            <w:r>
              <w:rPr>
                <w:rFonts w:hint="eastAsia" w:hAnsi="宋体" w:cs="宋体"/>
                <w:color w:val="auto"/>
                <w:sz w:val="21"/>
                <w:szCs w:val="21"/>
              </w:rPr>
              <w:t>185</w:t>
            </w:r>
          </w:p>
        </w:tc>
        <w:tc>
          <w:tcPr>
            <w:tcW w:w="447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Ansi="宋体" w:cs="宋体"/>
                <w:color w:val="auto"/>
                <w:sz w:val="21"/>
                <w:szCs w:val="21"/>
              </w:rPr>
            </w:pPr>
            <w:r>
              <w:rPr>
                <w:rFonts w:hint="eastAsia" w:hAnsi="宋体" w:cs="宋体"/>
                <w:color w:val="auto"/>
                <w:sz w:val="21"/>
                <w:szCs w:val="21"/>
              </w:rPr>
              <w:t>东莞市东城街道东城运河路5号</w:t>
            </w:r>
          </w:p>
        </w:tc>
      </w:tr>
      <w:tr>
        <w:tblPrEx>
          <w:tblCellMar>
            <w:top w:w="15" w:type="dxa"/>
            <w:left w:w="15" w:type="dxa"/>
            <w:bottom w:w="15" w:type="dxa"/>
            <w:right w:w="15" w:type="dxa"/>
          </w:tblCellMar>
        </w:tblPrEx>
        <w:trPr>
          <w:trHeight w:val="495" w:hRule="atLeast"/>
          <w:jc w:val="center"/>
        </w:trPr>
        <w:tc>
          <w:tcPr>
            <w:tcW w:w="60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Ansi="宋体" w:cs="宋体"/>
                <w:color w:val="auto"/>
                <w:sz w:val="21"/>
                <w:szCs w:val="21"/>
              </w:rPr>
            </w:pPr>
            <w:r>
              <w:rPr>
                <w:rFonts w:hint="eastAsia" w:hAnsi="宋体" w:cs="宋体"/>
                <w:color w:val="auto"/>
                <w:sz w:val="21"/>
                <w:szCs w:val="21"/>
              </w:rPr>
              <w:t>2</w:t>
            </w:r>
          </w:p>
        </w:tc>
        <w:tc>
          <w:tcPr>
            <w:tcW w:w="197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Ansi="宋体" w:cs="宋体"/>
                <w:color w:val="auto"/>
                <w:sz w:val="21"/>
                <w:szCs w:val="21"/>
              </w:rPr>
            </w:pPr>
            <w:r>
              <w:rPr>
                <w:rFonts w:hint="eastAsia" w:hAnsi="宋体" w:cs="宋体"/>
                <w:color w:val="auto"/>
                <w:sz w:val="21"/>
                <w:szCs w:val="21"/>
              </w:rPr>
              <w:t>第一分公司食堂</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Ansi="宋体" w:cs="宋体"/>
                <w:color w:val="auto"/>
                <w:sz w:val="21"/>
                <w:szCs w:val="21"/>
              </w:rPr>
            </w:pPr>
            <w:r>
              <w:rPr>
                <w:rFonts w:hint="eastAsia" w:hAnsi="宋体" w:cs="宋体"/>
                <w:color w:val="auto"/>
                <w:sz w:val="21"/>
                <w:szCs w:val="21"/>
              </w:rPr>
              <w:t>61</w:t>
            </w:r>
          </w:p>
        </w:tc>
        <w:tc>
          <w:tcPr>
            <w:tcW w:w="447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Ansi="宋体" w:cs="宋体"/>
                <w:color w:val="auto"/>
                <w:sz w:val="21"/>
                <w:szCs w:val="21"/>
              </w:rPr>
            </w:pPr>
            <w:r>
              <w:rPr>
                <w:rFonts w:hint="eastAsia" w:hAnsi="宋体" w:cs="宋体"/>
                <w:color w:val="auto"/>
                <w:sz w:val="21"/>
                <w:szCs w:val="21"/>
              </w:rPr>
              <w:t>东莞市东城街道榴花西街232号D座</w:t>
            </w:r>
          </w:p>
        </w:tc>
      </w:tr>
      <w:tr>
        <w:tblPrEx>
          <w:tblCellMar>
            <w:top w:w="15" w:type="dxa"/>
            <w:left w:w="15" w:type="dxa"/>
            <w:bottom w:w="15" w:type="dxa"/>
            <w:right w:w="15" w:type="dxa"/>
          </w:tblCellMar>
        </w:tblPrEx>
        <w:trPr>
          <w:trHeight w:val="495" w:hRule="atLeast"/>
          <w:jc w:val="center"/>
        </w:trPr>
        <w:tc>
          <w:tcPr>
            <w:tcW w:w="60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Ansi="宋体" w:cs="宋体"/>
                <w:color w:val="auto"/>
                <w:sz w:val="21"/>
                <w:szCs w:val="21"/>
              </w:rPr>
            </w:pPr>
            <w:r>
              <w:rPr>
                <w:rFonts w:hint="eastAsia" w:hAnsi="宋体" w:cs="宋体"/>
                <w:color w:val="auto"/>
                <w:sz w:val="21"/>
                <w:szCs w:val="21"/>
              </w:rPr>
              <w:t>3</w:t>
            </w:r>
          </w:p>
        </w:tc>
        <w:tc>
          <w:tcPr>
            <w:tcW w:w="197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Ansi="宋体" w:cs="宋体"/>
                <w:color w:val="auto"/>
                <w:sz w:val="21"/>
                <w:szCs w:val="21"/>
              </w:rPr>
            </w:pPr>
            <w:r>
              <w:rPr>
                <w:rFonts w:hint="eastAsia" w:hAnsi="宋体" w:cs="宋体"/>
                <w:color w:val="auto"/>
                <w:sz w:val="21"/>
                <w:szCs w:val="21"/>
              </w:rPr>
              <w:t>第二分公司食堂</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Ansi="宋体" w:cs="宋体"/>
                <w:color w:val="auto"/>
                <w:sz w:val="21"/>
                <w:szCs w:val="21"/>
              </w:rPr>
            </w:pPr>
            <w:r>
              <w:rPr>
                <w:rFonts w:hint="eastAsia" w:hAnsi="宋体" w:cs="宋体"/>
                <w:color w:val="auto"/>
                <w:sz w:val="21"/>
                <w:szCs w:val="21"/>
              </w:rPr>
              <w:t>60</w:t>
            </w:r>
          </w:p>
        </w:tc>
        <w:tc>
          <w:tcPr>
            <w:tcW w:w="4471"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cs="宋体"/>
                <w:color w:val="auto"/>
                <w:sz w:val="21"/>
                <w:szCs w:val="21"/>
              </w:rPr>
            </w:pPr>
            <w:r>
              <w:rPr>
                <w:rFonts w:hint="eastAsia" w:hAnsi="宋体" w:cs="宋体"/>
                <w:color w:val="auto"/>
                <w:sz w:val="21"/>
                <w:szCs w:val="21"/>
              </w:rPr>
              <w:t>东莞市寮步镇向西村旭升路5号厂房内</w:t>
            </w:r>
          </w:p>
        </w:tc>
      </w:tr>
      <w:tr>
        <w:tblPrEx>
          <w:tblCellMar>
            <w:top w:w="15" w:type="dxa"/>
            <w:left w:w="15" w:type="dxa"/>
            <w:bottom w:w="15" w:type="dxa"/>
            <w:right w:w="15" w:type="dxa"/>
          </w:tblCellMar>
        </w:tblPrEx>
        <w:trPr>
          <w:trHeight w:val="495" w:hRule="atLeast"/>
          <w:jc w:val="center"/>
        </w:trPr>
        <w:tc>
          <w:tcPr>
            <w:tcW w:w="60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Ansi="宋体" w:cs="宋体"/>
                <w:color w:val="auto"/>
                <w:sz w:val="21"/>
                <w:szCs w:val="21"/>
              </w:rPr>
            </w:pPr>
            <w:r>
              <w:rPr>
                <w:rFonts w:hint="eastAsia" w:hAnsi="宋体" w:cs="宋体"/>
                <w:color w:val="auto"/>
                <w:sz w:val="21"/>
                <w:szCs w:val="21"/>
              </w:rPr>
              <w:t>4</w:t>
            </w:r>
          </w:p>
        </w:tc>
        <w:tc>
          <w:tcPr>
            <w:tcW w:w="197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Ansi="宋体" w:cs="宋体"/>
                <w:color w:val="auto"/>
                <w:sz w:val="21"/>
                <w:szCs w:val="21"/>
              </w:rPr>
            </w:pPr>
            <w:r>
              <w:rPr>
                <w:rFonts w:hint="eastAsia" w:hAnsi="宋体" w:cs="宋体"/>
                <w:color w:val="auto"/>
                <w:sz w:val="21"/>
                <w:szCs w:val="21"/>
              </w:rPr>
              <w:t>第三分公司食堂</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Ansi="宋体" w:cs="宋体"/>
                <w:color w:val="auto"/>
                <w:sz w:val="21"/>
                <w:szCs w:val="21"/>
              </w:rPr>
            </w:pPr>
            <w:r>
              <w:rPr>
                <w:rFonts w:hint="eastAsia" w:hAnsi="宋体" w:cs="宋体"/>
                <w:color w:val="auto"/>
                <w:sz w:val="21"/>
                <w:szCs w:val="21"/>
              </w:rPr>
              <w:t>52</w:t>
            </w:r>
          </w:p>
        </w:tc>
        <w:tc>
          <w:tcPr>
            <w:tcW w:w="447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Ansi="宋体" w:cs="宋体"/>
                <w:color w:val="auto"/>
                <w:sz w:val="21"/>
                <w:szCs w:val="21"/>
              </w:rPr>
            </w:pPr>
            <w:r>
              <w:rPr>
                <w:rFonts w:hint="eastAsia" w:hAnsi="宋体" w:cs="宋体"/>
                <w:color w:val="auto"/>
                <w:sz w:val="21"/>
                <w:szCs w:val="21"/>
              </w:rPr>
              <w:t>东莞市沙田镇稔洲山边路103号</w:t>
            </w:r>
          </w:p>
        </w:tc>
      </w:tr>
      <w:tr>
        <w:tblPrEx>
          <w:tblCellMar>
            <w:top w:w="15" w:type="dxa"/>
            <w:left w:w="15" w:type="dxa"/>
            <w:bottom w:w="15" w:type="dxa"/>
            <w:right w:w="15" w:type="dxa"/>
          </w:tblCellMar>
        </w:tblPrEx>
        <w:trPr>
          <w:trHeight w:val="495" w:hRule="atLeast"/>
          <w:jc w:val="center"/>
        </w:trPr>
        <w:tc>
          <w:tcPr>
            <w:tcW w:w="60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Ansi="宋体" w:cs="宋体"/>
                <w:color w:val="auto"/>
                <w:sz w:val="21"/>
                <w:szCs w:val="21"/>
              </w:rPr>
            </w:pPr>
            <w:r>
              <w:rPr>
                <w:rFonts w:hint="eastAsia" w:hAnsi="宋体" w:cs="宋体"/>
                <w:color w:val="auto"/>
                <w:sz w:val="21"/>
                <w:szCs w:val="21"/>
              </w:rPr>
              <w:t>5</w:t>
            </w:r>
          </w:p>
        </w:tc>
        <w:tc>
          <w:tcPr>
            <w:tcW w:w="197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Ansi="宋体" w:cs="宋体"/>
                <w:color w:val="auto"/>
                <w:sz w:val="21"/>
                <w:szCs w:val="21"/>
              </w:rPr>
            </w:pPr>
            <w:r>
              <w:rPr>
                <w:rFonts w:hint="eastAsia" w:hAnsi="宋体" w:cs="宋体"/>
                <w:color w:val="auto"/>
                <w:sz w:val="21"/>
                <w:szCs w:val="21"/>
              </w:rPr>
              <w:t>第四分公司食堂</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Ansi="宋体" w:cs="宋体"/>
                <w:color w:val="auto"/>
                <w:sz w:val="21"/>
                <w:szCs w:val="21"/>
              </w:rPr>
            </w:pPr>
            <w:r>
              <w:rPr>
                <w:rFonts w:hint="eastAsia" w:hAnsi="宋体" w:cs="宋体"/>
                <w:color w:val="auto"/>
                <w:sz w:val="21"/>
                <w:szCs w:val="21"/>
              </w:rPr>
              <w:t>44</w:t>
            </w:r>
          </w:p>
        </w:tc>
        <w:tc>
          <w:tcPr>
            <w:tcW w:w="447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Ansi="宋体" w:cs="宋体"/>
                <w:color w:val="auto"/>
                <w:sz w:val="21"/>
                <w:szCs w:val="21"/>
              </w:rPr>
            </w:pPr>
            <w:r>
              <w:rPr>
                <w:rFonts w:hint="eastAsia" w:hAnsi="宋体" w:cs="宋体"/>
                <w:color w:val="auto"/>
                <w:sz w:val="21"/>
                <w:szCs w:val="21"/>
              </w:rPr>
              <w:t>东莞市道滘镇华科城创新岛产业孵化园5号楼</w:t>
            </w:r>
          </w:p>
        </w:tc>
      </w:tr>
      <w:tr>
        <w:tblPrEx>
          <w:tblCellMar>
            <w:top w:w="15" w:type="dxa"/>
            <w:left w:w="15" w:type="dxa"/>
            <w:bottom w:w="15" w:type="dxa"/>
            <w:right w:w="15" w:type="dxa"/>
          </w:tblCellMar>
        </w:tblPrEx>
        <w:trPr>
          <w:trHeight w:val="495" w:hRule="atLeast"/>
          <w:jc w:val="center"/>
        </w:trPr>
        <w:tc>
          <w:tcPr>
            <w:tcW w:w="60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Ansi="宋体" w:cs="宋体"/>
                <w:color w:val="auto"/>
                <w:sz w:val="21"/>
                <w:szCs w:val="21"/>
              </w:rPr>
            </w:pPr>
            <w:r>
              <w:rPr>
                <w:rFonts w:hint="eastAsia" w:hAnsi="宋体" w:cs="宋体"/>
                <w:color w:val="auto"/>
                <w:sz w:val="21"/>
                <w:szCs w:val="21"/>
              </w:rPr>
              <w:t>6</w:t>
            </w:r>
          </w:p>
        </w:tc>
        <w:tc>
          <w:tcPr>
            <w:tcW w:w="197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Ansi="宋体" w:cs="宋体"/>
                <w:color w:val="auto"/>
                <w:sz w:val="21"/>
                <w:szCs w:val="21"/>
              </w:rPr>
            </w:pPr>
            <w:r>
              <w:rPr>
                <w:rFonts w:hint="eastAsia" w:hAnsi="宋体" w:cs="宋体"/>
                <w:color w:val="auto"/>
                <w:sz w:val="21"/>
                <w:szCs w:val="21"/>
              </w:rPr>
              <w:t>第五分公司食堂</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Ansi="宋体" w:cs="宋体"/>
                <w:color w:val="auto"/>
                <w:sz w:val="21"/>
                <w:szCs w:val="21"/>
              </w:rPr>
            </w:pPr>
            <w:r>
              <w:rPr>
                <w:rFonts w:hint="eastAsia" w:hAnsi="宋体" w:cs="宋体"/>
                <w:color w:val="auto"/>
                <w:sz w:val="21"/>
                <w:szCs w:val="21"/>
              </w:rPr>
              <w:t>49</w:t>
            </w:r>
          </w:p>
        </w:tc>
        <w:tc>
          <w:tcPr>
            <w:tcW w:w="447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Ansi="宋体" w:cs="宋体"/>
                <w:color w:val="auto"/>
                <w:sz w:val="21"/>
                <w:szCs w:val="21"/>
              </w:rPr>
            </w:pPr>
            <w:r>
              <w:rPr>
                <w:rFonts w:hint="eastAsia" w:hAnsi="宋体" w:cs="宋体"/>
                <w:color w:val="auto"/>
                <w:sz w:val="21"/>
                <w:szCs w:val="21"/>
              </w:rPr>
              <w:t>东莞市横沥镇中山东路82号骏业大厦</w:t>
            </w:r>
          </w:p>
        </w:tc>
      </w:tr>
      <w:tr>
        <w:tblPrEx>
          <w:tblCellMar>
            <w:top w:w="15" w:type="dxa"/>
            <w:left w:w="15" w:type="dxa"/>
            <w:bottom w:w="15" w:type="dxa"/>
            <w:right w:w="15" w:type="dxa"/>
          </w:tblCellMar>
        </w:tblPrEx>
        <w:trPr>
          <w:trHeight w:val="495" w:hRule="atLeast"/>
          <w:jc w:val="center"/>
        </w:trPr>
        <w:tc>
          <w:tcPr>
            <w:tcW w:w="60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Ansi="宋体" w:cs="宋体"/>
                <w:color w:val="auto"/>
                <w:sz w:val="21"/>
                <w:szCs w:val="21"/>
              </w:rPr>
            </w:pPr>
            <w:r>
              <w:rPr>
                <w:rFonts w:hint="eastAsia" w:hAnsi="宋体" w:cs="宋体"/>
                <w:color w:val="auto"/>
                <w:sz w:val="21"/>
                <w:szCs w:val="21"/>
              </w:rPr>
              <w:t>7</w:t>
            </w:r>
          </w:p>
        </w:tc>
        <w:tc>
          <w:tcPr>
            <w:tcW w:w="197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Ansi="宋体" w:cs="宋体"/>
                <w:color w:val="auto"/>
                <w:sz w:val="21"/>
                <w:szCs w:val="21"/>
              </w:rPr>
            </w:pPr>
            <w:r>
              <w:rPr>
                <w:rFonts w:hint="eastAsia" w:hAnsi="宋体" w:cs="宋体"/>
                <w:color w:val="auto"/>
                <w:sz w:val="21"/>
                <w:szCs w:val="21"/>
              </w:rPr>
              <w:t>第六分公司食堂</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Ansi="宋体" w:cs="宋体"/>
                <w:color w:val="auto"/>
                <w:sz w:val="21"/>
                <w:szCs w:val="21"/>
              </w:rPr>
            </w:pPr>
            <w:r>
              <w:rPr>
                <w:rFonts w:hint="eastAsia" w:hAnsi="宋体" w:cs="宋体"/>
                <w:color w:val="auto"/>
                <w:sz w:val="21"/>
                <w:szCs w:val="21"/>
              </w:rPr>
              <w:t>48</w:t>
            </w:r>
          </w:p>
        </w:tc>
        <w:tc>
          <w:tcPr>
            <w:tcW w:w="447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Ansi="宋体" w:cs="宋体"/>
                <w:color w:val="auto"/>
                <w:sz w:val="21"/>
                <w:szCs w:val="21"/>
              </w:rPr>
            </w:pPr>
            <w:r>
              <w:rPr>
                <w:rFonts w:hint="eastAsia" w:hAnsi="宋体" w:cs="宋体"/>
                <w:color w:val="auto"/>
                <w:sz w:val="21"/>
                <w:szCs w:val="21"/>
              </w:rPr>
              <w:t>塘厦镇蛟坪大道83A号星河科技园二楼</w:t>
            </w:r>
          </w:p>
        </w:tc>
      </w:tr>
      <w:tr>
        <w:tblPrEx>
          <w:tblCellMar>
            <w:top w:w="15" w:type="dxa"/>
            <w:left w:w="15" w:type="dxa"/>
            <w:bottom w:w="15" w:type="dxa"/>
            <w:right w:w="15" w:type="dxa"/>
          </w:tblCellMar>
        </w:tblPrEx>
        <w:trPr>
          <w:trHeight w:val="480" w:hRule="atLeast"/>
          <w:jc w:val="center"/>
        </w:trPr>
        <w:tc>
          <w:tcPr>
            <w:tcW w:w="2578"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Ansi="宋体" w:cs="宋体"/>
                <w:color w:val="auto"/>
                <w:sz w:val="21"/>
                <w:szCs w:val="21"/>
              </w:rPr>
            </w:pPr>
            <w:r>
              <w:rPr>
                <w:rFonts w:hint="eastAsia" w:hAnsi="宋体" w:cs="宋体"/>
                <w:color w:val="auto"/>
                <w:sz w:val="21"/>
                <w:szCs w:val="21"/>
              </w:rPr>
              <w:t>合计</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Ansi="宋体" w:cs="宋体"/>
                <w:color w:val="auto"/>
                <w:sz w:val="21"/>
                <w:szCs w:val="21"/>
              </w:rPr>
            </w:pPr>
            <w:r>
              <w:rPr>
                <w:rFonts w:hint="eastAsia" w:hAnsi="宋体" w:cs="宋体"/>
                <w:color w:val="auto"/>
                <w:sz w:val="21"/>
                <w:szCs w:val="21"/>
              </w:rPr>
              <w:t>499</w:t>
            </w:r>
          </w:p>
        </w:tc>
        <w:tc>
          <w:tcPr>
            <w:tcW w:w="447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Ansi="宋体" w:cs="宋体"/>
                <w:color w:val="auto"/>
                <w:sz w:val="21"/>
                <w:szCs w:val="21"/>
              </w:rPr>
            </w:pPr>
            <w:r>
              <w:rPr>
                <w:rFonts w:hint="eastAsia" w:hAnsi="宋体" w:cs="宋体"/>
                <w:color w:val="auto"/>
                <w:sz w:val="21"/>
                <w:szCs w:val="21"/>
              </w:rPr>
              <w:t>/</w:t>
            </w:r>
          </w:p>
        </w:tc>
      </w:tr>
    </w:tbl>
    <w:p>
      <w:pPr>
        <w:tabs>
          <w:tab w:val="left" w:pos="1800"/>
        </w:tabs>
        <w:spacing w:line="360" w:lineRule="auto"/>
        <w:jc w:val="both"/>
        <w:rPr>
          <w:rFonts w:hAnsi="宋体" w:cs="宋体"/>
          <w:b/>
          <w:color w:val="auto"/>
          <w:sz w:val="21"/>
          <w:szCs w:val="21"/>
        </w:rPr>
      </w:pPr>
      <w:r>
        <w:rPr>
          <w:rFonts w:hAnsi="宋体" w:cs="宋体"/>
          <w:color w:val="auto"/>
          <w:sz w:val="21"/>
          <w:szCs w:val="21"/>
        </w:rPr>
        <w:br w:type="page"/>
      </w:r>
      <w:r>
        <w:rPr>
          <w:rFonts w:hint="eastAsia" w:hAnsi="宋体" w:cs="宋体"/>
          <w:b/>
          <w:color w:val="auto"/>
          <w:sz w:val="21"/>
          <w:szCs w:val="21"/>
        </w:rPr>
        <w:t>附件2：</w:t>
      </w:r>
    </w:p>
    <w:p>
      <w:pPr>
        <w:spacing w:line="360" w:lineRule="auto"/>
        <w:jc w:val="center"/>
        <w:rPr>
          <w:rFonts w:hAnsi="宋体" w:cs="宋体"/>
          <w:b/>
          <w:bCs/>
          <w:color w:val="auto"/>
          <w:sz w:val="21"/>
          <w:szCs w:val="21"/>
        </w:rPr>
      </w:pPr>
      <w:r>
        <w:rPr>
          <w:rFonts w:hint="eastAsia" w:hAnsi="宋体" w:cs="宋体"/>
          <w:b/>
          <w:bCs/>
          <w:color w:val="auto"/>
          <w:sz w:val="21"/>
          <w:szCs w:val="21"/>
        </w:rPr>
        <w:t>食堂配送服务考核评分表（XX年XX月）</w:t>
      </w:r>
    </w:p>
    <w:p>
      <w:pPr>
        <w:pStyle w:val="147"/>
        <w:spacing w:line="360" w:lineRule="auto"/>
        <w:ind w:firstLine="0" w:firstLineChars="0"/>
        <w:jc w:val="both"/>
        <w:rPr>
          <w:rFonts w:hAnsi="宋体" w:cs="宋体"/>
          <w:color w:val="auto"/>
          <w:sz w:val="21"/>
          <w:szCs w:val="21"/>
          <w:lang w:val="en-US"/>
        </w:rPr>
      </w:pPr>
    </w:p>
    <w:tbl>
      <w:tblPr>
        <w:tblStyle w:val="48"/>
        <w:tblW w:w="8810" w:type="dxa"/>
        <w:tblInd w:w="0" w:type="dxa"/>
        <w:tblLayout w:type="fixed"/>
        <w:tblCellMar>
          <w:top w:w="0" w:type="dxa"/>
          <w:left w:w="108" w:type="dxa"/>
          <w:bottom w:w="0" w:type="dxa"/>
          <w:right w:w="108" w:type="dxa"/>
        </w:tblCellMar>
      </w:tblPr>
      <w:tblGrid>
        <w:gridCol w:w="1084"/>
        <w:gridCol w:w="559"/>
        <w:gridCol w:w="3913"/>
        <w:gridCol w:w="731"/>
        <w:gridCol w:w="764"/>
        <w:gridCol w:w="995"/>
        <w:gridCol w:w="764"/>
      </w:tblGrid>
      <w:tr>
        <w:tblPrEx>
          <w:tblCellMar>
            <w:top w:w="0" w:type="dxa"/>
            <w:left w:w="108" w:type="dxa"/>
            <w:bottom w:w="0" w:type="dxa"/>
            <w:right w:w="108" w:type="dxa"/>
          </w:tblCellMar>
        </w:tblPrEx>
        <w:trPr>
          <w:trHeight w:val="285" w:hRule="atLeast"/>
        </w:trPr>
        <w:tc>
          <w:tcPr>
            <w:tcW w:w="1084" w:type="dxa"/>
            <w:vMerge w:val="restart"/>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r>
              <w:rPr>
                <w:rFonts w:hint="eastAsia" w:hAnsi="宋体" w:cs="宋体"/>
                <w:color w:val="auto"/>
                <w:sz w:val="21"/>
                <w:szCs w:val="21"/>
              </w:rPr>
              <w:t>考核指标</w:t>
            </w:r>
          </w:p>
        </w:tc>
        <w:tc>
          <w:tcPr>
            <w:tcW w:w="559" w:type="dxa"/>
            <w:vMerge w:val="restart"/>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r>
              <w:rPr>
                <w:rFonts w:hint="eastAsia" w:hAnsi="宋体" w:cs="宋体"/>
                <w:color w:val="auto"/>
                <w:sz w:val="21"/>
                <w:szCs w:val="21"/>
              </w:rPr>
              <w:t>分值</w:t>
            </w:r>
          </w:p>
        </w:tc>
        <w:tc>
          <w:tcPr>
            <w:tcW w:w="3913" w:type="dxa"/>
            <w:vMerge w:val="restart"/>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r>
              <w:rPr>
                <w:rFonts w:hint="eastAsia" w:hAnsi="宋体" w:cs="宋体"/>
                <w:color w:val="auto"/>
                <w:sz w:val="21"/>
                <w:szCs w:val="21"/>
              </w:rPr>
              <w:t>考核要素和评估内容及其标准</w:t>
            </w:r>
          </w:p>
        </w:tc>
        <w:tc>
          <w:tcPr>
            <w:tcW w:w="731"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r>
              <w:rPr>
                <w:rFonts w:hint="eastAsia" w:hAnsi="宋体" w:cs="宋体"/>
                <w:color w:val="auto"/>
                <w:sz w:val="21"/>
                <w:szCs w:val="21"/>
              </w:rPr>
              <w:t>优秀</w:t>
            </w:r>
          </w:p>
        </w:tc>
        <w:tc>
          <w:tcPr>
            <w:tcW w:w="764"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r>
              <w:rPr>
                <w:rFonts w:hint="eastAsia" w:hAnsi="宋体" w:cs="宋体"/>
                <w:color w:val="auto"/>
                <w:sz w:val="21"/>
                <w:szCs w:val="21"/>
              </w:rPr>
              <w:t>良好</w:t>
            </w:r>
          </w:p>
        </w:tc>
        <w:tc>
          <w:tcPr>
            <w:tcW w:w="995"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r>
              <w:rPr>
                <w:rFonts w:hint="eastAsia" w:hAnsi="宋体" w:cs="宋体"/>
                <w:color w:val="auto"/>
                <w:sz w:val="21"/>
                <w:szCs w:val="21"/>
              </w:rPr>
              <w:t>不合格</w:t>
            </w:r>
          </w:p>
        </w:tc>
        <w:tc>
          <w:tcPr>
            <w:tcW w:w="764" w:type="dxa"/>
            <w:vMerge w:val="restart"/>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r>
              <w:rPr>
                <w:rFonts w:hint="eastAsia" w:hAnsi="宋体" w:cs="宋体"/>
                <w:color w:val="auto"/>
                <w:sz w:val="21"/>
                <w:szCs w:val="21"/>
              </w:rPr>
              <w:t>扣分情况</w:t>
            </w:r>
          </w:p>
        </w:tc>
      </w:tr>
      <w:tr>
        <w:tblPrEx>
          <w:tblCellMar>
            <w:top w:w="0" w:type="dxa"/>
            <w:left w:w="108" w:type="dxa"/>
            <w:bottom w:w="0" w:type="dxa"/>
            <w:right w:w="108" w:type="dxa"/>
          </w:tblCellMar>
        </w:tblPrEx>
        <w:trPr>
          <w:trHeight w:val="285" w:hRule="atLeast"/>
        </w:trPr>
        <w:tc>
          <w:tcPr>
            <w:tcW w:w="1084" w:type="dxa"/>
            <w:vMerge w:val="continue"/>
            <w:tcBorders>
              <w:top w:val="single" w:color="auto" w:sz="8" w:space="0"/>
              <w:left w:val="single" w:color="auto" w:sz="8" w:space="0"/>
              <w:bottom w:val="single" w:color="auto" w:sz="8" w:space="0"/>
              <w:right w:val="single" w:color="auto" w:sz="8" w:space="0"/>
            </w:tcBorders>
            <w:vAlign w:val="center"/>
          </w:tcPr>
          <w:p>
            <w:pPr>
              <w:rPr>
                <w:rFonts w:hAnsi="宋体" w:cs="宋体"/>
                <w:color w:val="auto"/>
                <w:sz w:val="21"/>
                <w:szCs w:val="21"/>
              </w:rPr>
            </w:pPr>
          </w:p>
        </w:tc>
        <w:tc>
          <w:tcPr>
            <w:tcW w:w="559" w:type="dxa"/>
            <w:vMerge w:val="continue"/>
            <w:tcBorders>
              <w:top w:val="single" w:color="auto" w:sz="8" w:space="0"/>
              <w:left w:val="single" w:color="auto" w:sz="8" w:space="0"/>
              <w:bottom w:val="single" w:color="auto" w:sz="8" w:space="0"/>
              <w:right w:val="single" w:color="auto" w:sz="8" w:space="0"/>
            </w:tcBorders>
            <w:vAlign w:val="center"/>
          </w:tcPr>
          <w:p>
            <w:pPr>
              <w:rPr>
                <w:rFonts w:hAnsi="宋体" w:cs="宋体"/>
                <w:color w:val="auto"/>
                <w:sz w:val="21"/>
                <w:szCs w:val="21"/>
              </w:rPr>
            </w:pPr>
          </w:p>
        </w:tc>
        <w:tc>
          <w:tcPr>
            <w:tcW w:w="3913" w:type="dxa"/>
            <w:vMerge w:val="continue"/>
            <w:tcBorders>
              <w:top w:val="single" w:color="auto" w:sz="8" w:space="0"/>
              <w:left w:val="single" w:color="auto" w:sz="8" w:space="0"/>
              <w:bottom w:val="single" w:color="auto" w:sz="8" w:space="0"/>
              <w:right w:val="single" w:color="auto" w:sz="8" w:space="0"/>
            </w:tcBorders>
            <w:vAlign w:val="center"/>
          </w:tcPr>
          <w:p>
            <w:pPr>
              <w:rPr>
                <w:rFonts w:hAnsi="宋体" w:cs="宋体"/>
                <w:color w:val="auto"/>
                <w:sz w:val="21"/>
                <w:szCs w:val="21"/>
              </w:rPr>
            </w:pPr>
          </w:p>
        </w:tc>
        <w:tc>
          <w:tcPr>
            <w:tcW w:w="731"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r>
              <w:rPr>
                <w:rFonts w:hint="eastAsia" w:hAnsi="宋体" w:cs="宋体"/>
                <w:color w:val="auto"/>
                <w:sz w:val="21"/>
                <w:szCs w:val="21"/>
              </w:rPr>
              <w:t>8-10分</w:t>
            </w:r>
          </w:p>
        </w:tc>
        <w:tc>
          <w:tcPr>
            <w:tcW w:w="764"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r>
              <w:rPr>
                <w:rFonts w:hint="eastAsia" w:hAnsi="宋体" w:cs="宋体"/>
                <w:color w:val="auto"/>
                <w:sz w:val="21"/>
                <w:szCs w:val="21"/>
              </w:rPr>
              <w:t>5-7分</w:t>
            </w:r>
          </w:p>
        </w:tc>
        <w:tc>
          <w:tcPr>
            <w:tcW w:w="995"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r>
              <w:rPr>
                <w:rFonts w:hint="eastAsia" w:hAnsi="宋体" w:cs="宋体"/>
                <w:color w:val="auto"/>
                <w:sz w:val="21"/>
                <w:szCs w:val="21"/>
              </w:rPr>
              <w:t>5分以下</w:t>
            </w:r>
          </w:p>
        </w:tc>
        <w:tc>
          <w:tcPr>
            <w:tcW w:w="764" w:type="dxa"/>
            <w:vMerge w:val="continue"/>
            <w:tcBorders>
              <w:top w:val="single" w:color="auto" w:sz="8" w:space="0"/>
              <w:left w:val="single" w:color="auto" w:sz="8" w:space="0"/>
              <w:bottom w:val="single" w:color="auto" w:sz="8" w:space="0"/>
              <w:right w:val="single" w:color="auto" w:sz="8" w:space="0"/>
            </w:tcBorders>
            <w:vAlign w:val="center"/>
          </w:tcPr>
          <w:p>
            <w:pPr>
              <w:rPr>
                <w:rFonts w:hAnsi="宋体" w:cs="宋体"/>
                <w:color w:val="auto"/>
                <w:sz w:val="21"/>
                <w:szCs w:val="21"/>
              </w:rPr>
            </w:pPr>
          </w:p>
        </w:tc>
      </w:tr>
      <w:tr>
        <w:tblPrEx>
          <w:tblCellMar>
            <w:top w:w="0" w:type="dxa"/>
            <w:left w:w="108" w:type="dxa"/>
            <w:bottom w:w="0" w:type="dxa"/>
            <w:right w:w="108" w:type="dxa"/>
          </w:tblCellMar>
        </w:tblPrEx>
        <w:trPr>
          <w:trHeight w:val="55" w:hRule="atLeast"/>
        </w:trPr>
        <w:tc>
          <w:tcPr>
            <w:tcW w:w="1084"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r>
              <w:rPr>
                <w:rFonts w:hint="eastAsia" w:hAnsi="宋体" w:cs="宋体"/>
                <w:color w:val="auto"/>
                <w:sz w:val="21"/>
                <w:szCs w:val="21"/>
              </w:rPr>
              <w:t>一、送货时间</w:t>
            </w:r>
          </w:p>
        </w:tc>
        <w:tc>
          <w:tcPr>
            <w:tcW w:w="559"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r>
              <w:rPr>
                <w:rFonts w:hint="eastAsia" w:hAnsi="宋体" w:cs="宋体"/>
                <w:color w:val="auto"/>
                <w:sz w:val="21"/>
                <w:szCs w:val="21"/>
              </w:rPr>
              <w:t>10</w:t>
            </w:r>
          </w:p>
        </w:tc>
        <w:tc>
          <w:tcPr>
            <w:tcW w:w="3913" w:type="dxa"/>
            <w:tcBorders>
              <w:top w:val="single" w:color="auto" w:sz="8" w:space="0"/>
              <w:left w:val="single" w:color="auto" w:sz="8" w:space="0"/>
              <w:bottom w:val="single" w:color="auto" w:sz="8" w:space="0"/>
              <w:right w:val="single" w:color="auto" w:sz="8" w:space="0"/>
            </w:tcBorders>
            <w:vAlign w:val="center"/>
          </w:tcPr>
          <w:p>
            <w:pPr>
              <w:jc w:val="both"/>
              <w:rPr>
                <w:rFonts w:hAnsi="宋体" w:cs="宋体"/>
                <w:color w:val="auto"/>
                <w:sz w:val="21"/>
                <w:szCs w:val="21"/>
              </w:rPr>
            </w:pPr>
            <w:r>
              <w:rPr>
                <w:rFonts w:hint="eastAsia" w:hAnsi="宋体" w:cs="宋体"/>
                <w:color w:val="auto"/>
                <w:sz w:val="21"/>
                <w:szCs w:val="21"/>
              </w:rPr>
              <w:t>非不可抗拒情况下：本月内每次送货准时得8-10分；本月内2次不准时但能与食堂方及时沟通得5-7分，不沟通或沟通不及时3次得5分以下。</w:t>
            </w:r>
          </w:p>
        </w:tc>
        <w:tc>
          <w:tcPr>
            <w:tcW w:w="731"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p>
        </w:tc>
        <w:tc>
          <w:tcPr>
            <w:tcW w:w="764"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p>
        </w:tc>
        <w:tc>
          <w:tcPr>
            <w:tcW w:w="995"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p>
        </w:tc>
        <w:tc>
          <w:tcPr>
            <w:tcW w:w="764"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p>
        </w:tc>
      </w:tr>
      <w:tr>
        <w:tblPrEx>
          <w:tblCellMar>
            <w:top w:w="0" w:type="dxa"/>
            <w:left w:w="108" w:type="dxa"/>
            <w:bottom w:w="0" w:type="dxa"/>
            <w:right w:w="108" w:type="dxa"/>
          </w:tblCellMar>
        </w:tblPrEx>
        <w:trPr>
          <w:trHeight w:val="327" w:hRule="atLeast"/>
        </w:trPr>
        <w:tc>
          <w:tcPr>
            <w:tcW w:w="1084"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r>
              <w:rPr>
                <w:rFonts w:hint="eastAsia" w:hAnsi="宋体" w:cs="宋体"/>
                <w:color w:val="auto"/>
                <w:sz w:val="21"/>
                <w:szCs w:val="21"/>
              </w:rPr>
              <w:t>二、服务态度</w:t>
            </w:r>
          </w:p>
        </w:tc>
        <w:tc>
          <w:tcPr>
            <w:tcW w:w="559"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r>
              <w:rPr>
                <w:rFonts w:hint="eastAsia" w:hAnsi="宋体" w:cs="宋体"/>
                <w:color w:val="auto"/>
                <w:sz w:val="21"/>
                <w:szCs w:val="21"/>
              </w:rPr>
              <w:t>10</w:t>
            </w:r>
          </w:p>
        </w:tc>
        <w:tc>
          <w:tcPr>
            <w:tcW w:w="3913" w:type="dxa"/>
            <w:tcBorders>
              <w:top w:val="single" w:color="auto" w:sz="8" w:space="0"/>
              <w:left w:val="single" w:color="auto" w:sz="8" w:space="0"/>
              <w:bottom w:val="single" w:color="auto" w:sz="8" w:space="0"/>
              <w:right w:val="single" w:color="auto" w:sz="8" w:space="0"/>
            </w:tcBorders>
            <w:vAlign w:val="center"/>
          </w:tcPr>
          <w:p>
            <w:pPr>
              <w:jc w:val="both"/>
              <w:rPr>
                <w:rFonts w:hAnsi="宋体" w:cs="宋体"/>
                <w:color w:val="auto"/>
                <w:sz w:val="21"/>
                <w:szCs w:val="21"/>
              </w:rPr>
            </w:pPr>
            <w:r>
              <w:rPr>
                <w:rFonts w:hint="eastAsia" w:hAnsi="宋体" w:cs="宋体"/>
                <w:color w:val="auto"/>
                <w:sz w:val="21"/>
                <w:szCs w:val="21"/>
              </w:rPr>
              <w:t>工作人员工作认真，服务热情周到，运送搬装文明得8-10分；本月内发现因搬装等原因造成食物污染、破损2次得5-7分；发生3次以上情况5分以下。</w:t>
            </w:r>
          </w:p>
        </w:tc>
        <w:tc>
          <w:tcPr>
            <w:tcW w:w="731"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p>
        </w:tc>
        <w:tc>
          <w:tcPr>
            <w:tcW w:w="764"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p>
        </w:tc>
        <w:tc>
          <w:tcPr>
            <w:tcW w:w="995"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p>
        </w:tc>
        <w:tc>
          <w:tcPr>
            <w:tcW w:w="764"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p>
        </w:tc>
      </w:tr>
      <w:tr>
        <w:tblPrEx>
          <w:tblCellMar>
            <w:top w:w="0" w:type="dxa"/>
            <w:left w:w="108" w:type="dxa"/>
            <w:bottom w:w="0" w:type="dxa"/>
            <w:right w:w="108" w:type="dxa"/>
          </w:tblCellMar>
        </w:tblPrEx>
        <w:trPr>
          <w:trHeight w:val="159" w:hRule="atLeast"/>
        </w:trPr>
        <w:tc>
          <w:tcPr>
            <w:tcW w:w="1084"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r>
              <w:rPr>
                <w:rFonts w:hint="eastAsia" w:hAnsi="宋体" w:cs="宋体"/>
                <w:color w:val="auto"/>
                <w:sz w:val="21"/>
                <w:szCs w:val="21"/>
              </w:rPr>
              <w:t>三、差错情况</w:t>
            </w:r>
          </w:p>
        </w:tc>
        <w:tc>
          <w:tcPr>
            <w:tcW w:w="559"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r>
              <w:rPr>
                <w:rFonts w:hint="eastAsia" w:hAnsi="宋体" w:cs="宋体"/>
                <w:color w:val="auto"/>
                <w:sz w:val="21"/>
                <w:szCs w:val="21"/>
              </w:rPr>
              <w:t>10</w:t>
            </w:r>
          </w:p>
        </w:tc>
        <w:tc>
          <w:tcPr>
            <w:tcW w:w="3913" w:type="dxa"/>
            <w:tcBorders>
              <w:top w:val="single" w:color="auto" w:sz="8" w:space="0"/>
              <w:left w:val="single" w:color="auto" w:sz="8" w:space="0"/>
              <w:bottom w:val="single" w:color="auto" w:sz="8" w:space="0"/>
              <w:right w:val="single" w:color="auto" w:sz="8" w:space="0"/>
            </w:tcBorders>
            <w:vAlign w:val="center"/>
          </w:tcPr>
          <w:p>
            <w:pPr>
              <w:jc w:val="both"/>
              <w:rPr>
                <w:rFonts w:hAnsi="宋体" w:cs="宋体"/>
                <w:color w:val="auto"/>
                <w:sz w:val="21"/>
                <w:szCs w:val="21"/>
              </w:rPr>
            </w:pPr>
            <w:r>
              <w:rPr>
                <w:rFonts w:hint="eastAsia" w:hAnsi="宋体" w:cs="宋体"/>
                <w:color w:val="auto"/>
                <w:sz w:val="21"/>
                <w:szCs w:val="21"/>
              </w:rPr>
              <w:t>本月内每次送货无差错得8-10分；有2次差错但能及时补救得5-7分；4次出错且补救不及时5分以下。</w:t>
            </w:r>
          </w:p>
        </w:tc>
        <w:tc>
          <w:tcPr>
            <w:tcW w:w="731"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p>
        </w:tc>
        <w:tc>
          <w:tcPr>
            <w:tcW w:w="764"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p>
        </w:tc>
        <w:tc>
          <w:tcPr>
            <w:tcW w:w="995"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p>
        </w:tc>
        <w:tc>
          <w:tcPr>
            <w:tcW w:w="764"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p>
        </w:tc>
      </w:tr>
      <w:tr>
        <w:tblPrEx>
          <w:tblCellMar>
            <w:top w:w="0" w:type="dxa"/>
            <w:left w:w="108" w:type="dxa"/>
            <w:bottom w:w="0" w:type="dxa"/>
            <w:right w:w="108" w:type="dxa"/>
          </w:tblCellMar>
        </w:tblPrEx>
        <w:trPr>
          <w:trHeight w:val="90" w:hRule="atLeast"/>
        </w:trPr>
        <w:tc>
          <w:tcPr>
            <w:tcW w:w="1084"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r>
              <w:rPr>
                <w:rFonts w:hint="eastAsia" w:hAnsi="宋体" w:cs="宋体"/>
                <w:color w:val="auto"/>
                <w:sz w:val="21"/>
                <w:szCs w:val="21"/>
              </w:rPr>
              <w:t>四、足斤足两</w:t>
            </w:r>
          </w:p>
        </w:tc>
        <w:tc>
          <w:tcPr>
            <w:tcW w:w="559"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r>
              <w:rPr>
                <w:rFonts w:hint="eastAsia" w:hAnsi="宋体" w:cs="宋体"/>
                <w:color w:val="auto"/>
                <w:sz w:val="21"/>
                <w:szCs w:val="21"/>
              </w:rPr>
              <w:t>10</w:t>
            </w:r>
          </w:p>
        </w:tc>
        <w:tc>
          <w:tcPr>
            <w:tcW w:w="3913" w:type="dxa"/>
            <w:tcBorders>
              <w:top w:val="single" w:color="auto" w:sz="8" w:space="0"/>
              <w:left w:val="single" w:color="auto" w:sz="8" w:space="0"/>
              <w:bottom w:val="single" w:color="auto" w:sz="8" w:space="0"/>
              <w:right w:val="single" w:color="auto" w:sz="8" w:space="0"/>
            </w:tcBorders>
            <w:vAlign w:val="center"/>
          </w:tcPr>
          <w:p>
            <w:pPr>
              <w:jc w:val="both"/>
              <w:rPr>
                <w:rFonts w:hAnsi="宋体" w:cs="宋体"/>
                <w:color w:val="auto"/>
                <w:sz w:val="21"/>
                <w:szCs w:val="21"/>
              </w:rPr>
            </w:pPr>
            <w:r>
              <w:rPr>
                <w:rFonts w:hint="eastAsia" w:hAnsi="宋体" w:cs="宋体"/>
                <w:color w:val="auto"/>
                <w:sz w:val="21"/>
                <w:szCs w:val="21"/>
              </w:rPr>
              <w:t>本月内送货没有出现短斤缺两现象得8-10分；2次出现短近缺两但能及时更正得5-7分；上述情况发生且不能及时更正3次得5分以下。</w:t>
            </w:r>
          </w:p>
        </w:tc>
        <w:tc>
          <w:tcPr>
            <w:tcW w:w="731"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p>
        </w:tc>
        <w:tc>
          <w:tcPr>
            <w:tcW w:w="764"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p>
        </w:tc>
        <w:tc>
          <w:tcPr>
            <w:tcW w:w="995"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p>
        </w:tc>
        <w:tc>
          <w:tcPr>
            <w:tcW w:w="764"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p>
        </w:tc>
      </w:tr>
      <w:tr>
        <w:tblPrEx>
          <w:tblCellMar>
            <w:top w:w="0" w:type="dxa"/>
            <w:left w:w="108" w:type="dxa"/>
            <w:bottom w:w="0" w:type="dxa"/>
            <w:right w:w="108" w:type="dxa"/>
          </w:tblCellMar>
        </w:tblPrEx>
        <w:trPr>
          <w:trHeight w:val="1092" w:hRule="atLeast"/>
        </w:trPr>
        <w:tc>
          <w:tcPr>
            <w:tcW w:w="1084"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r>
              <w:rPr>
                <w:rFonts w:hint="eastAsia" w:hAnsi="宋体" w:cs="宋体"/>
                <w:color w:val="auto"/>
                <w:sz w:val="21"/>
                <w:szCs w:val="21"/>
              </w:rPr>
              <w:t>五、价格与质量合理性</w:t>
            </w:r>
          </w:p>
        </w:tc>
        <w:tc>
          <w:tcPr>
            <w:tcW w:w="559"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r>
              <w:rPr>
                <w:rFonts w:hint="eastAsia" w:hAnsi="宋体" w:cs="宋体"/>
                <w:color w:val="auto"/>
                <w:sz w:val="21"/>
                <w:szCs w:val="21"/>
              </w:rPr>
              <w:t>10</w:t>
            </w:r>
          </w:p>
        </w:tc>
        <w:tc>
          <w:tcPr>
            <w:tcW w:w="3913" w:type="dxa"/>
            <w:tcBorders>
              <w:top w:val="single" w:color="auto" w:sz="8" w:space="0"/>
              <w:left w:val="single" w:color="auto" w:sz="8" w:space="0"/>
              <w:bottom w:val="single" w:color="auto" w:sz="8" w:space="0"/>
              <w:right w:val="single" w:color="auto" w:sz="8" w:space="0"/>
            </w:tcBorders>
            <w:vAlign w:val="center"/>
          </w:tcPr>
          <w:p>
            <w:pPr>
              <w:jc w:val="both"/>
              <w:rPr>
                <w:rFonts w:hAnsi="宋体" w:cs="宋体"/>
                <w:color w:val="auto"/>
                <w:sz w:val="21"/>
                <w:szCs w:val="21"/>
              </w:rPr>
            </w:pPr>
            <w:r>
              <w:rPr>
                <w:rFonts w:hint="eastAsia" w:hAnsi="宋体" w:cs="宋体"/>
                <w:color w:val="auto"/>
                <w:sz w:val="21"/>
                <w:szCs w:val="21"/>
              </w:rPr>
              <w:t>按照菜篮子价格与指定市场的同等价格品种的质量相比较，价格合理下浮得8-10分；对比市场价，价格有偏高20％，得5-7分；价格高于市场价30％，得5分以下。</w:t>
            </w:r>
          </w:p>
        </w:tc>
        <w:tc>
          <w:tcPr>
            <w:tcW w:w="731"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p>
        </w:tc>
        <w:tc>
          <w:tcPr>
            <w:tcW w:w="764"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p>
        </w:tc>
        <w:tc>
          <w:tcPr>
            <w:tcW w:w="995"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p>
        </w:tc>
        <w:tc>
          <w:tcPr>
            <w:tcW w:w="764"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p>
        </w:tc>
      </w:tr>
      <w:tr>
        <w:tblPrEx>
          <w:tblCellMar>
            <w:top w:w="0" w:type="dxa"/>
            <w:left w:w="108" w:type="dxa"/>
            <w:bottom w:w="0" w:type="dxa"/>
            <w:right w:w="108" w:type="dxa"/>
          </w:tblCellMar>
        </w:tblPrEx>
        <w:trPr>
          <w:trHeight w:val="1208" w:hRule="atLeast"/>
        </w:trPr>
        <w:tc>
          <w:tcPr>
            <w:tcW w:w="1084"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r>
              <w:rPr>
                <w:rFonts w:hint="eastAsia" w:hAnsi="宋体" w:cs="宋体"/>
                <w:color w:val="auto"/>
                <w:sz w:val="21"/>
                <w:szCs w:val="21"/>
              </w:rPr>
              <w:t>六、质量服务</w:t>
            </w:r>
          </w:p>
        </w:tc>
        <w:tc>
          <w:tcPr>
            <w:tcW w:w="559"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r>
              <w:rPr>
                <w:rFonts w:hint="eastAsia" w:hAnsi="宋体" w:cs="宋体"/>
                <w:color w:val="auto"/>
                <w:sz w:val="21"/>
                <w:szCs w:val="21"/>
              </w:rPr>
              <w:t>10</w:t>
            </w:r>
          </w:p>
        </w:tc>
        <w:tc>
          <w:tcPr>
            <w:tcW w:w="3913" w:type="dxa"/>
            <w:tcBorders>
              <w:top w:val="single" w:color="auto" w:sz="8" w:space="0"/>
              <w:left w:val="single" w:color="auto" w:sz="8" w:space="0"/>
              <w:bottom w:val="single" w:color="auto" w:sz="8" w:space="0"/>
              <w:right w:val="single" w:color="auto" w:sz="8" w:space="0"/>
            </w:tcBorders>
            <w:vAlign w:val="center"/>
          </w:tcPr>
          <w:p>
            <w:pPr>
              <w:jc w:val="both"/>
              <w:rPr>
                <w:rFonts w:hAnsi="宋体" w:cs="宋体"/>
                <w:color w:val="auto"/>
                <w:sz w:val="21"/>
                <w:szCs w:val="21"/>
              </w:rPr>
            </w:pPr>
            <w:r>
              <w:rPr>
                <w:rFonts w:hint="eastAsia" w:hAnsi="宋体" w:cs="宋体"/>
                <w:color w:val="auto"/>
                <w:sz w:val="21"/>
                <w:szCs w:val="21"/>
              </w:rPr>
              <w:t>所供商品经过挑选后利用率达到98%得 8-10分，本月内3次发现商品利用率在 97%-90%，得5-7分；4次发现未经挑选并有腐烂情况的质量问题得5分以下。</w:t>
            </w:r>
          </w:p>
        </w:tc>
        <w:tc>
          <w:tcPr>
            <w:tcW w:w="731"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p>
        </w:tc>
        <w:tc>
          <w:tcPr>
            <w:tcW w:w="764"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p>
        </w:tc>
        <w:tc>
          <w:tcPr>
            <w:tcW w:w="995"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p>
        </w:tc>
        <w:tc>
          <w:tcPr>
            <w:tcW w:w="764"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p>
        </w:tc>
      </w:tr>
      <w:tr>
        <w:tblPrEx>
          <w:tblCellMar>
            <w:top w:w="0" w:type="dxa"/>
            <w:left w:w="108" w:type="dxa"/>
            <w:bottom w:w="0" w:type="dxa"/>
            <w:right w:w="108" w:type="dxa"/>
          </w:tblCellMar>
        </w:tblPrEx>
        <w:trPr>
          <w:trHeight w:val="1098" w:hRule="atLeast"/>
        </w:trPr>
        <w:tc>
          <w:tcPr>
            <w:tcW w:w="1084"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r>
              <w:rPr>
                <w:rFonts w:hint="eastAsia" w:hAnsi="宋体" w:cs="宋体"/>
                <w:color w:val="auto"/>
                <w:sz w:val="21"/>
                <w:szCs w:val="21"/>
              </w:rPr>
              <w:t>七、品牌意识</w:t>
            </w:r>
          </w:p>
        </w:tc>
        <w:tc>
          <w:tcPr>
            <w:tcW w:w="559"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r>
              <w:rPr>
                <w:rFonts w:hint="eastAsia" w:hAnsi="宋体" w:cs="宋体"/>
                <w:color w:val="auto"/>
                <w:sz w:val="21"/>
                <w:szCs w:val="21"/>
              </w:rPr>
              <w:t>10</w:t>
            </w:r>
          </w:p>
        </w:tc>
        <w:tc>
          <w:tcPr>
            <w:tcW w:w="3913" w:type="dxa"/>
            <w:tcBorders>
              <w:top w:val="single" w:color="auto" w:sz="8" w:space="0"/>
              <w:left w:val="single" w:color="auto" w:sz="8" w:space="0"/>
              <w:bottom w:val="single" w:color="auto" w:sz="8" w:space="0"/>
              <w:right w:val="single" w:color="auto" w:sz="8" w:space="0"/>
            </w:tcBorders>
            <w:vAlign w:val="center"/>
          </w:tcPr>
          <w:p>
            <w:pPr>
              <w:jc w:val="both"/>
              <w:rPr>
                <w:rFonts w:hAnsi="宋体" w:cs="宋体"/>
                <w:color w:val="auto"/>
                <w:sz w:val="21"/>
                <w:szCs w:val="21"/>
              </w:rPr>
            </w:pPr>
            <w:r>
              <w:rPr>
                <w:rFonts w:hint="eastAsia" w:hAnsi="宋体" w:cs="宋体"/>
                <w:color w:val="auto"/>
                <w:sz w:val="21"/>
                <w:szCs w:val="21"/>
              </w:rPr>
              <w:t>按食堂发出的订单品种采购，无擅自更换商品品种现象8-10分；本月内发现有3次擅自更换商品品种现象得5-7分，发现 4次擅自更换商品品种现象得5分以下。</w:t>
            </w:r>
          </w:p>
        </w:tc>
        <w:tc>
          <w:tcPr>
            <w:tcW w:w="731"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p>
        </w:tc>
        <w:tc>
          <w:tcPr>
            <w:tcW w:w="764"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p>
        </w:tc>
        <w:tc>
          <w:tcPr>
            <w:tcW w:w="995"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p>
        </w:tc>
        <w:tc>
          <w:tcPr>
            <w:tcW w:w="764"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p>
        </w:tc>
      </w:tr>
      <w:tr>
        <w:tblPrEx>
          <w:tblCellMar>
            <w:top w:w="0" w:type="dxa"/>
            <w:left w:w="108" w:type="dxa"/>
            <w:bottom w:w="0" w:type="dxa"/>
            <w:right w:w="108" w:type="dxa"/>
          </w:tblCellMar>
        </w:tblPrEx>
        <w:trPr>
          <w:trHeight w:val="1072" w:hRule="atLeast"/>
        </w:trPr>
        <w:tc>
          <w:tcPr>
            <w:tcW w:w="1084"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r>
              <w:rPr>
                <w:rFonts w:hint="eastAsia" w:hAnsi="宋体" w:cs="宋体"/>
                <w:color w:val="auto"/>
                <w:sz w:val="21"/>
                <w:szCs w:val="21"/>
              </w:rPr>
              <w:t>八、联系制度</w:t>
            </w:r>
          </w:p>
        </w:tc>
        <w:tc>
          <w:tcPr>
            <w:tcW w:w="559"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r>
              <w:rPr>
                <w:rFonts w:hint="eastAsia" w:hAnsi="宋体" w:cs="宋体"/>
                <w:color w:val="auto"/>
                <w:sz w:val="21"/>
                <w:szCs w:val="21"/>
              </w:rPr>
              <w:t>10</w:t>
            </w:r>
          </w:p>
        </w:tc>
        <w:tc>
          <w:tcPr>
            <w:tcW w:w="3913" w:type="dxa"/>
            <w:tcBorders>
              <w:top w:val="single" w:color="auto" w:sz="8" w:space="0"/>
              <w:left w:val="single" w:color="auto" w:sz="8" w:space="0"/>
              <w:bottom w:val="single" w:color="auto" w:sz="8" w:space="0"/>
              <w:right w:val="single" w:color="auto" w:sz="8" w:space="0"/>
            </w:tcBorders>
            <w:vAlign w:val="center"/>
          </w:tcPr>
          <w:p>
            <w:pPr>
              <w:jc w:val="both"/>
              <w:rPr>
                <w:rFonts w:hAnsi="宋体" w:cs="宋体"/>
                <w:color w:val="auto"/>
                <w:sz w:val="21"/>
                <w:szCs w:val="21"/>
              </w:rPr>
            </w:pPr>
            <w:r>
              <w:rPr>
                <w:rFonts w:hint="eastAsia" w:hAnsi="宋体" w:cs="宋体"/>
                <w:color w:val="auto"/>
                <w:sz w:val="21"/>
                <w:szCs w:val="21"/>
              </w:rPr>
              <w:t>更换商品前，与食堂联系并谈妥商事项，得8-10分；本月内2次更改商品单方定价得5-7分；本月内3次出现更改商品单方定价得5分以下。</w:t>
            </w:r>
          </w:p>
        </w:tc>
        <w:tc>
          <w:tcPr>
            <w:tcW w:w="731"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p>
        </w:tc>
        <w:tc>
          <w:tcPr>
            <w:tcW w:w="764"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p>
        </w:tc>
        <w:tc>
          <w:tcPr>
            <w:tcW w:w="995"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p>
        </w:tc>
        <w:tc>
          <w:tcPr>
            <w:tcW w:w="764"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p>
        </w:tc>
      </w:tr>
      <w:tr>
        <w:tblPrEx>
          <w:tblCellMar>
            <w:top w:w="0" w:type="dxa"/>
            <w:left w:w="108" w:type="dxa"/>
            <w:bottom w:w="0" w:type="dxa"/>
            <w:right w:w="108" w:type="dxa"/>
          </w:tblCellMar>
        </w:tblPrEx>
        <w:trPr>
          <w:trHeight w:val="59" w:hRule="atLeast"/>
        </w:trPr>
        <w:tc>
          <w:tcPr>
            <w:tcW w:w="1084"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r>
              <w:rPr>
                <w:rFonts w:hint="eastAsia" w:hAnsi="宋体" w:cs="宋体"/>
                <w:color w:val="auto"/>
                <w:sz w:val="21"/>
                <w:szCs w:val="21"/>
              </w:rPr>
              <w:t>九、跟踪随访</w:t>
            </w:r>
          </w:p>
        </w:tc>
        <w:tc>
          <w:tcPr>
            <w:tcW w:w="559"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r>
              <w:rPr>
                <w:rFonts w:hint="eastAsia" w:hAnsi="宋体" w:cs="宋体"/>
                <w:color w:val="auto"/>
                <w:sz w:val="21"/>
                <w:szCs w:val="21"/>
              </w:rPr>
              <w:t>10</w:t>
            </w:r>
          </w:p>
        </w:tc>
        <w:tc>
          <w:tcPr>
            <w:tcW w:w="3913" w:type="dxa"/>
            <w:tcBorders>
              <w:top w:val="single" w:color="auto" w:sz="8" w:space="0"/>
              <w:left w:val="single" w:color="auto" w:sz="8" w:space="0"/>
              <w:bottom w:val="single" w:color="auto" w:sz="8" w:space="0"/>
              <w:right w:val="single" w:color="auto" w:sz="8" w:space="0"/>
            </w:tcBorders>
            <w:vAlign w:val="center"/>
          </w:tcPr>
          <w:p>
            <w:pPr>
              <w:jc w:val="both"/>
              <w:rPr>
                <w:rFonts w:hAnsi="宋体" w:cs="宋体"/>
                <w:color w:val="auto"/>
                <w:sz w:val="21"/>
                <w:szCs w:val="21"/>
              </w:rPr>
            </w:pPr>
            <w:r>
              <w:rPr>
                <w:rFonts w:hint="eastAsia" w:hAnsi="宋体" w:cs="宋体"/>
                <w:color w:val="auto"/>
                <w:sz w:val="21"/>
                <w:szCs w:val="21"/>
              </w:rPr>
              <w:t>供货商能主动到食堂随访，倾听食堂意见，每月2次得8-10分，供货商每月回访食堂1次得5-0分。</w:t>
            </w:r>
          </w:p>
        </w:tc>
        <w:tc>
          <w:tcPr>
            <w:tcW w:w="731"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p>
        </w:tc>
        <w:tc>
          <w:tcPr>
            <w:tcW w:w="764"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p>
        </w:tc>
        <w:tc>
          <w:tcPr>
            <w:tcW w:w="995"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p>
        </w:tc>
        <w:tc>
          <w:tcPr>
            <w:tcW w:w="764"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p>
        </w:tc>
      </w:tr>
      <w:tr>
        <w:tblPrEx>
          <w:tblCellMar>
            <w:top w:w="0" w:type="dxa"/>
            <w:left w:w="108" w:type="dxa"/>
            <w:bottom w:w="0" w:type="dxa"/>
            <w:right w:w="108" w:type="dxa"/>
          </w:tblCellMar>
        </w:tblPrEx>
        <w:trPr>
          <w:trHeight w:val="879" w:hRule="atLeast"/>
        </w:trPr>
        <w:tc>
          <w:tcPr>
            <w:tcW w:w="1084"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r>
              <w:rPr>
                <w:rFonts w:hint="eastAsia" w:hAnsi="宋体" w:cs="宋体"/>
                <w:color w:val="auto"/>
                <w:sz w:val="21"/>
                <w:szCs w:val="21"/>
              </w:rPr>
              <w:t>十、检测资料</w:t>
            </w:r>
          </w:p>
        </w:tc>
        <w:tc>
          <w:tcPr>
            <w:tcW w:w="559"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r>
              <w:rPr>
                <w:rFonts w:hint="eastAsia" w:hAnsi="宋体" w:cs="宋体"/>
                <w:color w:val="auto"/>
                <w:sz w:val="21"/>
                <w:szCs w:val="21"/>
              </w:rPr>
              <w:t>10</w:t>
            </w:r>
          </w:p>
        </w:tc>
        <w:tc>
          <w:tcPr>
            <w:tcW w:w="3913" w:type="dxa"/>
            <w:tcBorders>
              <w:top w:val="single" w:color="auto" w:sz="8" w:space="0"/>
              <w:left w:val="single" w:color="auto" w:sz="8" w:space="0"/>
              <w:bottom w:val="single" w:color="auto" w:sz="8" w:space="0"/>
              <w:right w:val="single" w:color="auto" w:sz="8" w:space="0"/>
            </w:tcBorders>
            <w:vAlign w:val="center"/>
          </w:tcPr>
          <w:p>
            <w:pPr>
              <w:jc w:val="both"/>
              <w:rPr>
                <w:rFonts w:hAnsi="宋体" w:cs="宋体"/>
                <w:color w:val="auto"/>
                <w:sz w:val="21"/>
                <w:szCs w:val="21"/>
              </w:rPr>
            </w:pPr>
            <w:r>
              <w:rPr>
                <w:rFonts w:hint="eastAsia" w:hAnsi="宋体" w:cs="宋体"/>
                <w:color w:val="auto"/>
                <w:sz w:val="21"/>
                <w:szCs w:val="21"/>
              </w:rPr>
              <w:t>本月内向食堂提供全部有关商品的检测资料得8-10分；遗漏2次但当月内可以及时补交的得5分，遗漏2次以上没有在当月份补充的得3分以下。</w:t>
            </w:r>
          </w:p>
        </w:tc>
        <w:tc>
          <w:tcPr>
            <w:tcW w:w="731"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p>
        </w:tc>
        <w:tc>
          <w:tcPr>
            <w:tcW w:w="764"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p>
        </w:tc>
        <w:tc>
          <w:tcPr>
            <w:tcW w:w="995"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p>
        </w:tc>
        <w:tc>
          <w:tcPr>
            <w:tcW w:w="764"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p>
        </w:tc>
      </w:tr>
      <w:tr>
        <w:tblPrEx>
          <w:tblCellMar>
            <w:top w:w="0" w:type="dxa"/>
            <w:left w:w="108" w:type="dxa"/>
            <w:bottom w:w="0" w:type="dxa"/>
            <w:right w:w="108" w:type="dxa"/>
          </w:tblCellMar>
        </w:tblPrEx>
        <w:trPr>
          <w:trHeight w:val="395" w:hRule="atLeast"/>
        </w:trPr>
        <w:tc>
          <w:tcPr>
            <w:tcW w:w="1643" w:type="dxa"/>
            <w:gridSpan w:val="2"/>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r>
              <w:rPr>
                <w:rFonts w:hint="eastAsia" w:hAnsi="宋体" w:cs="宋体"/>
                <w:color w:val="auto"/>
                <w:sz w:val="21"/>
                <w:szCs w:val="21"/>
              </w:rPr>
              <w:t>一票否决项</w:t>
            </w:r>
          </w:p>
        </w:tc>
        <w:tc>
          <w:tcPr>
            <w:tcW w:w="3913" w:type="dxa"/>
            <w:tcBorders>
              <w:top w:val="single" w:color="auto" w:sz="8" w:space="0"/>
              <w:left w:val="single" w:color="auto" w:sz="8" w:space="0"/>
              <w:bottom w:val="single" w:color="auto" w:sz="8" w:space="0"/>
              <w:right w:val="single" w:color="auto" w:sz="8" w:space="0"/>
            </w:tcBorders>
            <w:vAlign w:val="center"/>
          </w:tcPr>
          <w:p>
            <w:pPr>
              <w:jc w:val="both"/>
              <w:rPr>
                <w:rFonts w:hint="default" w:hAnsi="宋体" w:eastAsia="宋体" w:cs="宋体"/>
                <w:color w:val="auto"/>
                <w:sz w:val="21"/>
                <w:szCs w:val="21"/>
                <w:lang w:val="en-US" w:eastAsia="zh-CN"/>
              </w:rPr>
            </w:pPr>
            <w:r>
              <w:rPr>
                <w:rFonts w:hint="eastAsia" w:hAnsi="宋体" w:cs="宋体"/>
                <w:color w:val="auto"/>
                <w:sz w:val="21"/>
                <w:szCs w:val="21"/>
              </w:rPr>
              <w:t>1、食堂发现假冒伪劣、腐败变质、三无产品；2、商品由他人代送，经整改无效；3、要求检测的商品未经检测，且未按要求限时整改。</w:t>
            </w:r>
            <w:r>
              <w:rPr>
                <w:rFonts w:hint="eastAsia" w:hAnsi="宋体" w:cs="宋体"/>
                <w:color w:val="auto"/>
                <w:sz w:val="21"/>
                <w:szCs w:val="21"/>
                <w:lang w:val="en-US" w:eastAsia="zh-CN"/>
              </w:rPr>
              <w:t>4.配送食材经有资质单位检测出超出国家相关标准的，且未按要求限时整改。</w:t>
            </w:r>
          </w:p>
        </w:tc>
        <w:tc>
          <w:tcPr>
            <w:tcW w:w="3254" w:type="dxa"/>
            <w:gridSpan w:val="4"/>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p>
        </w:tc>
      </w:tr>
      <w:tr>
        <w:tblPrEx>
          <w:tblCellMar>
            <w:top w:w="0" w:type="dxa"/>
            <w:left w:w="108" w:type="dxa"/>
            <w:bottom w:w="0" w:type="dxa"/>
            <w:right w:w="108" w:type="dxa"/>
          </w:tblCellMar>
        </w:tblPrEx>
        <w:trPr>
          <w:trHeight w:val="285" w:hRule="atLeast"/>
        </w:trPr>
        <w:tc>
          <w:tcPr>
            <w:tcW w:w="8046" w:type="dxa"/>
            <w:gridSpan w:val="6"/>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r>
              <w:rPr>
                <w:rFonts w:hint="eastAsia" w:hAnsi="宋体" w:cs="宋体"/>
                <w:color w:val="auto"/>
                <w:sz w:val="21"/>
                <w:szCs w:val="21"/>
              </w:rPr>
              <w:t>总分</w:t>
            </w:r>
          </w:p>
        </w:tc>
        <w:tc>
          <w:tcPr>
            <w:tcW w:w="764"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p>
        </w:tc>
      </w:tr>
      <w:tr>
        <w:tblPrEx>
          <w:tblCellMar>
            <w:top w:w="0" w:type="dxa"/>
            <w:left w:w="108" w:type="dxa"/>
            <w:bottom w:w="0" w:type="dxa"/>
            <w:right w:w="108" w:type="dxa"/>
          </w:tblCellMar>
        </w:tblPrEx>
        <w:trPr>
          <w:trHeight w:val="285" w:hRule="atLeast"/>
        </w:trPr>
        <w:tc>
          <w:tcPr>
            <w:tcW w:w="5556" w:type="dxa"/>
            <w:gridSpan w:val="3"/>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r>
              <w:rPr>
                <w:rFonts w:hint="eastAsia" w:hAnsi="宋体" w:cs="宋体"/>
                <w:color w:val="auto"/>
                <w:sz w:val="21"/>
                <w:szCs w:val="21"/>
              </w:rPr>
              <w:t>考核结果：</w:t>
            </w:r>
          </w:p>
        </w:tc>
        <w:tc>
          <w:tcPr>
            <w:tcW w:w="731"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r>
              <w:rPr>
                <w:rFonts w:hint="eastAsia" w:hAnsi="宋体" w:cs="宋体"/>
                <w:color w:val="auto"/>
                <w:sz w:val="21"/>
                <w:szCs w:val="21"/>
              </w:rPr>
              <w:t>合格</w:t>
            </w:r>
          </w:p>
        </w:tc>
        <w:tc>
          <w:tcPr>
            <w:tcW w:w="764"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p>
        </w:tc>
        <w:tc>
          <w:tcPr>
            <w:tcW w:w="995"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r>
              <w:rPr>
                <w:rFonts w:hint="eastAsia" w:hAnsi="宋体" w:cs="宋体"/>
                <w:color w:val="auto"/>
                <w:sz w:val="21"/>
                <w:szCs w:val="21"/>
              </w:rPr>
              <w:t>不合格</w:t>
            </w:r>
          </w:p>
        </w:tc>
        <w:tc>
          <w:tcPr>
            <w:tcW w:w="764" w:type="dxa"/>
            <w:tcBorders>
              <w:top w:val="single" w:color="auto" w:sz="8" w:space="0"/>
              <w:left w:val="single" w:color="auto" w:sz="8" w:space="0"/>
              <w:bottom w:val="single" w:color="auto" w:sz="8" w:space="0"/>
              <w:right w:val="single" w:color="auto" w:sz="8" w:space="0"/>
            </w:tcBorders>
            <w:vAlign w:val="center"/>
          </w:tcPr>
          <w:p>
            <w:pPr>
              <w:jc w:val="center"/>
              <w:rPr>
                <w:rFonts w:hAnsi="宋体" w:cs="宋体"/>
                <w:color w:val="auto"/>
                <w:sz w:val="21"/>
                <w:szCs w:val="21"/>
              </w:rPr>
            </w:pPr>
          </w:p>
        </w:tc>
      </w:tr>
      <w:tr>
        <w:tblPrEx>
          <w:tblCellMar>
            <w:top w:w="0" w:type="dxa"/>
            <w:left w:w="108" w:type="dxa"/>
            <w:bottom w:w="0" w:type="dxa"/>
            <w:right w:w="108" w:type="dxa"/>
          </w:tblCellMar>
        </w:tblPrEx>
        <w:trPr>
          <w:trHeight w:val="285" w:hRule="atLeast"/>
        </w:trPr>
        <w:tc>
          <w:tcPr>
            <w:tcW w:w="8810" w:type="dxa"/>
            <w:gridSpan w:val="7"/>
            <w:tcBorders>
              <w:top w:val="single" w:color="auto" w:sz="8" w:space="0"/>
              <w:left w:val="single" w:color="auto" w:sz="8" w:space="0"/>
              <w:bottom w:val="single" w:color="auto" w:sz="8" w:space="0"/>
              <w:right w:val="single" w:color="auto" w:sz="8" w:space="0"/>
            </w:tcBorders>
            <w:vAlign w:val="center"/>
          </w:tcPr>
          <w:p>
            <w:pPr>
              <w:jc w:val="both"/>
              <w:rPr>
                <w:rFonts w:hAnsi="宋体" w:cs="宋体"/>
                <w:color w:val="auto"/>
                <w:sz w:val="21"/>
                <w:szCs w:val="21"/>
              </w:rPr>
            </w:pPr>
            <w:r>
              <w:rPr>
                <w:rFonts w:hint="eastAsia" w:hAnsi="宋体" w:cs="宋体"/>
                <w:color w:val="auto"/>
                <w:sz w:val="21"/>
                <w:szCs w:val="21"/>
              </w:rPr>
              <w:t>评分人：                                            部门负责人：</w:t>
            </w:r>
          </w:p>
        </w:tc>
      </w:tr>
    </w:tbl>
    <w:p>
      <w:pPr>
        <w:pStyle w:val="147"/>
        <w:spacing w:line="360" w:lineRule="auto"/>
        <w:ind w:firstLine="0" w:firstLineChars="0"/>
        <w:jc w:val="both"/>
        <w:rPr>
          <w:rFonts w:hAnsi="宋体" w:cs="宋体"/>
          <w:color w:val="auto"/>
          <w:sz w:val="21"/>
          <w:szCs w:val="21"/>
          <w:lang w:val="en-US"/>
        </w:rPr>
      </w:pPr>
    </w:p>
    <w:p>
      <w:pPr>
        <w:pStyle w:val="147"/>
        <w:spacing w:line="360" w:lineRule="auto"/>
        <w:ind w:firstLine="0" w:firstLineChars="0"/>
        <w:jc w:val="both"/>
        <w:rPr>
          <w:rFonts w:hAnsi="宋体" w:cs="宋体"/>
          <w:color w:val="auto"/>
          <w:sz w:val="21"/>
          <w:szCs w:val="21"/>
          <w:lang w:val="en-US"/>
        </w:rPr>
      </w:pPr>
    </w:p>
    <w:p>
      <w:pPr>
        <w:pStyle w:val="147"/>
        <w:spacing w:line="360" w:lineRule="auto"/>
        <w:ind w:firstLine="0" w:firstLineChars="0"/>
        <w:jc w:val="both"/>
        <w:rPr>
          <w:rFonts w:hAnsi="宋体" w:cs="宋体"/>
          <w:color w:val="auto"/>
          <w:sz w:val="21"/>
          <w:szCs w:val="21"/>
          <w:lang w:val="en-US"/>
        </w:rPr>
      </w:pPr>
      <w:r>
        <w:rPr>
          <w:rFonts w:hint="eastAsia" w:hAnsi="宋体" w:cs="宋体"/>
          <w:color w:val="auto"/>
          <w:sz w:val="21"/>
          <w:szCs w:val="21"/>
          <w:lang w:val="en-US"/>
        </w:rPr>
        <w:br w:type="page"/>
      </w:r>
      <w:r>
        <w:rPr>
          <w:rFonts w:hint="eastAsia" w:hAnsi="宋体" w:cs="宋体"/>
          <w:b/>
          <w:color w:val="auto"/>
          <w:sz w:val="21"/>
          <w:szCs w:val="21"/>
          <w:lang w:val="en-US"/>
        </w:rPr>
        <w:t>附件3</w:t>
      </w:r>
    </w:p>
    <w:p>
      <w:pPr>
        <w:jc w:val="center"/>
        <w:rPr>
          <w:rFonts w:hAnsi="宋体" w:cs="宋体"/>
          <w:b/>
          <w:bCs/>
          <w:color w:val="auto"/>
          <w:szCs w:val="21"/>
        </w:rPr>
      </w:pPr>
      <w:r>
        <w:rPr>
          <w:rFonts w:hint="eastAsia" w:ascii="宋体" w:hAnsi="宋体" w:eastAsia="宋体" w:cs="宋体"/>
          <w:color w:val="auto"/>
          <w:sz w:val="28"/>
          <w:szCs w:val="28"/>
        </w:rPr>
        <w:t>食堂供应商考核登记表</w:t>
      </w:r>
    </w:p>
    <w:p>
      <w:pPr>
        <w:ind w:firstLine="240" w:firstLineChars="100"/>
        <w:rPr>
          <w:rFonts w:hint="eastAsia" w:ascii="宋体" w:hAnsi="宋体" w:eastAsia="宋体" w:cs="宋体"/>
          <w:color w:val="auto"/>
          <w:szCs w:val="21"/>
        </w:rPr>
      </w:pPr>
      <w:r>
        <w:rPr>
          <w:rFonts w:hint="eastAsia" w:ascii="宋体" w:hAnsi="宋体" w:eastAsia="宋体" w:cs="宋体"/>
          <w:color w:val="auto"/>
          <w:szCs w:val="21"/>
        </w:rPr>
        <w:t>考核单位：                                            考核日期：  年  月  日</w:t>
      </w:r>
    </w:p>
    <w:tbl>
      <w:tblPr>
        <w:tblStyle w:val="48"/>
        <w:tblW w:w="86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1"/>
        <w:gridCol w:w="1066"/>
        <w:gridCol w:w="3900"/>
        <w:gridCol w:w="1303"/>
        <w:gridCol w:w="14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jc w:val="center"/>
        </w:trPr>
        <w:tc>
          <w:tcPr>
            <w:tcW w:w="981" w:type="dxa"/>
            <w:vAlign w:val="center"/>
          </w:tcPr>
          <w:p>
            <w:pPr>
              <w:jc w:val="center"/>
              <w:rPr>
                <w:rFonts w:hint="eastAsia" w:ascii="宋体" w:hAnsi="宋体" w:eastAsia="宋体" w:cs="宋体"/>
                <w:bCs/>
                <w:color w:val="auto"/>
                <w:szCs w:val="21"/>
              </w:rPr>
            </w:pPr>
            <w:r>
              <w:rPr>
                <w:rFonts w:hint="eastAsia" w:ascii="宋体" w:hAnsi="宋体" w:eastAsia="宋体" w:cs="宋体"/>
                <w:bCs/>
                <w:color w:val="auto"/>
                <w:szCs w:val="21"/>
              </w:rPr>
              <w:t>供应商名称</w:t>
            </w:r>
          </w:p>
        </w:tc>
        <w:tc>
          <w:tcPr>
            <w:tcW w:w="4966" w:type="dxa"/>
            <w:gridSpan w:val="2"/>
            <w:vAlign w:val="center"/>
          </w:tcPr>
          <w:p>
            <w:pPr>
              <w:jc w:val="center"/>
              <w:rPr>
                <w:rFonts w:hint="eastAsia" w:ascii="宋体" w:hAnsi="宋体" w:eastAsia="宋体" w:cs="宋体"/>
                <w:bCs/>
                <w:color w:val="auto"/>
                <w:szCs w:val="21"/>
              </w:rPr>
            </w:pPr>
          </w:p>
        </w:tc>
        <w:tc>
          <w:tcPr>
            <w:tcW w:w="1303" w:type="dxa"/>
            <w:vAlign w:val="center"/>
          </w:tcPr>
          <w:p>
            <w:pPr>
              <w:jc w:val="center"/>
              <w:rPr>
                <w:rFonts w:hint="eastAsia" w:ascii="宋体" w:hAnsi="宋体" w:eastAsia="宋体" w:cs="宋体"/>
                <w:bCs/>
                <w:color w:val="auto"/>
                <w:szCs w:val="21"/>
              </w:rPr>
            </w:pPr>
            <w:r>
              <w:rPr>
                <w:rFonts w:hint="eastAsia" w:ascii="宋体" w:hAnsi="宋体" w:eastAsia="宋体" w:cs="宋体"/>
                <w:bCs/>
                <w:color w:val="auto"/>
                <w:szCs w:val="21"/>
              </w:rPr>
              <w:t>供应期限</w:t>
            </w:r>
          </w:p>
        </w:tc>
        <w:tc>
          <w:tcPr>
            <w:tcW w:w="1423" w:type="dxa"/>
            <w:vAlign w:val="center"/>
          </w:tcPr>
          <w:p>
            <w:pPr>
              <w:jc w:val="center"/>
              <w:rPr>
                <w:rFonts w:hint="eastAsia" w:ascii="宋体" w:hAnsi="宋体" w:eastAsia="宋体" w:cs="宋体"/>
                <w:b/>
                <w:bCs/>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jc w:val="center"/>
        </w:trPr>
        <w:tc>
          <w:tcPr>
            <w:tcW w:w="981" w:type="dxa"/>
            <w:vAlign w:val="center"/>
          </w:tcPr>
          <w:p>
            <w:pPr>
              <w:jc w:val="center"/>
              <w:rPr>
                <w:rFonts w:hint="eastAsia" w:ascii="宋体" w:hAnsi="宋体" w:eastAsia="宋体" w:cs="宋体"/>
                <w:bCs/>
                <w:color w:val="auto"/>
                <w:szCs w:val="21"/>
              </w:rPr>
            </w:pPr>
            <w:r>
              <w:rPr>
                <w:rFonts w:hint="eastAsia" w:ascii="宋体" w:hAnsi="宋体" w:eastAsia="宋体" w:cs="宋体"/>
                <w:bCs/>
                <w:color w:val="auto"/>
                <w:szCs w:val="21"/>
              </w:rPr>
              <w:t>序号</w:t>
            </w:r>
          </w:p>
        </w:tc>
        <w:tc>
          <w:tcPr>
            <w:tcW w:w="1066" w:type="dxa"/>
            <w:vAlign w:val="center"/>
          </w:tcPr>
          <w:p>
            <w:pPr>
              <w:jc w:val="center"/>
              <w:rPr>
                <w:rFonts w:hint="eastAsia" w:ascii="宋体" w:hAnsi="宋体" w:eastAsia="宋体" w:cs="宋体"/>
                <w:bCs/>
                <w:color w:val="auto"/>
                <w:szCs w:val="21"/>
              </w:rPr>
            </w:pPr>
            <w:r>
              <w:rPr>
                <w:rFonts w:hint="eastAsia" w:ascii="宋体" w:hAnsi="宋体" w:eastAsia="宋体" w:cs="宋体"/>
                <w:bCs/>
                <w:color w:val="auto"/>
                <w:szCs w:val="21"/>
              </w:rPr>
              <w:t>年月</w:t>
            </w:r>
          </w:p>
        </w:tc>
        <w:tc>
          <w:tcPr>
            <w:tcW w:w="3900" w:type="dxa"/>
            <w:vAlign w:val="center"/>
          </w:tcPr>
          <w:p>
            <w:pPr>
              <w:jc w:val="center"/>
              <w:rPr>
                <w:rFonts w:hint="eastAsia" w:ascii="宋体" w:hAnsi="宋体" w:eastAsia="宋体" w:cs="宋体"/>
                <w:bCs/>
                <w:color w:val="auto"/>
                <w:szCs w:val="21"/>
              </w:rPr>
            </w:pPr>
            <w:r>
              <w:rPr>
                <w:rFonts w:hint="eastAsia" w:ascii="宋体" w:hAnsi="宋体" w:eastAsia="宋体" w:cs="宋体"/>
                <w:bCs/>
                <w:color w:val="auto"/>
                <w:szCs w:val="21"/>
              </w:rPr>
              <w:t>扣分事由</w:t>
            </w:r>
          </w:p>
        </w:tc>
        <w:tc>
          <w:tcPr>
            <w:tcW w:w="1303" w:type="dxa"/>
            <w:vAlign w:val="center"/>
          </w:tcPr>
          <w:p>
            <w:pPr>
              <w:jc w:val="center"/>
              <w:rPr>
                <w:rFonts w:hint="eastAsia" w:ascii="宋体" w:hAnsi="宋体" w:eastAsia="宋体" w:cs="宋体"/>
                <w:bCs/>
                <w:color w:val="auto"/>
                <w:szCs w:val="21"/>
              </w:rPr>
            </w:pPr>
            <w:r>
              <w:rPr>
                <w:rFonts w:hint="eastAsia" w:ascii="宋体" w:hAnsi="宋体" w:eastAsia="宋体" w:cs="宋体"/>
                <w:bCs/>
                <w:color w:val="auto"/>
                <w:szCs w:val="21"/>
              </w:rPr>
              <w:t>扣分值</w:t>
            </w:r>
          </w:p>
        </w:tc>
        <w:tc>
          <w:tcPr>
            <w:tcW w:w="1423" w:type="dxa"/>
            <w:vAlign w:val="center"/>
          </w:tcPr>
          <w:p>
            <w:pPr>
              <w:jc w:val="center"/>
              <w:rPr>
                <w:rFonts w:hint="eastAsia" w:ascii="宋体" w:hAnsi="宋体" w:eastAsia="宋体" w:cs="宋体"/>
                <w:bCs/>
                <w:color w:val="auto"/>
                <w:szCs w:val="21"/>
              </w:rPr>
            </w:pPr>
            <w:r>
              <w:rPr>
                <w:rFonts w:hint="eastAsia" w:ascii="宋体" w:hAnsi="宋体" w:eastAsia="宋体" w:cs="宋体"/>
                <w:bCs/>
                <w:color w:val="auto"/>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981" w:type="dxa"/>
            <w:vAlign w:val="center"/>
          </w:tcPr>
          <w:p>
            <w:pPr>
              <w:jc w:val="center"/>
              <w:rPr>
                <w:rFonts w:hint="eastAsia" w:ascii="宋体" w:hAnsi="宋体" w:eastAsia="宋体" w:cs="宋体"/>
                <w:b/>
                <w:bCs/>
                <w:color w:val="auto"/>
                <w:szCs w:val="21"/>
              </w:rPr>
            </w:pPr>
          </w:p>
        </w:tc>
        <w:tc>
          <w:tcPr>
            <w:tcW w:w="1066" w:type="dxa"/>
            <w:vAlign w:val="center"/>
          </w:tcPr>
          <w:p>
            <w:pPr>
              <w:jc w:val="center"/>
              <w:rPr>
                <w:rFonts w:hint="eastAsia" w:ascii="宋体" w:hAnsi="宋体" w:eastAsia="宋体" w:cs="宋体"/>
                <w:b/>
                <w:bCs/>
                <w:color w:val="auto"/>
                <w:szCs w:val="21"/>
              </w:rPr>
            </w:pPr>
          </w:p>
        </w:tc>
        <w:tc>
          <w:tcPr>
            <w:tcW w:w="3900" w:type="dxa"/>
            <w:vAlign w:val="center"/>
          </w:tcPr>
          <w:p>
            <w:pPr>
              <w:jc w:val="center"/>
              <w:rPr>
                <w:rFonts w:hint="eastAsia" w:ascii="宋体" w:hAnsi="宋体" w:eastAsia="宋体" w:cs="宋体"/>
                <w:b/>
                <w:bCs/>
                <w:color w:val="auto"/>
                <w:szCs w:val="21"/>
              </w:rPr>
            </w:pPr>
          </w:p>
        </w:tc>
        <w:tc>
          <w:tcPr>
            <w:tcW w:w="1303" w:type="dxa"/>
            <w:vAlign w:val="center"/>
          </w:tcPr>
          <w:p>
            <w:pPr>
              <w:jc w:val="center"/>
              <w:rPr>
                <w:rFonts w:hint="eastAsia" w:ascii="宋体" w:hAnsi="宋体" w:eastAsia="宋体" w:cs="宋体"/>
                <w:b/>
                <w:bCs/>
                <w:color w:val="auto"/>
                <w:szCs w:val="21"/>
              </w:rPr>
            </w:pPr>
          </w:p>
        </w:tc>
        <w:tc>
          <w:tcPr>
            <w:tcW w:w="1423" w:type="dxa"/>
            <w:vAlign w:val="center"/>
          </w:tcPr>
          <w:p>
            <w:pPr>
              <w:jc w:val="center"/>
              <w:rPr>
                <w:rFonts w:hint="eastAsia" w:ascii="宋体" w:hAnsi="宋体" w:eastAsia="宋体" w:cs="宋体"/>
                <w:b/>
                <w:bCs/>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jc w:val="center"/>
        </w:trPr>
        <w:tc>
          <w:tcPr>
            <w:tcW w:w="981" w:type="dxa"/>
            <w:vAlign w:val="center"/>
          </w:tcPr>
          <w:p>
            <w:pPr>
              <w:jc w:val="center"/>
              <w:rPr>
                <w:rFonts w:hint="eastAsia" w:ascii="宋体" w:hAnsi="宋体" w:eastAsia="宋体" w:cs="宋体"/>
                <w:b/>
                <w:bCs/>
                <w:color w:val="auto"/>
                <w:szCs w:val="21"/>
              </w:rPr>
            </w:pPr>
          </w:p>
        </w:tc>
        <w:tc>
          <w:tcPr>
            <w:tcW w:w="1066" w:type="dxa"/>
            <w:vAlign w:val="center"/>
          </w:tcPr>
          <w:p>
            <w:pPr>
              <w:jc w:val="center"/>
              <w:rPr>
                <w:rFonts w:hint="eastAsia" w:ascii="宋体" w:hAnsi="宋体" w:eastAsia="宋体" w:cs="宋体"/>
                <w:b/>
                <w:bCs/>
                <w:color w:val="auto"/>
                <w:szCs w:val="21"/>
              </w:rPr>
            </w:pPr>
          </w:p>
        </w:tc>
        <w:tc>
          <w:tcPr>
            <w:tcW w:w="3900" w:type="dxa"/>
            <w:vAlign w:val="center"/>
          </w:tcPr>
          <w:p>
            <w:pPr>
              <w:jc w:val="center"/>
              <w:rPr>
                <w:rFonts w:hint="eastAsia" w:ascii="宋体" w:hAnsi="宋体" w:eastAsia="宋体" w:cs="宋体"/>
                <w:b/>
                <w:bCs/>
                <w:color w:val="auto"/>
                <w:szCs w:val="21"/>
              </w:rPr>
            </w:pPr>
          </w:p>
        </w:tc>
        <w:tc>
          <w:tcPr>
            <w:tcW w:w="1303" w:type="dxa"/>
            <w:vAlign w:val="center"/>
          </w:tcPr>
          <w:p>
            <w:pPr>
              <w:jc w:val="center"/>
              <w:rPr>
                <w:rFonts w:hint="eastAsia" w:ascii="宋体" w:hAnsi="宋体" w:eastAsia="宋体" w:cs="宋体"/>
                <w:b/>
                <w:bCs/>
                <w:color w:val="auto"/>
                <w:szCs w:val="21"/>
              </w:rPr>
            </w:pPr>
          </w:p>
        </w:tc>
        <w:tc>
          <w:tcPr>
            <w:tcW w:w="1423" w:type="dxa"/>
            <w:vAlign w:val="center"/>
          </w:tcPr>
          <w:p>
            <w:pPr>
              <w:jc w:val="center"/>
              <w:rPr>
                <w:rFonts w:hint="eastAsia" w:ascii="宋体" w:hAnsi="宋体" w:eastAsia="宋体" w:cs="宋体"/>
                <w:b/>
                <w:bCs/>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981" w:type="dxa"/>
            <w:vAlign w:val="center"/>
          </w:tcPr>
          <w:p>
            <w:pPr>
              <w:jc w:val="center"/>
              <w:rPr>
                <w:rFonts w:hint="eastAsia" w:ascii="宋体" w:hAnsi="宋体" w:eastAsia="宋体" w:cs="宋体"/>
                <w:b/>
                <w:bCs/>
                <w:color w:val="auto"/>
                <w:szCs w:val="21"/>
              </w:rPr>
            </w:pPr>
          </w:p>
        </w:tc>
        <w:tc>
          <w:tcPr>
            <w:tcW w:w="1066" w:type="dxa"/>
            <w:vAlign w:val="center"/>
          </w:tcPr>
          <w:p>
            <w:pPr>
              <w:jc w:val="center"/>
              <w:rPr>
                <w:rFonts w:hint="eastAsia" w:ascii="宋体" w:hAnsi="宋体" w:eastAsia="宋体" w:cs="宋体"/>
                <w:b/>
                <w:bCs/>
                <w:color w:val="auto"/>
                <w:szCs w:val="21"/>
              </w:rPr>
            </w:pPr>
          </w:p>
        </w:tc>
        <w:tc>
          <w:tcPr>
            <w:tcW w:w="3900" w:type="dxa"/>
            <w:vAlign w:val="center"/>
          </w:tcPr>
          <w:p>
            <w:pPr>
              <w:jc w:val="center"/>
              <w:rPr>
                <w:rFonts w:hint="eastAsia" w:ascii="宋体" w:hAnsi="宋体" w:eastAsia="宋体" w:cs="宋体"/>
                <w:b/>
                <w:bCs/>
                <w:color w:val="auto"/>
                <w:szCs w:val="21"/>
              </w:rPr>
            </w:pPr>
          </w:p>
        </w:tc>
        <w:tc>
          <w:tcPr>
            <w:tcW w:w="1303" w:type="dxa"/>
            <w:vAlign w:val="center"/>
          </w:tcPr>
          <w:p>
            <w:pPr>
              <w:jc w:val="center"/>
              <w:rPr>
                <w:rFonts w:hint="eastAsia" w:ascii="宋体" w:hAnsi="宋体" w:eastAsia="宋体" w:cs="宋体"/>
                <w:b/>
                <w:bCs/>
                <w:color w:val="auto"/>
                <w:szCs w:val="21"/>
              </w:rPr>
            </w:pPr>
          </w:p>
        </w:tc>
        <w:tc>
          <w:tcPr>
            <w:tcW w:w="1423" w:type="dxa"/>
            <w:vAlign w:val="center"/>
          </w:tcPr>
          <w:p>
            <w:pPr>
              <w:jc w:val="center"/>
              <w:rPr>
                <w:rFonts w:hint="eastAsia" w:ascii="宋体" w:hAnsi="宋体" w:eastAsia="宋体" w:cs="宋体"/>
                <w:b/>
                <w:bCs/>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jc w:val="center"/>
        </w:trPr>
        <w:tc>
          <w:tcPr>
            <w:tcW w:w="981" w:type="dxa"/>
            <w:vAlign w:val="center"/>
          </w:tcPr>
          <w:p>
            <w:pPr>
              <w:jc w:val="center"/>
              <w:rPr>
                <w:rFonts w:hint="eastAsia" w:ascii="宋体" w:hAnsi="宋体" w:eastAsia="宋体" w:cs="宋体"/>
                <w:b/>
                <w:bCs/>
                <w:color w:val="auto"/>
                <w:szCs w:val="21"/>
              </w:rPr>
            </w:pPr>
          </w:p>
        </w:tc>
        <w:tc>
          <w:tcPr>
            <w:tcW w:w="1066" w:type="dxa"/>
            <w:vAlign w:val="center"/>
          </w:tcPr>
          <w:p>
            <w:pPr>
              <w:jc w:val="center"/>
              <w:rPr>
                <w:rFonts w:hint="eastAsia" w:ascii="宋体" w:hAnsi="宋体" w:eastAsia="宋体" w:cs="宋体"/>
                <w:b/>
                <w:bCs/>
                <w:color w:val="auto"/>
                <w:szCs w:val="21"/>
              </w:rPr>
            </w:pPr>
          </w:p>
        </w:tc>
        <w:tc>
          <w:tcPr>
            <w:tcW w:w="3900" w:type="dxa"/>
            <w:vAlign w:val="center"/>
          </w:tcPr>
          <w:p>
            <w:pPr>
              <w:jc w:val="center"/>
              <w:rPr>
                <w:rFonts w:hint="eastAsia" w:ascii="宋体" w:hAnsi="宋体" w:eastAsia="宋体" w:cs="宋体"/>
                <w:b/>
                <w:bCs/>
                <w:color w:val="auto"/>
                <w:szCs w:val="21"/>
              </w:rPr>
            </w:pPr>
          </w:p>
        </w:tc>
        <w:tc>
          <w:tcPr>
            <w:tcW w:w="1303" w:type="dxa"/>
            <w:vAlign w:val="center"/>
          </w:tcPr>
          <w:p>
            <w:pPr>
              <w:jc w:val="center"/>
              <w:rPr>
                <w:rFonts w:hint="eastAsia" w:ascii="宋体" w:hAnsi="宋体" w:eastAsia="宋体" w:cs="宋体"/>
                <w:b/>
                <w:bCs/>
                <w:color w:val="auto"/>
                <w:szCs w:val="21"/>
              </w:rPr>
            </w:pPr>
          </w:p>
        </w:tc>
        <w:tc>
          <w:tcPr>
            <w:tcW w:w="1423" w:type="dxa"/>
            <w:vAlign w:val="center"/>
          </w:tcPr>
          <w:p>
            <w:pPr>
              <w:jc w:val="center"/>
              <w:rPr>
                <w:rFonts w:hint="eastAsia" w:ascii="宋体" w:hAnsi="宋体" w:eastAsia="宋体" w:cs="宋体"/>
                <w:b/>
                <w:bCs/>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81" w:type="dxa"/>
            <w:vAlign w:val="center"/>
          </w:tcPr>
          <w:p>
            <w:pPr>
              <w:jc w:val="center"/>
              <w:rPr>
                <w:rFonts w:hint="eastAsia" w:ascii="宋体" w:hAnsi="宋体" w:eastAsia="宋体" w:cs="宋体"/>
                <w:b/>
                <w:bCs/>
                <w:color w:val="auto"/>
                <w:szCs w:val="21"/>
              </w:rPr>
            </w:pPr>
          </w:p>
        </w:tc>
        <w:tc>
          <w:tcPr>
            <w:tcW w:w="1066" w:type="dxa"/>
            <w:vAlign w:val="center"/>
          </w:tcPr>
          <w:p>
            <w:pPr>
              <w:jc w:val="center"/>
              <w:rPr>
                <w:rFonts w:hint="eastAsia" w:ascii="宋体" w:hAnsi="宋体" w:eastAsia="宋体" w:cs="宋体"/>
                <w:b/>
                <w:bCs/>
                <w:color w:val="auto"/>
                <w:szCs w:val="21"/>
              </w:rPr>
            </w:pPr>
          </w:p>
        </w:tc>
        <w:tc>
          <w:tcPr>
            <w:tcW w:w="3900" w:type="dxa"/>
            <w:vAlign w:val="center"/>
          </w:tcPr>
          <w:p>
            <w:pPr>
              <w:jc w:val="center"/>
              <w:rPr>
                <w:rFonts w:hint="eastAsia" w:ascii="宋体" w:hAnsi="宋体" w:eastAsia="宋体" w:cs="宋体"/>
                <w:b/>
                <w:bCs/>
                <w:color w:val="auto"/>
                <w:szCs w:val="21"/>
              </w:rPr>
            </w:pPr>
          </w:p>
        </w:tc>
        <w:tc>
          <w:tcPr>
            <w:tcW w:w="1303" w:type="dxa"/>
            <w:vAlign w:val="center"/>
          </w:tcPr>
          <w:p>
            <w:pPr>
              <w:jc w:val="center"/>
              <w:rPr>
                <w:rFonts w:hint="eastAsia" w:ascii="宋体" w:hAnsi="宋体" w:eastAsia="宋体" w:cs="宋体"/>
                <w:b/>
                <w:bCs/>
                <w:color w:val="auto"/>
                <w:szCs w:val="21"/>
              </w:rPr>
            </w:pPr>
          </w:p>
        </w:tc>
        <w:tc>
          <w:tcPr>
            <w:tcW w:w="1423" w:type="dxa"/>
            <w:vAlign w:val="center"/>
          </w:tcPr>
          <w:p>
            <w:pPr>
              <w:jc w:val="center"/>
              <w:rPr>
                <w:rFonts w:hint="eastAsia" w:ascii="宋体" w:hAnsi="宋体" w:eastAsia="宋体" w:cs="宋体"/>
                <w:b/>
                <w:bCs/>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81" w:type="dxa"/>
            <w:vAlign w:val="center"/>
          </w:tcPr>
          <w:p>
            <w:pPr>
              <w:jc w:val="center"/>
              <w:rPr>
                <w:rFonts w:hint="eastAsia" w:ascii="宋体" w:hAnsi="宋体" w:eastAsia="宋体" w:cs="宋体"/>
                <w:b/>
                <w:bCs/>
                <w:color w:val="auto"/>
                <w:szCs w:val="21"/>
              </w:rPr>
            </w:pPr>
          </w:p>
        </w:tc>
        <w:tc>
          <w:tcPr>
            <w:tcW w:w="1066" w:type="dxa"/>
            <w:vAlign w:val="center"/>
          </w:tcPr>
          <w:p>
            <w:pPr>
              <w:jc w:val="center"/>
              <w:rPr>
                <w:rFonts w:hint="eastAsia" w:ascii="宋体" w:hAnsi="宋体" w:eastAsia="宋体" w:cs="宋体"/>
                <w:b/>
                <w:bCs/>
                <w:color w:val="auto"/>
                <w:szCs w:val="21"/>
              </w:rPr>
            </w:pPr>
          </w:p>
        </w:tc>
        <w:tc>
          <w:tcPr>
            <w:tcW w:w="3900" w:type="dxa"/>
            <w:vAlign w:val="center"/>
          </w:tcPr>
          <w:p>
            <w:pPr>
              <w:jc w:val="center"/>
              <w:rPr>
                <w:rFonts w:hint="eastAsia" w:ascii="宋体" w:hAnsi="宋体" w:eastAsia="宋体" w:cs="宋体"/>
                <w:b/>
                <w:bCs/>
                <w:color w:val="auto"/>
                <w:szCs w:val="21"/>
              </w:rPr>
            </w:pPr>
          </w:p>
        </w:tc>
        <w:tc>
          <w:tcPr>
            <w:tcW w:w="1303" w:type="dxa"/>
            <w:vAlign w:val="center"/>
          </w:tcPr>
          <w:p>
            <w:pPr>
              <w:jc w:val="center"/>
              <w:rPr>
                <w:rFonts w:hint="eastAsia" w:ascii="宋体" w:hAnsi="宋体" w:eastAsia="宋体" w:cs="宋体"/>
                <w:b/>
                <w:bCs/>
                <w:color w:val="auto"/>
                <w:szCs w:val="21"/>
              </w:rPr>
            </w:pPr>
          </w:p>
        </w:tc>
        <w:tc>
          <w:tcPr>
            <w:tcW w:w="1423" w:type="dxa"/>
            <w:vAlign w:val="center"/>
          </w:tcPr>
          <w:p>
            <w:pPr>
              <w:jc w:val="center"/>
              <w:rPr>
                <w:rFonts w:hint="eastAsia" w:ascii="宋体" w:hAnsi="宋体" w:eastAsia="宋体" w:cs="宋体"/>
                <w:b/>
                <w:bCs/>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81" w:type="dxa"/>
            <w:vAlign w:val="center"/>
          </w:tcPr>
          <w:p>
            <w:pPr>
              <w:jc w:val="center"/>
              <w:rPr>
                <w:rFonts w:hint="eastAsia" w:ascii="宋体" w:hAnsi="宋体" w:eastAsia="宋体" w:cs="宋体"/>
                <w:b/>
                <w:bCs/>
                <w:color w:val="auto"/>
                <w:szCs w:val="21"/>
              </w:rPr>
            </w:pPr>
          </w:p>
        </w:tc>
        <w:tc>
          <w:tcPr>
            <w:tcW w:w="1066" w:type="dxa"/>
            <w:vAlign w:val="center"/>
          </w:tcPr>
          <w:p>
            <w:pPr>
              <w:jc w:val="center"/>
              <w:rPr>
                <w:rFonts w:hint="eastAsia" w:ascii="宋体" w:hAnsi="宋体" w:eastAsia="宋体" w:cs="宋体"/>
                <w:b/>
                <w:bCs/>
                <w:color w:val="auto"/>
                <w:szCs w:val="21"/>
              </w:rPr>
            </w:pPr>
          </w:p>
        </w:tc>
        <w:tc>
          <w:tcPr>
            <w:tcW w:w="3900" w:type="dxa"/>
            <w:vAlign w:val="center"/>
          </w:tcPr>
          <w:p>
            <w:pPr>
              <w:jc w:val="center"/>
              <w:rPr>
                <w:rFonts w:hint="eastAsia" w:ascii="宋体" w:hAnsi="宋体" w:eastAsia="宋体" w:cs="宋体"/>
                <w:b/>
                <w:bCs/>
                <w:color w:val="auto"/>
                <w:szCs w:val="21"/>
              </w:rPr>
            </w:pPr>
          </w:p>
        </w:tc>
        <w:tc>
          <w:tcPr>
            <w:tcW w:w="1303" w:type="dxa"/>
            <w:vAlign w:val="center"/>
          </w:tcPr>
          <w:p>
            <w:pPr>
              <w:jc w:val="center"/>
              <w:rPr>
                <w:rFonts w:hint="eastAsia" w:ascii="宋体" w:hAnsi="宋体" w:eastAsia="宋体" w:cs="宋体"/>
                <w:b/>
                <w:bCs/>
                <w:color w:val="auto"/>
                <w:szCs w:val="21"/>
              </w:rPr>
            </w:pPr>
          </w:p>
        </w:tc>
        <w:tc>
          <w:tcPr>
            <w:tcW w:w="1423" w:type="dxa"/>
            <w:vAlign w:val="center"/>
          </w:tcPr>
          <w:p>
            <w:pPr>
              <w:jc w:val="center"/>
              <w:rPr>
                <w:rFonts w:hint="eastAsia" w:ascii="宋体" w:hAnsi="宋体" w:eastAsia="宋体" w:cs="宋体"/>
                <w:b/>
                <w:bCs/>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81" w:type="dxa"/>
            <w:vAlign w:val="center"/>
          </w:tcPr>
          <w:p>
            <w:pPr>
              <w:jc w:val="center"/>
              <w:rPr>
                <w:rFonts w:hint="eastAsia" w:ascii="宋体" w:hAnsi="宋体" w:eastAsia="宋体" w:cs="宋体"/>
                <w:b/>
                <w:bCs/>
                <w:color w:val="auto"/>
                <w:szCs w:val="21"/>
              </w:rPr>
            </w:pPr>
          </w:p>
        </w:tc>
        <w:tc>
          <w:tcPr>
            <w:tcW w:w="1066" w:type="dxa"/>
            <w:vAlign w:val="center"/>
          </w:tcPr>
          <w:p>
            <w:pPr>
              <w:jc w:val="center"/>
              <w:rPr>
                <w:rFonts w:hint="eastAsia" w:ascii="宋体" w:hAnsi="宋体" w:eastAsia="宋体" w:cs="宋体"/>
                <w:b/>
                <w:bCs/>
                <w:color w:val="auto"/>
                <w:szCs w:val="21"/>
              </w:rPr>
            </w:pPr>
          </w:p>
        </w:tc>
        <w:tc>
          <w:tcPr>
            <w:tcW w:w="3900" w:type="dxa"/>
            <w:vAlign w:val="center"/>
          </w:tcPr>
          <w:p>
            <w:pPr>
              <w:jc w:val="center"/>
              <w:rPr>
                <w:rFonts w:hint="eastAsia" w:ascii="宋体" w:hAnsi="宋体" w:eastAsia="宋体" w:cs="宋体"/>
                <w:b/>
                <w:bCs/>
                <w:color w:val="auto"/>
                <w:szCs w:val="21"/>
              </w:rPr>
            </w:pPr>
          </w:p>
        </w:tc>
        <w:tc>
          <w:tcPr>
            <w:tcW w:w="1303" w:type="dxa"/>
            <w:vAlign w:val="center"/>
          </w:tcPr>
          <w:p>
            <w:pPr>
              <w:jc w:val="center"/>
              <w:rPr>
                <w:rFonts w:hint="eastAsia" w:ascii="宋体" w:hAnsi="宋体" w:eastAsia="宋体" w:cs="宋体"/>
                <w:b/>
                <w:bCs/>
                <w:color w:val="auto"/>
                <w:szCs w:val="21"/>
              </w:rPr>
            </w:pPr>
          </w:p>
        </w:tc>
        <w:tc>
          <w:tcPr>
            <w:tcW w:w="1423" w:type="dxa"/>
            <w:vAlign w:val="center"/>
          </w:tcPr>
          <w:p>
            <w:pPr>
              <w:jc w:val="center"/>
              <w:rPr>
                <w:rFonts w:hint="eastAsia" w:ascii="宋体" w:hAnsi="宋体" w:eastAsia="宋体" w:cs="宋体"/>
                <w:b/>
                <w:bCs/>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81" w:type="dxa"/>
            <w:vAlign w:val="center"/>
          </w:tcPr>
          <w:p>
            <w:pPr>
              <w:jc w:val="center"/>
              <w:rPr>
                <w:rFonts w:hint="eastAsia" w:ascii="宋体" w:hAnsi="宋体" w:eastAsia="宋体" w:cs="宋体"/>
                <w:b/>
                <w:bCs/>
                <w:color w:val="auto"/>
                <w:szCs w:val="21"/>
              </w:rPr>
            </w:pPr>
          </w:p>
        </w:tc>
        <w:tc>
          <w:tcPr>
            <w:tcW w:w="1066" w:type="dxa"/>
            <w:vAlign w:val="center"/>
          </w:tcPr>
          <w:p>
            <w:pPr>
              <w:jc w:val="center"/>
              <w:rPr>
                <w:rFonts w:hint="eastAsia" w:ascii="宋体" w:hAnsi="宋体" w:eastAsia="宋体" w:cs="宋体"/>
                <w:b/>
                <w:bCs/>
                <w:color w:val="auto"/>
                <w:szCs w:val="21"/>
              </w:rPr>
            </w:pPr>
          </w:p>
        </w:tc>
        <w:tc>
          <w:tcPr>
            <w:tcW w:w="3900" w:type="dxa"/>
            <w:vAlign w:val="center"/>
          </w:tcPr>
          <w:p>
            <w:pPr>
              <w:jc w:val="center"/>
              <w:rPr>
                <w:rFonts w:hint="eastAsia" w:ascii="宋体" w:hAnsi="宋体" w:eastAsia="宋体" w:cs="宋体"/>
                <w:b/>
                <w:bCs/>
                <w:color w:val="auto"/>
                <w:szCs w:val="21"/>
              </w:rPr>
            </w:pPr>
          </w:p>
        </w:tc>
        <w:tc>
          <w:tcPr>
            <w:tcW w:w="1303" w:type="dxa"/>
            <w:vAlign w:val="center"/>
          </w:tcPr>
          <w:p>
            <w:pPr>
              <w:jc w:val="center"/>
              <w:rPr>
                <w:rFonts w:hint="eastAsia" w:ascii="宋体" w:hAnsi="宋体" w:eastAsia="宋体" w:cs="宋体"/>
                <w:b/>
                <w:bCs/>
                <w:color w:val="auto"/>
                <w:szCs w:val="21"/>
              </w:rPr>
            </w:pPr>
          </w:p>
        </w:tc>
        <w:tc>
          <w:tcPr>
            <w:tcW w:w="1423" w:type="dxa"/>
            <w:vAlign w:val="center"/>
          </w:tcPr>
          <w:p>
            <w:pPr>
              <w:jc w:val="center"/>
              <w:rPr>
                <w:rFonts w:hint="eastAsia" w:ascii="宋体" w:hAnsi="宋体" w:eastAsia="宋体" w:cs="宋体"/>
                <w:b/>
                <w:bCs/>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81" w:type="dxa"/>
            <w:vAlign w:val="center"/>
          </w:tcPr>
          <w:p>
            <w:pPr>
              <w:jc w:val="center"/>
              <w:rPr>
                <w:rFonts w:hint="eastAsia" w:ascii="宋体" w:hAnsi="宋体" w:eastAsia="宋体" w:cs="宋体"/>
                <w:b/>
                <w:bCs/>
                <w:color w:val="auto"/>
                <w:szCs w:val="21"/>
              </w:rPr>
            </w:pPr>
          </w:p>
        </w:tc>
        <w:tc>
          <w:tcPr>
            <w:tcW w:w="1066" w:type="dxa"/>
            <w:vAlign w:val="center"/>
          </w:tcPr>
          <w:p>
            <w:pPr>
              <w:jc w:val="center"/>
              <w:rPr>
                <w:rFonts w:hint="eastAsia" w:ascii="宋体" w:hAnsi="宋体" w:eastAsia="宋体" w:cs="宋体"/>
                <w:b/>
                <w:bCs/>
                <w:color w:val="auto"/>
                <w:szCs w:val="21"/>
              </w:rPr>
            </w:pPr>
          </w:p>
        </w:tc>
        <w:tc>
          <w:tcPr>
            <w:tcW w:w="3900" w:type="dxa"/>
            <w:vAlign w:val="center"/>
          </w:tcPr>
          <w:p>
            <w:pPr>
              <w:jc w:val="center"/>
              <w:rPr>
                <w:rFonts w:hint="eastAsia" w:ascii="宋体" w:hAnsi="宋体" w:eastAsia="宋体" w:cs="宋体"/>
                <w:b/>
                <w:bCs/>
                <w:color w:val="auto"/>
                <w:szCs w:val="21"/>
              </w:rPr>
            </w:pPr>
          </w:p>
        </w:tc>
        <w:tc>
          <w:tcPr>
            <w:tcW w:w="1303" w:type="dxa"/>
            <w:vAlign w:val="center"/>
          </w:tcPr>
          <w:p>
            <w:pPr>
              <w:jc w:val="center"/>
              <w:rPr>
                <w:rFonts w:hint="eastAsia" w:ascii="宋体" w:hAnsi="宋体" w:eastAsia="宋体" w:cs="宋体"/>
                <w:b/>
                <w:bCs/>
                <w:color w:val="auto"/>
                <w:szCs w:val="21"/>
              </w:rPr>
            </w:pPr>
          </w:p>
        </w:tc>
        <w:tc>
          <w:tcPr>
            <w:tcW w:w="1423" w:type="dxa"/>
            <w:vAlign w:val="center"/>
          </w:tcPr>
          <w:p>
            <w:pPr>
              <w:jc w:val="center"/>
              <w:rPr>
                <w:rFonts w:hint="eastAsia" w:ascii="宋体" w:hAnsi="宋体" w:eastAsia="宋体" w:cs="宋体"/>
                <w:b/>
                <w:bCs/>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81" w:type="dxa"/>
            <w:vAlign w:val="center"/>
          </w:tcPr>
          <w:p>
            <w:pPr>
              <w:jc w:val="center"/>
              <w:rPr>
                <w:rFonts w:hint="eastAsia" w:ascii="宋体" w:hAnsi="宋体" w:eastAsia="宋体" w:cs="宋体"/>
                <w:b/>
                <w:bCs/>
                <w:color w:val="auto"/>
                <w:szCs w:val="21"/>
              </w:rPr>
            </w:pPr>
          </w:p>
        </w:tc>
        <w:tc>
          <w:tcPr>
            <w:tcW w:w="1066" w:type="dxa"/>
            <w:vAlign w:val="center"/>
          </w:tcPr>
          <w:p>
            <w:pPr>
              <w:jc w:val="center"/>
              <w:rPr>
                <w:rFonts w:hint="eastAsia" w:ascii="宋体" w:hAnsi="宋体" w:eastAsia="宋体" w:cs="宋体"/>
                <w:b/>
                <w:bCs/>
                <w:color w:val="auto"/>
                <w:szCs w:val="21"/>
              </w:rPr>
            </w:pPr>
          </w:p>
        </w:tc>
        <w:tc>
          <w:tcPr>
            <w:tcW w:w="3900" w:type="dxa"/>
            <w:vAlign w:val="center"/>
          </w:tcPr>
          <w:p>
            <w:pPr>
              <w:jc w:val="center"/>
              <w:rPr>
                <w:rFonts w:hint="eastAsia" w:ascii="宋体" w:hAnsi="宋体" w:eastAsia="宋体" w:cs="宋体"/>
                <w:b/>
                <w:bCs/>
                <w:color w:val="auto"/>
                <w:szCs w:val="21"/>
              </w:rPr>
            </w:pPr>
          </w:p>
        </w:tc>
        <w:tc>
          <w:tcPr>
            <w:tcW w:w="1303" w:type="dxa"/>
            <w:vAlign w:val="center"/>
          </w:tcPr>
          <w:p>
            <w:pPr>
              <w:jc w:val="center"/>
              <w:rPr>
                <w:rFonts w:hint="eastAsia" w:ascii="宋体" w:hAnsi="宋体" w:eastAsia="宋体" w:cs="宋体"/>
                <w:b/>
                <w:bCs/>
                <w:color w:val="auto"/>
                <w:szCs w:val="21"/>
              </w:rPr>
            </w:pPr>
          </w:p>
        </w:tc>
        <w:tc>
          <w:tcPr>
            <w:tcW w:w="1423" w:type="dxa"/>
            <w:vAlign w:val="center"/>
          </w:tcPr>
          <w:p>
            <w:pPr>
              <w:jc w:val="center"/>
              <w:rPr>
                <w:rFonts w:hint="eastAsia" w:ascii="宋体" w:hAnsi="宋体" w:eastAsia="宋体" w:cs="宋体"/>
                <w:b/>
                <w:bCs/>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81" w:type="dxa"/>
            <w:vAlign w:val="center"/>
          </w:tcPr>
          <w:p>
            <w:pPr>
              <w:jc w:val="center"/>
              <w:rPr>
                <w:rFonts w:hint="eastAsia" w:ascii="宋体" w:hAnsi="宋体" w:eastAsia="宋体" w:cs="宋体"/>
                <w:b/>
                <w:bCs/>
                <w:color w:val="auto"/>
                <w:szCs w:val="21"/>
              </w:rPr>
            </w:pPr>
          </w:p>
        </w:tc>
        <w:tc>
          <w:tcPr>
            <w:tcW w:w="1066" w:type="dxa"/>
            <w:vAlign w:val="center"/>
          </w:tcPr>
          <w:p>
            <w:pPr>
              <w:jc w:val="center"/>
              <w:rPr>
                <w:rFonts w:hint="eastAsia" w:ascii="宋体" w:hAnsi="宋体" w:eastAsia="宋体" w:cs="宋体"/>
                <w:b/>
                <w:bCs/>
                <w:color w:val="auto"/>
                <w:szCs w:val="21"/>
              </w:rPr>
            </w:pPr>
          </w:p>
        </w:tc>
        <w:tc>
          <w:tcPr>
            <w:tcW w:w="3900" w:type="dxa"/>
            <w:vAlign w:val="center"/>
          </w:tcPr>
          <w:p>
            <w:pPr>
              <w:jc w:val="center"/>
              <w:rPr>
                <w:rFonts w:hint="eastAsia" w:ascii="宋体" w:hAnsi="宋体" w:eastAsia="宋体" w:cs="宋体"/>
                <w:b/>
                <w:bCs/>
                <w:color w:val="auto"/>
                <w:szCs w:val="21"/>
              </w:rPr>
            </w:pPr>
          </w:p>
        </w:tc>
        <w:tc>
          <w:tcPr>
            <w:tcW w:w="1303" w:type="dxa"/>
            <w:vAlign w:val="center"/>
          </w:tcPr>
          <w:p>
            <w:pPr>
              <w:jc w:val="center"/>
              <w:rPr>
                <w:rFonts w:hint="eastAsia" w:ascii="宋体" w:hAnsi="宋体" w:eastAsia="宋体" w:cs="宋体"/>
                <w:b/>
                <w:bCs/>
                <w:color w:val="auto"/>
                <w:szCs w:val="21"/>
              </w:rPr>
            </w:pPr>
          </w:p>
        </w:tc>
        <w:tc>
          <w:tcPr>
            <w:tcW w:w="1423" w:type="dxa"/>
            <w:vAlign w:val="center"/>
          </w:tcPr>
          <w:p>
            <w:pPr>
              <w:jc w:val="center"/>
              <w:rPr>
                <w:rFonts w:hint="eastAsia" w:ascii="宋体" w:hAnsi="宋体" w:eastAsia="宋体" w:cs="宋体"/>
                <w:b/>
                <w:bCs/>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81" w:type="dxa"/>
            <w:vAlign w:val="center"/>
          </w:tcPr>
          <w:p>
            <w:pPr>
              <w:jc w:val="center"/>
              <w:rPr>
                <w:rFonts w:hint="eastAsia" w:ascii="宋体" w:hAnsi="宋体" w:eastAsia="宋体" w:cs="宋体"/>
                <w:b/>
                <w:bCs/>
                <w:color w:val="auto"/>
                <w:szCs w:val="21"/>
              </w:rPr>
            </w:pPr>
          </w:p>
        </w:tc>
        <w:tc>
          <w:tcPr>
            <w:tcW w:w="1066" w:type="dxa"/>
            <w:vAlign w:val="center"/>
          </w:tcPr>
          <w:p>
            <w:pPr>
              <w:jc w:val="center"/>
              <w:rPr>
                <w:rFonts w:hint="eastAsia" w:ascii="宋体" w:hAnsi="宋体" w:eastAsia="宋体" w:cs="宋体"/>
                <w:b/>
                <w:bCs/>
                <w:color w:val="auto"/>
                <w:szCs w:val="21"/>
              </w:rPr>
            </w:pPr>
          </w:p>
        </w:tc>
        <w:tc>
          <w:tcPr>
            <w:tcW w:w="3900" w:type="dxa"/>
            <w:vAlign w:val="center"/>
          </w:tcPr>
          <w:p>
            <w:pPr>
              <w:jc w:val="center"/>
              <w:rPr>
                <w:rFonts w:hint="eastAsia" w:ascii="宋体" w:hAnsi="宋体" w:eastAsia="宋体" w:cs="宋体"/>
                <w:b/>
                <w:bCs/>
                <w:color w:val="auto"/>
                <w:szCs w:val="21"/>
              </w:rPr>
            </w:pPr>
          </w:p>
        </w:tc>
        <w:tc>
          <w:tcPr>
            <w:tcW w:w="1303" w:type="dxa"/>
            <w:vAlign w:val="center"/>
          </w:tcPr>
          <w:p>
            <w:pPr>
              <w:jc w:val="center"/>
              <w:rPr>
                <w:rFonts w:hint="eastAsia" w:ascii="宋体" w:hAnsi="宋体" w:eastAsia="宋体" w:cs="宋体"/>
                <w:b/>
                <w:bCs/>
                <w:color w:val="auto"/>
                <w:szCs w:val="21"/>
              </w:rPr>
            </w:pPr>
          </w:p>
        </w:tc>
        <w:tc>
          <w:tcPr>
            <w:tcW w:w="1423" w:type="dxa"/>
            <w:vAlign w:val="center"/>
          </w:tcPr>
          <w:p>
            <w:pPr>
              <w:jc w:val="center"/>
              <w:rPr>
                <w:rFonts w:hint="eastAsia" w:ascii="宋体" w:hAnsi="宋体" w:eastAsia="宋体" w:cs="宋体"/>
                <w:b/>
                <w:bCs/>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81" w:type="dxa"/>
            <w:vAlign w:val="center"/>
          </w:tcPr>
          <w:p>
            <w:pPr>
              <w:jc w:val="center"/>
              <w:rPr>
                <w:rFonts w:hint="eastAsia" w:ascii="宋体" w:hAnsi="宋体" w:eastAsia="宋体" w:cs="宋体"/>
                <w:b/>
                <w:bCs/>
                <w:color w:val="auto"/>
                <w:szCs w:val="21"/>
              </w:rPr>
            </w:pPr>
          </w:p>
        </w:tc>
        <w:tc>
          <w:tcPr>
            <w:tcW w:w="1066" w:type="dxa"/>
            <w:vAlign w:val="center"/>
          </w:tcPr>
          <w:p>
            <w:pPr>
              <w:jc w:val="center"/>
              <w:rPr>
                <w:rFonts w:hint="eastAsia" w:ascii="宋体" w:hAnsi="宋体" w:eastAsia="宋体" w:cs="宋体"/>
                <w:b/>
                <w:bCs/>
                <w:color w:val="auto"/>
                <w:szCs w:val="21"/>
              </w:rPr>
            </w:pPr>
          </w:p>
        </w:tc>
        <w:tc>
          <w:tcPr>
            <w:tcW w:w="3900" w:type="dxa"/>
            <w:vAlign w:val="center"/>
          </w:tcPr>
          <w:p>
            <w:pPr>
              <w:jc w:val="center"/>
              <w:rPr>
                <w:rFonts w:hint="eastAsia" w:ascii="宋体" w:hAnsi="宋体" w:eastAsia="宋体" w:cs="宋体"/>
                <w:b/>
                <w:bCs/>
                <w:color w:val="auto"/>
                <w:szCs w:val="21"/>
              </w:rPr>
            </w:pPr>
          </w:p>
        </w:tc>
        <w:tc>
          <w:tcPr>
            <w:tcW w:w="1303" w:type="dxa"/>
            <w:vAlign w:val="center"/>
          </w:tcPr>
          <w:p>
            <w:pPr>
              <w:jc w:val="center"/>
              <w:rPr>
                <w:rFonts w:hint="eastAsia" w:ascii="宋体" w:hAnsi="宋体" w:eastAsia="宋体" w:cs="宋体"/>
                <w:b/>
                <w:bCs/>
                <w:color w:val="auto"/>
                <w:szCs w:val="21"/>
              </w:rPr>
            </w:pPr>
          </w:p>
        </w:tc>
        <w:tc>
          <w:tcPr>
            <w:tcW w:w="1423" w:type="dxa"/>
            <w:vAlign w:val="center"/>
          </w:tcPr>
          <w:p>
            <w:pPr>
              <w:jc w:val="center"/>
              <w:rPr>
                <w:rFonts w:hint="eastAsia" w:ascii="宋体" w:hAnsi="宋体" w:eastAsia="宋体" w:cs="宋体"/>
                <w:b/>
                <w:bCs/>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81" w:type="dxa"/>
            <w:vAlign w:val="center"/>
          </w:tcPr>
          <w:p>
            <w:pPr>
              <w:jc w:val="center"/>
              <w:rPr>
                <w:rFonts w:hint="eastAsia" w:ascii="宋体" w:hAnsi="宋体" w:eastAsia="宋体" w:cs="宋体"/>
                <w:b/>
                <w:bCs/>
                <w:color w:val="auto"/>
                <w:szCs w:val="21"/>
              </w:rPr>
            </w:pPr>
          </w:p>
        </w:tc>
        <w:tc>
          <w:tcPr>
            <w:tcW w:w="1066" w:type="dxa"/>
            <w:vAlign w:val="center"/>
          </w:tcPr>
          <w:p>
            <w:pPr>
              <w:jc w:val="center"/>
              <w:rPr>
                <w:rFonts w:hint="eastAsia" w:ascii="宋体" w:hAnsi="宋体" w:eastAsia="宋体" w:cs="宋体"/>
                <w:b/>
                <w:bCs/>
                <w:color w:val="auto"/>
                <w:szCs w:val="21"/>
              </w:rPr>
            </w:pPr>
          </w:p>
        </w:tc>
        <w:tc>
          <w:tcPr>
            <w:tcW w:w="3900" w:type="dxa"/>
            <w:vAlign w:val="center"/>
          </w:tcPr>
          <w:p>
            <w:pPr>
              <w:jc w:val="center"/>
              <w:rPr>
                <w:rFonts w:hint="eastAsia" w:ascii="宋体" w:hAnsi="宋体" w:eastAsia="宋体" w:cs="宋体"/>
                <w:b/>
                <w:bCs/>
                <w:color w:val="auto"/>
                <w:szCs w:val="21"/>
              </w:rPr>
            </w:pPr>
          </w:p>
        </w:tc>
        <w:tc>
          <w:tcPr>
            <w:tcW w:w="1303" w:type="dxa"/>
            <w:vAlign w:val="center"/>
          </w:tcPr>
          <w:p>
            <w:pPr>
              <w:jc w:val="center"/>
              <w:rPr>
                <w:rFonts w:hint="eastAsia" w:ascii="宋体" w:hAnsi="宋体" w:eastAsia="宋体" w:cs="宋体"/>
                <w:b/>
                <w:bCs/>
                <w:color w:val="auto"/>
                <w:szCs w:val="21"/>
              </w:rPr>
            </w:pPr>
          </w:p>
        </w:tc>
        <w:tc>
          <w:tcPr>
            <w:tcW w:w="1423" w:type="dxa"/>
            <w:vAlign w:val="center"/>
          </w:tcPr>
          <w:p>
            <w:pPr>
              <w:jc w:val="center"/>
              <w:rPr>
                <w:rFonts w:hint="eastAsia" w:ascii="宋体" w:hAnsi="宋体" w:eastAsia="宋体" w:cs="宋体"/>
                <w:b/>
                <w:bCs/>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81" w:type="dxa"/>
            <w:vAlign w:val="center"/>
          </w:tcPr>
          <w:p>
            <w:pPr>
              <w:jc w:val="center"/>
              <w:rPr>
                <w:rFonts w:hint="eastAsia" w:ascii="宋体" w:hAnsi="宋体" w:eastAsia="宋体" w:cs="宋体"/>
                <w:b/>
                <w:bCs/>
                <w:color w:val="auto"/>
                <w:szCs w:val="21"/>
              </w:rPr>
            </w:pPr>
          </w:p>
        </w:tc>
        <w:tc>
          <w:tcPr>
            <w:tcW w:w="1066" w:type="dxa"/>
            <w:vAlign w:val="center"/>
          </w:tcPr>
          <w:p>
            <w:pPr>
              <w:jc w:val="center"/>
              <w:rPr>
                <w:rFonts w:hint="eastAsia" w:ascii="宋体" w:hAnsi="宋体" w:eastAsia="宋体" w:cs="宋体"/>
                <w:b/>
                <w:bCs/>
                <w:color w:val="auto"/>
                <w:szCs w:val="21"/>
              </w:rPr>
            </w:pPr>
          </w:p>
        </w:tc>
        <w:tc>
          <w:tcPr>
            <w:tcW w:w="3900" w:type="dxa"/>
            <w:vAlign w:val="center"/>
          </w:tcPr>
          <w:p>
            <w:pPr>
              <w:jc w:val="center"/>
              <w:rPr>
                <w:rFonts w:hint="eastAsia" w:ascii="宋体" w:hAnsi="宋体" w:eastAsia="宋体" w:cs="宋体"/>
                <w:b/>
                <w:bCs/>
                <w:color w:val="auto"/>
                <w:szCs w:val="21"/>
              </w:rPr>
            </w:pPr>
          </w:p>
        </w:tc>
        <w:tc>
          <w:tcPr>
            <w:tcW w:w="1303" w:type="dxa"/>
            <w:vAlign w:val="center"/>
          </w:tcPr>
          <w:p>
            <w:pPr>
              <w:jc w:val="center"/>
              <w:rPr>
                <w:rFonts w:hint="eastAsia" w:ascii="宋体" w:hAnsi="宋体" w:eastAsia="宋体" w:cs="宋体"/>
                <w:b/>
                <w:bCs/>
                <w:color w:val="auto"/>
                <w:szCs w:val="21"/>
              </w:rPr>
            </w:pPr>
          </w:p>
        </w:tc>
        <w:tc>
          <w:tcPr>
            <w:tcW w:w="1423" w:type="dxa"/>
            <w:vAlign w:val="center"/>
          </w:tcPr>
          <w:p>
            <w:pPr>
              <w:jc w:val="center"/>
              <w:rPr>
                <w:rFonts w:hint="eastAsia" w:ascii="宋体" w:hAnsi="宋体" w:eastAsia="宋体" w:cs="宋体"/>
                <w:b/>
                <w:bCs/>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81" w:type="dxa"/>
            <w:vAlign w:val="center"/>
          </w:tcPr>
          <w:p>
            <w:pPr>
              <w:jc w:val="center"/>
              <w:rPr>
                <w:rFonts w:hint="eastAsia" w:ascii="宋体" w:hAnsi="宋体" w:eastAsia="宋体" w:cs="宋体"/>
                <w:b/>
                <w:bCs/>
                <w:color w:val="auto"/>
                <w:szCs w:val="21"/>
              </w:rPr>
            </w:pPr>
          </w:p>
        </w:tc>
        <w:tc>
          <w:tcPr>
            <w:tcW w:w="1066" w:type="dxa"/>
            <w:vAlign w:val="center"/>
          </w:tcPr>
          <w:p>
            <w:pPr>
              <w:jc w:val="center"/>
              <w:rPr>
                <w:rFonts w:hint="eastAsia" w:ascii="宋体" w:hAnsi="宋体" w:eastAsia="宋体" w:cs="宋体"/>
                <w:b/>
                <w:bCs/>
                <w:color w:val="auto"/>
                <w:szCs w:val="21"/>
              </w:rPr>
            </w:pPr>
          </w:p>
        </w:tc>
        <w:tc>
          <w:tcPr>
            <w:tcW w:w="3900" w:type="dxa"/>
            <w:vAlign w:val="center"/>
          </w:tcPr>
          <w:p>
            <w:pPr>
              <w:jc w:val="center"/>
              <w:rPr>
                <w:rFonts w:hint="eastAsia" w:ascii="宋体" w:hAnsi="宋体" w:eastAsia="宋体" w:cs="宋体"/>
                <w:b/>
                <w:bCs/>
                <w:color w:val="auto"/>
                <w:szCs w:val="21"/>
              </w:rPr>
            </w:pPr>
          </w:p>
        </w:tc>
        <w:tc>
          <w:tcPr>
            <w:tcW w:w="1303" w:type="dxa"/>
            <w:vAlign w:val="center"/>
          </w:tcPr>
          <w:p>
            <w:pPr>
              <w:jc w:val="center"/>
              <w:rPr>
                <w:rFonts w:hint="eastAsia" w:ascii="宋体" w:hAnsi="宋体" w:eastAsia="宋体" w:cs="宋体"/>
                <w:b/>
                <w:bCs/>
                <w:color w:val="auto"/>
                <w:szCs w:val="21"/>
              </w:rPr>
            </w:pPr>
          </w:p>
        </w:tc>
        <w:tc>
          <w:tcPr>
            <w:tcW w:w="1423" w:type="dxa"/>
            <w:vAlign w:val="center"/>
          </w:tcPr>
          <w:p>
            <w:pPr>
              <w:jc w:val="center"/>
              <w:rPr>
                <w:rFonts w:hint="eastAsia" w:ascii="宋体" w:hAnsi="宋体" w:eastAsia="宋体" w:cs="宋体"/>
                <w:b/>
                <w:bCs/>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81" w:type="dxa"/>
            <w:vAlign w:val="center"/>
          </w:tcPr>
          <w:p>
            <w:pPr>
              <w:jc w:val="center"/>
              <w:rPr>
                <w:rFonts w:hint="eastAsia" w:ascii="宋体" w:hAnsi="宋体" w:eastAsia="宋体" w:cs="宋体"/>
                <w:b/>
                <w:bCs/>
                <w:color w:val="auto"/>
                <w:szCs w:val="21"/>
              </w:rPr>
            </w:pPr>
          </w:p>
        </w:tc>
        <w:tc>
          <w:tcPr>
            <w:tcW w:w="1066" w:type="dxa"/>
            <w:vAlign w:val="center"/>
          </w:tcPr>
          <w:p>
            <w:pPr>
              <w:jc w:val="center"/>
              <w:rPr>
                <w:rFonts w:hint="eastAsia" w:ascii="宋体" w:hAnsi="宋体" w:eastAsia="宋体" w:cs="宋体"/>
                <w:b/>
                <w:bCs/>
                <w:color w:val="auto"/>
                <w:szCs w:val="21"/>
              </w:rPr>
            </w:pPr>
          </w:p>
        </w:tc>
        <w:tc>
          <w:tcPr>
            <w:tcW w:w="3900" w:type="dxa"/>
            <w:vAlign w:val="center"/>
          </w:tcPr>
          <w:p>
            <w:pPr>
              <w:jc w:val="center"/>
              <w:rPr>
                <w:rFonts w:hint="eastAsia" w:ascii="宋体" w:hAnsi="宋体" w:eastAsia="宋体" w:cs="宋体"/>
                <w:b/>
                <w:bCs/>
                <w:color w:val="auto"/>
                <w:szCs w:val="21"/>
              </w:rPr>
            </w:pPr>
          </w:p>
        </w:tc>
        <w:tc>
          <w:tcPr>
            <w:tcW w:w="1303" w:type="dxa"/>
            <w:vAlign w:val="center"/>
          </w:tcPr>
          <w:p>
            <w:pPr>
              <w:jc w:val="center"/>
              <w:rPr>
                <w:rFonts w:hint="eastAsia" w:ascii="宋体" w:hAnsi="宋体" w:eastAsia="宋体" w:cs="宋体"/>
                <w:b/>
                <w:bCs/>
                <w:color w:val="auto"/>
                <w:szCs w:val="21"/>
              </w:rPr>
            </w:pPr>
          </w:p>
        </w:tc>
        <w:tc>
          <w:tcPr>
            <w:tcW w:w="1423" w:type="dxa"/>
            <w:vAlign w:val="center"/>
          </w:tcPr>
          <w:p>
            <w:pPr>
              <w:jc w:val="center"/>
              <w:rPr>
                <w:rFonts w:hint="eastAsia" w:ascii="宋体" w:hAnsi="宋体" w:eastAsia="宋体" w:cs="宋体"/>
                <w:b/>
                <w:bCs/>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81" w:type="dxa"/>
            <w:vAlign w:val="center"/>
          </w:tcPr>
          <w:p>
            <w:pPr>
              <w:jc w:val="center"/>
              <w:rPr>
                <w:rFonts w:hint="eastAsia" w:ascii="宋体" w:hAnsi="宋体" w:eastAsia="宋体" w:cs="宋体"/>
                <w:b/>
                <w:bCs/>
                <w:color w:val="auto"/>
                <w:szCs w:val="21"/>
              </w:rPr>
            </w:pPr>
          </w:p>
        </w:tc>
        <w:tc>
          <w:tcPr>
            <w:tcW w:w="1066" w:type="dxa"/>
            <w:vAlign w:val="center"/>
          </w:tcPr>
          <w:p>
            <w:pPr>
              <w:jc w:val="center"/>
              <w:rPr>
                <w:rFonts w:hint="eastAsia" w:ascii="宋体" w:hAnsi="宋体" w:eastAsia="宋体" w:cs="宋体"/>
                <w:b/>
                <w:bCs/>
                <w:color w:val="auto"/>
                <w:szCs w:val="21"/>
              </w:rPr>
            </w:pPr>
          </w:p>
        </w:tc>
        <w:tc>
          <w:tcPr>
            <w:tcW w:w="3900" w:type="dxa"/>
            <w:vAlign w:val="center"/>
          </w:tcPr>
          <w:p>
            <w:pPr>
              <w:jc w:val="center"/>
              <w:rPr>
                <w:rFonts w:hint="eastAsia" w:ascii="宋体" w:hAnsi="宋体" w:eastAsia="宋体" w:cs="宋体"/>
                <w:b/>
                <w:bCs/>
                <w:color w:val="auto"/>
                <w:szCs w:val="21"/>
              </w:rPr>
            </w:pPr>
          </w:p>
        </w:tc>
        <w:tc>
          <w:tcPr>
            <w:tcW w:w="1303" w:type="dxa"/>
            <w:vAlign w:val="center"/>
          </w:tcPr>
          <w:p>
            <w:pPr>
              <w:jc w:val="center"/>
              <w:rPr>
                <w:rFonts w:hint="eastAsia" w:ascii="宋体" w:hAnsi="宋体" w:eastAsia="宋体" w:cs="宋体"/>
                <w:b/>
                <w:bCs/>
                <w:color w:val="auto"/>
                <w:szCs w:val="21"/>
              </w:rPr>
            </w:pPr>
          </w:p>
        </w:tc>
        <w:tc>
          <w:tcPr>
            <w:tcW w:w="1423" w:type="dxa"/>
            <w:vAlign w:val="center"/>
          </w:tcPr>
          <w:p>
            <w:pPr>
              <w:jc w:val="center"/>
              <w:rPr>
                <w:rFonts w:hint="eastAsia" w:ascii="宋体" w:hAnsi="宋体" w:eastAsia="宋体" w:cs="宋体"/>
                <w:b/>
                <w:bCs/>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8673" w:type="dxa"/>
            <w:gridSpan w:val="5"/>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由食堂管理员负责登记</w:t>
            </w:r>
          </w:p>
        </w:tc>
      </w:tr>
    </w:tbl>
    <w:p>
      <w:pPr>
        <w:rPr>
          <w:rFonts w:hAnsi="宋体" w:cs="宋体"/>
          <w:color w:val="auto"/>
          <w:sz w:val="21"/>
          <w:szCs w:val="21"/>
        </w:rPr>
      </w:pPr>
    </w:p>
    <w:p>
      <w:pPr>
        <w:pageBreakBefore/>
        <w:spacing w:line="360" w:lineRule="auto"/>
        <w:rPr>
          <w:rFonts w:hAnsi="宋体" w:cs="宋体"/>
          <w:b/>
          <w:color w:val="auto"/>
        </w:rPr>
      </w:pPr>
      <w:r>
        <w:rPr>
          <w:rFonts w:hint="eastAsia" w:hAnsi="宋体" w:cs="宋体"/>
          <w:b/>
          <w:color w:val="auto"/>
        </w:rPr>
        <w:t>附件4：廉洁协议书</w:t>
      </w:r>
    </w:p>
    <w:p>
      <w:pPr>
        <w:spacing w:line="360" w:lineRule="auto"/>
        <w:jc w:val="center"/>
        <w:rPr>
          <w:rFonts w:hAnsi="宋体" w:cs="宋体"/>
          <w:color w:val="auto"/>
          <w:sz w:val="44"/>
          <w:szCs w:val="44"/>
        </w:rPr>
      </w:pPr>
      <w:r>
        <w:rPr>
          <w:rFonts w:hint="eastAsia" w:hAnsi="宋体" w:cs="宋体"/>
          <w:color w:val="auto"/>
          <w:sz w:val="44"/>
          <w:szCs w:val="44"/>
        </w:rPr>
        <w:t>廉洁协议书</w:t>
      </w:r>
    </w:p>
    <w:p>
      <w:pPr>
        <w:spacing w:line="360" w:lineRule="auto"/>
        <w:rPr>
          <w:rFonts w:hAnsi="宋体" w:cs="宋体"/>
          <w:color w:val="auto"/>
          <w:sz w:val="21"/>
          <w:szCs w:val="21"/>
        </w:rPr>
      </w:pPr>
    </w:p>
    <w:p>
      <w:pPr>
        <w:spacing w:line="360" w:lineRule="auto"/>
        <w:rPr>
          <w:rFonts w:hAnsi="宋体" w:cs="宋体"/>
          <w:color w:val="auto"/>
          <w:sz w:val="21"/>
          <w:szCs w:val="21"/>
          <w:u w:val="single"/>
        </w:rPr>
      </w:pPr>
      <w:r>
        <w:rPr>
          <w:rFonts w:hint="eastAsia" w:hAnsi="宋体" w:cs="宋体"/>
          <w:color w:val="auto"/>
          <w:sz w:val="21"/>
          <w:szCs w:val="21"/>
        </w:rPr>
        <w:t>项目名称：                                    （招标编号：</w:t>
      </w:r>
      <w:r>
        <w:rPr>
          <w:rFonts w:hint="eastAsia" w:hAnsi="宋体" w:cs="宋体"/>
          <w:color w:val="auto"/>
          <w:kern w:val="2"/>
          <w:sz w:val="21"/>
          <w:szCs w:val="21"/>
        </w:rPr>
        <w:t xml:space="preserve">         </w:t>
      </w:r>
      <w:r>
        <w:rPr>
          <w:rFonts w:hint="eastAsia" w:hAnsi="宋体" w:cs="宋体"/>
          <w:color w:val="auto"/>
          <w:sz w:val="21"/>
          <w:szCs w:val="21"/>
        </w:rPr>
        <w:t>）</w:t>
      </w:r>
    </w:p>
    <w:p>
      <w:pPr>
        <w:spacing w:line="360" w:lineRule="auto"/>
        <w:rPr>
          <w:rFonts w:hAnsi="宋体" w:cs="宋体"/>
          <w:color w:val="auto"/>
          <w:sz w:val="21"/>
          <w:szCs w:val="21"/>
        </w:rPr>
      </w:pPr>
      <w:r>
        <w:rPr>
          <w:rFonts w:hint="eastAsia" w:hAnsi="宋体" w:cs="宋体"/>
          <w:color w:val="auto"/>
          <w:sz w:val="21"/>
          <w:szCs w:val="21"/>
        </w:rPr>
        <w:t xml:space="preserve">甲方（业主单位）： </w:t>
      </w:r>
    </w:p>
    <w:p>
      <w:pPr>
        <w:spacing w:line="360" w:lineRule="auto"/>
        <w:rPr>
          <w:rFonts w:hAnsi="宋体" w:cs="宋体"/>
          <w:color w:val="auto"/>
          <w:sz w:val="21"/>
          <w:szCs w:val="21"/>
        </w:rPr>
      </w:pPr>
      <w:r>
        <w:rPr>
          <w:rFonts w:hint="eastAsia" w:hAnsi="宋体" w:cs="宋体"/>
          <w:color w:val="auto"/>
          <w:sz w:val="21"/>
          <w:szCs w:val="21"/>
        </w:rPr>
        <w:t xml:space="preserve">乙方： </w:t>
      </w:r>
    </w:p>
    <w:p>
      <w:pPr>
        <w:spacing w:line="360" w:lineRule="auto"/>
        <w:rPr>
          <w:rFonts w:hAnsi="宋体" w:cs="宋体"/>
          <w:color w:val="auto"/>
          <w:sz w:val="21"/>
          <w:szCs w:val="21"/>
        </w:rPr>
      </w:pPr>
      <w:r>
        <w:rPr>
          <w:rFonts w:hint="eastAsia" w:hAnsi="宋体" w:cs="宋体"/>
          <w:color w:val="auto"/>
          <w:sz w:val="21"/>
          <w:szCs w:val="21"/>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pPr>
        <w:spacing w:line="360" w:lineRule="auto"/>
        <w:rPr>
          <w:rFonts w:hAnsi="宋体" w:cs="宋体"/>
          <w:color w:val="auto"/>
          <w:sz w:val="21"/>
          <w:szCs w:val="21"/>
        </w:rPr>
      </w:pPr>
      <w:r>
        <w:rPr>
          <w:rFonts w:hint="eastAsia" w:hAnsi="宋体" w:cs="宋体"/>
          <w:color w:val="auto"/>
          <w:sz w:val="21"/>
          <w:szCs w:val="21"/>
        </w:rPr>
        <w:t>第一条  甲乙双方的权利和义务</w:t>
      </w:r>
    </w:p>
    <w:p>
      <w:pPr>
        <w:spacing w:line="360" w:lineRule="auto"/>
        <w:rPr>
          <w:rFonts w:hAnsi="宋体" w:cs="宋体"/>
          <w:color w:val="auto"/>
          <w:sz w:val="21"/>
          <w:szCs w:val="21"/>
        </w:rPr>
      </w:pPr>
      <w:r>
        <w:rPr>
          <w:rFonts w:hint="eastAsia" w:hAnsi="宋体" w:cs="宋体"/>
          <w:color w:val="auto"/>
          <w:sz w:val="21"/>
          <w:szCs w:val="21"/>
        </w:rPr>
        <w:t>（一）严格遵守党和国家有关法律法规等有关廉洁从业规定。</w:t>
      </w:r>
    </w:p>
    <w:p>
      <w:pPr>
        <w:spacing w:line="360" w:lineRule="auto"/>
        <w:rPr>
          <w:rFonts w:hAnsi="宋体" w:cs="宋体"/>
          <w:color w:val="auto"/>
          <w:sz w:val="21"/>
          <w:szCs w:val="21"/>
        </w:rPr>
      </w:pPr>
      <w:r>
        <w:rPr>
          <w:rFonts w:hint="eastAsia" w:hAnsi="宋体" w:cs="宋体"/>
          <w:color w:val="auto"/>
          <w:sz w:val="21"/>
          <w:szCs w:val="21"/>
        </w:rPr>
        <w:t>（二）严格执行本项目的合同文件，自觉按合同办事。</w:t>
      </w:r>
    </w:p>
    <w:p>
      <w:pPr>
        <w:spacing w:line="360" w:lineRule="auto"/>
        <w:rPr>
          <w:rFonts w:hAnsi="宋体" w:cs="宋体"/>
          <w:color w:val="auto"/>
          <w:sz w:val="21"/>
          <w:szCs w:val="21"/>
        </w:rPr>
      </w:pPr>
      <w:r>
        <w:rPr>
          <w:rFonts w:hint="eastAsia" w:hAnsi="宋体" w:cs="宋体"/>
          <w:color w:val="auto"/>
          <w:sz w:val="21"/>
          <w:szCs w:val="21"/>
        </w:rPr>
        <w:t>（三）双方的业务活动坚持公开、公正、诚信、透明的原则（除法律认定的商业秘密和合同文件另有规定之外）不得损害国家和集体利益，违反工程建设管理及其他法律法规规章制度。</w:t>
      </w:r>
    </w:p>
    <w:p>
      <w:pPr>
        <w:spacing w:line="360" w:lineRule="auto"/>
        <w:rPr>
          <w:rFonts w:hAnsi="宋体" w:cs="宋体"/>
          <w:color w:val="auto"/>
          <w:sz w:val="21"/>
          <w:szCs w:val="21"/>
        </w:rPr>
      </w:pPr>
      <w:r>
        <w:rPr>
          <w:rFonts w:hint="eastAsia" w:hAnsi="宋体" w:cs="宋体"/>
          <w:color w:val="auto"/>
          <w:sz w:val="21"/>
          <w:szCs w:val="21"/>
        </w:rPr>
        <w:t>（四）建立健全廉洁制度，开展廉洁教育，设立廉洁监督公示牌，公布举报电话，监督并认真查处违法违纪行为。</w:t>
      </w:r>
    </w:p>
    <w:p>
      <w:pPr>
        <w:spacing w:line="360" w:lineRule="auto"/>
        <w:rPr>
          <w:rFonts w:hAnsi="宋体" w:cs="宋体"/>
          <w:color w:val="auto"/>
          <w:sz w:val="21"/>
          <w:szCs w:val="21"/>
        </w:rPr>
      </w:pPr>
      <w:r>
        <w:rPr>
          <w:rFonts w:hint="eastAsia" w:hAnsi="宋体" w:cs="宋体"/>
          <w:color w:val="auto"/>
          <w:sz w:val="21"/>
          <w:szCs w:val="21"/>
        </w:rPr>
        <w:t>（五）发现对方在业务活动中有违反廉洁规定的行为，有及时提醒对方纠正的权利和义务。</w:t>
      </w:r>
    </w:p>
    <w:p>
      <w:pPr>
        <w:spacing w:line="360" w:lineRule="auto"/>
        <w:rPr>
          <w:rFonts w:hAnsi="宋体" w:cs="宋体"/>
          <w:color w:val="auto"/>
          <w:sz w:val="21"/>
          <w:szCs w:val="21"/>
        </w:rPr>
      </w:pPr>
      <w:r>
        <w:rPr>
          <w:rFonts w:hint="eastAsia" w:hAnsi="宋体" w:cs="宋体"/>
          <w:color w:val="auto"/>
          <w:sz w:val="21"/>
          <w:szCs w:val="21"/>
        </w:rPr>
        <w:t>（六）发现对方严重违反本协议义务条款的行为，有向其上级有关部门举报、建议给予处理并要求告知处理结果的权利。</w:t>
      </w:r>
    </w:p>
    <w:p>
      <w:pPr>
        <w:spacing w:line="360" w:lineRule="auto"/>
        <w:rPr>
          <w:rFonts w:hAnsi="宋体" w:cs="宋体"/>
          <w:color w:val="auto"/>
          <w:sz w:val="21"/>
          <w:szCs w:val="21"/>
        </w:rPr>
      </w:pPr>
      <w:r>
        <w:rPr>
          <w:rFonts w:hint="eastAsia" w:hAnsi="宋体" w:cs="宋体"/>
          <w:color w:val="auto"/>
          <w:sz w:val="21"/>
          <w:szCs w:val="21"/>
        </w:rPr>
        <w:t>第二条  甲方的义务</w:t>
      </w:r>
    </w:p>
    <w:p>
      <w:pPr>
        <w:spacing w:line="360" w:lineRule="auto"/>
        <w:rPr>
          <w:rFonts w:hAnsi="宋体" w:cs="宋体"/>
          <w:color w:val="auto"/>
          <w:sz w:val="21"/>
          <w:szCs w:val="21"/>
        </w:rPr>
      </w:pPr>
      <w:r>
        <w:rPr>
          <w:rFonts w:hint="eastAsia" w:hAnsi="宋体" w:cs="宋体"/>
          <w:color w:val="auto"/>
          <w:sz w:val="21"/>
          <w:szCs w:val="21"/>
        </w:rPr>
        <w:t>（一）甲方及其工作人员不得索要或接受乙方的礼金、有价证券和贵重物品，不得在乙方报销任何应由甲方或个人支付的费用。</w:t>
      </w:r>
    </w:p>
    <w:p>
      <w:pPr>
        <w:spacing w:line="360" w:lineRule="auto"/>
        <w:rPr>
          <w:rFonts w:hAnsi="宋体" w:cs="宋体"/>
          <w:color w:val="auto"/>
          <w:sz w:val="21"/>
          <w:szCs w:val="21"/>
        </w:rPr>
      </w:pPr>
      <w:r>
        <w:rPr>
          <w:rFonts w:hint="eastAsia" w:hAnsi="宋体" w:cs="宋体"/>
          <w:color w:val="auto"/>
          <w:sz w:val="21"/>
          <w:szCs w:val="21"/>
        </w:rPr>
        <w:t>（二）甲方工作人员不得参加乙方安排的高消费宴请和娱乐活动；不得接受乙方提供的通讯工具、交通工具和高档办公用品。</w:t>
      </w:r>
    </w:p>
    <w:p>
      <w:pPr>
        <w:spacing w:line="360" w:lineRule="auto"/>
        <w:rPr>
          <w:rFonts w:hAnsi="宋体" w:cs="宋体"/>
          <w:color w:val="auto"/>
          <w:sz w:val="21"/>
          <w:szCs w:val="21"/>
        </w:rPr>
      </w:pPr>
      <w:r>
        <w:rPr>
          <w:rFonts w:hint="eastAsia" w:hAnsi="宋体" w:cs="宋体"/>
          <w:color w:val="auto"/>
          <w:sz w:val="21"/>
          <w:szCs w:val="21"/>
        </w:rPr>
        <w:t>（三）甲方及其工作人员不得要求或者接受乙方为其住房装修、婚丧嫁娶活动、家属或亲友的工作安排以及出国出境、旅游等提供方便。</w:t>
      </w:r>
    </w:p>
    <w:p>
      <w:pPr>
        <w:spacing w:line="360" w:lineRule="auto"/>
        <w:rPr>
          <w:rFonts w:hAnsi="宋体" w:cs="宋体"/>
          <w:color w:val="auto"/>
          <w:sz w:val="21"/>
          <w:szCs w:val="21"/>
        </w:rPr>
      </w:pPr>
      <w:r>
        <w:rPr>
          <w:rFonts w:hint="eastAsia" w:hAnsi="宋体" w:cs="宋体"/>
          <w:color w:val="auto"/>
          <w:sz w:val="21"/>
          <w:szCs w:val="21"/>
        </w:rPr>
        <w:t>（四）甲方工作人员不得向乙方介绍其家属或者亲友（包括家属或亲友开办的公司企业）从事于本项目涉及的经济业务活动。</w:t>
      </w:r>
    </w:p>
    <w:p>
      <w:pPr>
        <w:spacing w:line="360" w:lineRule="auto"/>
        <w:rPr>
          <w:rFonts w:hAnsi="宋体" w:cs="宋体"/>
          <w:color w:val="auto"/>
          <w:sz w:val="21"/>
          <w:szCs w:val="21"/>
        </w:rPr>
      </w:pPr>
      <w:r>
        <w:rPr>
          <w:rFonts w:hint="eastAsia" w:hAnsi="宋体" w:cs="宋体"/>
          <w:color w:val="auto"/>
          <w:sz w:val="21"/>
          <w:szCs w:val="21"/>
        </w:rPr>
        <w:t>（五）甲方及其工作人员不得以任何理由向乙方推荐分包单位，不得要求乙方购买合同规定外的材料和设备。</w:t>
      </w:r>
    </w:p>
    <w:p>
      <w:pPr>
        <w:spacing w:line="360" w:lineRule="auto"/>
        <w:rPr>
          <w:rFonts w:hAnsi="宋体" w:cs="宋体"/>
          <w:color w:val="auto"/>
          <w:sz w:val="21"/>
          <w:szCs w:val="21"/>
        </w:rPr>
      </w:pPr>
      <w:r>
        <w:rPr>
          <w:rFonts w:hint="eastAsia" w:hAnsi="宋体" w:cs="宋体"/>
          <w:color w:val="auto"/>
          <w:sz w:val="21"/>
          <w:szCs w:val="21"/>
        </w:rPr>
        <w:t>（六）甲方及其工作人员不得进行违反廉洁规定的其他活动。</w:t>
      </w:r>
    </w:p>
    <w:p>
      <w:pPr>
        <w:spacing w:line="360" w:lineRule="auto"/>
        <w:rPr>
          <w:rFonts w:hAnsi="宋体" w:cs="宋体"/>
          <w:color w:val="auto"/>
          <w:sz w:val="21"/>
          <w:szCs w:val="21"/>
        </w:rPr>
      </w:pPr>
      <w:r>
        <w:rPr>
          <w:rFonts w:hint="eastAsia" w:hAnsi="宋体" w:cs="宋体"/>
          <w:color w:val="auto"/>
          <w:sz w:val="21"/>
          <w:szCs w:val="21"/>
        </w:rPr>
        <w:t>（七）甲方应对甲方工作人员进行廉洁监督管理，如甲方工作人员违反本协议第一、第二条，甲方应依据有关法律法规、党纪规定对其进行处理；涉嫌犯罪的，甲方应将其移交司法机关追究刑事责任。</w:t>
      </w:r>
    </w:p>
    <w:p>
      <w:pPr>
        <w:spacing w:line="360" w:lineRule="auto"/>
        <w:rPr>
          <w:rFonts w:hAnsi="宋体" w:cs="宋体"/>
          <w:color w:val="auto"/>
          <w:sz w:val="21"/>
          <w:szCs w:val="21"/>
        </w:rPr>
      </w:pPr>
      <w:r>
        <w:rPr>
          <w:rFonts w:hint="eastAsia" w:hAnsi="宋体" w:cs="宋体"/>
          <w:color w:val="auto"/>
          <w:sz w:val="21"/>
          <w:szCs w:val="21"/>
        </w:rPr>
        <w:t>第三条  乙方义务</w:t>
      </w:r>
    </w:p>
    <w:p>
      <w:pPr>
        <w:spacing w:line="360" w:lineRule="auto"/>
        <w:rPr>
          <w:rFonts w:hAnsi="宋体" w:cs="宋体"/>
          <w:color w:val="auto"/>
          <w:sz w:val="21"/>
          <w:szCs w:val="21"/>
        </w:rPr>
      </w:pPr>
      <w:r>
        <w:rPr>
          <w:rFonts w:hint="eastAsia" w:hAnsi="宋体" w:cs="宋体"/>
          <w:color w:val="auto"/>
          <w:sz w:val="21"/>
          <w:szCs w:val="21"/>
        </w:rPr>
        <w:t>（一）乙方不得以任何理由向甲方及其工作人员馈赠礼金、有价证券、贵重礼品，或报销应由甲方单位或个人支付的任何费用。</w:t>
      </w:r>
    </w:p>
    <w:p>
      <w:pPr>
        <w:spacing w:line="360" w:lineRule="auto"/>
        <w:rPr>
          <w:rFonts w:hAnsi="宋体" w:cs="宋体"/>
          <w:color w:val="auto"/>
          <w:sz w:val="21"/>
          <w:szCs w:val="21"/>
        </w:rPr>
      </w:pPr>
      <w:r>
        <w:rPr>
          <w:rFonts w:hint="eastAsia" w:hAnsi="宋体" w:cs="宋体"/>
          <w:color w:val="auto"/>
          <w:sz w:val="21"/>
          <w:szCs w:val="21"/>
        </w:rPr>
        <w:t>（二）乙方及其工作人员不得以考察、参观、洽谈业务、签订合同等的借口邀请甲方及其工作人员参加高消费的宴请、娱乐和健身等活动。</w:t>
      </w:r>
    </w:p>
    <w:p>
      <w:pPr>
        <w:spacing w:line="360" w:lineRule="auto"/>
        <w:rPr>
          <w:rFonts w:hAnsi="宋体" w:cs="宋体"/>
          <w:color w:val="auto"/>
          <w:sz w:val="21"/>
          <w:szCs w:val="21"/>
        </w:rPr>
      </w:pPr>
      <w:r>
        <w:rPr>
          <w:rFonts w:hint="eastAsia" w:hAnsi="宋体" w:cs="宋体"/>
          <w:color w:val="auto"/>
          <w:sz w:val="21"/>
          <w:szCs w:val="21"/>
        </w:rPr>
        <w:t>（三）乙方不得为甲方单位和个人购置或提供通讯工具、交通工具和高档办公用品等。</w:t>
      </w:r>
    </w:p>
    <w:p>
      <w:pPr>
        <w:spacing w:line="360" w:lineRule="auto"/>
        <w:rPr>
          <w:rFonts w:hAnsi="宋体" w:cs="宋体"/>
          <w:color w:val="auto"/>
          <w:sz w:val="21"/>
          <w:szCs w:val="21"/>
        </w:rPr>
      </w:pPr>
      <w:r>
        <w:rPr>
          <w:rFonts w:hint="eastAsia" w:hAnsi="宋体" w:cs="宋体"/>
          <w:color w:val="auto"/>
          <w:sz w:val="21"/>
          <w:szCs w:val="21"/>
        </w:rPr>
        <w:t>（四）乙方及其工作人员不得为甲方工作人员购买、装修、维修私人住房、汽车等。</w:t>
      </w:r>
    </w:p>
    <w:p>
      <w:pPr>
        <w:spacing w:line="360" w:lineRule="auto"/>
        <w:rPr>
          <w:rFonts w:hAnsi="宋体" w:cs="宋体"/>
          <w:color w:val="auto"/>
          <w:sz w:val="21"/>
          <w:szCs w:val="21"/>
        </w:rPr>
      </w:pPr>
      <w:r>
        <w:rPr>
          <w:rFonts w:hint="eastAsia" w:hAnsi="宋体" w:cs="宋体"/>
          <w:color w:val="auto"/>
          <w:sz w:val="21"/>
          <w:szCs w:val="21"/>
        </w:rPr>
        <w:t>（五）乙方及其工作人员不得为甲方工作人员的婚丧嫁娶、家属或亲友的工作安排，及出国出境提供方便以及报销任何私人消费的费用。</w:t>
      </w:r>
    </w:p>
    <w:p>
      <w:pPr>
        <w:spacing w:line="360" w:lineRule="auto"/>
        <w:rPr>
          <w:rFonts w:hAnsi="宋体" w:cs="宋体"/>
          <w:color w:val="auto"/>
          <w:sz w:val="21"/>
          <w:szCs w:val="21"/>
        </w:rPr>
      </w:pPr>
      <w:r>
        <w:rPr>
          <w:rFonts w:hint="eastAsia" w:hAnsi="宋体" w:cs="宋体"/>
          <w:color w:val="auto"/>
          <w:sz w:val="21"/>
          <w:szCs w:val="21"/>
        </w:rPr>
        <w:t>（六）乙方及其工作人员不得进行影响甲方及其工作人员公正执行合同和履行职务的其他活动。</w:t>
      </w:r>
    </w:p>
    <w:p>
      <w:pPr>
        <w:spacing w:line="360" w:lineRule="auto"/>
        <w:rPr>
          <w:rFonts w:hAnsi="宋体" w:cs="宋体"/>
          <w:color w:val="auto"/>
          <w:sz w:val="21"/>
          <w:szCs w:val="21"/>
        </w:rPr>
      </w:pPr>
      <w:r>
        <w:rPr>
          <w:rFonts w:hint="eastAsia" w:hAnsi="宋体" w:cs="宋体"/>
          <w:color w:val="auto"/>
          <w:sz w:val="21"/>
          <w:szCs w:val="21"/>
        </w:rPr>
        <w:t>（七）乙方应对乙方工作人员进行廉洁监督管理，如乙方工作人员违反本协议第一、第三条，乙方应依据有关法律法规、党纪规定对其进行处理；乙方工作人员涉嫌犯罪的，乙方应将其移交司法机关追究刑事责任。</w:t>
      </w:r>
    </w:p>
    <w:p>
      <w:pPr>
        <w:spacing w:line="360" w:lineRule="auto"/>
        <w:rPr>
          <w:rFonts w:hAnsi="宋体" w:cs="宋体"/>
          <w:color w:val="auto"/>
          <w:sz w:val="21"/>
          <w:szCs w:val="21"/>
        </w:rPr>
      </w:pPr>
      <w:r>
        <w:rPr>
          <w:rFonts w:hint="eastAsia" w:hAnsi="宋体" w:cs="宋体"/>
          <w:color w:val="auto"/>
          <w:sz w:val="21"/>
          <w:szCs w:val="21"/>
        </w:rPr>
        <w:t>第四条  违约责任</w:t>
      </w:r>
    </w:p>
    <w:p>
      <w:pPr>
        <w:spacing w:line="360" w:lineRule="auto"/>
        <w:rPr>
          <w:rFonts w:hAnsi="宋体" w:cs="宋体"/>
          <w:color w:val="auto"/>
          <w:sz w:val="21"/>
          <w:szCs w:val="21"/>
        </w:rPr>
      </w:pPr>
      <w:r>
        <w:rPr>
          <w:rFonts w:hint="eastAsia" w:hAnsi="宋体" w:cs="宋体"/>
          <w:color w:val="auto"/>
          <w:sz w:val="21"/>
          <w:szCs w:val="21"/>
        </w:rPr>
        <w:t>（一）甲方违反本协议第一、第二条给乙方单位造成经济损失的，应予以赔偿。</w:t>
      </w:r>
    </w:p>
    <w:p>
      <w:pPr>
        <w:spacing w:line="360" w:lineRule="auto"/>
        <w:rPr>
          <w:rFonts w:hAnsi="宋体" w:cs="宋体"/>
          <w:color w:val="auto"/>
          <w:sz w:val="21"/>
          <w:szCs w:val="21"/>
        </w:rPr>
      </w:pPr>
      <w:r>
        <w:rPr>
          <w:rFonts w:hint="eastAsia" w:hAnsi="宋体" w:cs="宋体"/>
          <w:color w:val="auto"/>
          <w:sz w:val="21"/>
          <w:szCs w:val="21"/>
        </w:rPr>
        <w:t>（二）乙方违反本协议第一、第三条给甲方单位造成经济损失的，应予以赔偿。</w:t>
      </w:r>
    </w:p>
    <w:p>
      <w:pPr>
        <w:spacing w:line="360" w:lineRule="auto"/>
        <w:rPr>
          <w:rFonts w:hAnsi="宋体" w:cs="宋体"/>
          <w:color w:val="auto"/>
          <w:sz w:val="21"/>
          <w:szCs w:val="21"/>
        </w:rPr>
      </w:pPr>
      <w:r>
        <w:rPr>
          <w:rFonts w:hint="eastAsia" w:hAnsi="宋体" w:cs="宋体"/>
          <w:color w:val="auto"/>
          <w:sz w:val="21"/>
          <w:szCs w:val="21"/>
        </w:rPr>
        <w:t>第五条  监督检查</w:t>
      </w:r>
    </w:p>
    <w:p>
      <w:pPr>
        <w:spacing w:line="360" w:lineRule="auto"/>
        <w:rPr>
          <w:rFonts w:hAnsi="宋体" w:cs="宋体"/>
          <w:color w:val="auto"/>
          <w:sz w:val="21"/>
          <w:szCs w:val="21"/>
        </w:rPr>
      </w:pPr>
      <w:r>
        <w:rPr>
          <w:rFonts w:hint="eastAsia" w:hAnsi="宋体" w:cs="宋体"/>
          <w:color w:val="auto"/>
          <w:sz w:val="21"/>
          <w:szCs w:val="21"/>
        </w:rPr>
        <w:t>甲乙双方的廉洁从业行为由双方或双方上级单位的纪检、监察负责监督，对本协议履行情况进行检查。</w:t>
      </w:r>
    </w:p>
    <w:p>
      <w:pPr>
        <w:spacing w:line="360" w:lineRule="auto"/>
        <w:rPr>
          <w:rFonts w:hAnsi="宋体" w:cs="宋体"/>
          <w:color w:val="auto"/>
          <w:sz w:val="21"/>
          <w:szCs w:val="21"/>
        </w:rPr>
      </w:pPr>
      <w:r>
        <w:rPr>
          <w:rFonts w:hint="eastAsia" w:hAnsi="宋体" w:cs="宋体"/>
          <w:color w:val="auto"/>
          <w:sz w:val="21"/>
          <w:szCs w:val="21"/>
        </w:rPr>
        <w:t>第六条  其他</w:t>
      </w:r>
    </w:p>
    <w:p>
      <w:pPr>
        <w:spacing w:line="360" w:lineRule="auto"/>
        <w:rPr>
          <w:rFonts w:hAnsi="宋体" w:cs="宋体"/>
          <w:color w:val="auto"/>
          <w:sz w:val="21"/>
          <w:szCs w:val="21"/>
        </w:rPr>
      </w:pPr>
      <w:r>
        <w:rPr>
          <w:rFonts w:hint="eastAsia" w:hAnsi="宋体" w:cs="宋体"/>
          <w:color w:val="auto"/>
          <w:sz w:val="21"/>
          <w:szCs w:val="21"/>
        </w:rPr>
        <w:t>本协议有效期为甲乙双方法定代表人或负责人签字并盖章之日起至该工程/采购项目竣工验收完毕，质保期/服务期满后止。本协议一式   份，甲、乙双方各执   份，甲、乙双方上级主管部门各执   份。</w:t>
      </w:r>
    </w:p>
    <w:p>
      <w:pPr>
        <w:spacing w:line="360" w:lineRule="auto"/>
        <w:rPr>
          <w:rFonts w:hAnsi="宋体" w:cs="宋体"/>
          <w:color w:val="auto"/>
          <w:sz w:val="21"/>
          <w:szCs w:val="21"/>
        </w:rPr>
      </w:pPr>
    </w:p>
    <w:p>
      <w:pPr>
        <w:spacing w:line="360" w:lineRule="auto"/>
        <w:rPr>
          <w:rFonts w:hAnsi="宋体" w:cs="宋体"/>
          <w:color w:val="auto"/>
          <w:sz w:val="21"/>
          <w:szCs w:val="21"/>
        </w:rPr>
      </w:pPr>
    </w:p>
    <w:p>
      <w:pPr>
        <w:spacing w:line="360" w:lineRule="auto"/>
        <w:ind w:left="5880" w:hanging="5880" w:hangingChars="2800"/>
        <w:rPr>
          <w:rFonts w:hAnsi="宋体" w:cs="宋体"/>
          <w:color w:val="auto"/>
          <w:sz w:val="21"/>
          <w:szCs w:val="21"/>
        </w:rPr>
      </w:pPr>
      <w:r>
        <w:rPr>
          <w:rFonts w:hint="eastAsia" w:hAnsi="宋体" w:cs="宋体"/>
          <w:color w:val="auto"/>
          <w:sz w:val="21"/>
          <w:szCs w:val="21"/>
        </w:rPr>
        <w:t xml:space="preserve">甲方（盖章）：                           乙方（盖章）： </w:t>
      </w:r>
    </w:p>
    <w:p>
      <w:pPr>
        <w:spacing w:line="360" w:lineRule="auto"/>
        <w:rPr>
          <w:rFonts w:hAnsi="宋体" w:cs="宋体"/>
          <w:color w:val="auto"/>
          <w:sz w:val="21"/>
          <w:szCs w:val="21"/>
        </w:rPr>
      </w:pPr>
    </w:p>
    <w:p>
      <w:pPr>
        <w:spacing w:line="360" w:lineRule="auto"/>
        <w:rPr>
          <w:rFonts w:hAnsi="宋体" w:cs="宋体"/>
          <w:color w:val="auto"/>
          <w:sz w:val="21"/>
          <w:szCs w:val="21"/>
        </w:rPr>
      </w:pPr>
      <w:r>
        <w:rPr>
          <w:rFonts w:hint="eastAsia" w:hAnsi="宋体" w:cs="宋体"/>
          <w:color w:val="auto"/>
          <w:sz w:val="21"/>
          <w:szCs w:val="21"/>
        </w:rPr>
        <w:t>法定代表人：                              法定代表人：</w:t>
      </w:r>
    </w:p>
    <w:p>
      <w:pPr>
        <w:spacing w:line="360" w:lineRule="auto"/>
        <w:rPr>
          <w:rFonts w:hAnsi="宋体" w:cs="宋体"/>
          <w:color w:val="auto"/>
          <w:sz w:val="21"/>
          <w:szCs w:val="21"/>
        </w:rPr>
      </w:pPr>
      <w:r>
        <w:rPr>
          <w:rFonts w:hint="eastAsia" w:hAnsi="宋体" w:cs="宋体"/>
          <w:color w:val="auto"/>
          <w:sz w:val="21"/>
          <w:szCs w:val="21"/>
        </w:rPr>
        <w:t>甲方代表：                                乙方代表：</w:t>
      </w:r>
    </w:p>
    <w:p>
      <w:pPr>
        <w:spacing w:line="360" w:lineRule="auto"/>
        <w:rPr>
          <w:rFonts w:hAnsi="宋体" w:cs="宋体"/>
          <w:color w:val="auto"/>
          <w:sz w:val="21"/>
          <w:szCs w:val="21"/>
        </w:rPr>
      </w:pPr>
    </w:p>
    <w:p>
      <w:pPr>
        <w:rPr>
          <w:rFonts w:hAnsi="宋体" w:cs="宋体"/>
          <w:color w:val="auto"/>
          <w:sz w:val="21"/>
          <w:szCs w:val="21"/>
        </w:rPr>
      </w:pPr>
      <w:r>
        <w:rPr>
          <w:rFonts w:hint="eastAsia" w:hAnsi="宋体" w:cs="宋体"/>
          <w:color w:val="auto"/>
          <w:sz w:val="21"/>
          <w:szCs w:val="21"/>
        </w:rPr>
        <w:t>签订日期：2021年  月  日                  2021年  月  日</w:t>
      </w:r>
    </w:p>
    <w:p>
      <w:pPr>
        <w:spacing w:line="360" w:lineRule="auto"/>
        <w:rPr>
          <w:rFonts w:hAnsi="宋体" w:cs="宋体"/>
          <w:b/>
          <w:color w:val="auto"/>
        </w:rPr>
      </w:pPr>
      <w:r>
        <w:rPr>
          <w:rFonts w:hint="eastAsia" w:hAnsi="宋体" w:cs="宋体"/>
          <w:color w:val="auto"/>
          <w:sz w:val="21"/>
          <w:szCs w:val="21"/>
        </w:rPr>
        <w:br w:type="page"/>
      </w:r>
      <w:r>
        <w:rPr>
          <w:rFonts w:hint="eastAsia" w:hAnsi="宋体" w:cs="宋体"/>
          <w:b/>
          <w:color w:val="auto"/>
        </w:rPr>
        <w:t>附件5：承诺书</w:t>
      </w:r>
    </w:p>
    <w:p>
      <w:pPr>
        <w:spacing w:line="360" w:lineRule="auto"/>
        <w:jc w:val="center"/>
        <w:rPr>
          <w:rFonts w:hint="eastAsia" w:hAnsi="宋体" w:cs="宋体"/>
          <w:color w:val="auto"/>
          <w:sz w:val="44"/>
          <w:szCs w:val="44"/>
        </w:rPr>
      </w:pPr>
      <w:r>
        <w:rPr>
          <w:rFonts w:hint="eastAsia" w:hAnsi="宋体" w:cs="宋体"/>
          <w:color w:val="auto"/>
          <w:sz w:val="44"/>
          <w:szCs w:val="44"/>
        </w:rPr>
        <w:t>承诺书</w:t>
      </w:r>
    </w:p>
    <w:p>
      <w:pPr>
        <w:spacing w:line="360" w:lineRule="auto"/>
        <w:ind w:firstLine="480" w:firstLineChars="200"/>
        <w:rPr>
          <w:rFonts w:hint="eastAsia" w:hAnsi="宋体" w:cs="宋体"/>
          <w:color w:val="auto"/>
        </w:rPr>
      </w:pPr>
    </w:p>
    <w:p>
      <w:pPr>
        <w:spacing w:line="360" w:lineRule="auto"/>
        <w:rPr>
          <w:rFonts w:hAnsi="宋体" w:cs="宋体"/>
          <w:color w:val="auto"/>
          <w:sz w:val="21"/>
          <w:szCs w:val="21"/>
        </w:rPr>
      </w:pPr>
      <w:r>
        <w:rPr>
          <w:rFonts w:hint="eastAsia" w:hAnsi="宋体" w:cs="宋体"/>
          <w:color w:val="auto"/>
          <w:sz w:val="21"/>
          <w:szCs w:val="21"/>
        </w:rPr>
        <w:t>东莞市水务集团管网有限公司：</w:t>
      </w:r>
    </w:p>
    <w:p>
      <w:pPr>
        <w:spacing w:line="360" w:lineRule="auto"/>
        <w:ind w:firstLine="420" w:firstLineChars="200"/>
        <w:rPr>
          <w:rFonts w:hAnsi="宋体" w:cs="宋体"/>
          <w:color w:val="auto"/>
          <w:sz w:val="21"/>
          <w:szCs w:val="21"/>
        </w:rPr>
      </w:pPr>
      <w:r>
        <w:rPr>
          <w:rFonts w:hint="eastAsia" w:hAnsi="宋体" w:cs="宋体"/>
          <w:color w:val="auto"/>
          <w:sz w:val="21"/>
          <w:szCs w:val="21"/>
        </w:rPr>
        <w:t>我司根据《东莞市水务集团管网有限公司2022年食堂食材配送服务采购项目》相关条款全力配合贵公司工作，并自愿做出如下承诺：</w:t>
      </w:r>
    </w:p>
    <w:p>
      <w:pPr>
        <w:spacing w:line="360" w:lineRule="auto"/>
        <w:ind w:firstLine="420" w:firstLineChars="200"/>
        <w:rPr>
          <w:rFonts w:hAnsi="宋体" w:cs="宋体"/>
          <w:color w:val="auto"/>
          <w:sz w:val="21"/>
          <w:szCs w:val="21"/>
        </w:rPr>
      </w:pPr>
      <w:r>
        <w:rPr>
          <w:rFonts w:hint="eastAsia" w:hAnsi="宋体" w:cs="宋体"/>
          <w:color w:val="auto"/>
          <w:sz w:val="21"/>
          <w:szCs w:val="21"/>
        </w:rPr>
        <w:t>（一）如我司有拖欠所雇用员工工资等，发生劳资纠纷、上访、闹事或其他影响贵公司生产经营等情况而未及时妥善处理的，贵公司有权启用履约担保或未付款等予以支付或作出相应处理，由此产生的一切法律后果由我司承担；</w:t>
      </w:r>
    </w:p>
    <w:p>
      <w:pPr>
        <w:spacing w:line="360" w:lineRule="auto"/>
        <w:ind w:firstLine="420" w:firstLineChars="200"/>
        <w:rPr>
          <w:rFonts w:hAnsi="宋体" w:cs="宋体"/>
          <w:color w:val="auto"/>
          <w:sz w:val="21"/>
          <w:szCs w:val="21"/>
        </w:rPr>
      </w:pPr>
      <w:r>
        <w:rPr>
          <w:rFonts w:hint="eastAsia" w:hAnsi="宋体" w:cs="宋体"/>
          <w:color w:val="auto"/>
          <w:sz w:val="21"/>
          <w:szCs w:val="21"/>
        </w:rPr>
        <w:t>（二）如我司没有在约定时间执行，贵公司有权要求我司支付当月订货款总额的</w:t>
      </w:r>
      <w:r>
        <w:rPr>
          <w:rFonts w:hint="eastAsia" w:hAnsi="宋体" w:cs="宋体"/>
          <w:color w:val="auto"/>
          <w:sz w:val="21"/>
          <w:szCs w:val="21"/>
          <w:u w:val="single"/>
        </w:rPr>
        <w:t xml:space="preserve">20 </w:t>
      </w:r>
      <w:r>
        <w:rPr>
          <w:rFonts w:hint="eastAsia" w:hAnsi="宋体" w:cs="宋体"/>
          <w:color w:val="auto"/>
          <w:sz w:val="21"/>
          <w:szCs w:val="21"/>
        </w:rPr>
        <w:t>%的违约金，同时有权另行委派其他单位实施，由此产生的差价及相关费用等由我司承担；</w:t>
      </w:r>
    </w:p>
    <w:p>
      <w:pPr>
        <w:spacing w:line="360" w:lineRule="auto"/>
        <w:ind w:firstLine="420" w:firstLineChars="200"/>
        <w:rPr>
          <w:rFonts w:hAnsi="宋体" w:cs="宋体"/>
          <w:color w:val="auto"/>
          <w:sz w:val="21"/>
          <w:szCs w:val="21"/>
        </w:rPr>
      </w:pPr>
      <w:r>
        <w:rPr>
          <w:rFonts w:hint="eastAsia" w:hAnsi="宋体" w:cs="宋体"/>
          <w:color w:val="auto"/>
          <w:sz w:val="21"/>
          <w:szCs w:val="21"/>
        </w:rPr>
        <w:t>（三）如我司有违反本项目管理及合同约定等行为，我司将同意并接受贵公司根据相关约定对我司进行处罚；</w:t>
      </w:r>
    </w:p>
    <w:p>
      <w:pPr>
        <w:spacing w:line="360" w:lineRule="auto"/>
        <w:ind w:firstLine="420" w:firstLineChars="200"/>
        <w:rPr>
          <w:rFonts w:hAnsi="宋体" w:cs="宋体"/>
          <w:color w:val="auto"/>
          <w:sz w:val="21"/>
          <w:szCs w:val="21"/>
        </w:rPr>
      </w:pPr>
      <w:r>
        <w:rPr>
          <w:rFonts w:hint="eastAsia" w:hAnsi="宋体" w:cs="宋体"/>
          <w:color w:val="auto"/>
          <w:sz w:val="21"/>
          <w:szCs w:val="21"/>
        </w:rPr>
        <w:t>（四）如我司有违反本项目管理及合同约定等行为，我司将同意并接受贵公司采取包括但不限于以下：1、将我司列入东莞市水务集团有限公司采购项目“黑名单”，在东莞市水务集团有限公司官网上进行公告，并在委托人以后的招标采购项目评标时充分考虑我司的不良行为和履约问题；2、向东莞阳光网、东莞日报等媒体公开我司失信行为；3、上报东莞市市场监督管理局等部门要求将我司列入重点监管名单、在东莞市以后的招标采购项目评标时会充分考虑我司的不良行为和履约问题甚至取消我司参加东莞市公开招标项目的投标资格；4、向广东省国资委、中国消费者协会和相关行业协会进行通报和投诉等。并愿按相关规定接受处理，由此产生的影响将由我司承担。</w:t>
      </w:r>
    </w:p>
    <w:p>
      <w:pPr>
        <w:spacing w:line="360" w:lineRule="auto"/>
        <w:ind w:firstLine="420" w:firstLineChars="200"/>
        <w:rPr>
          <w:rFonts w:hAnsi="宋体" w:cs="宋体"/>
          <w:color w:val="auto"/>
          <w:sz w:val="21"/>
          <w:szCs w:val="21"/>
        </w:rPr>
      </w:pPr>
    </w:p>
    <w:p>
      <w:pPr>
        <w:spacing w:line="360" w:lineRule="auto"/>
        <w:ind w:firstLine="420" w:firstLineChars="200"/>
        <w:rPr>
          <w:rFonts w:hAnsi="宋体" w:cs="宋体"/>
          <w:color w:val="auto"/>
          <w:sz w:val="21"/>
          <w:szCs w:val="21"/>
        </w:rPr>
      </w:pPr>
    </w:p>
    <w:p>
      <w:pPr>
        <w:spacing w:line="360" w:lineRule="auto"/>
        <w:ind w:right="1004" w:firstLine="3990" w:firstLineChars="1900"/>
        <w:rPr>
          <w:rFonts w:hAnsi="宋体" w:cs="宋体"/>
          <w:color w:val="auto"/>
          <w:sz w:val="21"/>
          <w:szCs w:val="21"/>
        </w:rPr>
      </w:pPr>
      <w:r>
        <w:rPr>
          <w:rFonts w:hint="eastAsia" w:hAnsi="宋体" w:cs="宋体"/>
          <w:color w:val="auto"/>
          <w:sz w:val="21"/>
          <w:szCs w:val="21"/>
        </w:rPr>
        <w:t>承诺单位（盖章）：</w:t>
      </w:r>
    </w:p>
    <w:p>
      <w:pPr>
        <w:spacing w:line="360" w:lineRule="auto"/>
        <w:ind w:right="1004" w:firstLine="3990" w:firstLineChars="1900"/>
        <w:rPr>
          <w:rFonts w:hAnsi="宋体" w:cs="宋体"/>
          <w:color w:val="auto"/>
          <w:sz w:val="21"/>
          <w:szCs w:val="21"/>
        </w:rPr>
      </w:pPr>
      <w:r>
        <w:rPr>
          <w:rFonts w:hint="eastAsia" w:hAnsi="宋体" w:cs="宋体"/>
          <w:color w:val="auto"/>
          <w:sz w:val="21"/>
          <w:szCs w:val="21"/>
        </w:rPr>
        <w:t>法人代表人（授权代理人）签名（或盖私章）：</w:t>
      </w:r>
    </w:p>
    <w:p>
      <w:pPr>
        <w:jc w:val="center"/>
        <w:outlineLvl w:val="9"/>
        <w:rPr>
          <w:rFonts w:hint="eastAsia" w:hAnsi="宋体" w:cs="宋体"/>
          <w:color w:val="auto"/>
          <w:sz w:val="21"/>
          <w:szCs w:val="21"/>
        </w:rPr>
      </w:pPr>
      <w:r>
        <w:rPr>
          <w:rFonts w:hint="eastAsia" w:hAnsi="宋体" w:cs="宋体"/>
          <w:color w:val="auto"/>
          <w:sz w:val="21"/>
          <w:szCs w:val="21"/>
        </w:rPr>
        <w:t>年   月   日</w:t>
      </w:r>
    </w:p>
    <w:p>
      <w:pPr>
        <w:jc w:val="center"/>
        <w:outlineLvl w:val="0"/>
        <w:rPr>
          <w:rFonts w:hAnsi="宋体" w:cs="宋体"/>
          <w:b/>
          <w:bCs/>
          <w:color w:val="auto"/>
          <w:sz w:val="32"/>
          <w:szCs w:val="32"/>
          <w:lang w:val="zh-CN"/>
        </w:rPr>
      </w:pPr>
      <w:r>
        <w:rPr>
          <w:rFonts w:hint="eastAsia" w:hAnsi="宋体" w:cs="宋体"/>
          <w:color w:val="auto"/>
          <w:sz w:val="21"/>
          <w:szCs w:val="21"/>
        </w:rPr>
        <w:br w:type="page"/>
      </w:r>
      <w:bookmarkStart w:id="139" w:name="_Toc21091"/>
      <w:bookmarkStart w:id="140" w:name="_Toc30275"/>
      <w:r>
        <w:rPr>
          <w:rFonts w:hint="eastAsia" w:hAnsi="宋体" w:cs="宋体"/>
          <w:b/>
          <w:bCs/>
          <w:color w:val="auto"/>
          <w:sz w:val="32"/>
          <w:szCs w:val="32"/>
          <w:lang w:val="zh-CN"/>
        </w:rPr>
        <w:t>第五篇</w:t>
      </w:r>
      <w:r>
        <w:rPr>
          <w:rFonts w:hint="eastAsia" w:hAnsi="宋体" w:cs="宋体"/>
          <w:b/>
          <w:bCs/>
          <w:color w:val="auto"/>
          <w:sz w:val="32"/>
          <w:szCs w:val="32"/>
        </w:rPr>
        <w:t xml:space="preserve"> </w:t>
      </w:r>
      <w:r>
        <w:rPr>
          <w:rFonts w:hint="eastAsia" w:hAnsi="宋体" w:cs="宋体"/>
          <w:b/>
          <w:bCs/>
          <w:color w:val="auto"/>
          <w:sz w:val="32"/>
          <w:szCs w:val="32"/>
          <w:lang w:val="zh-CN"/>
        </w:rPr>
        <w:t>相关保函格式</w:t>
      </w:r>
      <w:bookmarkEnd w:id="129"/>
      <w:bookmarkEnd w:id="130"/>
      <w:bookmarkEnd w:id="131"/>
      <w:bookmarkEnd w:id="139"/>
      <w:bookmarkEnd w:id="140"/>
      <w:bookmarkStart w:id="141" w:name="_Toc447044604"/>
      <w:bookmarkStart w:id="142" w:name="_Toc447044480"/>
      <w:bookmarkStart w:id="143" w:name="_Toc447045091"/>
    </w:p>
    <w:p>
      <w:pPr>
        <w:pStyle w:val="2"/>
        <w:rPr>
          <w:rFonts w:hint="eastAsia" w:hAnsi="宋体" w:cs="宋体"/>
          <w:color w:val="auto"/>
          <w:lang w:val="zh-CN"/>
        </w:rPr>
      </w:pPr>
    </w:p>
    <w:p>
      <w:pPr>
        <w:spacing w:afterLines="50" w:line="360" w:lineRule="auto"/>
        <w:rPr>
          <w:rFonts w:hAnsi="宋体" w:cs="宋体"/>
          <w:b/>
          <w:color w:val="auto"/>
          <w:sz w:val="28"/>
          <w:szCs w:val="28"/>
        </w:rPr>
      </w:pPr>
      <w:r>
        <w:rPr>
          <w:rFonts w:hint="eastAsia" w:hAnsi="宋体" w:cs="宋体"/>
          <w:b/>
          <w:color w:val="auto"/>
          <w:sz w:val="28"/>
          <w:szCs w:val="28"/>
        </w:rPr>
        <w:t>一、不可撤销银行履约保函格式</w:t>
      </w:r>
      <w:bookmarkEnd w:id="141"/>
      <w:bookmarkEnd w:id="142"/>
      <w:bookmarkEnd w:id="143"/>
    </w:p>
    <w:p>
      <w:pPr>
        <w:widowControl/>
        <w:spacing w:line="360" w:lineRule="auto"/>
        <w:rPr>
          <w:rFonts w:hAnsi="宋体" w:cs="宋体"/>
          <w:color w:val="auto"/>
          <w:sz w:val="21"/>
          <w:szCs w:val="21"/>
        </w:rPr>
      </w:pPr>
    </w:p>
    <w:p>
      <w:pPr>
        <w:jc w:val="center"/>
        <w:rPr>
          <w:rFonts w:hAnsi="宋体" w:cs="宋体"/>
          <w:b/>
          <w:color w:val="auto"/>
          <w:sz w:val="30"/>
          <w:szCs w:val="30"/>
        </w:rPr>
      </w:pPr>
      <w:r>
        <w:rPr>
          <w:rFonts w:hint="eastAsia" w:hAnsi="宋体" w:cs="宋体"/>
          <w:b/>
          <w:color w:val="auto"/>
          <w:sz w:val="30"/>
          <w:szCs w:val="30"/>
        </w:rPr>
        <w:t>不可撤销银行履约保函</w:t>
      </w:r>
    </w:p>
    <w:p>
      <w:pPr>
        <w:widowControl/>
        <w:spacing w:line="360" w:lineRule="auto"/>
        <w:rPr>
          <w:rFonts w:hAnsi="宋体" w:cs="宋体"/>
          <w:color w:val="auto"/>
          <w:sz w:val="21"/>
          <w:szCs w:val="21"/>
        </w:rPr>
      </w:pPr>
    </w:p>
    <w:p>
      <w:pPr>
        <w:spacing w:line="360" w:lineRule="auto"/>
        <w:ind w:firstLine="6300"/>
        <w:rPr>
          <w:rFonts w:hAnsi="宋体" w:cs="宋体"/>
          <w:color w:val="auto"/>
          <w:sz w:val="21"/>
          <w:szCs w:val="21"/>
          <w:u w:val="single"/>
        </w:rPr>
      </w:pPr>
      <w:r>
        <w:rPr>
          <w:rFonts w:hint="eastAsia" w:hAnsi="宋体" w:cs="宋体"/>
          <w:color w:val="auto"/>
          <w:sz w:val="21"/>
          <w:szCs w:val="21"/>
        </w:rPr>
        <w:t>银行编号：</w:t>
      </w:r>
    </w:p>
    <w:p>
      <w:pPr>
        <w:widowControl/>
        <w:spacing w:line="360" w:lineRule="auto"/>
        <w:rPr>
          <w:rFonts w:hAnsi="宋体" w:cs="宋体"/>
          <w:color w:val="auto"/>
          <w:sz w:val="21"/>
          <w:szCs w:val="21"/>
        </w:rPr>
      </w:pPr>
      <w:r>
        <w:rPr>
          <w:rFonts w:hint="eastAsia" w:hAnsi="宋体" w:cs="宋体"/>
          <w:color w:val="auto"/>
          <w:sz w:val="21"/>
          <w:szCs w:val="21"/>
        </w:rPr>
        <w:t>致：</w:t>
      </w:r>
      <w:r>
        <w:rPr>
          <w:rFonts w:hint="eastAsia" w:hAnsi="宋体" w:cs="宋体"/>
          <w:b/>
          <w:color w:val="auto"/>
          <w:sz w:val="21"/>
          <w:szCs w:val="21"/>
          <w:u w:val="single"/>
        </w:rPr>
        <w:t xml:space="preserve">                    </w:t>
      </w:r>
      <w:r>
        <w:rPr>
          <w:rFonts w:hint="eastAsia" w:hAnsi="宋体" w:cs="宋体"/>
          <w:color w:val="auto"/>
          <w:sz w:val="21"/>
          <w:szCs w:val="21"/>
        </w:rPr>
        <w:t>（下称“受益人”）</w:t>
      </w:r>
    </w:p>
    <w:p>
      <w:pPr>
        <w:widowControl/>
        <w:spacing w:line="360" w:lineRule="auto"/>
        <w:ind w:firstLine="567" w:firstLineChars="270"/>
        <w:rPr>
          <w:rFonts w:hAnsi="宋体" w:cs="宋体"/>
          <w:color w:val="auto"/>
          <w:sz w:val="21"/>
          <w:szCs w:val="21"/>
        </w:rPr>
      </w:pPr>
      <w:r>
        <w:rPr>
          <w:rFonts w:hint="eastAsia" w:hAnsi="宋体" w:cs="宋体"/>
          <w:color w:val="auto"/>
          <w:sz w:val="21"/>
          <w:szCs w:val="21"/>
        </w:rPr>
        <w:t>鉴于</w:t>
      </w:r>
      <w:r>
        <w:rPr>
          <w:rFonts w:hint="eastAsia" w:hAnsi="宋体" w:cs="宋体"/>
          <w:color w:val="auto"/>
          <w:sz w:val="21"/>
          <w:szCs w:val="21"/>
          <w:u w:val="single"/>
        </w:rPr>
        <w:t xml:space="preserve">  （申请人的名称与地址）  </w:t>
      </w:r>
      <w:r>
        <w:rPr>
          <w:rFonts w:hint="eastAsia" w:hAnsi="宋体" w:cs="宋体"/>
          <w:color w:val="auto"/>
          <w:sz w:val="21"/>
          <w:szCs w:val="21"/>
        </w:rPr>
        <w:t>（下称“申请人”），已保证按拟签订的</w:t>
      </w:r>
      <w:r>
        <w:rPr>
          <w:rFonts w:hint="eastAsia" w:hAnsi="宋体" w:cs="宋体"/>
          <w:color w:val="auto"/>
          <w:sz w:val="21"/>
          <w:szCs w:val="21"/>
          <w:u w:val="single"/>
        </w:rPr>
        <w:t xml:space="preserve"> 项目名称       （招标编号：         ）</w:t>
      </w:r>
      <w:r>
        <w:rPr>
          <w:rFonts w:hint="eastAsia" w:hAnsi="宋体" w:cs="宋体"/>
          <w:color w:val="auto"/>
          <w:sz w:val="21"/>
          <w:szCs w:val="21"/>
        </w:rPr>
        <w:t>合同（招标文件）中规定的义务履行合同。</w:t>
      </w:r>
    </w:p>
    <w:p>
      <w:pPr>
        <w:widowControl/>
        <w:spacing w:line="360" w:lineRule="auto"/>
        <w:ind w:firstLine="567" w:firstLineChars="270"/>
        <w:rPr>
          <w:rFonts w:hAnsi="宋体" w:cs="宋体"/>
          <w:color w:val="auto"/>
          <w:sz w:val="21"/>
          <w:szCs w:val="21"/>
        </w:rPr>
      </w:pPr>
      <w:r>
        <w:rPr>
          <w:rFonts w:hint="eastAsia" w:hAnsi="宋体" w:cs="宋体"/>
          <w:color w:val="auto"/>
          <w:sz w:val="21"/>
          <w:szCs w:val="21"/>
        </w:rPr>
        <w:t>根据上述合同（招标文件）规定，申请人应向受益人提供一份金额为人民币（大写）</w:t>
      </w:r>
      <w:r>
        <w:rPr>
          <w:rFonts w:hint="eastAsia" w:hAnsi="宋体" w:cs="宋体"/>
          <w:color w:val="auto"/>
          <w:sz w:val="21"/>
          <w:szCs w:val="21"/>
          <w:u w:val="single"/>
        </w:rPr>
        <w:t xml:space="preserve">      （RMB元）</w:t>
      </w:r>
      <w:r>
        <w:rPr>
          <w:rFonts w:hint="eastAsia" w:hAnsi="宋体" w:cs="宋体"/>
          <w:color w:val="auto"/>
          <w:sz w:val="21"/>
          <w:szCs w:val="21"/>
        </w:rPr>
        <w:t>的无条件、不可撤销银行履约保函，作为申请人履行上述合同的担保。</w:t>
      </w:r>
    </w:p>
    <w:p>
      <w:pPr>
        <w:widowControl/>
        <w:spacing w:line="360" w:lineRule="auto"/>
        <w:ind w:firstLine="567" w:firstLineChars="270"/>
        <w:rPr>
          <w:rFonts w:hAnsi="宋体" w:cs="宋体"/>
          <w:color w:val="auto"/>
          <w:sz w:val="21"/>
          <w:szCs w:val="21"/>
        </w:rPr>
      </w:pPr>
      <w:r>
        <w:rPr>
          <w:rFonts w:hint="eastAsia" w:hAnsi="宋体" w:cs="宋体"/>
          <w:color w:val="auto"/>
          <w:sz w:val="21"/>
          <w:szCs w:val="21"/>
        </w:rPr>
        <w:t>我方</w:t>
      </w:r>
      <w:r>
        <w:rPr>
          <w:rFonts w:hint="eastAsia" w:hAnsi="宋体" w:cs="宋体"/>
          <w:color w:val="auto"/>
          <w:sz w:val="21"/>
          <w:szCs w:val="21"/>
          <w:u w:val="single"/>
        </w:rPr>
        <w:t xml:space="preserve">     （银行名称）</w:t>
      </w:r>
      <w:r>
        <w:rPr>
          <w:rFonts w:hint="eastAsia" w:hAnsi="宋体" w:cs="宋体"/>
          <w:color w:val="auto"/>
          <w:sz w:val="21"/>
          <w:szCs w:val="21"/>
        </w:rPr>
        <w:t>，受申请人的委托，无条件和不可撤销地在受益人出具本保函原件且提出因申请人没有履行上述合同规定，而要求我方承担保证责任之日起10个工作日内，在保函限额内向受益人支付不超过人民币（大写）_________（¥_______元）的款项。</w:t>
      </w:r>
    </w:p>
    <w:p>
      <w:pPr>
        <w:widowControl/>
        <w:spacing w:line="360" w:lineRule="auto"/>
        <w:ind w:firstLine="420" w:firstLineChars="200"/>
        <w:rPr>
          <w:rFonts w:hAnsi="宋体" w:cs="宋体"/>
          <w:color w:val="auto"/>
          <w:sz w:val="21"/>
          <w:szCs w:val="21"/>
        </w:rPr>
      </w:pPr>
      <w:r>
        <w:rPr>
          <w:rFonts w:hint="eastAsia" w:hAnsi="宋体" w:cs="宋体"/>
          <w:color w:val="auto"/>
          <w:sz w:val="21"/>
          <w:szCs w:val="21"/>
        </w:rPr>
        <w:t>在向我行提出要求前，我行将不坚持要求受益人首先向申请人提出上述款项的索赔。</w:t>
      </w:r>
    </w:p>
    <w:p>
      <w:pPr>
        <w:widowControl/>
        <w:spacing w:line="360" w:lineRule="auto"/>
        <w:ind w:firstLine="437"/>
        <w:rPr>
          <w:rFonts w:hAnsi="宋体" w:cs="宋体"/>
          <w:color w:val="auto"/>
          <w:sz w:val="21"/>
          <w:szCs w:val="21"/>
        </w:rPr>
      </w:pPr>
      <w:r>
        <w:rPr>
          <w:rFonts w:hint="eastAsia" w:hAnsi="宋体" w:cs="宋体"/>
          <w:color w:val="auto"/>
          <w:sz w:val="21"/>
          <w:szCs w:val="21"/>
        </w:rPr>
        <w:t>我方还同意，任何受益人与申请人之间可能对合同条款的修改、规范或其他合同文件的变动补充，都不能免除我方按本保函所承担的责任。因此，有关上述变动、补充和修改无须通知或征得我方同意。</w:t>
      </w:r>
    </w:p>
    <w:p>
      <w:pPr>
        <w:widowControl/>
        <w:spacing w:line="360" w:lineRule="auto"/>
        <w:ind w:firstLine="437"/>
        <w:rPr>
          <w:rFonts w:hAnsi="宋体" w:cs="宋体"/>
          <w:color w:val="auto"/>
          <w:sz w:val="21"/>
          <w:szCs w:val="21"/>
        </w:rPr>
      </w:pPr>
      <w:r>
        <w:rPr>
          <w:rFonts w:hint="eastAsia" w:hAnsi="宋体" w:cs="宋体"/>
          <w:color w:val="auto"/>
          <w:sz w:val="21"/>
          <w:szCs w:val="21"/>
        </w:rPr>
        <w:t>本保函应自合同签订之日起至合同期限届满并完成全部服务义务后二十八（28）日内保持有效。</w:t>
      </w:r>
    </w:p>
    <w:p>
      <w:pPr>
        <w:widowControl/>
        <w:spacing w:line="360" w:lineRule="auto"/>
        <w:ind w:firstLine="2520" w:firstLineChars="1200"/>
        <w:rPr>
          <w:rFonts w:hAnsi="宋体" w:cs="宋体"/>
          <w:color w:val="auto"/>
          <w:sz w:val="21"/>
          <w:szCs w:val="21"/>
          <w:u w:val="single"/>
        </w:rPr>
      </w:pPr>
      <w:r>
        <w:rPr>
          <w:rFonts w:hint="eastAsia" w:hAnsi="宋体" w:cs="宋体"/>
          <w:color w:val="auto"/>
          <w:sz w:val="21"/>
          <w:szCs w:val="21"/>
        </w:rPr>
        <w:t>担 保 银 行：</w:t>
      </w:r>
      <w:r>
        <w:rPr>
          <w:rFonts w:hint="eastAsia" w:hAnsi="宋体" w:cs="宋体"/>
          <w:color w:val="auto"/>
          <w:sz w:val="21"/>
          <w:szCs w:val="21"/>
          <w:u w:val="single"/>
        </w:rPr>
        <w:t xml:space="preserve">          银行全称          (盖章)   </w:t>
      </w:r>
    </w:p>
    <w:p>
      <w:pPr>
        <w:widowControl/>
        <w:spacing w:line="360" w:lineRule="auto"/>
        <w:ind w:firstLine="2520" w:firstLineChars="1200"/>
        <w:rPr>
          <w:rFonts w:hAnsi="宋体" w:cs="宋体"/>
          <w:color w:val="auto"/>
          <w:sz w:val="21"/>
          <w:szCs w:val="21"/>
        </w:rPr>
      </w:pPr>
      <w:r>
        <w:rPr>
          <w:rFonts w:hint="eastAsia" w:hAnsi="宋体" w:cs="宋体"/>
          <w:color w:val="auto"/>
          <w:sz w:val="21"/>
          <w:szCs w:val="21"/>
        </w:rPr>
        <w:t>法定代表人或其授权的代表人：</w:t>
      </w:r>
      <w:r>
        <w:rPr>
          <w:rFonts w:hint="eastAsia" w:hAnsi="宋体" w:cs="宋体"/>
          <w:color w:val="auto"/>
          <w:sz w:val="21"/>
          <w:szCs w:val="21"/>
          <w:u w:val="single"/>
        </w:rPr>
        <w:t xml:space="preserve">       (职务)         </w:t>
      </w:r>
    </w:p>
    <w:p>
      <w:pPr>
        <w:widowControl/>
        <w:spacing w:line="360" w:lineRule="auto"/>
        <w:ind w:firstLine="5502" w:firstLineChars="2620"/>
        <w:rPr>
          <w:rFonts w:hAnsi="宋体" w:cs="宋体"/>
          <w:color w:val="auto"/>
          <w:sz w:val="21"/>
          <w:szCs w:val="21"/>
          <w:u w:val="single"/>
        </w:rPr>
      </w:pPr>
      <w:r>
        <w:rPr>
          <w:rFonts w:hint="eastAsia" w:hAnsi="宋体" w:cs="宋体"/>
          <w:color w:val="auto"/>
          <w:sz w:val="21"/>
          <w:szCs w:val="21"/>
          <w:u w:val="single"/>
        </w:rPr>
        <w:t xml:space="preserve">       (姓名)         </w:t>
      </w:r>
    </w:p>
    <w:p>
      <w:pPr>
        <w:widowControl/>
        <w:spacing w:line="360" w:lineRule="auto"/>
        <w:ind w:firstLine="5502" w:firstLineChars="2620"/>
        <w:rPr>
          <w:rFonts w:hAnsi="宋体" w:cs="宋体"/>
          <w:color w:val="auto"/>
          <w:sz w:val="21"/>
          <w:szCs w:val="21"/>
          <w:u w:val="single"/>
        </w:rPr>
      </w:pPr>
      <w:r>
        <w:rPr>
          <w:rFonts w:hint="eastAsia" w:hAnsi="宋体" w:cs="宋体"/>
          <w:color w:val="auto"/>
          <w:sz w:val="21"/>
          <w:szCs w:val="21"/>
          <w:u w:val="single"/>
        </w:rPr>
        <w:t xml:space="preserve">       (签章)         </w:t>
      </w:r>
    </w:p>
    <w:p>
      <w:pPr>
        <w:spacing w:line="360" w:lineRule="auto"/>
        <w:ind w:left="840" w:firstLine="420" w:firstLineChars="200"/>
        <w:rPr>
          <w:rFonts w:hAnsi="宋体" w:cs="宋体"/>
          <w:color w:val="auto"/>
          <w:sz w:val="21"/>
          <w:szCs w:val="21"/>
        </w:rPr>
      </w:pPr>
      <w:r>
        <w:rPr>
          <w:rFonts w:hint="eastAsia" w:hAnsi="宋体" w:cs="宋体"/>
          <w:color w:val="auto"/>
          <w:sz w:val="21"/>
          <w:szCs w:val="21"/>
        </w:rPr>
        <w:t xml:space="preserve">                                        </w:t>
      </w:r>
      <w:r>
        <w:rPr>
          <w:rFonts w:hint="eastAsia" w:hAnsi="宋体" w:cs="宋体"/>
          <w:color w:val="auto"/>
          <w:sz w:val="21"/>
          <w:szCs w:val="21"/>
          <w:u w:val="single"/>
        </w:rPr>
        <w:t xml:space="preserve">        </w:t>
      </w:r>
      <w:r>
        <w:rPr>
          <w:rFonts w:hint="eastAsia" w:hAnsi="宋体" w:cs="宋体"/>
          <w:color w:val="auto"/>
          <w:sz w:val="21"/>
          <w:szCs w:val="21"/>
        </w:rPr>
        <w:t>年</w:t>
      </w:r>
      <w:r>
        <w:rPr>
          <w:rFonts w:hint="eastAsia" w:hAnsi="宋体" w:cs="宋体"/>
          <w:color w:val="auto"/>
          <w:sz w:val="21"/>
          <w:szCs w:val="21"/>
          <w:u w:val="single"/>
        </w:rPr>
        <w:t xml:space="preserve">     </w:t>
      </w:r>
      <w:r>
        <w:rPr>
          <w:rFonts w:hint="eastAsia" w:hAnsi="宋体" w:cs="宋体"/>
          <w:color w:val="auto"/>
          <w:sz w:val="21"/>
          <w:szCs w:val="21"/>
        </w:rPr>
        <w:t>月</w:t>
      </w:r>
      <w:r>
        <w:rPr>
          <w:rFonts w:hint="eastAsia" w:hAnsi="宋体" w:cs="宋体"/>
          <w:color w:val="auto"/>
          <w:sz w:val="21"/>
          <w:szCs w:val="21"/>
          <w:u w:val="single"/>
        </w:rPr>
        <w:t xml:space="preserve">     </w:t>
      </w:r>
      <w:r>
        <w:rPr>
          <w:rFonts w:hint="eastAsia" w:hAnsi="宋体" w:cs="宋体"/>
          <w:color w:val="auto"/>
          <w:sz w:val="21"/>
          <w:szCs w:val="21"/>
        </w:rPr>
        <w:t>日</w:t>
      </w:r>
    </w:p>
    <w:p>
      <w:pPr>
        <w:spacing w:line="360" w:lineRule="auto"/>
        <w:rPr>
          <w:rFonts w:hAnsi="宋体" w:cs="宋体"/>
          <w:color w:val="auto"/>
          <w:sz w:val="21"/>
          <w:szCs w:val="21"/>
        </w:rPr>
      </w:pPr>
    </w:p>
    <w:p>
      <w:pPr>
        <w:spacing w:line="360" w:lineRule="auto"/>
        <w:ind w:right="420"/>
        <w:rPr>
          <w:rFonts w:hAnsi="宋体" w:cs="宋体"/>
          <w:color w:val="auto"/>
          <w:sz w:val="21"/>
          <w:szCs w:val="21"/>
        </w:rPr>
      </w:pPr>
    </w:p>
    <w:p>
      <w:pPr>
        <w:spacing w:line="360" w:lineRule="auto"/>
        <w:ind w:right="420"/>
        <w:rPr>
          <w:rFonts w:hAnsi="宋体" w:cs="宋体"/>
          <w:color w:val="auto"/>
          <w:sz w:val="21"/>
          <w:szCs w:val="21"/>
        </w:rPr>
      </w:pPr>
    </w:p>
    <w:p>
      <w:pPr>
        <w:spacing w:line="360" w:lineRule="auto"/>
        <w:ind w:right="420"/>
        <w:rPr>
          <w:rFonts w:hAnsi="宋体" w:cs="宋体"/>
          <w:color w:val="auto"/>
          <w:sz w:val="21"/>
          <w:szCs w:val="21"/>
        </w:rPr>
      </w:pPr>
    </w:p>
    <w:p>
      <w:pPr>
        <w:spacing w:line="360" w:lineRule="auto"/>
        <w:ind w:right="420"/>
        <w:rPr>
          <w:rFonts w:hAnsi="宋体" w:cs="宋体"/>
          <w:color w:val="auto"/>
          <w:sz w:val="21"/>
          <w:szCs w:val="21"/>
        </w:rPr>
      </w:pPr>
    </w:p>
    <w:p>
      <w:pPr>
        <w:spacing w:line="360" w:lineRule="auto"/>
        <w:ind w:right="420"/>
        <w:rPr>
          <w:rFonts w:hAnsi="宋体" w:cs="宋体"/>
          <w:color w:val="auto"/>
          <w:sz w:val="21"/>
          <w:szCs w:val="21"/>
        </w:rPr>
      </w:pPr>
    </w:p>
    <w:p>
      <w:pPr>
        <w:spacing w:line="360" w:lineRule="auto"/>
        <w:ind w:right="420"/>
        <w:rPr>
          <w:rFonts w:hAnsi="宋体" w:cs="宋体"/>
          <w:b/>
          <w:bCs/>
          <w:color w:val="auto"/>
        </w:rPr>
      </w:pPr>
      <w:bookmarkStart w:id="144" w:name="_Toc447044605"/>
      <w:bookmarkStart w:id="145" w:name="_Toc469425126"/>
      <w:bookmarkStart w:id="146" w:name="_Toc447045092"/>
      <w:bookmarkStart w:id="147" w:name="_Toc447044481"/>
    </w:p>
    <w:bookmarkEnd w:id="144"/>
    <w:bookmarkEnd w:id="145"/>
    <w:bookmarkEnd w:id="146"/>
    <w:bookmarkEnd w:id="147"/>
    <w:p>
      <w:pPr>
        <w:pageBreakBefore/>
        <w:spacing w:afterLines="50" w:line="360" w:lineRule="auto"/>
        <w:rPr>
          <w:rFonts w:hAnsi="宋体" w:cs="宋体"/>
          <w:b/>
          <w:color w:val="auto"/>
          <w:sz w:val="28"/>
          <w:szCs w:val="28"/>
        </w:rPr>
      </w:pPr>
      <w:bookmarkStart w:id="148" w:name="_Toc447044606"/>
      <w:bookmarkStart w:id="149" w:name="_Toc447044482"/>
      <w:bookmarkStart w:id="150" w:name="_Toc447045093"/>
      <w:r>
        <w:rPr>
          <w:rFonts w:hint="eastAsia" w:hAnsi="宋体" w:cs="宋体"/>
          <w:b/>
          <w:color w:val="auto"/>
          <w:sz w:val="30"/>
          <w:szCs w:val="30"/>
        </w:rPr>
        <w:t>二、</w:t>
      </w:r>
      <w:r>
        <w:rPr>
          <w:rFonts w:hint="eastAsia" w:hAnsi="宋体" w:cs="宋体"/>
          <w:b/>
          <w:color w:val="auto"/>
          <w:sz w:val="28"/>
          <w:szCs w:val="28"/>
        </w:rPr>
        <w:t>担保公司履约担保书格式</w:t>
      </w:r>
    </w:p>
    <w:p>
      <w:pPr>
        <w:spacing w:line="360" w:lineRule="auto"/>
        <w:jc w:val="center"/>
        <w:rPr>
          <w:rFonts w:hAnsi="宋体" w:cs="宋体"/>
          <w:b/>
          <w:color w:val="auto"/>
          <w:sz w:val="28"/>
          <w:szCs w:val="28"/>
        </w:rPr>
      </w:pPr>
      <w:r>
        <w:rPr>
          <w:rFonts w:hint="eastAsia" w:hAnsi="宋体" w:cs="宋体"/>
          <w:b/>
          <w:color w:val="auto"/>
          <w:sz w:val="28"/>
          <w:szCs w:val="28"/>
        </w:rPr>
        <w:t>履约担保书</w:t>
      </w:r>
    </w:p>
    <w:p>
      <w:pPr>
        <w:widowControl/>
        <w:spacing w:before="100" w:beforeAutospacing="1" w:after="100" w:afterAutospacing="1" w:line="360" w:lineRule="auto"/>
        <w:rPr>
          <w:rFonts w:hAnsi="宋体" w:cs="宋体"/>
          <w:color w:val="auto"/>
          <w:sz w:val="21"/>
          <w:szCs w:val="21"/>
        </w:rPr>
      </w:pPr>
      <w:r>
        <w:rPr>
          <w:rFonts w:hint="eastAsia" w:hAnsi="宋体" w:cs="宋体"/>
          <w:color w:val="auto"/>
          <w:sz w:val="21"/>
          <w:szCs w:val="21"/>
        </w:rPr>
        <w:t>致：</w:t>
      </w:r>
      <w:r>
        <w:rPr>
          <w:rFonts w:hint="eastAsia" w:hAnsi="宋体" w:cs="宋体"/>
          <w:b/>
          <w:color w:val="auto"/>
          <w:sz w:val="21"/>
          <w:szCs w:val="21"/>
          <w:u w:val="single"/>
        </w:rPr>
        <w:t xml:space="preserve">                    </w:t>
      </w:r>
      <w:r>
        <w:rPr>
          <w:rFonts w:hint="eastAsia" w:hAnsi="宋体" w:cs="宋体"/>
          <w:color w:val="auto"/>
          <w:sz w:val="21"/>
          <w:szCs w:val="21"/>
        </w:rPr>
        <w:t>（下称“受益人”）</w:t>
      </w:r>
    </w:p>
    <w:p>
      <w:pPr>
        <w:spacing w:line="360" w:lineRule="auto"/>
        <w:ind w:firstLine="437"/>
        <w:rPr>
          <w:rFonts w:hAnsi="宋体" w:cs="宋体"/>
          <w:color w:val="auto"/>
          <w:sz w:val="21"/>
          <w:szCs w:val="21"/>
        </w:rPr>
      </w:pPr>
      <w:r>
        <w:rPr>
          <w:rFonts w:hint="eastAsia" w:hAnsi="宋体" w:cs="宋体"/>
          <w:color w:val="auto"/>
          <w:sz w:val="21"/>
          <w:szCs w:val="21"/>
        </w:rPr>
        <w:t>鉴于</w:t>
      </w:r>
      <w:r>
        <w:rPr>
          <w:rFonts w:hint="eastAsia" w:hAnsi="宋体" w:cs="宋体"/>
          <w:color w:val="auto"/>
          <w:sz w:val="21"/>
          <w:szCs w:val="21"/>
          <w:u w:val="single"/>
        </w:rPr>
        <w:t xml:space="preserve">  （卖方的名称与地址）  </w:t>
      </w:r>
      <w:r>
        <w:rPr>
          <w:rFonts w:hint="eastAsia" w:hAnsi="宋体" w:cs="宋体"/>
          <w:color w:val="auto"/>
          <w:sz w:val="21"/>
          <w:szCs w:val="21"/>
        </w:rPr>
        <w:t>（下称“卖方”），已保证按拟签订的</w:t>
      </w:r>
      <w:r>
        <w:rPr>
          <w:rFonts w:hint="eastAsia" w:hAnsi="宋体" w:cs="宋体"/>
          <w:color w:val="auto"/>
          <w:sz w:val="21"/>
          <w:szCs w:val="21"/>
          <w:u w:val="single"/>
        </w:rPr>
        <w:t xml:space="preserve">          项目（招标编号：      ）</w:t>
      </w:r>
      <w:r>
        <w:rPr>
          <w:rFonts w:hint="eastAsia" w:hAnsi="宋体" w:cs="宋体"/>
          <w:color w:val="auto"/>
          <w:sz w:val="21"/>
          <w:szCs w:val="21"/>
        </w:rPr>
        <w:t>合同（招标文件）中规定的义务履行合同。</w:t>
      </w:r>
    </w:p>
    <w:p>
      <w:pPr>
        <w:spacing w:line="360" w:lineRule="auto"/>
        <w:ind w:firstLine="436" w:firstLineChars="208"/>
        <w:rPr>
          <w:rFonts w:hAnsi="宋体" w:cs="宋体"/>
          <w:color w:val="auto"/>
          <w:sz w:val="21"/>
          <w:szCs w:val="21"/>
        </w:rPr>
      </w:pPr>
      <w:r>
        <w:rPr>
          <w:rFonts w:hint="eastAsia" w:hAnsi="宋体" w:cs="宋体"/>
          <w:color w:val="auto"/>
          <w:sz w:val="21"/>
          <w:szCs w:val="21"/>
        </w:rPr>
        <w:t>根据上述合同（招标文件）规定，卖方应向受益人提供一份金额为</w:t>
      </w:r>
      <w:r>
        <w:rPr>
          <w:rFonts w:hint="eastAsia" w:hAnsi="宋体" w:cs="宋体"/>
          <w:color w:val="auto"/>
          <w:sz w:val="21"/>
          <w:szCs w:val="21"/>
          <w:u w:val="single"/>
        </w:rPr>
        <w:t>人民币   元（RMB  元）</w:t>
      </w:r>
      <w:r>
        <w:rPr>
          <w:rFonts w:hint="eastAsia" w:hAnsi="宋体" w:cs="宋体"/>
          <w:color w:val="auto"/>
          <w:sz w:val="21"/>
          <w:szCs w:val="21"/>
        </w:rPr>
        <w:t>的无条件、</w:t>
      </w:r>
      <w:r>
        <w:rPr>
          <w:rFonts w:hint="eastAsia" w:hAnsi="宋体" w:cs="宋体"/>
          <w:bCs/>
          <w:color w:val="auto"/>
          <w:sz w:val="21"/>
          <w:szCs w:val="21"/>
        </w:rPr>
        <w:t>不可撤销</w:t>
      </w:r>
      <w:r>
        <w:rPr>
          <w:rFonts w:hint="eastAsia" w:hAnsi="宋体" w:cs="宋体"/>
          <w:color w:val="auto"/>
          <w:sz w:val="21"/>
          <w:szCs w:val="21"/>
        </w:rPr>
        <w:t>履约担保，作为卖方履行上述合同的担保。</w:t>
      </w:r>
    </w:p>
    <w:p>
      <w:pPr>
        <w:spacing w:line="360" w:lineRule="auto"/>
        <w:ind w:firstLine="437"/>
        <w:rPr>
          <w:rFonts w:hAnsi="宋体" w:cs="宋体"/>
          <w:color w:val="auto"/>
          <w:sz w:val="21"/>
          <w:szCs w:val="21"/>
        </w:rPr>
      </w:pPr>
      <w:r>
        <w:rPr>
          <w:rFonts w:hint="eastAsia" w:hAnsi="宋体" w:cs="宋体"/>
          <w:color w:val="auto"/>
          <w:sz w:val="21"/>
          <w:szCs w:val="21"/>
        </w:rPr>
        <w:t>我方</w:t>
      </w:r>
      <w:r>
        <w:rPr>
          <w:rFonts w:hint="eastAsia" w:hAnsi="宋体" w:cs="宋体"/>
          <w:color w:val="auto"/>
          <w:sz w:val="21"/>
          <w:szCs w:val="21"/>
          <w:u w:val="single"/>
        </w:rPr>
        <w:t xml:space="preserve">  （担保公司名称）  </w:t>
      </w:r>
      <w:r>
        <w:rPr>
          <w:rFonts w:hint="eastAsia" w:hAnsi="宋体" w:cs="宋体"/>
          <w:color w:val="auto"/>
          <w:sz w:val="21"/>
          <w:szCs w:val="21"/>
        </w:rPr>
        <w:t>，受卖方的委托，无条件和不可撤销地在受益人出具本担保书原件且提出因申请人没有履行上述合同规定，而要求我方承担保证责任之日起10个工作日内，在担保书限额内向受益人支付不超过人民币（大写）_________（_______元）的款项。</w:t>
      </w:r>
    </w:p>
    <w:p>
      <w:pPr>
        <w:spacing w:line="360" w:lineRule="auto"/>
        <w:ind w:firstLine="437"/>
        <w:rPr>
          <w:rFonts w:hAnsi="宋体" w:cs="宋体"/>
          <w:color w:val="auto"/>
          <w:sz w:val="21"/>
          <w:szCs w:val="21"/>
        </w:rPr>
      </w:pPr>
      <w:r>
        <w:rPr>
          <w:rFonts w:hint="eastAsia" w:hAnsi="宋体" w:cs="宋体"/>
          <w:color w:val="auto"/>
          <w:sz w:val="21"/>
          <w:szCs w:val="21"/>
        </w:rPr>
        <w:t xml:space="preserve">我方还同意，任何受益人与卖方之间可能对合同条款的修改、规范或其他合同文件的变动补充，都不能免除我方按本担保函所承担的责任。因此，有关上述变动、补充和修改无须通知或征得我方同意。 </w:t>
      </w:r>
    </w:p>
    <w:p>
      <w:pPr>
        <w:spacing w:line="360" w:lineRule="auto"/>
        <w:ind w:firstLine="437"/>
        <w:rPr>
          <w:rFonts w:hAnsi="宋体" w:cs="宋体"/>
          <w:color w:val="auto"/>
          <w:sz w:val="21"/>
          <w:szCs w:val="21"/>
        </w:rPr>
      </w:pPr>
      <w:r>
        <w:rPr>
          <w:rFonts w:hint="eastAsia" w:hAnsi="宋体" w:cs="宋体"/>
          <w:color w:val="auto"/>
          <w:sz w:val="21"/>
          <w:szCs w:val="21"/>
        </w:rPr>
        <w:t>本保函应自合同签订之日起至合同期限届满并完成全部服务义务后二十八（28）日内保持有效。</w:t>
      </w:r>
    </w:p>
    <w:p>
      <w:pPr>
        <w:spacing w:line="360" w:lineRule="auto"/>
        <w:rPr>
          <w:rFonts w:hAnsi="宋体" w:cs="宋体"/>
          <w:color w:val="auto"/>
          <w:sz w:val="21"/>
          <w:szCs w:val="21"/>
        </w:rPr>
      </w:pPr>
    </w:p>
    <w:p>
      <w:pPr>
        <w:spacing w:line="360" w:lineRule="auto"/>
        <w:ind w:firstLine="3885" w:firstLineChars="1850"/>
        <w:rPr>
          <w:rFonts w:hAnsi="宋体" w:cs="宋体"/>
          <w:color w:val="auto"/>
          <w:sz w:val="21"/>
          <w:szCs w:val="21"/>
        </w:rPr>
      </w:pPr>
      <w:r>
        <w:rPr>
          <w:rFonts w:hint="eastAsia" w:hAnsi="宋体" w:cs="宋体"/>
          <w:color w:val="auto"/>
          <w:sz w:val="21"/>
          <w:szCs w:val="21"/>
        </w:rPr>
        <w:t>法定代表人或其授权的代理人：（签字或盖私章）</w:t>
      </w:r>
    </w:p>
    <w:p>
      <w:pPr>
        <w:spacing w:line="360" w:lineRule="auto"/>
        <w:ind w:firstLine="3990" w:firstLineChars="1900"/>
        <w:rPr>
          <w:rFonts w:hAnsi="宋体" w:cs="宋体"/>
          <w:color w:val="auto"/>
          <w:sz w:val="21"/>
          <w:szCs w:val="21"/>
        </w:rPr>
      </w:pPr>
      <w:r>
        <w:rPr>
          <w:rFonts w:hint="eastAsia" w:hAnsi="宋体" w:cs="宋体"/>
          <w:color w:val="auto"/>
          <w:sz w:val="21"/>
          <w:szCs w:val="21"/>
        </w:rPr>
        <w:t>担保公司盖章：</w:t>
      </w:r>
    </w:p>
    <w:p>
      <w:pPr>
        <w:spacing w:line="360" w:lineRule="auto"/>
        <w:ind w:firstLine="3990" w:firstLineChars="1900"/>
        <w:rPr>
          <w:rFonts w:hAnsi="宋体" w:cs="宋体"/>
          <w:color w:val="auto"/>
          <w:sz w:val="21"/>
          <w:szCs w:val="21"/>
        </w:rPr>
      </w:pPr>
      <w:r>
        <w:rPr>
          <w:rFonts w:hint="eastAsia" w:hAnsi="宋体" w:cs="宋体"/>
          <w:color w:val="auto"/>
          <w:sz w:val="21"/>
          <w:szCs w:val="21"/>
        </w:rPr>
        <w:t>联系电话：</w:t>
      </w:r>
    </w:p>
    <w:p>
      <w:pPr>
        <w:spacing w:line="360" w:lineRule="auto"/>
        <w:ind w:firstLine="3990" w:firstLineChars="1900"/>
        <w:rPr>
          <w:rFonts w:hAnsi="宋体" w:cs="宋体"/>
          <w:color w:val="auto"/>
          <w:sz w:val="21"/>
          <w:szCs w:val="21"/>
        </w:rPr>
      </w:pPr>
      <w:r>
        <w:rPr>
          <w:rFonts w:hint="eastAsia" w:hAnsi="宋体" w:cs="宋体"/>
          <w:color w:val="auto"/>
          <w:sz w:val="21"/>
          <w:szCs w:val="21"/>
        </w:rPr>
        <w:t>地址：</w:t>
      </w:r>
    </w:p>
    <w:p>
      <w:pPr>
        <w:spacing w:line="360" w:lineRule="auto"/>
        <w:ind w:firstLine="3990" w:firstLineChars="1900"/>
        <w:rPr>
          <w:rFonts w:hAnsi="宋体" w:cs="宋体"/>
          <w:color w:val="auto"/>
          <w:sz w:val="21"/>
          <w:szCs w:val="21"/>
        </w:rPr>
      </w:pPr>
      <w:r>
        <w:rPr>
          <w:rFonts w:hint="eastAsia" w:hAnsi="宋体" w:cs="宋体"/>
          <w:color w:val="auto"/>
          <w:sz w:val="21"/>
          <w:szCs w:val="21"/>
        </w:rPr>
        <w:t>日期：    年   月   日</w:t>
      </w:r>
    </w:p>
    <w:p>
      <w:pPr>
        <w:pageBreakBefore/>
        <w:spacing w:afterLines="50" w:line="360" w:lineRule="auto"/>
        <w:rPr>
          <w:rFonts w:hAnsi="宋体" w:cs="宋体"/>
          <w:b/>
          <w:color w:val="auto"/>
          <w:sz w:val="30"/>
          <w:szCs w:val="30"/>
        </w:rPr>
      </w:pPr>
      <w:r>
        <w:rPr>
          <w:rFonts w:hint="eastAsia" w:hAnsi="宋体" w:cs="宋体"/>
          <w:b/>
          <w:color w:val="auto"/>
          <w:sz w:val="30"/>
          <w:szCs w:val="30"/>
        </w:rPr>
        <w:t>三、公证书格式</w:t>
      </w:r>
    </w:p>
    <w:p>
      <w:pPr>
        <w:pStyle w:val="45"/>
        <w:spacing w:before="0" w:beforeAutospacing="0" w:after="0" w:afterAutospacing="0" w:line="360" w:lineRule="auto"/>
        <w:jc w:val="center"/>
        <w:rPr>
          <w:rFonts w:cs="宋体"/>
          <w:color w:val="auto"/>
          <w:sz w:val="28"/>
          <w:szCs w:val="28"/>
        </w:rPr>
      </w:pPr>
      <w:r>
        <w:rPr>
          <w:rFonts w:hint="eastAsia" w:cs="宋体"/>
          <w:b/>
          <w:color w:val="auto"/>
          <w:sz w:val="28"/>
          <w:szCs w:val="28"/>
        </w:rPr>
        <w:t>公证书</w:t>
      </w:r>
    </w:p>
    <w:p>
      <w:pPr>
        <w:pStyle w:val="45"/>
        <w:spacing w:before="0" w:beforeAutospacing="0" w:after="0" w:afterAutospacing="0" w:line="360" w:lineRule="auto"/>
        <w:rPr>
          <w:rFonts w:cs="宋体"/>
          <w:color w:val="auto"/>
          <w:sz w:val="44"/>
          <w:szCs w:val="44"/>
        </w:rPr>
      </w:pPr>
    </w:p>
    <w:p>
      <w:pPr>
        <w:pStyle w:val="45"/>
        <w:spacing w:before="0" w:beforeAutospacing="0" w:after="0" w:afterAutospacing="0" w:line="360" w:lineRule="auto"/>
        <w:jc w:val="right"/>
        <w:rPr>
          <w:rFonts w:cs="宋体"/>
          <w:color w:val="auto"/>
          <w:sz w:val="21"/>
          <w:szCs w:val="21"/>
        </w:rPr>
      </w:pPr>
      <w:r>
        <w:rPr>
          <w:rFonts w:hint="eastAsia" w:cs="宋体"/>
          <w:color w:val="auto"/>
          <w:sz w:val="21"/>
          <w:szCs w:val="21"/>
        </w:rPr>
        <w:t>（ ）××字第××号</w:t>
      </w:r>
    </w:p>
    <w:p>
      <w:pPr>
        <w:pStyle w:val="45"/>
        <w:spacing w:before="0" w:beforeAutospacing="0" w:after="0" w:afterAutospacing="0" w:line="360" w:lineRule="auto"/>
        <w:ind w:firstLine="434" w:firstLineChars="207"/>
        <w:jc w:val="both"/>
        <w:rPr>
          <w:rFonts w:cs="宋体"/>
          <w:color w:val="auto"/>
          <w:sz w:val="21"/>
          <w:szCs w:val="21"/>
        </w:rPr>
      </w:pPr>
      <w:r>
        <w:rPr>
          <w:rFonts w:hint="eastAsia" w:cs="宋体"/>
          <w:color w:val="auto"/>
          <w:sz w:val="21"/>
          <w:szCs w:val="21"/>
        </w:rPr>
        <w:t>兹证明××××（银行全称）法定代表人（或法定代表人的代理人）×××于××××年×月×日，在××（签约地点或本公证处），在我的面前，签署了前面的编号为××××的《不可撤销银行履约保函》。</w:t>
      </w:r>
    </w:p>
    <w:p>
      <w:pPr>
        <w:pStyle w:val="45"/>
        <w:spacing w:before="0" w:beforeAutospacing="0" w:after="0" w:afterAutospacing="0" w:line="360" w:lineRule="auto"/>
        <w:ind w:firstLine="434" w:firstLineChars="207"/>
        <w:rPr>
          <w:rFonts w:cs="宋体"/>
          <w:color w:val="auto"/>
          <w:sz w:val="21"/>
          <w:szCs w:val="21"/>
        </w:rPr>
      </w:pPr>
      <w:r>
        <w:rPr>
          <w:rFonts w:hint="eastAsia" w:cs="宋体"/>
          <w:color w:val="auto"/>
          <w:sz w:val="21"/>
          <w:szCs w:val="21"/>
        </w:rPr>
        <w:t>经查，不可撤销银行履约保函上的签字、印章属实。</w:t>
      </w:r>
    </w:p>
    <w:p>
      <w:pPr>
        <w:pStyle w:val="45"/>
        <w:spacing w:before="0" w:beforeAutospacing="0" w:after="0" w:afterAutospacing="0" w:line="360" w:lineRule="auto"/>
        <w:rPr>
          <w:rFonts w:cs="宋体"/>
          <w:color w:val="auto"/>
          <w:sz w:val="21"/>
          <w:szCs w:val="21"/>
        </w:rPr>
      </w:pPr>
    </w:p>
    <w:p>
      <w:pPr>
        <w:pStyle w:val="45"/>
        <w:spacing w:before="0" w:beforeAutospacing="0" w:after="0" w:afterAutospacing="0" w:line="360" w:lineRule="auto"/>
        <w:rPr>
          <w:rFonts w:cs="宋体"/>
          <w:color w:val="auto"/>
          <w:sz w:val="21"/>
          <w:szCs w:val="21"/>
        </w:rPr>
      </w:pPr>
    </w:p>
    <w:p>
      <w:pPr>
        <w:pStyle w:val="45"/>
        <w:spacing w:before="0" w:beforeAutospacing="0" w:after="0" w:afterAutospacing="0" w:line="360" w:lineRule="auto"/>
        <w:rPr>
          <w:rFonts w:cs="宋体"/>
          <w:color w:val="auto"/>
          <w:sz w:val="21"/>
          <w:szCs w:val="21"/>
        </w:rPr>
      </w:pPr>
    </w:p>
    <w:p>
      <w:pPr>
        <w:pStyle w:val="45"/>
        <w:spacing w:before="0" w:beforeAutospacing="0" w:after="0" w:afterAutospacing="0" w:line="360" w:lineRule="auto"/>
        <w:jc w:val="right"/>
        <w:rPr>
          <w:rFonts w:cs="宋体"/>
          <w:color w:val="auto"/>
          <w:sz w:val="21"/>
          <w:szCs w:val="21"/>
        </w:rPr>
      </w:pPr>
      <w:r>
        <w:rPr>
          <w:rFonts w:hint="eastAsia" w:cs="宋体"/>
          <w:color w:val="auto"/>
          <w:sz w:val="21"/>
          <w:szCs w:val="21"/>
        </w:rPr>
        <w:t>中华人民共和国××省××市（县）公证处</w:t>
      </w:r>
    </w:p>
    <w:p>
      <w:pPr>
        <w:pStyle w:val="45"/>
        <w:spacing w:before="0" w:beforeAutospacing="0" w:after="0" w:afterAutospacing="0" w:line="360" w:lineRule="auto"/>
        <w:ind w:firstLine="6887" w:firstLineChars="3280"/>
        <w:rPr>
          <w:rFonts w:cs="宋体"/>
          <w:color w:val="auto"/>
          <w:sz w:val="21"/>
          <w:szCs w:val="21"/>
        </w:rPr>
      </w:pPr>
      <w:r>
        <w:rPr>
          <w:rFonts w:hint="eastAsia" w:cs="宋体"/>
          <w:color w:val="auto"/>
          <w:sz w:val="21"/>
          <w:szCs w:val="21"/>
        </w:rPr>
        <w:t>公证员 （签名）</w:t>
      </w:r>
    </w:p>
    <w:p>
      <w:pPr>
        <w:spacing w:line="360" w:lineRule="auto"/>
        <w:ind w:firstLine="6615" w:firstLineChars="3150"/>
        <w:rPr>
          <w:rFonts w:hAnsi="宋体" w:cs="宋体"/>
          <w:color w:val="auto"/>
          <w:sz w:val="21"/>
          <w:szCs w:val="21"/>
        </w:rPr>
      </w:pPr>
      <w:r>
        <w:rPr>
          <w:rFonts w:hint="eastAsia" w:hAnsi="宋体" w:cs="宋体"/>
          <w:color w:val="auto"/>
          <w:sz w:val="21"/>
          <w:szCs w:val="21"/>
        </w:rPr>
        <w:t>××××年×月×日</w:t>
      </w:r>
    </w:p>
    <w:p>
      <w:pPr>
        <w:spacing w:afterLines="50" w:line="360" w:lineRule="auto"/>
        <w:rPr>
          <w:rFonts w:hAnsi="宋体" w:cs="宋体"/>
          <w:b/>
          <w:color w:val="auto"/>
          <w:sz w:val="30"/>
          <w:szCs w:val="30"/>
        </w:rPr>
      </w:pPr>
    </w:p>
    <w:p>
      <w:pPr>
        <w:spacing w:afterLines="50" w:line="360" w:lineRule="auto"/>
        <w:rPr>
          <w:rFonts w:hAnsi="宋体" w:cs="宋体"/>
          <w:b/>
          <w:color w:val="auto"/>
          <w:sz w:val="30"/>
          <w:szCs w:val="30"/>
        </w:rPr>
      </w:pPr>
    </w:p>
    <w:p>
      <w:pPr>
        <w:spacing w:afterLines="50" w:line="360" w:lineRule="auto"/>
        <w:rPr>
          <w:rFonts w:hAnsi="宋体" w:cs="宋体"/>
          <w:b/>
          <w:color w:val="auto"/>
          <w:sz w:val="30"/>
          <w:szCs w:val="30"/>
        </w:rPr>
      </w:pPr>
    </w:p>
    <w:p>
      <w:pPr>
        <w:pStyle w:val="46"/>
        <w:spacing w:beforeLines="50" w:afterLines="50" w:line="460" w:lineRule="exact"/>
        <w:rPr>
          <w:rFonts w:ascii="宋体" w:hAnsi="宋体" w:cs="宋体"/>
          <w:color w:val="auto"/>
          <w:lang w:val="zh-CN"/>
        </w:rPr>
      </w:pPr>
      <w:r>
        <w:rPr>
          <w:rFonts w:hint="eastAsia" w:ascii="宋体" w:hAnsi="宋体" w:cs="宋体"/>
          <w:bCs w:val="0"/>
          <w:color w:val="auto"/>
          <w:sz w:val="30"/>
          <w:szCs w:val="30"/>
        </w:rPr>
        <w:br w:type="page"/>
      </w:r>
      <w:bookmarkEnd w:id="148"/>
      <w:bookmarkEnd w:id="149"/>
      <w:bookmarkEnd w:id="150"/>
      <w:bookmarkStart w:id="151" w:name="_Toc447044608"/>
      <w:bookmarkStart w:id="152" w:name="_Toc447044484"/>
      <w:bookmarkStart w:id="153" w:name="_Toc9831"/>
      <w:bookmarkStart w:id="154" w:name="_Toc24993"/>
      <w:bookmarkStart w:id="155" w:name="_Toc447045095"/>
      <w:r>
        <w:rPr>
          <w:rFonts w:hint="eastAsia" w:ascii="宋体" w:hAnsi="宋体" w:cs="宋体"/>
          <w:color w:val="auto"/>
          <w:lang w:val="zh-CN"/>
        </w:rPr>
        <w:t>第六篇</w:t>
      </w:r>
      <w:r>
        <w:rPr>
          <w:rFonts w:hint="eastAsia" w:ascii="宋体" w:hAnsi="宋体" w:cs="宋体"/>
          <w:color w:val="auto"/>
        </w:rPr>
        <w:t xml:space="preserve"> </w:t>
      </w:r>
      <w:r>
        <w:rPr>
          <w:rFonts w:hint="eastAsia" w:ascii="宋体" w:hAnsi="宋体" w:cs="宋体"/>
          <w:color w:val="auto"/>
          <w:lang w:val="zh-CN"/>
        </w:rPr>
        <w:t>投标文件格式</w:t>
      </w:r>
      <w:bookmarkEnd w:id="151"/>
      <w:bookmarkEnd w:id="152"/>
      <w:bookmarkEnd w:id="153"/>
      <w:bookmarkEnd w:id="154"/>
      <w:bookmarkEnd w:id="155"/>
    </w:p>
    <w:p>
      <w:pPr>
        <w:pStyle w:val="5"/>
        <w:rPr>
          <w:rFonts w:hAnsi="宋体" w:cs="宋体"/>
          <w:b/>
          <w:bCs/>
          <w:color w:val="auto"/>
          <w:kern w:val="2"/>
          <w:sz w:val="32"/>
          <w:szCs w:val="32"/>
          <w:lang w:val="zh-CN"/>
        </w:rPr>
      </w:pPr>
      <w:bookmarkStart w:id="156" w:name="_Toc24983"/>
      <w:bookmarkStart w:id="157" w:name="_Toc4743566"/>
      <w:bookmarkStart w:id="158" w:name="_Toc534983538"/>
      <w:bookmarkStart w:id="159" w:name="_Toc1473"/>
      <w:bookmarkStart w:id="160" w:name="_Toc905"/>
      <w:r>
        <w:rPr>
          <w:rFonts w:hint="eastAsia" w:hAnsi="宋体" w:cs="宋体"/>
          <w:b/>
          <w:bCs/>
          <w:color w:val="auto"/>
          <w:kern w:val="2"/>
          <w:sz w:val="32"/>
          <w:szCs w:val="32"/>
          <w:lang w:val="zh-CN"/>
        </w:rPr>
        <w:t>一、投标函格式</w:t>
      </w:r>
      <w:bookmarkEnd w:id="156"/>
      <w:bookmarkEnd w:id="157"/>
      <w:bookmarkEnd w:id="158"/>
      <w:bookmarkEnd w:id="159"/>
      <w:bookmarkEnd w:id="160"/>
    </w:p>
    <w:p>
      <w:pPr>
        <w:spacing w:line="360" w:lineRule="auto"/>
        <w:jc w:val="center"/>
        <w:rPr>
          <w:rFonts w:hAnsi="宋体" w:cs="宋体"/>
          <w:b/>
          <w:bCs/>
          <w:color w:val="auto"/>
          <w:kern w:val="2"/>
          <w:sz w:val="30"/>
          <w:szCs w:val="30"/>
        </w:rPr>
      </w:pPr>
      <w:r>
        <w:rPr>
          <w:rFonts w:hint="eastAsia" w:hAnsi="宋体" w:cs="宋体"/>
          <w:b/>
          <w:bCs/>
          <w:color w:val="auto"/>
          <w:kern w:val="2"/>
          <w:sz w:val="30"/>
          <w:szCs w:val="30"/>
          <w:lang w:val="zh-CN"/>
        </w:rPr>
        <w:t>投 标 函</w:t>
      </w:r>
    </w:p>
    <w:p>
      <w:pPr>
        <w:spacing w:line="360" w:lineRule="auto"/>
        <w:ind w:firstLine="420" w:firstLineChars="200"/>
        <w:jc w:val="both"/>
        <w:rPr>
          <w:rFonts w:hAnsi="宋体" w:cs="宋体"/>
          <w:color w:val="auto"/>
          <w:kern w:val="2"/>
          <w:sz w:val="21"/>
          <w:szCs w:val="21"/>
        </w:rPr>
      </w:pPr>
      <w:r>
        <w:rPr>
          <w:rFonts w:hint="eastAsia" w:hAnsi="宋体" w:cs="宋体"/>
          <w:color w:val="auto"/>
          <w:kern w:val="2"/>
          <w:sz w:val="21"/>
          <w:szCs w:val="21"/>
          <w:lang w:val="zh-CN"/>
        </w:rPr>
        <w:t>致：</w:t>
      </w:r>
      <w:r>
        <w:rPr>
          <w:rFonts w:hint="eastAsia" w:hAnsi="宋体" w:cs="宋体"/>
          <w:color w:val="auto"/>
          <w:sz w:val="21"/>
          <w:szCs w:val="32"/>
        </w:rPr>
        <w:t>东莞市水务集团管网有限公司</w:t>
      </w:r>
    </w:p>
    <w:p>
      <w:pPr>
        <w:spacing w:line="360" w:lineRule="auto"/>
        <w:ind w:firstLine="420"/>
        <w:jc w:val="both"/>
        <w:rPr>
          <w:rFonts w:hAnsi="宋体" w:cs="宋体"/>
          <w:color w:val="auto"/>
          <w:kern w:val="2"/>
          <w:sz w:val="21"/>
          <w:szCs w:val="21"/>
          <w:lang w:val="zh-CN"/>
        </w:rPr>
      </w:pPr>
      <w:r>
        <w:rPr>
          <w:rFonts w:hint="eastAsia" w:hAnsi="宋体" w:cs="宋体"/>
          <w:color w:val="auto"/>
          <w:kern w:val="2"/>
          <w:sz w:val="21"/>
          <w:szCs w:val="21"/>
          <w:lang w:val="zh-CN"/>
        </w:rPr>
        <w:t>根据贵方为</w:t>
      </w:r>
      <w:r>
        <w:rPr>
          <w:rFonts w:hint="eastAsia" w:hAnsi="宋体" w:cs="宋体"/>
          <w:color w:val="auto"/>
          <w:sz w:val="21"/>
          <w:szCs w:val="32"/>
          <w:u w:val="single"/>
        </w:rPr>
        <w:t>东莞市水务集团管网有限公司2022年食堂食材配送服务采购项目</w:t>
      </w:r>
      <w:r>
        <w:rPr>
          <w:rFonts w:hint="eastAsia" w:hAnsi="宋体" w:cs="宋体"/>
          <w:color w:val="auto"/>
          <w:kern w:val="2"/>
          <w:sz w:val="21"/>
          <w:szCs w:val="21"/>
          <w:lang w:val="zh-CN"/>
        </w:rPr>
        <w:t>(招标编号：</w:t>
      </w:r>
      <w:r>
        <w:rPr>
          <w:rFonts w:hint="eastAsia" w:hAnsi="宋体" w:cs="宋体"/>
          <w:color w:val="auto"/>
          <w:kern w:val="2"/>
          <w:sz w:val="21"/>
          <w:szCs w:val="21"/>
          <w:u w:val="single"/>
          <w:lang w:val="zh-CN"/>
        </w:rPr>
        <w:t>GDHD-ST-2021-14</w:t>
      </w:r>
      <w:r>
        <w:rPr>
          <w:rFonts w:hint="eastAsia" w:hAnsi="宋体" w:cs="宋体"/>
          <w:color w:val="auto"/>
          <w:kern w:val="2"/>
          <w:sz w:val="21"/>
          <w:szCs w:val="21"/>
          <w:lang w:val="zh-CN"/>
        </w:rPr>
        <w:t>)的投标邀请，我方</w:t>
      </w:r>
      <w:r>
        <w:rPr>
          <w:rFonts w:hint="eastAsia" w:hAnsi="宋体" w:cs="宋体"/>
          <w:color w:val="auto"/>
          <w:kern w:val="2"/>
          <w:sz w:val="21"/>
          <w:szCs w:val="21"/>
          <w:u w:val="single"/>
          <w:lang w:val="zh-CN"/>
        </w:rPr>
        <w:t>（投标人名称）</w:t>
      </w:r>
      <w:r>
        <w:rPr>
          <w:rFonts w:hint="eastAsia" w:hAnsi="宋体" w:cs="宋体"/>
          <w:color w:val="auto"/>
          <w:kern w:val="2"/>
          <w:sz w:val="21"/>
          <w:szCs w:val="21"/>
          <w:lang w:val="zh-CN"/>
        </w:rPr>
        <w:t>作为投标人正式授权</w:t>
      </w:r>
      <w:r>
        <w:rPr>
          <w:rFonts w:hint="eastAsia" w:hAnsi="宋体" w:cs="宋体"/>
          <w:color w:val="auto"/>
          <w:kern w:val="2"/>
          <w:sz w:val="21"/>
          <w:szCs w:val="21"/>
          <w:u w:val="single"/>
          <w:lang w:val="zh-CN"/>
        </w:rPr>
        <w:t>（授权代表全名，职务）</w:t>
      </w:r>
      <w:r>
        <w:rPr>
          <w:rFonts w:hint="eastAsia" w:hAnsi="宋体" w:cs="宋体"/>
          <w:color w:val="auto"/>
          <w:kern w:val="2"/>
          <w:sz w:val="21"/>
          <w:szCs w:val="21"/>
          <w:lang w:val="zh-CN"/>
        </w:rPr>
        <w:t>代表我方进行有关本次投标的一切事宜。</w:t>
      </w:r>
    </w:p>
    <w:p>
      <w:pPr>
        <w:spacing w:line="360" w:lineRule="auto"/>
        <w:ind w:firstLine="420"/>
        <w:jc w:val="both"/>
        <w:rPr>
          <w:rFonts w:hAnsi="宋体" w:cs="宋体"/>
          <w:color w:val="auto"/>
          <w:kern w:val="2"/>
          <w:sz w:val="21"/>
          <w:szCs w:val="21"/>
          <w:lang w:val="zh-CN"/>
        </w:rPr>
      </w:pPr>
      <w:r>
        <w:rPr>
          <w:rFonts w:hint="eastAsia" w:hAnsi="宋体" w:cs="宋体"/>
          <w:color w:val="auto"/>
          <w:kern w:val="2"/>
          <w:sz w:val="21"/>
          <w:szCs w:val="21"/>
          <w:lang w:val="zh-CN"/>
        </w:rPr>
        <w:t>在此提交的投标文件，包括如下等内容，并已单独密封封装：</w:t>
      </w:r>
    </w:p>
    <w:p>
      <w:pPr>
        <w:spacing w:line="360" w:lineRule="auto"/>
        <w:ind w:firstLine="315" w:firstLineChars="150"/>
        <w:jc w:val="both"/>
        <w:rPr>
          <w:rFonts w:hAnsi="宋体" w:cs="宋体"/>
          <w:color w:val="auto"/>
          <w:kern w:val="2"/>
          <w:sz w:val="21"/>
          <w:szCs w:val="21"/>
          <w:lang w:val="zh-CN"/>
        </w:rPr>
      </w:pPr>
      <w:r>
        <w:rPr>
          <w:rFonts w:hint="eastAsia" w:hAnsi="宋体" w:cs="宋体"/>
          <w:color w:val="auto"/>
          <w:kern w:val="2"/>
          <w:sz w:val="21"/>
          <w:szCs w:val="21"/>
          <w:lang w:val="zh-CN"/>
        </w:rPr>
        <w:t>（</w:t>
      </w:r>
      <w:r>
        <w:rPr>
          <w:rFonts w:hint="eastAsia" w:hAnsi="宋体" w:cs="宋体"/>
          <w:color w:val="auto"/>
          <w:kern w:val="2"/>
          <w:sz w:val="21"/>
          <w:szCs w:val="21"/>
        </w:rPr>
        <w:t>一</w:t>
      </w:r>
      <w:r>
        <w:rPr>
          <w:rFonts w:hint="eastAsia" w:hAnsi="宋体" w:cs="宋体"/>
          <w:color w:val="auto"/>
          <w:kern w:val="2"/>
          <w:sz w:val="21"/>
          <w:szCs w:val="21"/>
          <w:lang w:val="zh-CN"/>
        </w:rPr>
        <w:t>）唱标信封【</w:t>
      </w:r>
      <w:r>
        <w:rPr>
          <w:rFonts w:hint="eastAsia" w:hAnsi="宋体" w:cs="宋体"/>
          <w:color w:val="auto"/>
          <w:kern w:val="2"/>
          <w:sz w:val="21"/>
          <w:szCs w:val="21"/>
          <w:u w:val="single"/>
          <w:lang w:val="zh-CN"/>
        </w:rPr>
        <w:t xml:space="preserve">        </w:t>
      </w:r>
      <w:r>
        <w:rPr>
          <w:rFonts w:hint="eastAsia" w:hAnsi="宋体" w:cs="宋体"/>
          <w:color w:val="auto"/>
          <w:kern w:val="2"/>
          <w:sz w:val="21"/>
          <w:szCs w:val="21"/>
          <w:lang w:val="zh-CN"/>
        </w:rPr>
        <w:t>份】；</w:t>
      </w:r>
    </w:p>
    <w:p>
      <w:pPr>
        <w:spacing w:line="360" w:lineRule="auto"/>
        <w:ind w:firstLine="315" w:firstLineChars="150"/>
        <w:jc w:val="both"/>
        <w:rPr>
          <w:rFonts w:hAnsi="宋体" w:cs="宋体"/>
          <w:color w:val="auto"/>
          <w:kern w:val="2"/>
          <w:sz w:val="21"/>
          <w:szCs w:val="21"/>
          <w:lang w:val="zh-CN"/>
        </w:rPr>
      </w:pPr>
      <w:r>
        <w:rPr>
          <w:rFonts w:hint="eastAsia" w:hAnsi="宋体" w:cs="宋体"/>
          <w:color w:val="auto"/>
          <w:kern w:val="2"/>
          <w:sz w:val="21"/>
          <w:szCs w:val="21"/>
          <w:lang w:val="zh-CN"/>
        </w:rPr>
        <w:t>（</w:t>
      </w:r>
      <w:r>
        <w:rPr>
          <w:rFonts w:hint="eastAsia" w:hAnsi="宋体" w:cs="宋体"/>
          <w:color w:val="auto"/>
          <w:kern w:val="2"/>
          <w:sz w:val="21"/>
          <w:szCs w:val="21"/>
        </w:rPr>
        <w:t>二）</w:t>
      </w:r>
      <w:r>
        <w:rPr>
          <w:rFonts w:hint="eastAsia" w:hAnsi="宋体" w:cs="宋体"/>
          <w:color w:val="auto"/>
          <w:kern w:val="2"/>
          <w:sz w:val="21"/>
          <w:szCs w:val="21"/>
          <w:lang w:val="zh-CN"/>
        </w:rPr>
        <w:t>投标文件【正本</w:t>
      </w:r>
      <w:r>
        <w:rPr>
          <w:rFonts w:hint="eastAsia" w:hAnsi="宋体" w:cs="宋体"/>
          <w:color w:val="auto"/>
          <w:kern w:val="2"/>
          <w:sz w:val="21"/>
          <w:szCs w:val="21"/>
          <w:u w:val="single"/>
          <w:lang w:val="zh-CN"/>
        </w:rPr>
        <w:t xml:space="preserve">        </w:t>
      </w:r>
      <w:r>
        <w:rPr>
          <w:rFonts w:hint="eastAsia" w:hAnsi="宋体" w:cs="宋体"/>
          <w:color w:val="auto"/>
          <w:kern w:val="2"/>
          <w:sz w:val="21"/>
          <w:szCs w:val="21"/>
          <w:lang w:val="zh-CN"/>
        </w:rPr>
        <w:t>份，副本</w:t>
      </w:r>
      <w:r>
        <w:rPr>
          <w:rFonts w:hint="eastAsia" w:hAnsi="宋体" w:cs="宋体"/>
          <w:color w:val="auto"/>
          <w:kern w:val="2"/>
          <w:sz w:val="21"/>
          <w:szCs w:val="21"/>
          <w:u w:val="single"/>
          <w:lang w:val="zh-CN"/>
        </w:rPr>
        <w:t xml:space="preserve">        </w:t>
      </w:r>
      <w:r>
        <w:rPr>
          <w:rFonts w:hint="eastAsia" w:hAnsi="宋体" w:cs="宋体"/>
          <w:color w:val="auto"/>
          <w:kern w:val="2"/>
          <w:sz w:val="21"/>
          <w:szCs w:val="21"/>
          <w:lang w:val="zh-CN"/>
        </w:rPr>
        <w:t>份】；</w:t>
      </w:r>
    </w:p>
    <w:p>
      <w:pPr>
        <w:spacing w:line="360" w:lineRule="auto"/>
        <w:ind w:firstLine="315" w:firstLineChars="150"/>
        <w:jc w:val="both"/>
        <w:rPr>
          <w:rFonts w:hAnsi="宋体" w:cs="宋体"/>
          <w:color w:val="auto"/>
          <w:kern w:val="2"/>
          <w:sz w:val="21"/>
          <w:szCs w:val="21"/>
          <w:lang w:val="zh-CN"/>
        </w:rPr>
      </w:pPr>
      <w:r>
        <w:rPr>
          <w:rFonts w:hint="eastAsia" w:hAnsi="宋体" w:cs="宋体"/>
          <w:color w:val="auto"/>
          <w:kern w:val="2"/>
          <w:sz w:val="21"/>
          <w:szCs w:val="21"/>
          <w:lang w:val="zh-CN"/>
        </w:rPr>
        <w:t>（</w:t>
      </w:r>
      <w:r>
        <w:rPr>
          <w:rFonts w:hint="eastAsia" w:hAnsi="宋体" w:cs="宋体"/>
          <w:color w:val="auto"/>
          <w:kern w:val="2"/>
          <w:sz w:val="21"/>
          <w:szCs w:val="21"/>
        </w:rPr>
        <w:t>三</w:t>
      </w:r>
      <w:r>
        <w:rPr>
          <w:rFonts w:hint="eastAsia" w:hAnsi="宋体" w:cs="宋体"/>
          <w:color w:val="auto"/>
          <w:kern w:val="2"/>
          <w:sz w:val="21"/>
          <w:szCs w:val="21"/>
          <w:lang w:val="zh-CN"/>
        </w:rPr>
        <w:t>）投标文件电子文件【</w:t>
      </w:r>
      <w:r>
        <w:rPr>
          <w:rFonts w:hint="eastAsia" w:hAnsi="宋体" w:cs="宋体"/>
          <w:color w:val="auto"/>
          <w:kern w:val="2"/>
          <w:sz w:val="21"/>
          <w:szCs w:val="21"/>
          <w:u w:val="single"/>
          <w:lang w:val="zh-CN"/>
        </w:rPr>
        <w:t xml:space="preserve">        </w:t>
      </w:r>
      <w:r>
        <w:rPr>
          <w:rFonts w:hint="eastAsia" w:hAnsi="宋体" w:cs="宋体"/>
          <w:color w:val="auto"/>
          <w:kern w:val="2"/>
          <w:sz w:val="21"/>
          <w:szCs w:val="21"/>
          <w:lang w:val="zh-CN"/>
        </w:rPr>
        <w:t>份】。</w:t>
      </w:r>
    </w:p>
    <w:p>
      <w:pPr>
        <w:spacing w:line="360" w:lineRule="auto"/>
        <w:ind w:firstLine="420"/>
        <w:jc w:val="both"/>
        <w:rPr>
          <w:rFonts w:hAnsi="宋体" w:cs="宋体"/>
          <w:color w:val="auto"/>
          <w:kern w:val="2"/>
          <w:sz w:val="21"/>
          <w:szCs w:val="21"/>
          <w:lang w:val="zh-CN"/>
        </w:rPr>
      </w:pPr>
      <w:r>
        <w:rPr>
          <w:rFonts w:hint="eastAsia" w:hAnsi="宋体" w:cs="宋体"/>
          <w:color w:val="auto"/>
          <w:kern w:val="2"/>
          <w:sz w:val="21"/>
          <w:szCs w:val="21"/>
          <w:lang w:val="zh-CN"/>
        </w:rPr>
        <w:t>我方己完全明白招标文件的所有条款要求，并重申以下几点：</w:t>
      </w:r>
    </w:p>
    <w:p>
      <w:pPr>
        <w:spacing w:line="360" w:lineRule="auto"/>
        <w:ind w:left="359"/>
        <w:jc w:val="both"/>
        <w:rPr>
          <w:rFonts w:hAnsi="宋体" w:cs="宋体"/>
          <w:color w:val="auto"/>
          <w:kern w:val="2"/>
          <w:sz w:val="21"/>
          <w:szCs w:val="21"/>
          <w:lang w:val="zh-CN"/>
        </w:rPr>
      </w:pPr>
      <w:r>
        <w:rPr>
          <w:rFonts w:hint="eastAsia" w:hAnsi="宋体" w:cs="宋体"/>
          <w:color w:val="auto"/>
          <w:kern w:val="2"/>
          <w:sz w:val="21"/>
          <w:szCs w:val="21"/>
          <w:lang w:val="zh-CN"/>
        </w:rPr>
        <w:t>（—）我方决定参加招标编号为【</w:t>
      </w:r>
      <w:r>
        <w:rPr>
          <w:rFonts w:hint="eastAsia" w:hAnsi="宋体" w:cs="宋体"/>
          <w:color w:val="auto"/>
          <w:kern w:val="2"/>
          <w:sz w:val="21"/>
          <w:szCs w:val="21"/>
          <w:u w:val="single"/>
          <w:lang w:val="zh-CN"/>
        </w:rPr>
        <w:t>GDHD-ST-2021-14</w:t>
      </w:r>
      <w:r>
        <w:rPr>
          <w:rFonts w:hint="eastAsia" w:hAnsi="宋体" w:cs="宋体"/>
          <w:color w:val="auto"/>
          <w:kern w:val="2"/>
          <w:sz w:val="21"/>
          <w:szCs w:val="21"/>
          <w:lang w:val="zh-CN"/>
        </w:rPr>
        <w:t>】的投标；</w:t>
      </w:r>
    </w:p>
    <w:p>
      <w:pPr>
        <w:spacing w:line="360" w:lineRule="auto"/>
        <w:ind w:left="990" w:leftChars="150" w:hanging="630" w:hangingChars="300"/>
        <w:jc w:val="both"/>
        <w:rPr>
          <w:rFonts w:hAnsi="宋体" w:cs="宋体"/>
          <w:color w:val="auto"/>
          <w:kern w:val="2"/>
          <w:sz w:val="21"/>
          <w:szCs w:val="21"/>
          <w:lang w:val="zh-CN"/>
        </w:rPr>
      </w:pPr>
      <w:r>
        <w:rPr>
          <w:rFonts w:hint="eastAsia" w:hAnsi="宋体" w:cs="宋体"/>
          <w:color w:val="auto"/>
          <w:kern w:val="2"/>
          <w:sz w:val="21"/>
          <w:szCs w:val="21"/>
          <w:lang w:val="zh-CN"/>
        </w:rPr>
        <w:t>（二）本投标文件的有效期自递交投标文件截止时间后90日有效，如中标，有效期将延至合同终止日为止；</w:t>
      </w:r>
    </w:p>
    <w:p>
      <w:pPr>
        <w:spacing w:line="360" w:lineRule="auto"/>
        <w:ind w:left="990" w:leftChars="150" w:hanging="630" w:hangingChars="300"/>
        <w:jc w:val="both"/>
        <w:rPr>
          <w:rFonts w:hAnsi="宋体" w:cs="宋体"/>
          <w:color w:val="auto"/>
          <w:kern w:val="2"/>
          <w:sz w:val="21"/>
          <w:szCs w:val="21"/>
          <w:lang w:val="zh-CN"/>
        </w:rPr>
      </w:pPr>
      <w:r>
        <w:rPr>
          <w:rFonts w:hint="eastAsia" w:hAnsi="宋体" w:cs="宋体"/>
          <w:color w:val="auto"/>
          <w:kern w:val="2"/>
          <w:sz w:val="21"/>
          <w:szCs w:val="21"/>
          <w:lang w:val="zh-CN"/>
        </w:rPr>
        <w:t>（三）我方已详细研究了招标文件的所有内容包括修正文（如有）和所有已提供的参考资料以及有关附件并完全明白，我方放弃在此方面提出含糊意见或误解的一切权力；</w:t>
      </w:r>
    </w:p>
    <w:p>
      <w:pPr>
        <w:spacing w:line="360" w:lineRule="auto"/>
        <w:ind w:left="990" w:leftChars="150" w:hanging="630" w:hangingChars="300"/>
        <w:jc w:val="both"/>
        <w:rPr>
          <w:rFonts w:hAnsi="宋体" w:cs="宋体"/>
          <w:color w:val="auto"/>
          <w:kern w:val="2"/>
          <w:sz w:val="21"/>
          <w:szCs w:val="21"/>
          <w:lang w:val="zh-CN"/>
        </w:rPr>
      </w:pPr>
      <w:r>
        <w:rPr>
          <w:rFonts w:hint="eastAsia" w:hAnsi="宋体" w:cs="宋体"/>
          <w:color w:val="auto"/>
          <w:kern w:val="2"/>
          <w:sz w:val="21"/>
          <w:szCs w:val="21"/>
          <w:lang w:val="zh-CN"/>
        </w:rPr>
        <w:t>（四）我方明白并愿意在规定的递交投标文件截止时间和日期之后，投标有效期之内撤销投标，则不予退还我方投标保证金；</w:t>
      </w:r>
    </w:p>
    <w:p>
      <w:pPr>
        <w:spacing w:line="360" w:lineRule="auto"/>
        <w:ind w:left="359"/>
        <w:jc w:val="both"/>
        <w:rPr>
          <w:rFonts w:hAnsi="宋体" w:cs="宋体"/>
          <w:color w:val="auto"/>
          <w:kern w:val="2"/>
          <w:sz w:val="21"/>
          <w:szCs w:val="21"/>
          <w:lang w:val="zh-CN"/>
        </w:rPr>
      </w:pPr>
      <w:r>
        <w:rPr>
          <w:rFonts w:hint="eastAsia" w:hAnsi="宋体" w:cs="宋体"/>
          <w:color w:val="auto"/>
          <w:kern w:val="2"/>
          <w:sz w:val="21"/>
          <w:szCs w:val="21"/>
          <w:lang w:val="zh-CN"/>
        </w:rPr>
        <w:t>（五）我方同意按照贵方可能提出的要求而提供与投标有关的任何其它数据或信息；</w:t>
      </w:r>
    </w:p>
    <w:p>
      <w:pPr>
        <w:spacing w:line="360" w:lineRule="auto"/>
        <w:ind w:left="990" w:leftChars="150" w:hanging="630" w:hangingChars="300"/>
        <w:jc w:val="both"/>
        <w:rPr>
          <w:rFonts w:hAnsi="宋体" w:cs="宋体"/>
          <w:color w:val="auto"/>
          <w:kern w:val="2"/>
          <w:sz w:val="21"/>
          <w:szCs w:val="21"/>
          <w:lang w:val="zh-CN"/>
        </w:rPr>
      </w:pPr>
      <w:r>
        <w:rPr>
          <w:rFonts w:hint="eastAsia" w:hAnsi="宋体" w:cs="宋体"/>
          <w:color w:val="auto"/>
          <w:kern w:val="2"/>
          <w:sz w:val="21"/>
          <w:szCs w:val="21"/>
          <w:lang w:val="zh-CN"/>
        </w:rPr>
        <w:t>（</w:t>
      </w:r>
      <w:r>
        <w:rPr>
          <w:rFonts w:hint="eastAsia" w:hAnsi="宋体" w:cs="宋体"/>
          <w:color w:val="auto"/>
          <w:kern w:val="2"/>
          <w:sz w:val="21"/>
          <w:szCs w:val="21"/>
        </w:rPr>
        <w:t>六</w:t>
      </w:r>
      <w:r>
        <w:rPr>
          <w:rFonts w:hint="eastAsia" w:hAnsi="宋体" w:cs="宋体"/>
          <w:color w:val="auto"/>
          <w:kern w:val="2"/>
          <w:sz w:val="21"/>
          <w:szCs w:val="21"/>
          <w:lang w:val="zh-CN"/>
        </w:rPr>
        <w:t>）我方如果中标，将保证履行招标文件以及招标文件修改书（如有）中的全部责任和义务，按质、按量、按期完成《合同书》中的全部任务；</w:t>
      </w:r>
    </w:p>
    <w:p>
      <w:pPr>
        <w:spacing w:line="360" w:lineRule="auto"/>
        <w:ind w:left="947" w:leftChars="132" w:hanging="630" w:hangingChars="300"/>
        <w:jc w:val="both"/>
        <w:rPr>
          <w:rFonts w:hAnsi="宋体" w:cs="宋体"/>
          <w:color w:val="auto"/>
          <w:kern w:val="2"/>
          <w:sz w:val="21"/>
          <w:szCs w:val="21"/>
          <w:lang w:val="zh-CN"/>
        </w:rPr>
      </w:pPr>
      <w:r>
        <w:rPr>
          <w:rFonts w:hint="eastAsia" w:hAnsi="宋体" w:cs="宋体"/>
          <w:color w:val="auto"/>
          <w:kern w:val="2"/>
          <w:sz w:val="21"/>
          <w:szCs w:val="21"/>
          <w:lang w:val="zh-CN"/>
        </w:rPr>
        <w:t>（</w:t>
      </w:r>
      <w:r>
        <w:rPr>
          <w:rFonts w:hint="eastAsia" w:hAnsi="宋体" w:cs="宋体"/>
          <w:color w:val="auto"/>
          <w:kern w:val="2"/>
          <w:sz w:val="21"/>
          <w:szCs w:val="21"/>
        </w:rPr>
        <w:t>七</w:t>
      </w:r>
      <w:r>
        <w:rPr>
          <w:rFonts w:hint="eastAsia" w:hAnsi="宋体" w:cs="宋体"/>
          <w:color w:val="auto"/>
          <w:kern w:val="2"/>
          <w:sz w:val="21"/>
          <w:szCs w:val="21"/>
          <w:lang w:val="zh-CN"/>
        </w:rPr>
        <w:t>）保证投标文件中所有资料均真实有效，否则按无效投标处理或可取消中标资格，并愿意接受按弄虚作假骗取中标的有关规定进行处理，并不予退还我方投标保证金；</w:t>
      </w:r>
    </w:p>
    <w:p>
      <w:pPr>
        <w:spacing w:line="360" w:lineRule="auto"/>
        <w:ind w:left="947" w:leftChars="132" w:hanging="630" w:hangingChars="300"/>
        <w:jc w:val="both"/>
        <w:rPr>
          <w:rFonts w:hAnsi="宋体" w:cs="宋体"/>
          <w:color w:val="auto"/>
          <w:kern w:val="2"/>
          <w:sz w:val="21"/>
          <w:szCs w:val="21"/>
          <w:lang w:val="zh-CN"/>
        </w:rPr>
      </w:pPr>
      <w:r>
        <w:rPr>
          <w:rFonts w:hint="eastAsia" w:hAnsi="宋体" w:cs="宋体"/>
          <w:color w:val="auto"/>
          <w:kern w:val="2"/>
          <w:sz w:val="21"/>
          <w:szCs w:val="21"/>
          <w:lang w:val="zh-CN"/>
        </w:rPr>
        <w:t>（</w:t>
      </w:r>
      <w:r>
        <w:rPr>
          <w:rFonts w:hint="eastAsia" w:hAnsi="宋体" w:cs="宋体"/>
          <w:color w:val="auto"/>
          <w:kern w:val="2"/>
          <w:sz w:val="21"/>
          <w:szCs w:val="21"/>
        </w:rPr>
        <w:t>八</w:t>
      </w:r>
      <w:r>
        <w:rPr>
          <w:rFonts w:hint="eastAsia" w:hAnsi="宋体" w:cs="宋体"/>
          <w:color w:val="auto"/>
          <w:kern w:val="2"/>
          <w:sz w:val="21"/>
          <w:szCs w:val="21"/>
          <w:lang w:val="zh-CN"/>
        </w:rPr>
        <w:t>）若我方中标后，我方一定按照招标文件的要求和投标文件的承诺签订和履行合同，否则贵方可取消我方中标资格，并依法不予退还我方投标保证金或履约担保，我方愿意接受违约处罚；</w:t>
      </w:r>
    </w:p>
    <w:p>
      <w:pPr>
        <w:spacing w:line="360" w:lineRule="auto"/>
        <w:ind w:left="947" w:leftChars="132" w:hanging="630" w:hangingChars="300"/>
        <w:jc w:val="both"/>
        <w:rPr>
          <w:rFonts w:hAnsi="宋体" w:cs="宋体"/>
          <w:color w:val="auto"/>
          <w:kern w:val="2"/>
          <w:sz w:val="21"/>
          <w:szCs w:val="21"/>
          <w:lang w:val="zh-CN"/>
        </w:rPr>
      </w:pPr>
      <w:r>
        <w:rPr>
          <w:rFonts w:hint="eastAsia" w:hAnsi="宋体" w:cs="宋体"/>
          <w:color w:val="auto"/>
          <w:kern w:val="2"/>
          <w:sz w:val="21"/>
          <w:szCs w:val="21"/>
          <w:lang w:val="zh-CN"/>
        </w:rPr>
        <w:t>（</w:t>
      </w:r>
      <w:r>
        <w:rPr>
          <w:rFonts w:hint="eastAsia" w:hAnsi="宋体" w:cs="宋体"/>
          <w:color w:val="auto"/>
          <w:kern w:val="2"/>
          <w:sz w:val="21"/>
          <w:szCs w:val="21"/>
        </w:rPr>
        <w:t>九</w:t>
      </w:r>
      <w:r>
        <w:rPr>
          <w:rFonts w:hint="eastAsia" w:hAnsi="宋体" w:cs="宋体"/>
          <w:color w:val="auto"/>
          <w:kern w:val="2"/>
          <w:sz w:val="21"/>
          <w:szCs w:val="21"/>
          <w:lang w:val="zh-CN"/>
        </w:rPr>
        <w:t>）若我方中标后，核查出投标文件内容前后不一致，我方愿按最高标准的承诺履约义务；</w:t>
      </w:r>
    </w:p>
    <w:p>
      <w:pPr>
        <w:spacing w:line="360" w:lineRule="auto"/>
        <w:ind w:left="646" w:leftChars="138" w:hanging="315" w:hangingChars="150"/>
        <w:jc w:val="both"/>
        <w:rPr>
          <w:rFonts w:hAnsi="宋体" w:cs="宋体"/>
          <w:color w:val="auto"/>
          <w:kern w:val="2"/>
          <w:sz w:val="21"/>
          <w:szCs w:val="21"/>
          <w:lang w:val="zh-CN"/>
        </w:rPr>
      </w:pPr>
      <w:r>
        <w:rPr>
          <w:rFonts w:hint="eastAsia" w:hAnsi="宋体" w:cs="宋体"/>
          <w:color w:val="auto"/>
          <w:kern w:val="2"/>
          <w:sz w:val="21"/>
          <w:szCs w:val="21"/>
          <w:lang w:val="zh-CN"/>
        </w:rPr>
        <w:t>（十）所有与本投标有关的函件请发往下列地址：</w:t>
      </w:r>
    </w:p>
    <w:p>
      <w:pPr>
        <w:spacing w:line="360" w:lineRule="auto"/>
        <w:ind w:left="631" w:leftChars="88" w:hanging="420" w:hangingChars="200"/>
        <w:jc w:val="both"/>
        <w:rPr>
          <w:rFonts w:hAnsi="宋体" w:cs="宋体"/>
          <w:color w:val="auto"/>
          <w:kern w:val="2"/>
          <w:sz w:val="21"/>
          <w:szCs w:val="21"/>
          <w:u w:val="single"/>
          <w:lang w:val="zh-CN"/>
        </w:rPr>
      </w:pPr>
    </w:p>
    <w:p>
      <w:pPr>
        <w:spacing w:line="360" w:lineRule="auto"/>
        <w:jc w:val="both"/>
        <w:rPr>
          <w:rFonts w:hAnsi="宋体" w:cs="宋体"/>
          <w:color w:val="auto"/>
          <w:kern w:val="2"/>
          <w:sz w:val="21"/>
          <w:szCs w:val="21"/>
          <w:u w:val="single"/>
          <w:lang w:val="zh-CN"/>
        </w:rPr>
      </w:pPr>
      <w:r>
        <w:rPr>
          <w:rFonts w:hint="eastAsia" w:hAnsi="宋体" w:cs="宋体"/>
          <w:color w:val="auto"/>
          <w:kern w:val="2"/>
          <w:sz w:val="21"/>
          <w:szCs w:val="21"/>
          <w:lang w:val="zh-CN"/>
        </w:rPr>
        <w:t>地　　址：</w:t>
      </w:r>
      <w:r>
        <w:rPr>
          <w:rFonts w:hint="eastAsia" w:hAnsi="宋体" w:cs="宋体"/>
          <w:color w:val="auto"/>
          <w:kern w:val="2"/>
          <w:sz w:val="21"/>
          <w:szCs w:val="21"/>
          <w:u w:val="single"/>
          <w:lang w:val="zh-CN"/>
        </w:rPr>
        <w:t>　　　　　　　　　　</w:t>
      </w:r>
      <w:r>
        <w:rPr>
          <w:rFonts w:hint="eastAsia" w:hAnsi="宋体" w:cs="宋体"/>
          <w:color w:val="auto"/>
          <w:kern w:val="2"/>
          <w:sz w:val="21"/>
          <w:szCs w:val="21"/>
          <w:lang w:val="zh-CN"/>
        </w:rPr>
        <w:tab/>
      </w:r>
      <w:r>
        <w:rPr>
          <w:rFonts w:hint="eastAsia" w:hAnsi="宋体" w:cs="宋体"/>
          <w:color w:val="auto"/>
          <w:kern w:val="2"/>
          <w:sz w:val="21"/>
          <w:szCs w:val="21"/>
          <w:lang w:val="zh-CN"/>
        </w:rPr>
        <w:tab/>
      </w:r>
      <w:r>
        <w:rPr>
          <w:rFonts w:hint="eastAsia" w:hAnsi="宋体" w:cs="宋体"/>
          <w:color w:val="auto"/>
          <w:kern w:val="2"/>
          <w:sz w:val="21"/>
          <w:szCs w:val="21"/>
          <w:lang w:val="zh-CN"/>
        </w:rPr>
        <w:t>邮政编码：</w:t>
      </w:r>
      <w:r>
        <w:rPr>
          <w:rFonts w:hint="eastAsia" w:hAnsi="宋体" w:cs="宋体"/>
          <w:color w:val="auto"/>
          <w:kern w:val="2"/>
          <w:sz w:val="21"/>
          <w:szCs w:val="21"/>
          <w:u w:val="single"/>
          <w:lang w:val="zh-CN"/>
        </w:rPr>
        <w:t xml:space="preserve">　　　　　　　　　　 </w:t>
      </w:r>
    </w:p>
    <w:p>
      <w:pPr>
        <w:spacing w:line="360" w:lineRule="auto"/>
        <w:jc w:val="both"/>
        <w:rPr>
          <w:rFonts w:hAnsi="宋体" w:cs="宋体"/>
          <w:color w:val="auto"/>
          <w:kern w:val="2"/>
          <w:sz w:val="21"/>
          <w:szCs w:val="21"/>
          <w:u w:val="single"/>
          <w:lang w:val="zh-CN"/>
        </w:rPr>
      </w:pPr>
      <w:r>
        <w:rPr>
          <w:rFonts w:hint="eastAsia" w:hAnsi="宋体" w:cs="宋体"/>
          <w:color w:val="auto"/>
          <w:kern w:val="2"/>
          <w:sz w:val="21"/>
          <w:szCs w:val="21"/>
          <w:lang w:val="zh-CN"/>
        </w:rPr>
        <w:t>电　　话：</w:t>
      </w:r>
      <w:r>
        <w:rPr>
          <w:rFonts w:hint="eastAsia" w:hAnsi="宋体" w:cs="宋体"/>
          <w:color w:val="auto"/>
          <w:kern w:val="2"/>
          <w:sz w:val="21"/>
          <w:szCs w:val="21"/>
          <w:u w:val="single"/>
          <w:lang w:val="zh-CN"/>
        </w:rPr>
        <w:t>　　　　　　　　　　</w:t>
      </w:r>
      <w:r>
        <w:rPr>
          <w:rFonts w:hint="eastAsia" w:hAnsi="宋体" w:cs="宋体"/>
          <w:color w:val="auto"/>
          <w:kern w:val="2"/>
          <w:sz w:val="21"/>
          <w:szCs w:val="21"/>
          <w:lang w:val="zh-CN"/>
        </w:rPr>
        <w:tab/>
      </w:r>
      <w:r>
        <w:rPr>
          <w:rFonts w:hint="eastAsia" w:hAnsi="宋体" w:cs="宋体"/>
          <w:color w:val="auto"/>
          <w:kern w:val="2"/>
          <w:sz w:val="21"/>
          <w:szCs w:val="21"/>
          <w:lang w:val="zh-CN"/>
        </w:rPr>
        <w:t xml:space="preserve">   </w:t>
      </w:r>
      <w:r>
        <w:rPr>
          <w:rFonts w:hint="eastAsia" w:hAnsi="宋体" w:cs="宋体"/>
          <w:color w:val="auto"/>
          <w:kern w:val="2"/>
          <w:sz w:val="21"/>
          <w:szCs w:val="21"/>
        </w:rPr>
        <w:t xml:space="preserve">  </w:t>
      </w:r>
      <w:r>
        <w:rPr>
          <w:rFonts w:hint="eastAsia" w:hAnsi="宋体" w:cs="宋体"/>
          <w:color w:val="auto"/>
          <w:kern w:val="2"/>
          <w:sz w:val="21"/>
          <w:szCs w:val="21"/>
          <w:lang w:val="zh-CN"/>
        </w:rPr>
        <w:t xml:space="preserve"> 传　　真：</w:t>
      </w:r>
      <w:r>
        <w:rPr>
          <w:rFonts w:hint="eastAsia" w:hAnsi="宋体" w:cs="宋体"/>
          <w:color w:val="auto"/>
          <w:kern w:val="2"/>
          <w:sz w:val="21"/>
          <w:szCs w:val="21"/>
          <w:u w:val="single"/>
          <w:lang w:val="zh-CN"/>
        </w:rPr>
        <w:t xml:space="preserve">　　　　　　　　　　 </w:t>
      </w:r>
    </w:p>
    <w:p>
      <w:pPr>
        <w:spacing w:line="360" w:lineRule="auto"/>
        <w:jc w:val="both"/>
        <w:rPr>
          <w:rFonts w:hAnsi="宋体" w:cs="宋体"/>
          <w:color w:val="auto"/>
          <w:kern w:val="2"/>
          <w:sz w:val="21"/>
          <w:szCs w:val="21"/>
          <w:u w:val="single"/>
          <w:lang w:val="zh-CN"/>
        </w:rPr>
      </w:pPr>
      <w:r>
        <w:rPr>
          <w:rFonts w:hint="eastAsia" w:hAnsi="宋体" w:cs="宋体"/>
          <w:color w:val="auto"/>
          <w:kern w:val="2"/>
          <w:sz w:val="21"/>
          <w:szCs w:val="21"/>
          <w:lang w:val="zh-CN"/>
        </w:rPr>
        <w:t>网    站：</w:t>
      </w:r>
      <w:r>
        <w:rPr>
          <w:rFonts w:hint="eastAsia" w:hAnsi="宋体" w:cs="宋体"/>
          <w:color w:val="auto"/>
          <w:kern w:val="2"/>
          <w:sz w:val="21"/>
          <w:szCs w:val="21"/>
          <w:u w:val="single"/>
          <w:lang w:val="zh-CN"/>
        </w:rPr>
        <w:t xml:space="preserve">                    </w:t>
      </w:r>
      <w:r>
        <w:rPr>
          <w:rFonts w:hint="eastAsia" w:hAnsi="宋体" w:cs="宋体"/>
          <w:color w:val="auto"/>
          <w:kern w:val="2"/>
          <w:sz w:val="21"/>
          <w:szCs w:val="21"/>
          <w:lang w:val="zh-CN"/>
        </w:rPr>
        <w:t xml:space="preserve">      </w:t>
      </w:r>
      <w:r>
        <w:rPr>
          <w:rFonts w:hint="eastAsia" w:hAnsi="宋体" w:cs="宋体"/>
          <w:color w:val="auto"/>
          <w:kern w:val="2"/>
          <w:sz w:val="21"/>
          <w:szCs w:val="21"/>
        </w:rPr>
        <w:t xml:space="preserve">      </w:t>
      </w:r>
      <w:r>
        <w:rPr>
          <w:rFonts w:hint="eastAsia" w:hAnsi="宋体" w:cs="宋体"/>
          <w:color w:val="auto"/>
          <w:kern w:val="2"/>
          <w:sz w:val="21"/>
          <w:szCs w:val="21"/>
          <w:lang w:val="zh-CN"/>
        </w:rPr>
        <w:t>电子邮箱：</w:t>
      </w:r>
      <w:r>
        <w:rPr>
          <w:rFonts w:hint="eastAsia" w:hAnsi="宋体" w:cs="宋体"/>
          <w:color w:val="auto"/>
          <w:kern w:val="2"/>
          <w:sz w:val="21"/>
          <w:szCs w:val="21"/>
          <w:u w:val="single"/>
          <w:lang w:val="zh-CN"/>
        </w:rPr>
        <w:t xml:space="preserve">                     </w:t>
      </w:r>
    </w:p>
    <w:p>
      <w:pPr>
        <w:spacing w:line="360" w:lineRule="auto"/>
        <w:jc w:val="both"/>
        <w:rPr>
          <w:rFonts w:hAnsi="宋体" w:cs="宋体"/>
          <w:color w:val="auto"/>
          <w:kern w:val="2"/>
          <w:sz w:val="21"/>
          <w:szCs w:val="21"/>
          <w:u w:val="single"/>
          <w:lang w:val="zh-CN"/>
        </w:rPr>
      </w:pPr>
      <w:r>
        <w:rPr>
          <w:rFonts w:hint="eastAsia" w:hAnsi="宋体" w:cs="宋体"/>
          <w:color w:val="auto"/>
          <w:kern w:val="2"/>
          <w:sz w:val="21"/>
          <w:szCs w:val="21"/>
          <w:lang w:val="zh-CN"/>
        </w:rPr>
        <w:t>代表姓名：</w:t>
      </w:r>
      <w:r>
        <w:rPr>
          <w:rFonts w:hint="eastAsia" w:hAnsi="宋体" w:cs="宋体"/>
          <w:color w:val="auto"/>
          <w:kern w:val="2"/>
          <w:sz w:val="21"/>
          <w:szCs w:val="21"/>
          <w:u w:val="single"/>
          <w:lang w:val="zh-CN"/>
        </w:rPr>
        <w:t>　　　　　　　　　　</w:t>
      </w:r>
      <w:r>
        <w:rPr>
          <w:rFonts w:hint="eastAsia" w:hAnsi="宋体" w:cs="宋体"/>
          <w:color w:val="auto"/>
          <w:kern w:val="2"/>
          <w:sz w:val="21"/>
          <w:szCs w:val="21"/>
          <w:lang w:val="zh-CN"/>
        </w:rPr>
        <w:t>　    职　　务：</w:t>
      </w:r>
      <w:r>
        <w:rPr>
          <w:rFonts w:hint="eastAsia" w:hAnsi="宋体" w:cs="宋体"/>
          <w:color w:val="auto"/>
          <w:kern w:val="2"/>
          <w:sz w:val="21"/>
          <w:szCs w:val="21"/>
          <w:u w:val="single"/>
          <w:lang w:val="zh-CN"/>
        </w:rPr>
        <w:t xml:space="preserve">　　　　　　　　　　 </w:t>
      </w:r>
    </w:p>
    <w:p>
      <w:pPr>
        <w:spacing w:line="360" w:lineRule="auto"/>
        <w:jc w:val="both"/>
        <w:rPr>
          <w:rFonts w:hAnsi="宋体" w:cs="宋体"/>
          <w:color w:val="auto"/>
          <w:kern w:val="2"/>
          <w:sz w:val="21"/>
          <w:szCs w:val="21"/>
          <w:lang w:val="zh-CN"/>
        </w:rPr>
      </w:pPr>
    </w:p>
    <w:p>
      <w:pPr>
        <w:spacing w:line="360" w:lineRule="auto"/>
        <w:jc w:val="both"/>
        <w:rPr>
          <w:rFonts w:hAnsi="宋体" w:cs="宋体"/>
          <w:color w:val="auto"/>
          <w:kern w:val="2"/>
          <w:sz w:val="21"/>
          <w:szCs w:val="21"/>
          <w:lang w:val="zh-CN"/>
        </w:rPr>
      </w:pPr>
    </w:p>
    <w:p>
      <w:pPr>
        <w:spacing w:line="360" w:lineRule="auto"/>
        <w:ind w:firstLine="5040"/>
        <w:jc w:val="both"/>
        <w:rPr>
          <w:rFonts w:hAnsi="宋体" w:cs="宋体"/>
          <w:color w:val="auto"/>
          <w:kern w:val="2"/>
          <w:sz w:val="21"/>
        </w:rPr>
      </w:pPr>
      <w:r>
        <w:rPr>
          <w:rFonts w:hint="eastAsia" w:hAnsi="宋体" w:cs="宋体"/>
          <w:color w:val="auto"/>
          <w:kern w:val="2"/>
          <w:sz w:val="21"/>
          <w:lang w:val="zh-CN"/>
        </w:rPr>
        <w:t>投标人：（加盖投标人法人公章）</w:t>
      </w:r>
    </w:p>
    <w:p>
      <w:pPr>
        <w:spacing w:line="360" w:lineRule="auto"/>
        <w:ind w:firstLine="5040"/>
        <w:jc w:val="both"/>
        <w:rPr>
          <w:rFonts w:hAnsi="宋体" w:cs="宋体"/>
          <w:color w:val="auto"/>
          <w:kern w:val="2"/>
          <w:sz w:val="21"/>
          <w:lang w:val="zh-CN"/>
        </w:rPr>
      </w:pPr>
      <w:r>
        <w:rPr>
          <w:rFonts w:hint="eastAsia" w:hAnsi="宋体" w:cs="宋体"/>
          <w:color w:val="auto"/>
          <w:kern w:val="2"/>
          <w:sz w:val="21"/>
          <w:lang w:val="zh-CN"/>
        </w:rPr>
        <w:t>法定代表人或其授权代表签名（或盖私章）：</w:t>
      </w:r>
    </w:p>
    <w:p>
      <w:pPr>
        <w:ind w:firstLine="5040"/>
        <w:jc w:val="both"/>
        <w:outlineLvl w:val="2"/>
        <w:rPr>
          <w:rFonts w:hAnsi="宋体" w:cs="宋体"/>
          <w:b/>
          <w:bCs/>
          <w:color w:val="auto"/>
          <w:kern w:val="2"/>
          <w:sz w:val="32"/>
          <w:szCs w:val="32"/>
          <w:lang w:val="zh-CN"/>
        </w:rPr>
      </w:pPr>
      <w:r>
        <w:rPr>
          <w:rFonts w:hint="eastAsia" w:hAnsi="宋体" w:cs="宋体"/>
          <w:color w:val="auto"/>
          <w:kern w:val="2"/>
          <w:sz w:val="21"/>
          <w:lang w:val="zh-CN"/>
        </w:rPr>
        <w:t>日期：   年   月   日</w:t>
      </w:r>
      <w:r>
        <w:rPr>
          <w:rFonts w:hint="eastAsia" w:hAnsi="宋体" w:cs="宋体"/>
          <w:color w:val="auto"/>
          <w:kern w:val="2"/>
          <w:sz w:val="21"/>
          <w:lang w:val="zh-CN"/>
        </w:rPr>
        <w:br w:type="page"/>
      </w:r>
      <w:bookmarkStart w:id="161" w:name="_Toc22448"/>
      <w:bookmarkStart w:id="162" w:name="_Toc83396606"/>
      <w:r>
        <w:rPr>
          <w:rFonts w:hint="eastAsia" w:hAnsi="宋体" w:cs="宋体"/>
          <w:b/>
          <w:bCs/>
          <w:color w:val="auto"/>
          <w:kern w:val="2"/>
          <w:sz w:val="32"/>
          <w:szCs w:val="32"/>
          <w:lang w:val="zh-CN"/>
        </w:rPr>
        <w:t>二、承诺书格式</w:t>
      </w:r>
      <w:bookmarkEnd w:id="161"/>
      <w:bookmarkEnd w:id="162"/>
    </w:p>
    <w:p>
      <w:pPr>
        <w:spacing w:line="360" w:lineRule="auto"/>
        <w:jc w:val="center"/>
        <w:rPr>
          <w:rFonts w:hAnsi="宋体" w:cs="宋体"/>
          <w:b/>
          <w:bCs/>
          <w:color w:val="auto"/>
          <w:kern w:val="2"/>
          <w:sz w:val="30"/>
          <w:szCs w:val="30"/>
          <w:lang w:val="zh-CN"/>
        </w:rPr>
      </w:pPr>
      <w:bookmarkStart w:id="163" w:name="_Toc29431"/>
      <w:bookmarkStart w:id="164" w:name="_Toc4743567"/>
      <w:bookmarkStart w:id="165" w:name="_Toc18447"/>
      <w:bookmarkStart w:id="166" w:name="_Toc534983539"/>
      <w:bookmarkStart w:id="167" w:name="_Toc447045096"/>
      <w:bookmarkStart w:id="168" w:name="_Toc447044485"/>
      <w:bookmarkStart w:id="169" w:name="_Toc447044609"/>
      <w:r>
        <w:rPr>
          <w:rFonts w:hint="eastAsia" w:hAnsi="宋体" w:cs="宋体"/>
          <w:b/>
          <w:bCs/>
          <w:color w:val="auto"/>
          <w:kern w:val="2"/>
          <w:sz w:val="30"/>
          <w:szCs w:val="30"/>
          <w:lang w:val="zh-CN"/>
        </w:rPr>
        <w:t>承诺书</w:t>
      </w:r>
    </w:p>
    <w:p>
      <w:pPr>
        <w:spacing w:line="360" w:lineRule="auto"/>
        <w:jc w:val="both"/>
        <w:rPr>
          <w:rFonts w:hAnsi="宋体" w:cs="宋体"/>
          <w:color w:val="auto"/>
          <w:kern w:val="2"/>
          <w:sz w:val="21"/>
          <w:szCs w:val="21"/>
          <w:u w:val="single"/>
        </w:rPr>
      </w:pPr>
      <w:r>
        <w:rPr>
          <w:rFonts w:hint="eastAsia" w:hAnsi="宋体" w:cs="宋体"/>
          <w:color w:val="auto"/>
          <w:kern w:val="2"/>
          <w:sz w:val="21"/>
          <w:szCs w:val="21"/>
          <w:lang w:val="zh-CN"/>
        </w:rPr>
        <w:t>致：</w:t>
      </w:r>
      <w:r>
        <w:rPr>
          <w:rFonts w:hint="eastAsia" w:hAnsi="宋体" w:cs="宋体"/>
          <w:color w:val="auto"/>
          <w:kern w:val="2"/>
          <w:sz w:val="21"/>
          <w:szCs w:val="21"/>
          <w:u w:val="single"/>
        </w:rPr>
        <w:t>东莞市水务集团管网有限公司</w:t>
      </w:r>
    </w:p>
    <w:p>
      <w:pPr>
        <w:spacing w:line="360" w:lineRule="auto"/>
        <w:ind w:firstLine="420"/>
        <w:jc w:val="both"/>
        <w:rPr>
          <w:rFonts w:hAnsi="宋体" w:cs="宋体"/>
          <w:color w:val="auto"/>
          <w:kern w:val="2"/>
          <w:sz w:val="21"/>
          <w:szCs w:val="21"/>
          <w:lang w:val="zh-CN"/>
        </w:rPr>
      </w:pPr>
      <w:r>
        <w:rPr>
          <w:rFonts w:hint="eastAsia" w:hAnsi="宋体" w:cs="宋体"/>
          <w:color w:val="auto"/>
          <w:kern w:val="2"/>
          <w:sz w:val="21"/>
          <w:szCs w:val="21"/>
        </w:rPr>
        <w:t>我司已收到</w:t>
      </w:r>
      <w:r>
        <w:rPr>
          <w:rFonts w:hint="eastAsia" w:hAnsi="宋体" w:cs="宋体"/>
          <w:color w:val="auto"/>
          <w:sz w:val="21"/>
          <w:szCs w:val="21"/>
          <w:u w:val="single"/>
        </w:rPr>
        <w:t>东莞市水务集团管网有限公司2022年食堂食材配送服务采购项目</w:t>
      </w:r>
      <w:r>
        <w:rPr>
          <w:rFonts w:hint="eastAsia" w:hAnsi="宋体" w:cs="宋体"/>
          <w:color w:val="auto"/>
          <w:kern w:val="2"/>
          <w:sz w:val="21"/>
          <w:szCs w:val="21"/>
          <w:lang w:val="zh-CN"/>
        </w:rPr>
        <w:t>(</w:t>
      </w:r>
      <w:r>
        <w:rPr>
          <w:rFonts w:hint="eastAsia" w:hAnsi="宋体" w:cs="宋体"/>
          <w:color w:val="auto"/>
          <w:kern w:val="2"/>
          <w:sz w:val="21"/>
          <w:szCs w:val="21"/>
        </w:rPr>
        <w:t>招标编号：</w:t>
      </w:r>
      <w:r>
        <w:rPr>
          <w:rFonts w:hint="eastAsia" w:hAnsi="宋体" w:cs="宋体"/>
          <w:color w:val="auto"/>
          <w:kern w:val="2"/>
          <w:sz w:val="21"/>
          <w:szCs w:val="21"/>
          <w:u w:val="single"/>
          <w:lang w:val="zh-CN"/>
        </w:rPr>
        <w:t>GDHD-ST-2021-14</w:t>
      </w:r>
      <w:r>
        <w:rPr>
          <w:rFonts w:hint="eastAsia" w:hAnsi="宋体" w:cs="宋体"/>
          <w:color w:val="auto"/>
          <w:kern w:val="2"/>
          <w:sz w:val="21"/>
          <w:szCs w:val="21"/>
          <w:lang w:val="zh-CN"/>
        </w:rPr>
        <w:t>)</w:t>
      </w:r>
      <w:r>
        <w:rPr>
          <w:rFonts w:hint="eastAsia" w:hAnsi="宋体" w:cs="宋体"/>
          <w:color w:val="auto"/>
          <w:kern w:val="2"/>
          <w:sz w:val="21"/>
          <w:szCs w:val="21"/>
        </w:rPr>
        <w:t>招标文件</w:t>
      </w:r>
      <w:r>
        <w:rPr>
          <w:rFonts w:hint="eastAsia" w:hAnsi="宋体" w:cs="宋体"/>
          <w:color w:val="auto"/>
          <w:kern w:val="2"/>
          <w:sz w:val="21"/>
          <w:szCs w:val="21"/>
          <w:lang w:val="zh-CN"/>
        </w:rPr>
        <w:t>，</w:t>
      </w:r>
      <w:r>
        <w:rPr>
          <w:rFonts w:hint="eastAsia" w:hAnsi="宋体" w:cs="宋体"/>
          <w:color w:val="auto"/>
          <w:kern w:val="2"/>
          <w:sz w:val="21"/>
          <w:szCs w:val="21"/>
        </w:rPr>
        <w:t>并</w:t>
      </w:r>
      <w:r>
        <w:rPr>
          <w:rFonts w:hint="eastAsia" w:hAnsi="宋体" w:cs="宋体"/>
          <w:color w:val="auto"/>
          <w:kern w:val="2"/>
          <w:sz w:val="21"/>
          <w:szCs w:val="21"/>
          <w:lang w:val="zh-CN"/>
        </w:rPr>
        <w:t>完全</w:t>
      </w:r>
      <w:r>
        <w:rPr>
          <w:rFonts w:hint="eastAsia" w:hAnsi="宋体" w:cs="宋体"/>
          <w:color w:val="auto"/>
          <w:kern w:val="2"/>
          <w:sz w:val="21"/>
          <w:szCs w:val="21"/>
        </w:rPr>
        <w:t>清楚了解招标</w:t>
      </w:r>
      <w:r>
        <w:rPr>
          <w:rFonts w:hint="eastAsia" w:hAnsi="宋体" w:cs="宋体"/>
          <w:color w:val="auto"/>
          <w:kern w:val="2"/>
          <w:sz w:val="21"/>
          <w:szCs w:val="21"/>
          <w:lang w:val="zh-CN"/>
        </w:rPr>
        <w:t>文件的所有条款要求，</w:t>
      </w:r>
      <w:r>
        <w:rPr>
          <w:rFonts w:hint="eastAsia" w:hAnsi="宋体" w:cs="宋体"/>
          <w:color w:val="auto"/>
          <w:kern w:val="2"/>
          <w:sz w:val="21"/>
          <w:szCs w:val="21"/>
        </w:rPr>
        <w:t>现</w:t>
      </w:r>
      <w:r>
        <w:rPr>
          <w:rFonts w:hint="eastAsia" w:hAnsi="宋体" w:cs="宋体"/>
          <w:color w:val="auto"/>
          <w:kern w:val="2"/>
          <w:sz w:val="21"/>
          <w:szCs w:val="21"/>
          <w:lang w:val="zh-CN"/>
        </w:rPr>
        <w:t>重申如下：</w:t>
      </w:r>
    </w:p>
    <w:p>
      <w:pPr>
        <w:spacing w:line="360" w:lineRule="auto"/>
        <w:ind w:firstLine="420"/>
        <w:jc w:val="both"/>
        <w:rPr>
          <w:rFonts w:hAnsi="宋体" w:cs="宋体"/>
          <w:color w:val="auto"/>
          <w:kern w:val="2"/>
          <w:sz w:val="21"/>
          <w:szCs w:val="21"/>
          <w:lang w:val="zh-CN"/>
        </w:rPr>
      </w:pPr>
      <w:r>
        <w:rPr>
          <w:rFonts w:hint="eastAsia" w:hAnsi="宋体" w:cs="宋体"/>
          <w:color w:val="auto"/>
          <w:kern w:val="2"/>
          <w:sz w:val="21"/>
          <w:szCs w:val="21"/>
          <w:lang w:val="zh-CN"/>
        </w:rPr>
        <w:t>如我司存在中标/成交后放弃或提供虚假证明文件、虚假投标/响应文件或存在实际供货技术参数、质量低于投标/响应文件承诺的标准等情况的，我司将同意并接受贵司按照招标/采购文件追究责任，并采取包括但不限于以下措施：</w:t>
      </w:r>
    </w:p>
    <w:p>
      <w:pPr>
        <w:spacing w:line="360" w:lineRule="auto"/>
        <w:ind w:firstLine="420"/>
        <w:jc w:val="both"/>
        <w:rPr>
          <w:rFonts w:hAnsi="宋体" w:cs="宋体"/>
          <w:color w:val="auto"/>
          <w:kern w:val="2"/>
          <w:sz w:val="21"/>
          <w:szCs w:val="21"/>
          <w:lang w:val="zh-CN"/>
        </w:rPr>
      </w:pPr>
      <w:r>
        <w:rPr>
          <w:rFonts w:hint="eastAsia" w:hAnsi="宋体" w:cs="宋体"/>
          <w:color w:val="auto"/>
          <w:kern w:val="2"/>
          <w:sz w:val="21"/>
          <w:szCs w:val="21"/>
          <w:lang w:val="zh-CN"/>
        </w:rPr>
        <w:t>1、将我司列入东莞市水务集团有限公司“黑名单”，在东莞市水务集团有限公司官网、东莞阳光网、东莞日报等媒体公开我司失信行为，并在贵司以后的招标采购项目评标时充分考虑我司的不良行为和履约问题；</w:t>
      </w:r>
    </w:p>
    <w:p>
      <w:pPr>
        <w:spacing w:line="360" w:lineRule="auto"/>
        <w:ind w:firstLine="420"/>
        <w:jc w:val="both"/>
        <w:rPr>
          <w:rFonts w:hAnsi="宋体" w:cs="宋体"/>
          <w:color w:val="auto"/>
          <w:kern w:val="2"/>
          <w:sz w:val="21"/>
          <w:szCs w:val="21"/>
          <w:lang w:val="zh-CN"/>
        </w:rPr>
      </w:pPr>
      <w:r>
        <w:rPr>
          <w:rFonts w:hint="eastAsia" w:hAnsi="宋体" w:cs="宋体"/>
          <w:color w:val="auto"/>
          <w:kern w:val="2"/>
          <w:sz w:val="21"/>
          <w:szCs w:val="21"/>
          <w:lang w:val="zh-CN"/>
        </w:rPr>
        <w:t>2、上报东莞市市场监督管理局等相关部门，要求将我司列入重点监管名单，并向广东省国资委进行通报，按相关规定进行处理。</w:t>
      </w:r>
    </w:p>
    <w:p>
      <w:pPr>
        <w:spacing w:line="360" w:lineRule="auto"/>
        <w:ind w:firstLine="420" w:firstLineChars="200"/>
        <w:rPr>
          <w:rFonts w:hAnsi="宋体" w:cs="宋体"/>
          <w:color w:val="auto"/>
        </w:rPr>
      </w:pPr>
      <w:r>
        <w:rPr>
          <w:rFonts w:hint="eastAsia" w:hAnsi="宋体" w:cs="宋体"/>
          <w:color w:val="auto"/>
          <w:kern w:val="2"/>
          <w:sz w:val="21"/>
          <w:szCs w:val="21"/>
          <w:lang w:val="zh-CN"/>
        </w:rPr>
        <w:t>由此产生的不利影响与经济损失均由我司自行承担，与贵司无关。</w:t>
      </w:r>
    </w:p>
    <w:p>
      <w:pPr>
        <w:spacing w:line="360" w:lineRule="auto"/>
        <w:rPr>
          <w:rFonts w:hAnsi="宋体" w:cs="宋体"/>
          <w:color w:val="auto"/>
        </w:rPr>
      </w:pPr>
    </w:p>
    <w:p>
      <w:pPr>
        <w:spacing w:line="360" w:lineRule="auto"/>
        <w:rPr>
          <w:rFonts w:hAnsi="宋体" w:cs="宋体"/>
          <w:color w:val="auto"/>
        </w:rPr>
      </w:pPr>
    </w:p>
    <w:p>
      <w:pPr>
        <w:spacing w:line="360" w:lineRule="auto"/>
        <w:ind w:firstLine="5040"/>
        <w:jc w:val="both"/>
        <w:rPr>
          <w:rFonts w:hAnsi="宋体" w:cs="宋体"/>
          <w:color w:val="auto"/>
          <w:kern w:val="2"/>
          <w:sz w:val="21"/>
        </w:rPr>
      </w:pPr>
      <w:r>
        <w:rPr>
          <w:rFonts w:hint="eastAsia" w:hAnsi="宋体" w:cs="宋体"/>
          <w:color w:val="auto"/>
          <w:kern w:val="2"/>
          <w:sz w:val="21"/>
        </w:rPr>
        <w:t>投标人：（</w:t>
      </w:r>
      <w:bookmarkStart w:id="170" w:name="_Hlk82520933"/>
      <w:r>
        <w:rPr>
          <w:rFonts w:hint="eastAsia" w:hAnsi="宋体" w:cs="宋体"/>
          <w:color w:val="auto"/>
          <w:kern w:val="2"/>
          <w:sz w:val="21"/>
        </w:rPr>
        <w:t>加盖投标人法人公章</w:t>
      </w:r>
      <w:bookmarkEnd w:id="170"/>
      <w:r>
        <w:rPr>
          <w:rFonts w:hint="eastAsia" w:hAnsi="宋体" w:cs="宋体"/>
          <w:color w:val="auto"/>
          <w:kern w:val="2"/>
          <w:sz w:val="21"/>
        </w:rPr>
        <w:t>）</w:t>
      </w:r>
    </w:p>
    <w:p>
      <w:pPr>
        <w:spacing w:line="360" w:lineRule="auto"/>
        <w:ind w:firstLine="5040" w:firstLineChars="2400"/>
        <w:jc w:val="both"/>
        <w:rPr>
          <w:rFonts w:hAnsi="宋体" w:cs="宋体"/>
          <w:color w:val="auto"/>
          <w:kern w:val="2"/>
          <w:sz w:val="21"/>
          <w:lang w:val="zh-CN"/>
        </w:rPr>
      </w:pPr>
      <w:r>
        <w:rPr>
          <w:rFonts w:hint="eastAsia" w:hAnsi="宋体" w:cs="宋体"/>
          <w:color w:val="auto"/>
          <w:kern w:val="2"/>
          <w:sz w:val="21"/>
          <w:lang w:val="zh-CN"/>
        </w:rPr>
        <w:t>法定代表人或其授权代表签名（或盖私章）：</w:t>
      </w:r>
    </w:p>
    <w:p>
      <w:pPr>
        <w:spacing w:line="360" w:lineRule="auto"/>
        <w:ind w:firstLine="5040"/>
        <w:jc w:val="both"/>
        <w:rPr>
          <w:rFonts w:hAnsi="宋体" w:cs="宋体"/>
          <w:color w:val="auto"/>
          <w:kern w:val="2"/>
          <w:lang w:val="zh-CN"/>
        </w:rPr>
      </w:pPr>
      <w:r>
        <w:rPr>
          <w:rFonts w:hint="eastAsia" w:hAnsi="宋体" w:cs="宋体"/>
          <w:color w:val="auto"/>
          <w:kern w:val="2"/>
          <w:sz w:val="21"/>
          <w:lang w:val="zh-CN"/>
        </w:rPr>
        <w:t>日期：   年   月   日</w:t>
      </w:r>
    </w:p>
    <w:p>
      <w:pPr>
        <w:pStyle w:val="5"/>
        <w:pageBreakBefore/>
        <w:spacing w:line="360" w:lineRule="auto"/>
        <w:rPr>
          <w:rFonts w:hAnsi="宋体" w:cs="宋体"/>
          <w:b/>
          <w:bCs/>
          <w:color w:val="auto"/>
          <w:kern w:val="2"/>
          <w:sz w:val="32"/>
          <w:szCs w:val="32"/>
          <w:lang w:val="zh-CN"/>
        </w:rPr>
      </w:pPr>
      <w:bookmarkStart w:id="171" w:name="_Toc30006"/>
      <w:r>
        <w:rPr>
          <w:rFonts w:hint="eastAsia" w:hAnsi="宋体" w:cs="宋体"/>
          <w:b/>
          <w:bCs/>
          <w:color w:val="auto"/>
          <w:kern w:val="2"/>
          <w:sz w:val="32"/>
          <w:szCs w:val="32"/>
        </w:rPr>
        <w:t>三、</w:t>
      </w:r>
      <w:r>
        <w:rPr>
          <w:rFonts w:hint="eastAsia" w:hAnsi="宋体" w:cs="宋体"/>
          <w:b/>
          <w:bCs/>
          <w:color w:val="auto"/>
          <w:kern w:val="2"/>
          <w:sz w:val="32"/>
          <w:szCs w:val="32"/>
          <w:lang w:val="zh-CN"/>
        </w:rPr>
        <w:t>投标承诺书格式</w:t>
      </w:r>
      <w:bookmarkEnd w:id="163"/>
      <w:bookmarkEnd w:id="164"/>
      <w:bookmarkEnd w:id="165"/>
      <w:bookmarkEnd w:id="166"/>
      <w:bookmarkEnd w:id="171"/>
    </w:p>
    <w:p>
      <w:pPr>
        <w:spacing w:line="360" w:lineRule="auto"/>
        <w:jc w:val="center"/>
        <w:rPr>
          <w:rFonts w:hAnsi="宋体" w:cs="宋体"/>
          <w:b/>
          <w:bCs/>
          <w:color w:val="auto"/>
          <w:kern w:val="2"/>
          <w:sz w:val="30"/>
          <w:szCs w:val="30"/>
          <w:lang w:val="zh-CN"/>
        </w:rPr>
      </w:pPr>
      <w:r>
        <w:rPr>
          <w:rFonts w:hint="eastAsia" w:hAnsi="宋体" w:cs="宋体"/>
          <w:b/>
          <w:bCs/>
          <w:color w:val="auto"/>
          <w:kern w:val="2"/>
          <w:sz w:val="30"/>
          <w:szCs w:val="30"/>
          <w:lang w:val="zh-CN"/>
        </w:rPr>
        <w:t>投标承诺书</w:t>
      </w:r>
      <w:bookmarkEnd w:id="167"/>
      <w:bookmarkEnd w:id="168"/>
      <w:bookmarkEnd w:id="169"/>
    </w:p>
    <w:p>
      <w:pPr>
        <w:spacing w:line="360" w:lineRule="auto"/>
        <w:ind w:firstLine="420" w:firstLineChars="200"/>
        <w:rPr>
          <w:rFonts w:hAnsi="宋体" w:cs="宋体"/>
          <w:color w:val="auto"/>
          <w:sz w:val="21"/>
          <w:szCs w:val="21"/>
        </w:rPr>
      </w:pPr>
      <w:r>
        <w:rPr>
          <w:rFonts w:hint="eastAsia" w:hAnsi="宋体" w:cs="宋体"/>
          <w:color w:val="auto"/>
          <w:sz w:val="21"/>
          <w:szCs w:val="21"/>
        </w:rPr>
        <w:t>我方</w:t>
      </w:r>
      <w:r>
        <w:rPr>
          <w:rFonts w:hint="eastAsia" w:hAnsi="宋体" w:cs="宋体"/>
          <w:color w:val="auto"/>
          <w:sz w:val="21"/>
          <w:szCs w:val="21"/>
          <w:u w:val="single"/>
        </w:rPr>
        <w:t xml:space="preserve">           </w:t>
      </w:r>
      <w:r>
        <w:rPr>
          <w:rFonts w:hint="eastAsia" w:hAnsi="宋体" w:cs="宋体"/>
          <w:color w:val="auto"/>
          <w:sz w:val="21"/>
          <w:szCs w:val="21"/>
        </w:rPr>
        <w:t>（投标人名称）已完整阅读了</w:t>
      </w:r>
      <w:r>
        <w:rPr>
          <w:rFonts w:hint="eastAsia" w:hAnsi="宋体" w:cs="宋体"/>
          <w:color w:val="auto"/>
          <w:sz w:val="21"/>
          <w:szCs w:val="21"/>
          <w:u w:val="single"/>
        </w:rPr>
        <w:t>东莞市水务集团管网有限公司2022年食堂食材配送服务采购项目</w:t>
      </w:r>
      <w:r>
        <w:rPr>
          <w:rFonts w:hint="eastAsia" w:hAnsi="宋体" w:cs="宋体"/>
          <w:color w:val="auto"/>
          <w:sz w:val="21"/>
          <w:szCs w:val="21"/>
        </w:rPr>
        <w:t>项目（招标编号：</w:t>
      </w:r>
      <w:r>
        <w:rPr>
          <w:rFonts w:hint="eastAsia" w:hAnsi="宋体" w:cs="宋体"/>
          <w:color w:val="auto"/>
          <w:kern w:val="2"/>
          <w:sz w:val="21"/>
          <w:szCs w:val="21"/>
          <w:u w:val="single"/>
          <w:lang w:val="zh-CN"/>
        </w:rPr>
        <w:t>GDHD-ST-2021-14</w:t>
      </w:r>
      <w:r>
        <w:rPr>
          <w:rFonts w:hint="eastAsia" w:hAnsi="宋体" w:cs="宋体"/>
          <w:color w:val="auto"/>
          <w:sz w:val="21"/>
          <w:szCs w:val="21"/>
        </w:rPr>
        <w:t>）招标文件的所有内容（包括澄清，以及所有已提供的参考资料和有关附件），并完全理解上述文件所表达的意思，该项目递交投标文件时间截止后，我方承诺不再对上述文件内容进行询问或质疑。</w:t>
      </w:r>
      <w:r>
        <w:rPr>
          <w:rFonts w:hint="eastAsia" w:hAnsi="宋体" w:cs="宋体"/>
          <w:color w:val="auto"/>
          <w:sz w:val="21"/>
          <w:szCs w:val="21"/>
        </w:rPr>
        <w:cr/>
      </w:r>
      <w:r>
        <w:rPr>
          <w:rFonts w:hint="eastAsia" w:hAnsi="宋体" w:cs="宋体"/>
          <w:color w:val="auto"/>
          <w:sz w:val="21"/>
          <w:szCs w:val="21"/>
        </w:rPr>
        <w:t xml:space="preserve">   </w:t>
      </w:r>
    </w:p>
    <w:p>
      <w:pPr>
        <w:spacing w:line="360" w:lineRule="auto"/>
        <w:rPr>
          <w:rFonts w:hAnsi="宋体" w:cs="宋体"/>
          <w:color w:val="auto"/>
        </w:rPr>
      </w:pPr>
    </w:p>
    <w:p>
      <w:pPr>
        <w:spacing w:line="360" w:lineRule="auto"/>
        <w:rPr>
          <w:rFonts w:hAnsi="宋体" w:cs="宋体"/>
          <w:color w:val="auto"/>
        </w:rPr>
      </w:pPr>
    </w:p>
    <w:p>
      <w:pPr>
        <w:spacing w:line="360" w:lineRule="auto"/>
        <w:ind w:firstLine="5040"/>
        <w:jc w:val="both"/>
        <w:rPr>
          <w:rFonts w:hAnsi="宋体" w:cs="宋体"/>
          <w:color w:val="auto"/>
          <w:kern w:val="2"/>
          <w:sz w:val="21"/>
        </w:rPr>
      </w:pPr>
      <w:bookmarkStart w:id="172" w:name="_Toc316896755"/>
      <w:bookmarkStart w:id="173" w:name="_Toc311032584"/>
      <w:bookmarkStart w:id="174" w:name="_Toc326768876"/>
      <w:r>
        <w:rPr>
          <w:rFonts w:hint="eastAsia" w:hAnsi="宋体" w:cs="宋体"/>
          <w:color w:val="auto"/>
          <w:kern w:val="2"/>
          <w:sz w:val="21"/>
          <w:lang w:val="zh-CN"/>
        </w:rPr>
        <w:t>投标人：（加盖投标人法人公章）</w:t>
      </w:r>
    </w:p>
    <w:p>
      <w:pPr>
        <w:spacing w:line="360" w:lineRule="auto"/>
        <w:ind w:firstLine="5040"/>
        <w:jc w:val="both"/>
        <w:rPr>
          <w:rFonts w:hAnsi="宋体" w:cs="宋体"/>
          <w:color w:val="auto"/>
          <w:kern w:val="2"/>
          <w:sz w:val="21"/>
          <w:lang w:val="zh-CN"/>
        </w:rPr>
      </w:pPr>
      <w:r>
        <w:rPr>
          <w:rFonts w:hint="eastAsia" w:hAnsi="宋体" w:cs="宋体"/>
          <w:color w:val="auto"/>
          <w:kern w:val="2"/>
          <w:sz w:val="21"/>
          <w:lang w:val="zh-CN"/>
        </w:rPr>
        <w:t>法定代表人或其授权代表签名（或盖私章）：</w:t>
      </w:r>
    </w:p>
    <w:p>
      <w:pPr>
        <w:spacing w:line="360" w:lineRule="auto"/>
        <w:ind w:firstLine="5040"/>
        <w:jc w:val="both"/>
        <w:rPr>
          <w:rFonts w:hAnsi="宋体" w:cs="宋体"/>
          <w:color w:val="auto"/>
          <w:kern w:val="2"/>
          <w:lang w:val="zh-CN"/>
        </w:rPr>
      </w:pPr>
      <w:r>
        <w:rPr>
          <w:rFonts w:hint="eastAsia" w:hAnsi="宋体" w:cs="宋体"/>
          <w:color w:val="auto"/>
          <w:kern w:val="2"/>
          <w:sz w:val="21"/>
          <w:lang w:val="zh-CN"/>
        </w:rPr>
        <w:t>日期：   年   月   日</w:t>
      </w:r>
    </w:p>
    <w:p>
      <w:pPr>
        <w:spacing w:line="360" w:lineRule="auto"/>
        <w:rPr>
          <w:rFonts w:hAnsi="宋体" w:cs="宋体"/>
          <w:color w:val="auto"/>
        </w:rPr>
      </w:pPr>
    </w:p>
    <w:p>
      <w:pPr>
        <w:spacing w:line="360" w:lineRule="auto"/>
        <w:rPr>
          <w:rFonts w:hAnsi="宋体" w:cs="宋体"/>
          <w:color w:val="auto"/>
        </w:rPr>
      </w:pPr>
    </w:p>
    <w:p>
      <w:pPr>
        <w:spacing w:line="360" w:lineRule="auto"/>
        <w:rPr>
          <w:rFonts w:hAnsi="宋体" w:cs="宋体"/>
          <w:color w:val="auto"/>
        </w:rPr>
      </w:pPr>
    </w:p>
    <w:p>
      <w:pPr>
        <w:spacing w:line="360" w:lineRule="auto"/>
        <w:ind w:firstLine="5040"/>
        <w:jc w:val="both"/>
        <w:rPr>
          <w:rFonts w:hAnsi="宋体" w:cs="宋体"/>
          <w:color w:val="auto"/>
        </w:rPr>
      </w:pPr>
    </w:p>
    <w:p>
      <w:pPr>
        <w:spacing w:line="360" w:lineRule="auto"/>
        <w:ind w:firstLine="5040"/>
        <w:jc w:val="both"/>
        <w:rPr>
          <w:rFonts w:hAnsi="宋体" w:cs="宋体"/>
          <w:color w:val="auto"/>
        </w:rPr>
      </w:pPr>
    </w:p>
    <w:p>
      <w:pPr>
        <w:spacing w:line="360" w:lineRule="auto"/>
        <w:ind w:firstLine="5040"/>
        <w:jc w:val="both"/>
        <w:rPr>
          <w:rFonts w:hAnsi="宋体" w:cs="宋体"/>
          <w:color w:val="auto"/>
        </w:rPr>
      </w:pPr>
    </w:p>
    <w:p>
      <w:pPr>
        <w:spacing w:line="360" w:lineRule="auto"/>
        <w:ind w:firstLine="5040"/>
        <w:jc w:val="both"/>
        <w:rPr>
          <w:rFonts w:hAnsi="宋体" w:cs="宋体"/>
          <w:color w:val="auto"/>
        </w:rPr>
      </w:pPr>
    </w:p>
    <w:p>
      <w:pPr>
        <w:spacing w:line="360" w:lineRule="auto"/>
        <w:ind w:firstLine="5040"/>
        <w:jc w:val="both"/>
        <w:rPr>
          <w:rFonts w:hAnsi="宋体" w:cs="宋体"/>
          <w:color w:val="auto"/>
        </w:rPr>
      </w:pPr>
    </w:p>
    <w:p>
      <w:pPr>
        <w:spacing w:line="360" w:lineRule="auto"/>
        <w:jc w:val="both"/>
        <w:rPr>
          <w:rFonts w:hAnsi="宋体" w:cs="宋体"/>
          <w:color w:val="auto"/>
        </w:rPr>
      </w:pPr>
    </w:p>
    <w:p>
      <w:pPr>
        <w:pStyle w:val="5"/>
        <w:pageBreakBefore/>
        <w:spacing w:line="360" w:lineRule="auto"/>
        <w:rPr>
          <w:rFonts w:hAnsi="宋体" w:cs="宋体"/>
          <w:b/>
          <w:bCs/>
          <w:color w:val="auto"/>
          <w:kern w:val="2"/>
          <w:sz w:val="32"/>
          <w:szCs w:val="32"/>
          <w:lang w:val="zh-CN"/>
        </w:rPr>
      </w:pPr>
      <w:bookmarkStart w:id="175" w:name="_Toc24381"/>
      <w:bookmarkStart w:id="176" w:name="_Toc65231294"/>
      <w:bookmarkStart w:id="177" w:name="_Toc534983540"/>
      <w:bookmarkStart w:id="178" w:name="_Toc4743568"/>
      <w:bookmarkStart w:id="179" w:name="_Toc17599"/>
      <w:bookmarkStart w:id="180" w:name="_Toc895"/>
      <w:r>
        <w:rPr>
          <w:rFonts w:hint="eastAsia" w:hAnsi="宋体" w:cs="宋体"/>
          <w:b/>
          <w:bCs/>
          <w:color w:val="auto"/>
          <w:kern w:val="2"/>
          <w:sz w:val="32"/>
          <w:szCs w:val="32"/>
        </w:rPr>
        <w:t>四</w:t>
      </w:r>
      <w:r>
        <w:rPr>
          <w:rFonts w:hint="eastAsia" w:hAnsi="宋体" w:cs="宋体"/>
          <w:b/>
          <w:bCs/>
          <w:color w:val="auto"/>
          <w:kern w:val="2"/>
          <w:sz w:val="32"/>
          <w:szCs w:val="32"/>
          <w:lang w:val="zh-CN"/>
        </w:rPr>
        <w:t>、投标报价表格式</w:t>
      </w:r>
      <w:bookmarkEnd w:id="175"/>
      <w:bookmarkEnd w:id="176"/>
    </w:p>
    <w:p>
      <w:pPr>
        <w:spacing w:line="360" w:lineRule="auto"/>
        <w:jc w:val="center"/>
        <w:rPr>
          <w:rFonts w:hAnsi="宋体" w:cs="宋体"/>
          <w:b/>
          <w:bCs/>
          <w:color w:val="auto"/>
          <w:kern w:val="2"/>
          <w:sz w:val="30"/>
          <w:szCs w:val="30"/>
          <w:lang w:val="zh-CN"/>
        </w:rPr>
      </w:pPr>
      <w:r>
        <w:rPr>
          <w:rFonts w:hint="eastAsia" w:hAnsi="宋体" w:cs="宋体"/>
          <w:b/>
          <w:bCs/>
          <w:color w:val="auto"/>
          <w:kern w:val="2"/>
          <w:sz w:val="30"/>
          <w:szCs w:val="30"/>
          <w:lang w:val="zh-CN"/>
        </w:rPr>
        <w:t>投标报价表</w:t>
      </w:r>
    </w:p>
    <w:p>
      <w:pPr>
        <w:pStyle w:val="26"/>
        <w:spacing w:line="360" w:lineRule="auto"/>
        <w:rPr>
          <w:rFonts w:hAnsi="宋体" w:cs="宋体"/>
          <w:color w:val="auto"/>
          <w:sz w:val="21"/>
          <w:szCs w:val="21"/>
          <w:u w:val="single"/>
        </w:rPr>
      </w:pPr>
      <w:r>
        <w:rPr>
          <w:rFonts w:hint="eastAsia" w:hAnsi="宋体" w:cs="宋体"/>
          <w:b/>
          <w:bCs/>
          <w:color w:val="auto"/>
          <w:sz w:val="21"/>
          <w:szCs w:val="21"/>
        </w:rPr>
        <w:t>项目名称：</w:t>
      </w:r>
      <w:r>
        <w:rPr>
          <w:rFonts w:hint="eastAsia" w:hAnsi="宋体" w:cs="宋体"/>
          <w:color w:val="auto"/>
          <w:sz w:val="21"/>
          <w:szCs w:val="21"/>
          <w:u w:val="single"/>
        </w:rPr>
        <w:t>东莞市水务集团管网有限公司2022年食堂食材配送服务采购项目</w:t>
      </w:r>
    </w:p>
    <w:p>
      <w:pPr>
        <w:pStyle w:val="26"/>
        <w:spacing w:line="360" w:lineRule="auto"/>
        <w:rPr>
          <w:rFonts w:hAnsi="宋体" w:cs="宋体"/>
          <w:color w:val="auto"/>
          <w:sz w:val="21"/>
          <w:szCs w:val="21"/>
          <w:u w:val="single"/>
        </w:rPr>
      </w:pPr>
      <w:r>
        <w:rPr>
          <w:rFonts w:hint="eastAsia" w:hAnsi="宋体" w:cs="宋体"/>
          <w:b/>
          <w:color w:val="auto"/>
          <w:sz w:val="21"/>
          <w:szCs w:val="21"/>
        </w:rPr>
        <w:t>招标编号：</w:t>
      </w:r>
      <w:r>
        <w:rPr>
          <w:rFonts w:hint="eastAsia" w:hAnsi="宋体" w:cs="宋体"/>
          <w:bCs/>
          <w:color w:val="auto"/>
          <w:sz w:val="21"/>
          <w:szCs w:val="21"/>
          <w:u w:val="single"/>
        </w:rPr>
        <w:t>GDHD-ST-2021-14</w:t>
      </w:r>
    </w:p>
    <w:tbl>
      <w:tblPr>
        <w:tblStyle w:val="48"/>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214"/>
        <w:gridCol w:w="4887"/>
        <w:gridCol w:w="33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2" w:hRule="atLeast"/>
        </w:trPr>
        <w:tc>
          <w:tcPr>
            <w:tcW w:w="644" w:type="pct"/>
            <w:tcBorders>
              <w:top w:val="single" w:color="auto" w:sz="4" w:space="0"/>
              <w:left w:val="single" w:color="auto" w:sz="4" w:space="0"/>
              <w:bottom w:val="single" w:color="auto" w:sz="4" w:space="0"/>
              <w:right w:val="single" w:color="auto" w:sz="4" w:space="0"/>
            </w:tcBorders>
            <w:vAlign w:val="center"/>
          </w:tcPr>
          <w:p>
            <w:pPr>
              <w:jc w:val="center"/>
              <w:rPr>
                <w:rFonts w:hAnsi="宋体" w:cs="宋体"/>
                <w:b/>
                <w:color w:val="auto"/>
                <w:sz w:val="21"/>
                <w:szCs w:val="21"/>
              </w:rPr>
            </w:pPr>
            <w:r>
              <w:rPr>
                <w:rFonts w:hint="eastAsia" w:hAnsi="宋体" w:cs="宋体"/>
                <w:b/>
                <w:color w:val="auto"/>
                <w:sz w:val="21"/>
                <w:szCs w:val="21"/>
              </w:rPr>
              <w:t>序号</w:t>
            </w:r>
          </w:p>
        </w:tc>
        <w:tc>
          <w:tcPr>
            <w:tcW w:w="2591" w:type="pct"/>
            <w:tcBorders>
              <w:top w:val="single" w:color="auto" w:sz="4" w:space="0"/>
              <w:left w:val="single" w:color="auto" w:sz="4" w:space="0"/>
              <w:bottom w:val="single" w:color="auto" w:sz="4" w:space="0"/>
              <w:right w:val="single" w:color="auto" w:sz="4" w:space="0"/>
            </w:tcBorders>
            <w:vAlign w:val="center"/>
          </w:tcPr>
          <w:p>
            <w:pPr>
              <w:jc w:val="center"/>
              <w:rPr>
                <w:rFonts w:hAnsi="宋体" w:cs="宋体"/>
                <w:b/>
                <w:color w:val="auto"/>
                <w:sz w:val="21"/>
                <w:szCs w:val="21"/>
              </w:rPr>
            </w:pPr>
            <w:r>
              <w:rPr>
                <w:rFonts w:hint="eastAsia" w:hAnsi="宋体" w:cs="宋体"/>
                <w:b/>
                <w:color w:val="auto"/>
                <w:sz w:val="21"/>
                <w:szCs w:val="21"/>
              </w:rPr>
              <w:t>项目名称</w:t>
            </w:r>
          </w:p>
        </w:tc>
        <w:tc>
          <w:tcPr>
            <w:tcW w:w="1766" w:type="pct"/>
            <w:tcBorders>
              <w:top w:val="single" w:color="auto" w:sz="4" w:space="0"/>
              <w:left w:val="single" w:color="auto" w:sz="4" w:space="0"/>
              <w:bottom w:val="single" w:color="auto" w:sz="4" w:space="0"/>
              <w:right w:val="single" w:color="auto" w:sz="4" w:space="0"/>
            </w:tcBorders>
            <w:vAlign w:val="center"/>
          </w:tcPr>
          <w:p>
            <w:pPr>
              <w:jc w:val="center"/>
              <w:rPr>
                <w:rFonts w:hAnsi="宋体" w:cs="宋体"/>
                <w:b/>
                <w:color w:val="auto"/>
                <w:sz w:val="21"/>
                <w:szCs w:val="21"/>
              </w:rPr>
            </w:pPr>
            <w:r>
              <w:rPr>
                <w:rFonts w:hint="eastAsia" w:hAnsi="宋体" w:cs="宋体"/>
                <w:b/>
                <w:color w:val="auto"/>
                <w:sz w:val="21"/>
                <w:szCs w:val="21"/>
              </w:rPr>
              <w:t>服务期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829" w:hRule="atLeast"/>
        </w:trPr>
        <w:tc>
          <w:tcPr>
            <w:tcW w:w="644" w:type="pct"/>
            <w:tcBorders>
              <w:top w:val="single" w:color="auto" w:sz="4" w:space="0"/>
              <w:left w:val="single" w:color="auto" w:sz="4" w:space="0"/>
              <w:bottom w:val="single" w:color="auto" w:sz="4" w:space="0"/>
              <w:right w:val="single" w:color="auto" w:sz="4" w:space="0"/>
            </w:tcBorders>
            <w:vAlign w:val="center"/>
          </w:tcPr>
          <w:p>
            <w:pPr>
              <w:jc w:val="center"/>
              <w:rPr>
                <w:rFonts w:hAnsi="宋体" w:cs="宋体"/>
                <w:color w:val="auto"/>
                <w:sz w:val="21"/>
                <w:szCs w:val="21"/>
              </w:rPr>
            </w:pPr>
            <w:r>
              <w:rPr>
                <w:rFonts w:hint="eastAsia" w:hAnsi="宋体" w:cs="宋体"/>
                <w:color w:val="auto"/>
                <w:sz w:val="21"/>
                <w:szCs w:val="21"/>
              </w:rPr>
              <w:t>1</w:t>
            </w:r>
          </w:p>
        </w:tc>
        <w:tc>
          <w:tcPr>
            <w:tcW w:w="2591" w:type="pct"/>
            <w:tcBorders>
              <w:top w:val="single" w:color="auto" w:sz="4" w:space="0"/>
              <w:left w:val="single" w:color="auto" w:sz="4" w:space="0"/>
              <w:bottom w:val="single" w:color="auto" w:sz="4" w:space="0"/>
              <w:right w:val="single" w:color="auto" w:sz="4" w:space="0"/>
            </w:tcBorders>
            <w:vAlign w:val="center"/>
          </w:tcPr>
          <w:p>
            <w:pPr>
              <w:jc w:val="center"/>
              <w:rPr>
                <w:rFonts w:hAnsi="宋体" w:cs="宋体"/>
                <w:color w:val="auto"/>
                <w:sz w:val="21"/>
                <w:szCs w:val="21"/>
              </w:rPr>
            </w:pPr>
            <w:r>
              <w:rPr>
                <w:rFonts w:hint="eastAsia" w:hAnsi="宋体" w:cs="宋体"/>
                <w:color w:val="auto"/>
                <w:sz w:val="21"/>
                <w:szCs w:val="21"/>
                <w:u w:val="single"/>
              </w:rPr>
              <w:t>东莞市水务集团管网有限公司2022年食堂食材配送服务采购项目</w:t>
            </w:r>
          </w:p>
        </w:tc>
        <w:tc>
          <w:tcPr>
            <w:tcW w:w="1766" w:type="pct"/>
            <w:tcBorders>
              <w:top w:val="single" w:color="auto" w:sz="4" w:space="0"/>
              <w:left w:val="single" w:color="auto" w:sz="4" w:space="0"/>
              <w:bottom w:val="single" w:color="auto" w:sz="4" w:space="0"/>
              <w:right w:val="single" w:color="auto" w:sz="4" w:space="0"/>
            </w:tcBorders>
            <w:vAlign w:val="center"/>
          </w:tcPr>
          <w:p>
            <w:pPr>
              <w:pStyle w:val="88"/>
              <w:tabs>
                <w:tab w:val="left" w:pos="8610"/>
              </w:tabs>
              <w:spacing w:line="240" w:lineRule="auto"/>
              <w:ind w:firstLine="0" w:firstLineChars="0"/>
              <w:jc w:val="center"/>
              <w:rPr>
                <w:rFonts w:ascii="宋体" w:eastAsia="宋体" w:cs="宋体"/>
                <w:color w:val="auto"/>
                <w:sz w:val="21"/>
                <w:szCs w:val="21"/>
              </w:rPr>
            </w:pPr>
            <w:r>
              <w:rPr>
                <w:rFonts w:hint="eastAsia" w:ascii="宋体" w:eastAsia="宋体" w:cs="宋体"/>
                <w:color w:val="auto"/>
                <w:sz w:val="21"/>
                <w:szCs w:val="21"/>
              </w:rPr>
              <w:t>合同签订生效之日起至2022年12月31日止</w:t>
            </w:r>
          </w:p>
        </w:tc>
      </w:tr>
    </w:tbl>
    <w:p>
      <w:pPr>
        <w:spacing w:line="240" w:lineRule="atLeast"/>
        <w:rPr>
          <w:rFonts w:hAnsi="宋体" w:cs="宋体"/>
          <w:color w:val="auto"/>
          <w:lang w:val="zh-CN"/>
        </w:rPr>
      </w:pPr>
    </w:p>
    <w:p>
      <w:pPr>
        <w:spacing w:line="360" w:lineRule="auto"/>
        <w:rPr>
          <w:rFonts w:hAnsi="宋体" w:cs="宋体"/>
          <w:color w:val="auto"/>
          <w:sz w:val="21"/>
          <w:szCs w:val="21"/>
        </w:rPr>
      </w:pPr>
      <w:r>
        <w:rPr>
          <w:rFonts w:hint="eastAsia" w:hAnsi="宋体" w:cs="宋体"/>
          <w:color w:val="auto"/>
          <w:sz w:val="21"/>
          <w:szCs w:val="21"/>
        </w:rPr>
        <w:t>备注：</w:t>
      </w:r>
    </w:p>
    <w:p>
      <w:pPr>
        <w:spacing w:line="360" w:lineRule="auto"/>
        <w:contextualSpacing/>
        <w:rPr>
          <w:rFonts w:hAnsi="宋体" w:cs="宋体"/>
          <w:b/>
          <w:bCs/>
          <w:color w:val="auto"/>
          <w:sz w:val="22"/>
          <w:szCs w:val="22"/>
        </w:rPr>
      </w:pPr>
      <w:r>
        <w:rPr>
          <w:rFonts w:hint="eastAsia" w:hAnsi="宋体" w:cs="宋体"/>
          <w:b/>
          <w:bCs/>
          <w:color w:val="auto"/>
          <w:sz w:val="22"/>
          <w:szCs w:val="22"/>
        </w:rPr>
        <w:t>1、本项目采用以下方式确定供货价格（定价原则）：</w:t>
      </w:r>
    </w:p>
    <w:p>
      <w:pPr>
        <w:spacing w:line="360" w:lineRule="auto"/>
        <w:contextualSpacing/>
        <w:rPr>
          <w:rFonts w:hAnsi="宋体" w:cs="宋体"/>
          <w:b/>
          <w:bCs/>
          <w:color w:val="auto"/>
          <w:sz w:val="22"/>
          <w:szCs w:val="22"/>
        </w:rPr>
      </w:pPr>
      <w:r>
        <w:rPr>
          <w:rFonts w:hint="eastAsia" w:hAnsi="宋体" w:cs="宋体"/>
          <w:b/>
          <w:bCs/>
          <w:color w:val="auto"/>
          <w:sz w:val="22"/>
          <w:szCs w:val="22"/>
        </w:rPr>
        <w:t>1.1原则上以东莞市发展和改革局（</w:t>
      </w:r>
      <w:r>
        <w:rPr>
          <w:rFonts w:hint="eastAsia" w:hAnsi="宋体" w:cs="宋体"/>
          <w:b/>
          <w:bCs/>
          <w:color w:val="auto"/>
          <w:szCs w:val="21"/>
        </w:rPr>
        <w:t>http://dgdp.dg.gov.cn/jggl/jgjc/gdsclzjgjcb/index.html</w:t>
      </w:r>
      <w:r>
        <w:rPr>
          <w:rFonts w:hint="eastAsia" w:hAnsi="宋体" w:cs="宋体"/>
          <w:b/>
          <w:bCs/>
          <w:color w:val="auto"/>
          <w:sz w:val="22"/>
          <w:szCs w:val="22"/>
        </w:rPr>
        <w:t>）“东莞市菜篮子价格监测表”当月最新公布本期（指招标人审批之日的最新期次）价格作为基准价抽样审核；若东莞物价专栏无最近当月份公布或招标人所需的相同品种，则招标人将对本市区农副产品市场（莞城</w:t>
      </w:r>
      <w:r>
        <w:rPr>
          <w:rFonts w:hint="eastAsia" w:hAnsi="宋体" w:cs="宋体"/>
          <w:b/>
          <w:bCs/>
          <w:color w:val="auto"/>
          <w:sz w:val="22"/>
          <w:szCs w:val="22"/>
          <w:lang w:val="en-US" w:eastAsia="zh-CN"/>
        </w:rPr>
        <w:t>光明</w:t>
      </w:r>
      <w:r>
        <w:rPr>
          <w:rFonts w:hint="eastAsia" w:hAnsi="宋体" w:cs="宋体"/>
          <w:b/>
          <w:bCs/>
          <w:color w:val="auto"/>
          <w:sz w:val="22"/>
          <w:szCs w:val="22"/>
        </w:rPr>
        <w:t>市场）的市场零售价（精品零售价）进行抽样调查，核定相同品种的市场价格，同时为合同监督食品报价作依椐；</w:t>
      </w:r>
    </w:p>
    <w:p>
      <w:pPr>
        <w:snapToGrid w:val="0"/>
        <w:spacing w:line="360" w:lineRule="auto"/>
        <w:contextualSpacing/>
        <w:rPr>
          <w:rFonts w:hAnsi="宋体" w:cs="宋体"/>
          <w:b/>
          <w:bCs/>
          <w:color w:val="auto"/>
          <w:sz w:val="22"/>
          <w:szCs w:val="22"/>
        </w:rPr>
      </w:pPr>
      <w:r>
        <w:rPr>
          <w:rFonts w:hint="eastAsia" w:hAnsi="宋体" w:cs="宋体"/>
          <w:b/>
          <w:bCs/>
          <w:color w:val="auto"/>
          <w:sz w:val="22"/>
          <w:szCs w:val="22"/>
        </w:rPr>
        <w:t>1.2</w:t>
      </w:r>
      <w:r>
        <w:rPr>
          <w:rFonts w:hint="eastAsia" w:hAnsi="宋体" w:cs="宋体"/>
          <w:b/>
          <w:bCs/>
          <w:color w:val="auto"/>
          <w:sz w:val="21"/>
          <w:szCs w:val="21"/>
        </w:rPr>
        <w:t>日常委托采购：中标人必须按照招标人每日所需的物资品种、数量在指定时间内送货到指定地点，招标人有权在送货前一天18:00前将所需物资清单发送至中标单位确认。</w:t>
      </w:r>
    </w:p>
    <w:p>
      <w:pPr>
        <w:snapToGrid w:val="0"/>
        <w:spacing w:line="360" w:lineRule="auto"/>
        <w:contextualSpacing/>
        <w:rPr>
          <w:rFonts w:hAnsi="宋体" w:cs="宋体"/>
          <w:b/>
          <w:bCs/>
          <w:color w:val="auto"/>
          <w:sz w:val="22"/>
          <w:szCs w:val="22"/>
        </w:rPr>
      </w:pPr>
      <w:r>
        <w:rPr>
          <w:rFonts w:hint="eastAsia" w:hAnsi="宋体" w:cs="宋体"/>
          <w:b/>
          <w:bCs/>
          <w:color w:val="auto"/>
          <w:sz w:val="22"/>
          <w:szCs w:val="22"/>
        </w:rPr>
        <w:t>1.3临时委托采购：中标人必须按照招标人急需餐料物资品种、数量、送货时间、地点等在2小时内进行供货，若急需餐料物资不在供货物资清单表上，该项临时需求食品材料纳入下次供货清单内，并按上述定价原则确定供货价。</w:t>
      </w:r>
    </w:p>
    <w:p>
      <w:pPr>
        <w:pStyle w:val="2"/>
        <w:snapToGrid w:val="0"/>
        <w:spacing w:line="360" w:lineRule="auto"/>
        <w:contextualSpacing/>
        <w:rPr>
          <w:rFonts w:hAnsi="宋体" w:cs="宋体"/>
          <w:b/>
          <w:bCs w:val="0"/>
          <w:color w:val="auto"/>
          <w:sz w:val="22"/>
          <w:szCs w:val="22"/>
        </w:rPr>
      </w:pPr>
      <w:r>
        <w:rPr>
          <w:rFonts w:hint="eastAsia" w:hAnsi="宋体" w:cs="宋体"/>
          <w:color w:val="auto"/>
        </w:rPr>
        <w:t xml:space="preserve">1.4 </w:t>
      </w:r>
      <w:r>
        <w:rPr>
          <w:rFonts w:hint="eastAsia" w:hAnsi="宋体" w:cs="宋体"/>
          <w:color w:val="auto"/>
          <w:sz w:val="21"/>
          <w:szCs w:val="21"/>
        </w:rPr>
        <w:t>食材定价为综合单价，该价格包含食材货物单价、运至合同指定地点的运输费、装卸费、检验费、储存费、保险费及招标文件所要求的相关服务等全过程产生的一切成本和费用以及税费，并由投标人承担送货途中的风险，货物未被招标人签收前发生的毁损、灭失等风险均由投标人自行承担。</w:t>
      </w:r>
    </w:p>
    <w:p>
      <w:pPr>
        <w:snapToGrid w:val="0"/>
        <w:spacing w:line="360" w:lineRule="auto"/>
        <w:contextualSpacing/>
        <w:rPr>
          <w:rFonts w:hAnsi="宋体" w:cs="宋体"/>
          <w:b/>
          <w:bCs/>
          <w:color w:val="auto"/>
          <w:sz w:val="22"/>
          <w:szCs w:val="22"/>
        </w:rPr>
      </w:pPr>
      <w:r>
        <w:rPr>
          <w:rFonts w:hint="eastAsia" w:hAnsi="宋体" w:cs="宋体"/>
          <w:b/>
          <w:bCs/>
          <w:color w:val="auto"/>
          <w:sz w:val="22"/>
          <w:szCs w:val="22"/>
        </w:rPr>
        <w:t>2.定价周期：</w:t>
      </w:r>
    </w:p>
    <w:p>
      <w:pPr>
        <w:snapToGrid w:val="0"/>
        <w:spacing w:line="360" w:lineRule="auto"/>
        <w:contextualSpacing/>
        <w:rPr>
          <w:rFonts w:hAnsi="宋体" w:cs="宋体"/>
          <w:b/>
          <w:bCs/>
          <w:color w:val="auto"/>
          <w:sz w:val="22"/>
          <w:szCs w:val="22"/>
        </w:rPr>
      </w:pPr>
      <w:r>
        <w:rPr>
          <w:rFonts w:hint="eastAsia" w:hAnsi="宋体" w:cs="宋体"/>
          <w:b/>
          <w:bCs/>
          <w:color w:val="auto"/>
          <w:sz w:val="22"/>
          <w:szCs w:val="22"/>
        </w:rPr>
        <w:t>2.1 A类（粮油干货类）、 B类（肉类）、 C类（蔬果类、其他类项）价格每半月更新一次，中标人每月12日前提交下半月报价给招标人审核，每月25日前提交下个月上半月报价给招标人审核。</w:t>
      </w:r>
    </w:p>
    <w:p>
      <w:pPr>
        <w:snapToGrid w:val="0"/>
        <w:spacing w:line="360" w:lineRule="auto"/>
        <w:contextualSpacing/>
        <w:rPr>
          <w:rFonts w:hAnsi="宋体" w:cs="宋体"/>
          <w:b/>
          <w:bCs/>
          <w:color w:val="auto"/>
          <w:sz w:val="22"/>
          <w:szCs w:val="22"/>
        </w:rPr>
      </w:pPr>
      <w:r>
        <w:rPr>
          <w:rFonts w:hint="eastAsia" w:hAnsi="宋体" w:cs="宋体"/>
          <w:b/>
          <w:bCs/>
          <w:color w:val="auto"/>
          <w:sz w:val="22"/>
          <w:szCs w:val="22"/>
        </w:rPr>
        <w:t>2.2 所供货品规格、型号报价与实际配送的规格型号相符合。核定基准价后若供货时期市场出现部分类型餐料价格大幅浮动，升降在30%或以上时，双方均可以书面形式提出价格调整请求（未提出调整请求的部分则以原核定价格执行），双方通过市场调查核实后，上述定价原则确定的价格（双方确认生效后开始以新的价格执行，在此之前的仍以原核定价格执行），并在3 个工作日内给予函复，若在此期限内不予函复则以新定价格执行，除此之外，双方约定的供货物资价格在有效期内任何一方不得随意更改</w:t>
      </w:r>
      <w:r>
        <w:rPr>
          <w:rFonts w:hint="eastAsia" w:hAnsi="宋体" w:cs="宋体"/>
          <w:b/>
          <w:bCs/>
          <w:color w:val="auto"/>
          <w:sz w:val="22"/>
          <w:szCs w:val="22"/>
          <w:lang w:val="zh-CN"/>
        </w:rPr>
        <w:t>。</w:t>
      </w:r>
    </w:p>
    <w:p>
      <w:pPr>
        <w:spacing w:line="360" w:lineRule="auto"/>
        <w:rPr>
          <w:rFonts w:hAnsi="宋体" w:cs="宋体"/>
          <w:b/>
          <w:bCs/>
          <w:color w:val="auto"/>
          <w:sz w:val="22"/>
          <w:szCs w:val="22"/>
          <w:lang w:val="zh-CN"/>
        </w:rPr>
      </w:pPr>
      <w:r>
        <w:rPr>
          <w:rFonts w:hint="eastAsia" w:hAnsi="宋体" w:cs="宋体"/>
          <w:b/>
          <w:bCs/>
          <w:color w:val="auto"/>
          <w:sz w:val="22"/>
          <w:szCs w:val="22"/>
        </w:rPr>
        <w:t>3</w:t>
      </w:r>
      <w:r>
        <w:rPr>
          <w:rFonts w:hint="eastAsia" w:hAnsi="宋体" w:cs="宋体"/>
          <w:b/>
          <w:bCs/>
          <w:color w:val="auto"/>
          <w:sz w:val="22"/>
          <w:szCs w:val="22"/>
          <w:lang w:val="zh-CN"/>
        </w:rPr>
        <w:t>.本表一式二份，一份随唱标信封一起提交，一份编入投标文件商务文件。</w:t>
      </w:r>
    </w:p>
    <w:p>
      <w:pPr>
        <w:spacing w:beforeLines="50" w:line="360" w:lineRule="auto"/>
        <w:ind w:firstLine="5041"/>
        <w:jc w:val="both"/>
        <w:rPr>
          <w:rFonts w:hAnsi="宋体" w:cs="宋体"/>
          <w:color w:val="auto"/>
          <w:kern w:val="2"/>
          <w:sz w:val="21"/>
          <w:szCs w:val="21"/>
        </w:rPr>
      </w:pPr>
      <w:r>
        <w:rPr>
          <w:rFonts w:hint="eastAsia" w:hAnsi="宋体" w:cs="宋体"/>
          <w:color w:val="auto"/>
          <w:kern w:val="2"/>
          <w:sz w:val="21"/>
          <w:szCs w:val="21"/>
          <w:lang w:val="zh-CN"/>
        </w:rPr>
        <w:t>投标人：（加盖投标人法人公章）</w:t>
      </w:r>
    </w:p>
    <w:p>
      <w:pPr>
        <w:spacing w:line="360" w:lineRule="auto"/>
        <w:ind w:firstLine="5040"/>
        <w:jc w:val="both"/>
        <w:rPr>
          <w:rFonts w:hAnsi="宋体" w:cs="宋体"/>
          <w:color w:val="auto"/>
          <w:kern w:val="2"/>
          <w:sz w:val="21"/>
          <w:lang w:val="zh-CN"/>
        </w:rPr>
      </w:pPr>
      <w:r>
        <w:rPr>
          <w:rFonts w:hint="eastAsia" w:hAnsi="宋体" w:cs="宋体"/>
          <w:color w:val="auto"/>
          <w:kern w:val="2"/>
          <w:sz w:val="21"/>
          <w:lang w:val="zh-CN"/>
        </w:rPr>
        <w:t>法定代表人或其授权代表签名（或盖私章）：</w:t>
      </w:r>
    </w:p>
    <w:p>
      <w:pPr>
        <w:spacing w:line="360" w:lineRule="auto"/>
        <w:ind w:firstLine="5040"/>
        <w:jc w:val="both"/>
        <w:rPr>
          <w:rFonts w:hAnsi="宋体" w:cs="宋体"/>
          <w:b/>
          <w:bCs/>
          <w:color w:val="auto"/>
          <w:kern w:val="2"/>
          <w:sz w:val="32"/>
          <w:szCs w:val="32"/>
          <w:lang w:val="zh-CN"/>
        </w:rPr>
      </w:pPr>
      <w:r>
        <w:rPr>
          <w:rFonts w:hint="eastAsia" w:hAnsi="宋体" w:cs="宋体"/>
          <w:color w:val="auto"/>
          <w:kern w:val="2"/>
          <w:sz w:val="21"/>
          <w:lang w:val="zh-CN"/>
        </w:rPr>
        <w:t>日期：   年   月   日</w:t>
      </w:r>
      <w:r>
        <w:rPr>
          <w:rFonts w:hint="eastAsia" w:hAnsi="宋体" w:cs="宋体"/>
          <w:b/>
          <w:bCs/>
          <w:color w:val="auto"/>
          <w:kern w:val="2"/>
          <w:sz w:val="32"/>
          <w:szCs w:val="32"/>
          <w:lang w:val="zh-CN"/>
        </w:rPr>
        <w:br w:type="page"/>
      </w:r>
      <w:r>
        <w:rPr>
          <w:rFonts w:hint="eastAsia" w:hAnsi="宋体" w:cs="宋体"/>
          <w:b/>
          <w:bCs/>
          <w:color w:val="auto"/>
          <w:kern w:val="2"/>
          <w:sz w:val="32"/>
          <w:szCs w:val="32"/>
        </w:rPr>
        <w:t>五</w:t>
      </w:r>
      <w:r>
        <w:rPr>
          <w:rFonts w:hint="eastAsia" w:hAnsi="宋体" w:cs="宋体"/>
          <w:b/>
          <w:bCs/>
          <w:color w:val="auto"/>
          <w:kern w:val="2"/>
          <w:sz w:val="32"/>
          <w:szCs w:val="32"/>
          <w:lang w:val="zh-CN"/>
        </w:rPr>
        <w:t>、</w:t>
      </w:r>
      <w:bookmarkEnd w:id="177"/>
      <w:bookmarkEnd w:id="178"/>
      <w:bookmarkStart w:id="181" w:name="_Toc4743569"/>
      <w:bookmarkStart w:id="182" w:name="_Toc534983541"/>
      <w:r>
        <w:rPr>
          <w:rFonts w:hint="eastAsia" w:hAnsi="宋体" w:cs="宋体"/>
          <w:b/>
          <w:bCs/>
          <w:color w:val="auto"/>
          <w:kern w:val="2"/>
          <w:sz w:val="32"/>
          <w:szCs w:val="32"/>
          <w:lang w:val="zh-CN"/>
        </w:rPr>
        <w:t>投标人资格证明文件</w:t>
      </w:r>
      <w:bookmarkEnd w:id="179"/>
      <w:bookmarkEnd w:id="180"/>
      <w:bookmarkEnd w:id="181"/>
      <w:bookmarkEnd w:id="182"/>
    </w:p>
    <w:p>
      <w:pPr>
        <w:pStyle w:val="102"/>
        <w:tabs>
          <w:tab w:val="left" w:pos="567"/>
        </w:tabs>
        <w:spacing w:afterLines="50" w:line="360" w:lineRule="auto"/>
        <w:ind w:firstLine="0" w:firstLineChars="0"/>
        <w:jc w:val="both"/>
        <w:rPr>
          <w:rFonts w:hint="eastAsia" w:hAnsi="宋体" w:cs="宋体"/>
          <w:b/>
          <w:bCs/>
          <w:color w:val="auto"/>
          <w:kern w:val="2"/>
          <w:sz w:val="32"/>
          <w:szCs w:val="32"/>
          <w:lang w:val="zh-CN"/>
        </w:rPr>
      </w:pPr>
      <w:r>
        <w:rPr>
          <w:rFonts w:hint="eastAsia" w:hAnsi="宋体" w:cs="宋体"/>
          <w:b/>
          <w:bCs/>
          <w:color w:val="auto"/>
          <w:kern w:val="2"/>
          <w:sz w:val="32"/>
          <w:szCs w:val="32"/>
        </w:rPr>
        <w:t>5</w:t>
      </w:r>
      <w:r>
        <w:rPr>
          <w:rFonts w:hint="eastAsia" w:hAnsi="宋体" w:cs="宋体"/>
          <w:b/>
          <w:bCs/>
          <w:color w:val="auto"/>
          <w:kern w:val="2"/>
          <w:sz w:val="32"/>
          <w:szCs w:val="32"/>
          <w:lang w:val="zh-CN"/>
        </w:rPr>
        <w:t>-1 法定代表人身份证明书及授权书格式（法定代表人投标时只提供法定代表人身份证明书，委托他人为投标代表时同时提供法定代表人授权书）</w:t>
      </w:r>
    </w:p>
    <w:p>
      <w:pPr>
        <w:pStyle w:val="102"/>
        <w:tabs>
          <w:tab w:val="left" w:pos="567"/>
        </w:tabs>
        <w:spacing w:afterLines="50" w:line="360" w:lineRule="auto"/>
        <w:ind w:firstLineChars="0"/>
        <w:jc w:val="both"/>
        <w:rPr>
          <w:rFonts w:hint="eastAsia" w:hAnsi="宋体" w:cs="宋体"/>
          <w:b/>
          <w:bCs/>
          <w:color w:val="auto"/>
          <w:kern w:val="2"/>
          <w:sz w:val="30"/>
          <w:szCs w:val="30"/>
          <w:lang w:val="zh-CN"/>
        </w:rPr>
      </w:pPr>
      <w:r>
        <w:rPr>
          <w:rFonts w:hint="eastAsia" w:hAnsi="宋体" w:cs="宋体"/>
          <w:b/>
          <w:bCs/>
          <w:color w:val="auto"/>
          <w:kern w:val="2"/>
          <w:sz w:val="30"/>
          <w:szCs w:val="30"/>
          <w:lang w:val="zh-CN"/>
        </w:rPr>
        <w:t>（1）法定代表人身份证明书格式</w:t>
      </w:r>
    </w:p>
    <w:p>
      <w:pPr>
        <w:spacing w:line="360" w:lineRule="auto"/>
        <w:rPr>
          <w:rFonts w:hint="eastAsia" w:hAnsi="宋体" w:cs="宋体"/>
          <w:color w:val="auto"/>
        </w:rPr>
      </w:pPr>
    </w:p>
    <w:p>
      <w:pPr>
        <w:autoSpaceDE/>
        <w:autoSpaceDN/>
        <w:adjustRightInd/>
        <w:spacing w:before="120" w:after="120" w:line="360" w:lineRule="auto"/>
        <w:ind w:firstLine="608" w:firstLineChars="202"/>
        <w:jc w:val="center"/>
        <w:rPr>
          <w:rFonts w:hint="eastAsia" w:hAnsi="宋体" w:cs="宋体"/>
          <w:b/>
          <w:bCs/>
          <w:color w:val="auto"/>
          <w:kern w:val="2"/>
          <w:sz w:val="30"/>
          <w:szCs w:val="30"/>
        </w:rPr>
      </w:pPr>
      <w:r>
        <w:rPr>
          <w:rFonts w:hint="eastAsia" w:hAnsi="宋体" w:cs="宋体"/>
          <w:b/>
          <w:color w:val="auto"/>
          <w:kern w:val="2"/>
          <w:sz w:val="30"/>
          <w:szCs w:val="30"/>
        </w:rPr>
        <w:t>法定代</w:t>
      </w:r>
      <w:bookmarkStart w:id="183" w:name="_Toc45995270"/>
      <w:bookmarkStart w:id="184" w:name="_Toc36971359"/>
      <w:r>
        <w:rPr>
          <w:rFonts w:hint="eastAsia" w:hAnsi="宋体" w:cs="宋体"/>
          <w:b/>
          <w:color w:val="auto"/>
          <w:kern w:val="2"/>
          <w:sz w:val="30"/>
          <w:szCs w:val="30"/>
        </w:rPr>
        <w:t>表人身份证明书</w:t>
      </w:r>
    </w:p>
    <w:p>
      <w:pPr>
        <w:autoSpaceDE/>
        <w:autoSpaceDN/>
        <w:adjustRightInd/>
        <w:spacing w:before="120" w:after="120" w:line="360" w:lineRule="auto"/>
        <w:ind w:firstLine="420" w:firstLineChars="200"/>
        <w:jc w:val="both"/>
        <w:rPr>
          <w:rFonts w:hint="eastAsia" w:hAnsi="宋体" w:cs="宋体"/>
          <w:color w:val="auto"/>
          <w:kern w:val="2"/>
          <w:sz w:val="21"/>
        </w:rPr>
      </w:pPr>
      <w:r>
        <w:rPr>
          <w:rFonts w:hint="eastAsia" w:hAnsi="宋体" w:cs="宋体"/>
          <w:color w:val="auto"/>
          <w:kern w:val="2"/>
          <w:sz w:val="21"/>
          <w:u w:val="single"/>
        </w:rPr>
        <w:t xml:space="preserve">            </w:t>
      </w:r>
      <w:r>
        <w:rPr>
          <w:rFonts w:hint="eastAsia" w:hAnsi="宋体" w:cs="宋体"/>
          <w:color w:val="auto"/>
          <w:kern w:val="2"/>
          <w:sz w:val="21"/>
        </w:rPr>
        <w:t>先生</w:t>
      </w:r>
      <w:bookmarkEnd w:id="183"/>
      <w:bookmarkEnd w:id="184"/>
      <w:r>
        <w:rPr>
          <w:rFonts w:hint="eastAsia" w:hAnsi="宋体" w:cs="宋体"/>
          <w:color w:val="auto"/>
          <w:kern w:val="2"/>
          <w:sz w:val="21"/>
        </w:rPr>
        <w:t>／女士：现任我单位</w:t>
      </w:r>
      <w:r>
        <w:rPr>
          <w:rFonts w:hint="eastAsia" w:hAnsi="宋体" w:cs="宋体"/>
          <w:color w:val="auto"/>
          <w:kern w:val="2"/>
          <w:sz w:val="21"/>
          <w:u w:val="single"/>
        </w:rPr>
        <w:t xml:space="preserve">            </w:t>
      </w:r>
      <w:r>
        <w:rPr>
          <w:rFonts w:hint="eastAsia" w:hAnsi="宋体" w:cs="宋体"/>
          <w:color w:val="auto"/>
          <w:kern w:val="2"/>
          <w:sz w:val="21"/>
        </w:rPr>
        <w:t>职务，为法定代表人，特此证明。</w:t>
      </w:r>
    </w:p>
    <w:p>
      <w:pPr>
        <w:autoSpaceDE/>
        <w:autoSpaceDN/>
        <w:adjustRightInd/>
        <w:spacing w:before="120" w:after="120" w:line="360" w:lineRule="auto"/>
        <w:ind w:firstLine="424" w:firstLineChars="202"/>
        <w:jc w:val="both"/>
        <w:rPr>
          <w:rFonts w:hint="eastAsia" w:hAnsi="宋体" w:cs="宋体"/>
          <w:color w:val="auto"/>
          <w:kern w:val="2"/>
          <w:sz w:val="21"/>
        </w:rPr>
      </w:pPr>
      <w:r>
        <w:rPr>
          <w:rFonts w:hint="eastAsia" w:hAnsi="宋体" w:cs="宋体"/>
          <w:color w:val="auto"/>
          <w:kern w:val="2"/>
          <w:sz w:val="21"/>
        </w:rPr>
        <w:t>有效日期：</w:t>
      </w:r>
      <w:r>
        <w:rPr>
          <w:rFonts w:hint="eastAsia" w:hAnsi="宋体" w:cs="宋体"/>
          <w:color w:val="auto"/>
          <w:kern w:val="2"/>
          <w:sz w:val="21"/>
          <w:u w:val="single"/>
        </w:rPr>
        <w:t xml:space="preserve">          </w:t>
      </w:r>
      <w:r>
        <w:rPr>
          <w:rFonts w:hint="eastAsia" w:hAnsi="宋体" w:cs="宋体"/>
          <w:color w:val="auto"/>
          <w:kern w:val="2"/>
          <w:sz w:val="21"/>
        </w:rPr>
        <w:t>签发日期：</w:t>
      </w:r>
      <w:r>
        <w:rPr>
          <w:rFonts w:hint="eastAsia" w:hAnsi="宋体" w:cs="宋体"/>
          <w:color w:val="auto"/>
          <w:kern w:val="2"/>
          <w:sz w:val="21"/>
          <w:u w:val="single"/>
        </w:rPr>
        <w:t xml:space="preserve">           </w:t>
      </w:r>
    </w:p>
    <w:p>
      <w:pPr>
        <w:autoSpaceDE/>
        <w:autoSpaceDN/>
        <w:adjustRightInd/>
        <w:spacing w:before="120" w:after="120" w:line="360" w:lineRule="auto"/>
        <w:ind w:firstLine="424" w:firstLineChars="202"/>
        <w:jc w:val="both"/>
        <w:rPr>
          <w:rFonts w:hint="eastAsia" w:hAnsi="宋体" w:cs="宋体"/>
          <w:color w:val="auto"/>
          <w:kern w:val="2"/>
          <w:sz w:val="21"/>
          <w:u w:val="single"/>
        </w:rPr>
      </w:pPr>
      <w:r>
        <w:rPr>
          <w:rFonts w:hint="eastAsia" w:hAnsi="宋体" w:cs="宋体"/>
          <w:color w:val="auto"/>
          <w:kern w:val="2"/>
          <w:sz w:val="21"/>
        </w:rPr>
        <w:t>附：代表人性别：</w:t>
      </w:r>
      <w:r>
        <w:rPr>
          <w:rFonts w:hint="eastAsia" w:hAnsi="宋体" w:cs="宋体"/>
          <w:color w:val="auto"/>
          <w:kern w:val="2"/>
          <w:sz w:val="21"/>
          <w:u w:val="single"/>
        </w:rPr>
        <w:t xml:space="preserve">      </w:t>
      </w:r>
      <w:r>
        <w:rPr>
          <w:rFonts w:hint="eastAsia" w:hAnsi="宋体" w:cs="宋体"/>
          <w:color w:val="auto"/>
          <w:kern w:val="2"/>
          <w:sz w:val="21"/>
        </w:rPr>
        <w:t xml:space="preserve"> 年龄：</w:t>
      </w:r>
      <w:r>
        <w:rPr>
          <w:rFonts w:hint="eastAsia" w:hAnsi="宋体" w:cs="宋体"/>
          <w:color w:val="auto"/>
          <w:kern w:val="2"/>
          <w:sz w:val="21"/>
          <w:u w:val="single"/>
        </w:rPr>
        <w:t xml:space="preserve">         </w:t>
      </w:r>
      <w:r>
        <w:rPr>
          <w:rFonts w:hint="eastAsia" w:hAnsi="宋体" w:cs="宋体"/>
          <w:color w:val="auto"/>
          <w:kern w:val="2"/>
          <w:sz w:val="21"/>
        </w:rPr>
        <w:t>身份证号码：</w:t>
      </w:r>
      <w:r>
        <w:rPr>
          <w:rFonts w:hint="eastAsia" w:hAnsi="宋体" w:cs="宋体"/>
          <w:color w:val="auto"/>
          <w:kern w:val="2"/>
          <w:sz w:val="21"/>
          <w:u w:val="single"/>
        </w:rPr>
        <w:t xml:space="preserve">            </w:t>
      </w:r>
    </w:p>
    <w:p>
      <w:pPr>
        <w:autoSpaceDE/>
        <w:autoSpaceDN/>
        <w:adjustRightInd/>
        <w:spacing w:before="120" w:after="120" w:line="360" w:lineRule="auto"/>
        <w:ind w:firstLine="424" w:firstLineChars="202"/>
        <w:jc w:val="both"/>
        <w:rPr>
          <w:rFonts w:hint="eastAsia" w:hAnsi="宋体" w:cs="宋体"/>
          <w:color w:val="auto"/>
          <w:kern w:val="2"/>
          <w:sz w:val="21"/>
        </w:rPr>
      </w:pPr>
      <w:r>
        <w:rPr>
          <w:rFonts w:hint="eastAsia" w:hAnsi="宋体" w:cs="宋体"/>
          <w:color w:val="auto"/>
          <w:kern w:val="2"/>
          <w:sz w:val="21"/>
        </w:rPr>
        <w:t>营业执照号码：</w:t>
      </w:r>
      <w:r>
        <w:rPr>
          <w:rFonts w:hint="eastAsia" w:hAnsi="宋体" w:cs="宋体"/>
          <w:color w:val="auto"/>
          <w:kern w:val="2"/>
          <w:sz w:val="21"/>
          <w:u w:val="single"/>
        </w:rPr>
        <w:t xml:space="preserve">           </w:t>
      </w:r>
      <w:r>
        <w:rPr>
          <w:rFonts w:hint="eastAsia" w:hAnsi="宋体" w:cs="宋体"/>
          <w:color w:val="auto"/>
          <w:kern w:val="2"/>
          <w:sz w:val="21"/>
        </w:rPr>
        <w:t xml:space="preserve">经济性质： </w:t>
      </w:r>
    </w:p>
    <w:p>
      <w:pPr>
        <w:autoSpaceDE/>
        <w:autoSpaceDN/>
        <w:adjustRightInd/>
        <w:spacing w:before="120" w:after="120" w:line="360" w:lineRule="auto"/>
        <w:ind w:firstLine="424" w:firstLineChars="202"/>
        <w:jc w:val="both"/>
        <w:rPr>
          <w:rFonts w:hint="eastAsia" w:hAnsi="宋体" w:cs="宋体"/>
          <w:color w:val="auto"/>
          <w:kern w:val="2"/>
          <w:sz w:val="21"/>
          <w:u w:val="single"/>
        </w:rPr>
      </w:pPr>
      <w:r>
        <w:rPr>
          <w:rFonts w:hint="eastAsia" w:hAnsi="宋体" w:cs="宋体"/>
          <w:color w:val="auto"/>
          <w:kern w:val="2"/>
          <w:sz w:val="21"/>
        </w:rPr>
        <w:t>主营（产）：</w:t>
      </w:r>
    </w:p>
    <w:p>
      <w:pPr>
        <w:autoSpaceDE/>
        <w:autoSpaceDN/>
        <w:adjustRightInd/>
        <w:spacing w:before="120" w:after="120" w:line="360" w:lineRule="auto"/>
        <w:ind w:firstLine="424" w:firstLineChars="202"/>
        <w:jc w:val="both"/>
        <w:rPr>
          <w:rFonts w:hint="eastAsia" w:hAnsi="宋体" w:cs="宋体"/>
          <w:color w:val="auto"/>
          <w:kern w:val="2"/>
          <w:sz w:val="21"/>
          <w:u w:val="single"/>
        </w:rPr>
      </w:pPr>
      <w:r>
        <w:rPr>
          <w:rFonts w:hint="eastAsia" w:hAnsi="宋体" w:cs="宋体"/>
          <w:color w:val="auto"/>
          <w:kern w:val="2"/>
          <w:sz w:val="21"/>
        </w:rPr>
        <w:t>兼营（产）：</w:t>
      </w:r>
    </w:p>
    <w:p>
      <w:pPr>
        <w:autoSpaceDE/>
        <w:autoSpaceDN/>
        <w:adjustRightInd/>
        <w:spacing w:before="120" w:after="120" w:line="360" w:lineRule="auto"/>
        <w:ind w:left="629" w:firstLine="4740"/>
        <w:jc w:val="both"/>
        <w:rPr>
          <w:rFonts w:hint="eastAsia" w:hAnsi="宋体" w:cs="宋体"/>
          <w:color w:val="auto"/>
          <w:kern w:val="2"/>
          <w:sz w:val="21"/>
          <w:szCs w:val="21"/>
        </w:rPr>
      </w:pPr>
      <w:r>
        <w:rPr>
          <w:rFonts w:hint="eastAsia" w:hAnsi="宋体" w:cs="宋体"/>
          <w:color w:val="auto"/>
          <w:kern w:val="2"/>
          <w:sz w:val="21"/>
          <w:szCs w:val="21"/>
          <w:lang w:val="zh-CN"/>
        </w:rPr>
        <w:t>投标人：（加盖投标人法人公章）</w:t>
      </w:r>
    </w:p>
    <w:p>
      <w:pPr>
        <w:tabs>
          <w:tab w:val="left" w:pos="525"/>
        </w:tabs>
        <w:autoSpaceDE/>
        <w:autoSpaceDN/>
        <w:adjustRightInd/>
        <w:spacing w:before="120" w:after="120" w:line="360" w:lineRule="auto"/>
        <w:ind w:left="528" w:leftChars="220" w:firstLine="4857" w:firstLineChars="2313"/>
        <w:jc w:val="both"/>
        <w:rPr>
          <w:rFonts w:hint="eastAsia" w:hAnsi="宋体" w:cs="宋体"/>
          <w:b/>
          <w:bCs/>
          <w:color w:val="auto"/>
          <w:kern w:val="2"/>
          <w:sz w:val="21"/>
          <w:szCs w:val="21"/>
          <w:lang w:val="zh-CN"/>
        </w:rPr>
      </w:pPr>
      <w:r>
        <w:rPr>
          <w:rFonts w:hint="eastAsia" w:hAnsi="宋体" w:cs="宋体"/>
          <w:color w:val="auto"/>
          <w:kern w:val="2"/>
          <w:sz w:val="21"/>
          <w:szCs w:val="21"/>
          <w:lang w:val="zh-CN"/>
        </w:rPr>
        <w:t>日期：</w:t>
      </w:r>
      <w:r>
        <w:rPr>
          <w:rFonts w:hint="eastAsia" w:hAnsi="宋体" w:cs="宋体"/>
          <w:color w:val="auto"/>
          <w:kern w:val="2"/>
          <w:sz w:val="21"/>
          <w:szCs w:val="21"/>
        </w:rPr>
        <w:t xml:space="preserve">  </w:t>
      </w:r>
      <w:r>
        <w:rPr>
          <w:rFonts w:hint="eastAsia" w:hAnsi="宋体" w:cs="宋体"/>
          <w:color w:val="auto"/>
          <w:kern w:val="2"/>
          <w:sz w:val="21"/>
          <w:szCs w:val="21"/>
          <w:lang w:val="zh-CN"/>
        </w:rPr>
        <w:t>年</w:t>
      </w:r>
      <w:r>
        <w:rPr>
          <w:rFonts w:hint="eastAsia" w:hAnsi="宋体" w:cs="宋体"/>
          <w:color w:val="auto"/>
          <w:kern w:val="2"/>
          <w:sz w:val="21"/>
          <w:szCs w:val="21"/>
        </w:rPr>
        <w:t xml:space="preserve">   </w:t>
      </w:r>
      <w:r>
        <w:rPr>
          <w:rFonts w:hint="eastAsia" w:hAnsi="宋体" w:cs="宋体"/>
          <w:color w:val="auto"/>
          <w:kern w:val="2"/>
          <w:sz w:val="21"/>
          <w:szCs w:val="21"/>
          <w:lang w:val="zh-CN"/>
        </w:rPr>
        <w:t>月</w:t>
      </w:r>
      <w:r>
        <w:rPr>
          <w:rFonts w:hint="eastAsia" w:hAnsi="宋体" w:cs="宋体"/>
          <w:color w:val="auto"/>
          <w:kern w:val="2"/>
          <w:sz w:val="21"/>
          <w:szCs w:val="21"/>
        </w:rPr>
        <w:t xml:space="preserve">  </w:t>
      </w:r>
      <w:r>
        <w:rPr>
          <w:rFonts w:hint="eastAsia" w:hAnsi="宋体" w:cs="宋体"/>
          <w:color w:val="auto"/>
          <w:kern w:val="2"/>
          <w:sz w:val="21"/>
          <w:szCs w:val="21"/>
          <w:lang w:val="zh-CN"/>
        </w:rPr>
        <w:t>日</w:t>
      </w:r>
      <w:r>
        <w:rPr>
          <w:rFonts w:hint="eastAsia" w:hAnsi="宋体" w:cs="宋体"/>
          <w:b/>
          <w:bCs/>
          <w:color w:val="auto"/>
          <w:kern w:val="2"/>
          <w:sz w:val="21"/>
          <w:szCs w:val="21"/>
          <w:lang w:val="zh-CN"/>
        </w:rPr>
        <w:t xml:space="preserve"> </w:t>
      </w:r>
    </w:p>
    <w:p>
      <w:pPr>
        <w:tabs>
          <w:tab w:val="left" w:pos="525"/>
        </w:tabs>
        <w:autoSpaceDE/>
        <w:autoSpaceDN/>
        <w:adjustRightInd/>
        <w:spacing w:before="120" w:after="120" w:line="360" w:lineRule="auto"/>
        <w:ind w:left="528" w:leftChars="220" w:firstLine="4857" w:firstLineChars="2313"/>
        <w:jc w:val="both"/>
        <w:rPr>
          <w:rFonts w:hint="eastAsia" w:hAnsi="宋体" w:cs="宋体"/>
          <w:color w:val="auto"/>
          <w:kern w:val="2"/>
          <w:sz w:val="21"/>
        </w:rPr>
      </w:pPr>
    </w:p>
    <w:p>
      <w:pPr>
        <w:tabs>
          <w:tab w:val="left" w:pos="525"/>
        </w:tabs>
        <w:autoSpaceDE/>
        <w:autoSpaceDN/>
        <w:adjustRightInd/>
        <w:spacing w:before="120" w:after="120" w:line="360" w:lineRule="auto"/>
        <w:rPr>
          <w:rFonts w:hint="eastAsia" w:hAnsi="宋体" w:cs="宋体"/>
          <w:color w:val="auto"/>
          <w:kern w:val="2"/>
          <w:sz w:val="21"/>
        </w:rPr>
      </w:pPr>
      <w:r>
        <w:rPr>
          <w:rFonts w:hint="eastAsia" w:hAnsi="宋体" w:cs="宋体"/>
          <w:color w:val="auto"/>
          <w:kern w:val="2"/>
          <w:sz w:val="21"/>
        </w:rPr>
        <w:t>附 法定代表人身份证复印件</w:t>
      </w:r>
    </w:p>
    <w:p>
      <w:pPr>
        <w:spacing w:line="360" w:lineRule="auto"/>
        <w:rPr>
          <w:rFonts w:hint="eastAsia" w:hAnsi="宋体" w:cs="宋体"/>
          <w:color w:val="auto"/>
          <w:kern w:val="2"/>
          <w:lang w:val="zh-CN"/>
        </w:rPr>
      </w:pPr>
      <w:r>
        <w:rPr>
          <w:rFonts w:hint="eastAsia" w:hAnsi="宋体" w:cs="宋体"/>
          <w:color w:val="auto"/>
          <w:kern w:val="2"/>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73660</wp:posOffset>
                </wp:positionV>
                <wp:extent cx="2790825" cy="1962150"/>
                <wp:effectExtent l="4445" t="5080" r="5080" b="13970"/>
                <wp:wrapNone/>
                <wp:docPr id="2" name="文本框 8"/>
                <wp:cNvGraphicFramePr/>
                <a:graphic xmlns:a="http://schemas.openxmlformats.org/drawingml/2006/main">
                  <a:graphicData uri="http://schemas.microsoft.com/office/word/2010/wordprocessingShape">
                    <wps:wsp>
                      <wps:cNvSpPr txBox="1"/>
                      <wps:spPr>
                        <a:xfrm>
                          <a:off x="0" y="0"/>
                          <a:ext cx="2790825" cy="1962150"/>
                        </a:xfrm>
                        <a:prstGeom prst="rect">
                          <a:avLst/>
                        </a:prstGeom>
                        <a:solidFill>
                          <a:srgbClr val="FFFFFF"/>
                        </a:solidFill>
                        <a:ln w="9525" cap="flat" cmpd="sng">
                          <a:solidFill>
                            <a:srgbClr val="000000"/>
                          </a:solidFill>
                          <a:prstDash val="solid"/>
                          <a:miter/>
                          <a:headEnd type="none" w="med" len="med"/>
                          <a:tailEnd type="none" w="med" len="med"/>
                        </a:ln>
                      </wps:spPr>
                      <wps:txbx>
                        <w:txbxContent>
                          <w:p/>
                          <w:p/>
                          <w:p/>
                          <w:p/>
                          <w:p>
                            <w:pPr>
                              <w:jc w:val="center"/>
                              <w:rPr>
                                <w:sz w:val="21"/>
                                <w:szCs w:val="21"/>
                              </w:rPr>
                            </w:pPr>
                            <w:r>
                              <w:rPr>
                                <w:rFonts w:hint="eastAsia"/>
                                <w:sz w:val="21"/>
                                <w:szCs w:val="21"/>
                              </w:rPr>
                              <w:t>法定代表人身份证反面</w:t>
                            </w:r>
                          </w:p>
                          <w:p>
                            <w:pPr>
                              <w:jc w:val="center"/>
                              <w:rPr>
                                <w:sz w:val="21"/>
                                <w:szCs w:val="21"/>
                              </w:rPr>
                            </w:pPr>
                          </w:p>
                        </w:txbxContent>
                      </wps:txbx>
                      <wps:bodyPr upright="1"/>
                    </wps:wsp>
                  </a:graphicData>
                </a:graphic>
              </wp:anchor>
            </w:drawing>
          </mc:Choice>
          <mc:Fallback>
            <w:pict>
              <v:shape id="文本框 8" o:spid="_x0000_s1026" o:spt="202" type="#_x0000_t202" style="position:absolute;left:0pt;margin-left:246.35pt;margin-top:5.8pt;height:154.5pt;width:219.75pt;z-index:251660288;mso-width-relative:page;mso-height-relative:page;" fillcolor="#FFFFFF" filled="t" stroked="t" coordsize="21600,21600" o:gfxdata="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S16xJ2QAAAAoBAAAPAAAAAAAAAAEAIAAAACIAAABkcnMvZG93bnJldi54bWxQSwEC&#10;FAAUAAAACACHTuJAV0NhDPMBAADpAwAADgAAAAAAAAABACAAAAAoAQAAZHJzL2Uyb0RvYy54bWxQ&#10;SwUGAAAAAAYABgBZAQAAjQUAAAAA&#10;">
                <v:fill on="t" focussize="0,0"/>
                <v:stroke color="#000000" joinstyle="miter"/>
                <v:imagedata o:title=""/>
                <o:lock v:ext="edit" aspectratio="f"/>
                <v:textbox>
                  <w:txbxContent>
                    <w:p/>
                    <w:p/>
                    <w:p/>
                    <w:p/>
                    <w:p>
                      <w:pPr>
                        <w:jc w:val="center"/>
                        <w:rPr>
                          <w:sz w:val="21"/>
                          <w:szCs w:val="21"/>
                        </w:rPr>
                      </w:pPr>
                      <w:r>
                        <w:rPr>
                          <w:rFonts w:hint="eastAsia"/>
                          <w:sz w:val="21"/>
                          <w:szCs w:val="21"/>
                        </w:rPr>
                        <w:t>法定代表人身份证反面</w:t>
                      </w:r>
                    </w:p>
                    <w:p>
                      <w:pPr>
                        <w:jc w:val="center"/>
                        <w:rPr>
                          <w:sz w:val="21"/>
                          <w:szCs w:val="21"/>
                        </w:rPr>
                      </w:pPr>
                    </w:p>
                  </w:txbxContent>
                </v:textbox>
              </v:shape>
            </w:pict>
          </mc:Fallback>
        </mc:AlternateContent>
      </w:r>
      <w:r>
        <w:rPr>
          <w:rFonts w:hint="eastAsia" w:hAnsi="宋体" w:cs="宋体"/>
          <w:color w:val="auto"/>
          <w:kern w:val="2"/>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73660</wp:posOffset>
                </wp:positionV>
                <wp:extent cx="2790825" cy="1962150"/>
                <wp:effectExtent l="4445" t="5080" r="5080" b="13970"/>
                <wp:wrapNone/>
                <wp:docPr id="1" name="文本框 9"/>
                <wp:cNvGraphicFramePr/>
                <a:graphic xmlns:a="http://schemas.openxmlformats.org/drawingml/2006/main">
                  <a:graphicData uri="http://schemas.microsoft.com/office/word/2010/wordprocessingShape">
                    <wps:wsp>
                      <wps:cNvSpPr txBox="1"/>
                      <wps:spPr>
                        <a:xfrm>
                          <a:off x="0" y="0"/>
                          <a:ext cx="2790825" cy="1962150"/>
                        </a:xfrm>
                        <a:prstGeom prst="rect">
                          <a:avLst/>
                        </a:prstGeom>
                        <a:solidFill>
                          <a:srgbClr val="FFFFFF"/>
                        </a:solidFill>
                        <a:ln w="9525" cap="flat" cmpd="sng">
                          <a:solidFill>
                            <a:srgbClr val="000000"/>
                          </a:solidFill>
                          <a:prstDash val="solid"/>
                          <a:miter/>
                          <a:headEnd type="none" w="med" len="med"/>
                          <a:tailEnd type="none" w="med" len="med"/>
                        </a:ln>
                      </wps:spPr>
                      <wps:txbx>
                        <w:txbxContent>
                          <w:p/>
                          <w:p/>
                          <w:p/>
                          <w:p/>
                          <w:p>
                            <w:pPr>
                              <w:jc w:val="center"/>
                              <w:rPr>
                                <w:sz w:val="21"/>
                                <w:szCs w:val="21"/>
                              </w:rPr>
                            </w:pPr>
                            <w:r>
                              <w:rPr>
                                <w:rFonts w:hint="eastAsia"/>
                                <w:sz w:val="21"/>
                                <w:szCs w:val="21"/>
                              </w:rPr>
                              <w:t>法定代表人身份证正面</w:t>
                            </w:r>
                          </w:p>
                        </w:txbxContent>
                      </wps:txbx>
                      <wps:bodyPr upright="1"/>
                    </wps:wsp>
                  </a:graphicData>
                </a:graphic>
              </wp:anchor>
            </w:drawing>
          </mc:Choice>
          <mc:Fallback>
            <w:pict>
              <v:shape id="文本框 9" o:spid="_x0000_s1026" o:spt="202" type="#_x0000_t202" style="position:absolute;left:0pt;margin-left:4.85pt;margin-top:5.8pt;height:154.5pt;width:219.75pt;z-index:251659264;mso-width-relative:page;mso-height-relative:page;" fillcolor="#FFFFFF" filled="t" stroked="t" coordsize="21600,21600" o:gfxdata="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eM6n92AAAAAgBAAAPAAAAAAAAAAEAIAAAACIAAABkcnMvZG93bnJldi54bWxQSwECFAAU&#10;AAAACACHTuJAeiJzmfEBAADpAwAADgAAAAAAAAABACAAAAAnAQAAZHJzL2Uyb0RvYy54bWxQSwUG&#10;AAAAAAYABgBZAQAAigUAAAAA&#10;">
                <v:fill on="t" focussize="0,0"/>
                <v:stroke color="#000000" joinstyle="miter"/>
                <v:imagedata o:title=""/>
                <o:lock v:ext="edit" aspectratio="f"/>
                <v:textbox>
                  <w:txbxContent>
                    <w:p/>
                    <w:p/>
                    <w:p/>
                    <w:p/>
                    <w:p>
                      <w:pPr>
                        <w:jc w:val="center"/>
                        <w:rPr>
                          <w:sz w:val="21"/>
                          <w:szCs w:val="21"/>
                        </w:rPr>
                      </w:pPr>
                      <w:r>
                        <w:rPr>
                          <w:rFonts w:hint="eastAsia"/>
                          <w:sz w:val="21"/>
                          <w:szCs w:val="21"/>
                        </w:rPr>
                        <w:t>法定代表人身份证正面</w:t>
                      </w:r>
                    </w:p>
                  </w:txbxContent>
                </v:textbox>
              </v:shape>
            </w:pict>
          </mc:Fallback>
        </mc:AlternateContent>
      </w:r>
    </w:p>
    <w:p>
      <w:pPr>
        <w:spacing w:line="360" w:lineRule="auto"/>
        <w:rPr>
          <w:rFonts w:hint="eastAsia" w:hAnsi="宋体" w:cs="宋体"/>
          <w:color w:val="auto"/>
        </w:rPr>
      </w:pPr>
    </w:p>
    <w:p>
      <w:pPr>
        <w:spacing w:line="360" w:lineRule="auto"/>
        <w:rPr>
          <w:rFonts w:hint="eastAsia" w:hAnsi="宋体" w:cs="宋体"/>
          <w:color w:val="auto"/>
          <w:sz w:val="21"/>
          <w:lang w:val="zh-CN"/>
        </w:rPr>
      </w:pPr>
    </w:p>
    <w:p>
      <w:pPr>
        <w:spacing w:line="360" w:lineRule="auto"/>
        <w:rPr>
          <w:rFonts w:hint="eastAsia" w:hAnsi="宋体" w:cs="宋体"/>
          <w:color w:val="auto"/>
          <w:sz w:val="21"/>
          <w:lang w:val="zh-CN"/>
        </w:rPr>
      </w:pPr>
    </w:p>
    <w:p>
      <w:pPr>
        <w:spacing w:line="360" w:lineRule="auto"/>
        <w:rPr>
          <w:rFonts w:hint="eastAsia" w:hAnsi="宋体" w:cs="宋体"/>
          <w:color w:val="auto"/>
          <w:sz w:val="21"/>
          <w:lang w:val="zh-CN"/>
        </w:rPr>
      </w:pPr>
    </w:p>
    <w:p>
      <w:pPr>
        <w:spacing w:line="360" w:lineRule="auto"/>
        <w:rPr>
          <w:rFonts w:hint="eastAsia" w:hAnsi="宋体" w:cs="宋体"/>
          <w:color w:val="auto"/>
          <w:sz w:val="21"/>
          <w:lang w:val="zh-CN"/>
        </w:rPr>
      </w:pPr>
    </w:p>
    <w:p>
      <w:pPr>
        <w:spacing w:line="360" w:lineRule="auto"/>
        <w:rPr>
          <w:rFonts w:hint="eastAsia" w:hAnsi="宋体" w:cs="宋体"/>
          <w:color w:val="auto"/>
          <w:sz w:val="21"/>
          <w:lang w:val="zh-CN"/>
        </w:rPr>
      </w:pPr>
    </w:p>
    <w:p>
      <w:pPr>
        <w:spacing w:line="360" w:lineRule="auto"/>
        <w:rPr>
          <w:rFonts w:hint="eastAsia" w:hAnsi="宋体" w:cs="宋体"/>
          <w:color w:val="auto"/>
          <w:sz w:val="21"/>
          <w:lang w:val="zh-CN"/>
        </w:rPr>
      </w:pPr>
    </w:p>
    <w:p>
      <w:pPr>
        <w:widowControl/>
        <w:autoSpaceDE/>
        <w:autoSpaceDN/>
        <w:adjustRightInd/>
        <w:spacing w:line="360" w:lineRule="auto"/>
        <w:rPr>
          <w:rFonts w:hint="eastAsia" w:hAnsi="宋体" w:cs="宋体"/>
          <w:b/>
          <w:color w:val="auto"/>
          <w:sz w:val="21"/>
          <w:szCs w:val="21"/>
        </w:rPr>
      </w:pPr>
      <w:r>
        <w:rPr>
          <w:rFonts w:hint="eastAsia" w:hAnsi="宋体" w:cs="宋体"/>
          <w:b/>
          <w:color w:val="auto"/>
          <w:sz w:val="21"/>
          <w:szCs w:val="21"/>
        </w:rPr>
        <w:t>注：法定代表人身份证须在有效期限内。</w:t>
      </w:r>
    </w:p>
    <w:p>
      <w:pPr>
        <w:widowControl/>
        <w:autoSpaceDE/>
        <w:autoSpaceDN/>
        <w:adjustRightInd/>
        <w:spacing w:line="360" w:lineRule="auto"/>
        <w:rPr>
          <w:rFonts w:hint="eastAsia" w:hAnsi="宋体" w:cs="宋体"/>
          <w:b/>
          <w:color w:val="auto"/>
          <w:sz w:val="21"/>
          <w:szCs w:val="21"/>
        </w:rPr>
      </w:pPr>
    </w:p>
    <w:p>
      <w:pPr>
        <w:widowControl/>
        <w:autoSpaceDE/>
        <w:autoSpaceDN/>
        <w:adjustRightInd/>
        <w:spacing w:line="360" w:lineRule="auto"/>
        <w:rPr>
          <w:rFonts w:hint="eastAsia" w:hAnsi="宋体" w:cs="宋体"/>
          <w:b/>
          <w:bCs/>
          <w:color w:val="auto"/>
          <w:kern w:val="2"/>
          <w:sz w:val="30"/>
          <w:szCs w:val="30"/>
          <w:lang w:val="zh-CN"/>
        </w:rPr>
      </w:pPr>
      <w:r>
        <w:rPr>
          <w:rFonts w:hint="eastAsia" w:hAnsi="宋体" w:cs="宋体"/>
          <w:b/>
          <w:bCs/>
          <w:color w:val="auto"/>
          <w:kern w:val="2"/>
          <w:sz w:val="30"/>
          <w:szCs w:val="30"/>
          <w:lang w:val="zh-CN"/>
        </w:rPr>
        <w:t>（2）法定代表人授权书格式</w:t>
      </w:r>
    </w:p>
    <w:p>
      <w:pPr>
        <w:spacing w:line="360" w:lineRule="auto"/>
        <w:jc w:val="center"/>
        <w:rPr>
          <w:rFonts w:hint="eastAsia" w:hAnsi="宋体" w:cs="宋体"/>
          <w:b/>
          <w:bCs/>
          <w:color w:val="auto"/>
          <w:kern w:val="2"/>
          <w:sz w:val="30"/>
          <w:szCs w:val="30"/>
          <w:lang w:val="zh-CN"/>
        </w:rPr>
      </w:pPr>
      <w:r>
        <w:rPr>
          <w:rFonts w:hint="eastAsia" w:hAnsi="宋体" w:cs="宋体"/>
          <w:b/>
          <w:bCs/>
          <w:color w:val="auto"/>
          <w:kern w:val="2"/>
          <w:sz w:val="30"/>
          <w:szCs w:val="30"/>
          <w:lang w:val="zh-CN"/>
        </w:rPr>
        <w:t>法定代表人授权书</w:t>
      </w:r>
    </w:p>
    <w:p>
      <w:pPr>
        <w:spacing w:line="360" w:lineRule="auto"/>
        <w:rPr>
          <w:rFonts w:hint="eastAsia" w:hAnsi="宋体" w:cs="宋体"/>
          <w:color w:val="auto"/>
          <w:kern w:val="2"/>
          <w:sz w:val="21"/>
          <w:szCs w:val="28"/>
          <w:lang w:val="zh-CN"/>
        </w:rPr>
      </w:pPr>
    </w:p>
    <w:p>
      <w:pPr>
        <w:spacing w:line="360" w:lineRule="auto"/>
        <w:jc w:val="both"/>
        <w:rPr>
          <w:rFonts w:hint="eastAsia" w:hAnsi="宋体" w:cs="宋体"/>
          <w:color w:val="auto"/>
          <w:kern w:val="2"/>
          <w:sz w:val="21"/>
          <w:szCs w:val="21"/>
          <w:lang w:val="zh-CN"/>
        </w:rPr>
      </w:pPr>
      <w:r>
        <w:rPr>
          <w:rFonts w:hint="eastAsia" w:hAnsi="宋体" w:cs="宋体"/>
          <w:color w:val="auto"/>
          <w:kern w:val="2"/>
          <w:sz w:val="21"/>
          <w:szCs w:val="21"/>
          <w:lang w:val="zh-CN"/>
        </w:rPr>
        <w:t>致：</w:t>
      </w:r>
      <w:r>
        <w:rPr>
          <w:rFonts w:hint="eastAsia" w:hAnsi="宋体" w:cs="宋体"/>
          <w:color w:val="auto"/>
          <w:sz w:val="21"/>
          <w:szCs w:val="32"/>
          <w:u w:val="single"/>
        </w:rPr>
        <w:t>东莞市水务集团管网有限公司</w:t>
      </w:r>
    </w:p>
    <w:p>
      <w:pPr>
        <w:spacing w:line="360" w:lineRule="auto"/>
        <w:jc w:val="both"/>
        <w:rPr>
          <w:rFonts w:hint="eastAsia" w:hAnsi="宋体" w:cs="宋体"/>
          <w:color w:val="auto"/>
          <w:kern w:val="2"/>
          <w:sz w:val="21"/>
          <w:szCs w:val="21"/>
          <w:lang w:val="zh-CN"/>
        </w:rPr>
      </w:pPr>
    </w:p>
    <w:p>
      <w:pPr>
        <w:pStyle w:val="26"/>
        <w:spacing w:line="360" w:lineRule="auto"/>
        <w:ind w:firstLine="420" w:firstLineChars="200"/>
        <w:rPr>
          <w:rFonts w:hint="eastAsia" w:hAnsi="宋体" w:cs="宋体"/>
          <w:color w:val="auto"/>
          <w:sz w:val="21"/>
          <w:szCs w:val="21"/>
        </w:rPr>
      </w:pPr>
      <w:r>
        <w:rPr>
          <w:rFonts w:hint="eastAsia" w:hAnsi="宋体" w:cs="宋体"/>
          <w:color w:val="auto"/>
          <w:sz w:val="21"/>
          <w:szCs w:val="21"/>
          <w:lang w:val="zh-CN"/>
        </w:rPr>
        <w:t>本授权书声明：注册于中华人民共和国的</w:t>
      </w:r>
      <w:r>
        <w:rPr>
          <w:rFonts w:hint="eastAsia" w:hAnsi="宋体" w:cs="宋体"/>
          <w:color w:val="auto"/>
          <w:sz w:val="21"/>
          <w:szCs w:val="21"/>
          <w:u w:val="single"/>
          <w:lang w:val="zh-CN"/>
        </w:rPr>
        <w:t>　  　</w:t>
      </w:r>
      <w:r>
        <w:rPr>
          <w:rFonts w:hint="eastAsia" w:hAnsi="宋体" w:cs="宋体"/>
          <w:color w:val="auto"/>
          <w:sz w:val="21"/>
          <w:szCs w:val="21"/>
          <w:lang w:val="zh-CN"/>
        </w:rPr>
        <w:t>（投标人名称）在下面签字的</w:t>
      </w:r>
      <w:r>
        <w:rPr>
          <w:rFonts w:hint="eastAsia" w:hAnsi="宋体" w:cs="宋体"/>
          <w:color w:val="auto"/>
          <w:sz w:val="21"/>
          <w:szCs w:val="21"/>
          <w:u w:val="single"/>
          <w:lang w:val="zh-CN"/>
        </w:rPr>
        <w:t>　　　</w:t>
      </w:r>
      <w:r>
        <w:rPr>
          <w:rFonts w:hint="eastAsia" w:hAnsi="宋体" w:cs="宋体"/>
          <w:color w:val="auto"/>
          <w:sz w:val="21"/>
          <w:szCs w:val="21"/>
          <w:lang w:val="zh-CN"/>
        </w:rPr>
        <w:t>（法定代表人姓名、职务）代表本公司授权在下面签字的</w:t>
      </w:r>
      <w:r>
        <w:rPr>
          <w:rFonts w:hint="eastAsia" w:hAnsi="宋体" w:cs="宋体"/>
          <w:color w:val="auto"/>
          <w:sz w:val="21"/>
          <w:szCs w:val="21"/>
          <w:u w:val="single"/>
          <w:lang w:val="zh-CN"/>
        </w:rPr>
        <w:t>　　　</w:t>
      </w:r>
      <w:r>
        <w:rPr>
          <w:rFonts w:hint="eastAsia" w:hAnsi="宋体" w:cs="宋体"/>
          <w:color w:val="auto"/>
          <w:sz w:val="21"/>
          <w:szCs w:val="21"/>
          <w:lang w:val="zh-CN"/>
        </w:rPr>
        <w:t>（被授权人的姓名、职务）为本公司的合法代表人，签署</w:t>
      </w:r>
      <w:r>
        <w:rPr>
          <w:rFonts w:hint="eastAsia" w:hAnsi="宋体" w:cs="宋体"/>
          <w:color w:val="auto"/>
          <w:sz w:val="21"/>
          <w:szCs w:val="21"/>
          <w:u w:val="single"/>
        </w:rPr>
        <w:t>东莞市水务集团管网有限公司2022年食堂食材配送服务采购项目</w:t>
      </w:r>
      <w:r>
        <w:rPr>
          <w:rFonts w:hint="eastAsia" w:hAnsi="宋体" w:cs="宋体"/>
          <w:color w:val="auto"/>
          <w:sz w:val="21"/>
          <w:szCs w:val="21"/>
          <w:lang w:val="zh-CN"/>
        </w:rPr>
        <w:t>（招标编号：</w:t>
      </w:r>
      <w:r>
        <w:rPr>
          <w:rFonts w:hint="eastAsia" w:hAnsi="宋体" w:cs="宋体"/>
          <w:color w:val="auto"/>
          <w:sz w:val="21"/>
          <w:szCs w:val="21"/>
          <w:u w:val="single"/>
        </w:rPr>
        <w:t>GDHD-ST-2021-14</w:t>
      </w:r>
      <w:r>
        <w:rPr>
          <w:rFonts w:hint="eastAsia" w:hAnsi="宋体" w:cs="宋体"/>
          <w:color w:val="auto"/>
          <w:sz w:val="21"/>
          <w:szCs w:val="21"/>
          <w:lang w:val="zh-CN"/>
        </w:rPr>
        <w:t>）的投标文件，</w:t>
      </w:r>
      <w:r>
        <w:rPr>
          <w:rFonts w:hint="eastAsia" w:hAnsi="宋体" w:cs="宋体"/>
          <w:color w:val="auto"/>
          <w:sz w:val="21"/>
          <w:szCs w:val="21"/>
        </w:rPr>
        <w:t>代表本公司</w:t>
      </w:r>
      <w:r>
        <w:rPr>
          <w:rFonts w:hint="eastAsia" w:hAnsi="宋体" w:cs="宋体"/>
          <w:color w:val="auto"/>
          <w:sz w:val="21"/>
          <w:szCs w:val="21"/>
          <w:lang w:val="zh-CN"/>
        </w:rPr>
        <w:t>递交投标文件、参与开标会、代表本公司应评标委员会的要求对投标文件进行澄清、进行合同谈判和签署合同，以本公司的名义处理一切与本次投标有关的事宜，</w:t>
      </w:r>
      <w:r>
        <w:rPr>
          <w:rFonts w:hint="eastAsia" w:hAnsi="宋体" w:cs="宋体"/>
          <w:color w:val="auto"/>
          <w:sz w:val="21"/>
          <w:szCs w:val="21"/>
        </w:rPr>
        <w:t>本公司承认代理人全权代表本公司所签署的本项目投标文件的内容及</w:t>
      </w:r>
      <w:r>
        <w:rPr>
          <w:rFonts w:hint="eastAsia" w:hAnsi="宋体" w:cs="宋体"/>
          <w:color w:val="auto"/>
          <w:sz w:val="21"/>
          <w:szCs w:val="21"/>
          <w:lang w:val="zh-CN"/>
        </w:rPr>
        <w:t>所进行的上述活动。</w:t>
      </w:r>
    </w:p>
    <w:p>
      <w:pPr>
        <w:pStyle w:val="26"/>
        <w:spacing w:line="360" w:lineRule="auto"/>
        <w:ind w:firstLine="420" w:firstLineChars="200"/>
        <w:rPr>
          <w:rFonts w:hint="eastAsia" w:hAnsi="宋体" w:cs="宋体"/>
          <w:color w:val="auto"/>
          <w:kern w:val="2"/>
          <w:sz w:val="21"/>
          <w:szCs w:val="21"/>
          <w:lang w:val="zh-CN"/>
        </w:rPr>
      </w:pPr>
      <w:r>
        <w:rPr>
          <w:rFonts w:hint="eastAsia" w:hAnsi="宋体" w:cs="宋体"/>
          <w:color w:val="auto"/>
          <w:kern w:val="2"/>
          <w:sz w:val="21"/>
          <w:szCs w:val="21"/>
          <w:lang w:val="zh-CN"/>
        </w:rPr>
        <w:t>本授权书于</w:t>
      </w:r>
      <w:r>
        <w:rPr>
          <w:rFonts w:hint="eastAsia" w:hAnsi="宋体" w:cs="宋体"/>
          <w:color w:val="auto"/>
          <w:kern w:val="2"/>
          <w:sz w:val="21"/>
          <w:szCs w:val="21"/>
          <w:u w:val="single"/>
          <w:lang w:val="zh-CN"/>
        </w:rPr>
        <w:t>　　　　</w:t>
      </w:r>
      <w:r>
        <w:rPr>
          <w:rFonts w:hint="eastAsia" w:hAnsi="宋体" w:cs="宋体"/>
          <w:color w:val="auto"/>
          <w:kern w:val="2"/>
          <w:sz w:val="21"/>
          <w:szCs w:val="21"/>
          <w:lang w:val="zh-CN"/>
        </w:rPr>
        <w:t>年</w:t>
      </w:r>
      <w:r>
        <w:rPr>
          <w:rFonts w:hint="eastAsia" w:hAnsi="宋体" w:cs="宋体"/>
          <w:color w:val="auto"/>
          <w:kern w:val="2"/>
          <w:sz w:val="21"/>
          <w:szCs w:val="21"/>
          <w:u w:val="single"/>
          <w:lang w:val="zh-CN"/>
        </w:rPr>
        <w:t>　　</w:t>
      </w:r>
      <w:r>
        <w:rPr>
          <w:rFonts w:hint="eastAsia" w:hAnsi="宋体" w:cs="宋体"/>
          <w:color w:val="auto"/>
          <w:kern w:val="2"/>
          <w:sz w:val="21"/>
          <w:szCs w:val="21"/>
          <w:lang w:val="zh-CN"/>
        </w:rPr>
        <w:t>月</w:t>
      </w:r>
      <w:r>
        <w:rPr>
          <w:rFonts w:hint="eastAsia" w:hAnsi="宋体" w:cs="宋体"/>
          <w:color w:val="auto"/>
          <w:kern w:val="2"/>
          <w:sz w:val="21"/>
          <w:szCs w:val="21"/>
          <w:u w:val="single"/>
          <w:lang w:val="zh-CN"/>
        </w:rPr>
        <w:t>　　</w:t>
      </w:r>
      <w:r>
        <w:rPr>
          <w:rFonts w:hint="eastAsia" w:hAnsi="宋体" w:cs="宋体"/>
          <w:color w:val="auto"/>
          <w:kern w:val="2"/>
          <w:sz w:val="21"/>
          <w:szCs w:val="21"/>
          <w:lang w:val="zh-CN"/>
        </w:rPr>
        <w:t>日签字生效，有效期至投标文件失效期止，代理人无转委托权，特此声明。</w:t>
      </w:r>
    </w:p>
    <w:p>
      <w:pPr>
        <w:pStyle w:val="26"/>
        <w:spacing w:line="360" w:lineRule="auto"/>
        <w:rPr>
          <w:rFonts w:hint="eastAsia" w:hAnsi="宋体" w:cs="宋体"/>
          <w:b/>
          <w:bCs/>
          <w:color w:val="auto"/>
          <w:kern w:val="2"/>
          <w:sz w:val="21"/>
        </w:rPr>
      </w:pPr>
    </w:p>
    <w:p>
      <w:pPr>
        <w:spacing w:line="360" w:lineRule="auto"/>
        <w:jc w:val="both"/>
        <w:rPr>
          <w:rFonts w:hint="eastAsia" w:hAnsi="宋体" w:cs="宋体"/>
          <w:color w:val="auto"/>
          <w:kern w:val="2"/>
          <w:sz w:val="21"/>
        </w:rPr>
      </w:pPr>
    </w:p>
    <w:p>
      <w:pPr>
        <w:spacing w:line="360" w:lineRule="auto"/>
        <w:ind w:left="5040"/>
        <w:jc w:val="both"/>
        <w:rPr>
          <w:rFonts w:hint="eastAsia" w:hAnsi="宋体" w:cs="宋体"/>
          <w:color w:val="auto"/>
          <w:kern w:val="2"/>
          <w:sz w:val="21"/>
          <w:lang w:val="zh-CN"/>
        </w:rPr>
      </w:pPr>
      <w:r>
        <w:rPr>
          <w:rFonts w:hint="eastAsia" w:hAnsi="宋体" w:cs="宋体"/>
          <w:color w:val="auto"/>
          <w:kern w:val="2"/>
          <w:sz w:val="21"/>
          <w:lang w:val="zh-CN"/>
        </w:rPr>
        <w:t>投标人:（加盖投标人法人公章）</w:t>
      </w:r>
    </w:p>
    <w:p>
      <w:pPr>
        <w:spacing w:line="360" w:lineRule="auto"/>
        <w:ind w:left="5040"/>
        <w:jc w:val="both"/>
        <w:rPr>
          <w:rFonts w:hint="eastAsia" w:hAnsi="宋体" w:cs="宋体"/>
          <w:color w:val="auto"/>
          <w:kern w:val="2"/>
          <w:sz w:val="21"/>
          <w:lang w:val="zh-CN"/>
        </w:rPr>
      </w:pPr>
      <w:r>
        <w:rPr>
          <w:rFonts w:hint="eastAsia" w:hAnsi="宋体" w:cs="宋体"/>
          <w:color w:val="auto"/>
          <w:kern w:val="2"/>
          <w:sz w:val="21"/>
          <w:lang w:val="zh-CN"/>
        </w:rPr>
        <w:t>投标人地址：</w:t>
      </w:r>
    </w:p>
    <w:p>
      <w:pPr>
        <w:spacing w:line="360" w:lineRule="auto"/>
        <w:ind w:left="5040"/>
        <w:jc w:val="both"/>
        <w:rPr>
          <w:rFonts w:hint="eastAsia" w:hAnsi="宋体" w:cs="宋体"/>
          <w:color w:val="auto"/>
          <w:kern w:val="2"/>
          <w:sz w:val="21"/>
          <w:lang w:val="zh-CN"/>
        </w:rPr>
      </w:pPr>
      <w:r>
        <w:rPr>
          <w:rFonts w:hint="eastAsia" w:hAnsi="宋体" w:cs="宋体"/>
          <w:color w:val="auto"/>
          <w:kern w:val="2"/>
          <w:sz w:val="21"/>
          <w:lang w:val="zh-CN"/>
        </w:rPr>
        <w:t>法定代表人（签名或盖私章）：</w:t>
      </w:r>
    </w:p>
    <w:p>
      <w:pPr>
        <w:spacing w:line="360" w:lineRule="auto"/>
        <w:ind w:left="5040"/>
        <w:jc w:val="both"/>
        <w:rPr>
          <w:rFonts w:hint="eastAsia" w:hAnsi="宋体" w:cs="宋体"/>
          <w:color w:val="auto"/>
          <w:kern w:val="2"/>
          <w:sz w:val="21"/>
          <w:lang w:val="zh-CN"/>
        </w:rPr>
      </w:pPr>
      <w:r>
        <w:rPr>
          <w:rFonts w:hint="eastAsia" w:hAnsi="宋体" w:cs="宋体"/>
          <w:color w:val="auto"/>
          <w:kern w:val="2"/>
          <w:sz w:val="21"/>
          <w:lang w:val="zh-CN"/>
        </w:rPr>
        <w:t>职　　　务：</w:t>
      </w:r>
    </w:p>
    <w:p>
      <w:pPr>
        <w:spacing w:line="360" w:lineRule="auto"/>
        <w:ind w:left="5040"/>
        <w:jc w:val="both"/>
        <w:rPr>
          <w:rFonts w:hint="eastAsia" w:hAnsi="宋体" w:cs="宋体"/>
          <w:color w:val="auto"/>
          <w:kern w:val="2"/>
          <w:sz w:val="21"/>
          <w:lang w:val="zh-CN"/>
        </w:rPr>
      </w:pPr>
      <w:r>
        <w:rPr>
          <w:rFonts w:hint="eastAsia" w:hAnsi="宋体" w:cs="宋体"/>
          <w:color w:val="auto"/>
          <w:kern w:val="2"/>
          <w:sz w:val="21"/>
          <w:lang w:val="zh-CN"/>
        </w:rPr>
        <w:t>被授权人（签名或盖私章）：</w:t>
      </w:r>
    </w:p>
    <w:p>
      <w:pPr>
        <w:spacing w:line="360" w:lineRule="auto"/>
        <w:ind w:left="5040"/>
        <w:jc w:val="both"/>
        <w:rPr>
          <w:rFonts w:hint="eastAsia" w:hAnsi="宋体" w:cs="宋体"/>
          <w:color w:val="auto"/>
          <w:kern w:val="2"/>
          <w:sz w:val="21"/>
          <w:lang w:val="zh-CN"/>
        </w:rPr>
      </w:pPr>
      <w:r>
        <w:rPr>
          <w:rFonts w:hint="eastAsia" w:hAnsi="宋体" w:cs="宋体"/>
          <w:color w:val="auto"/>
          <w:kern w:val="2"/>
          <w:sz w:val="21"/>
          <w:lang w:val="zh-CN"/>
        </w:rPr>
        <w:t>职　　　务：</w:t>
      </w:r>
    </w:p>
    <w:p>
      <w:pPr>
        <w:spacing w:line="360" w:lineRule="auto"/>
        <w:rPr>
          <w:rFonts w:hint="eastAsia" w:hAnsi="宋体" w:cs="宋体"/>
          <w:color w:val="auto"/>
        </w:rPr>
      </w:pPr>
    </w:p>
    <w:p>
      <w:pPr>
        <w:spacing w:line="360" w:lineRule="auto"/>
        <w:rPr>
          <w:rFonts w:hint="eastAsia" w:hAnsi="宋体" w:cs="宋体"/>
          <w:color w:val="auto"/>
        </w:rPr>
      </w:pPr>
    </w:p>
    <w:p>
      <w:pPr>
        <w:spacing w:line="360" w:lineRule="auto"/>
        <w:rPr>
          <w:rFonts w:hint="eastAsia" w:hAnsi="宋体" w:cs="宋体"/>
          <w:color w:val="auto"/>
        </w:rPr>
      </w:pPr>
    </w:p>
    <w:p>
      <w:pPr>
        <w:spacing w:line="360" w:lineRule="auto"/>
        <w:rPr>
          <w:rFonts w:hint="eastAsia" w:hAnsi="宋体" w:cs="宋体"/>
          <w:color w:val="auto"/>
        </w:rPr>
      </w:pPr>
    </w:p>
    <w:p>
      <w:pPr>
        <w:spacing w:line="360" w:lineRule="auto"/>
        <w:rPr>
          <w:rFonts w:hint="eastAsia" w:hAnsi="宋体" w:cs="宋体"/>
          <w:color w:val="auto"/>
        </w:rPr>
      </w:pPr>
    </w:p>
    <w:p>
      <w:pPr>
        <w:spacing w:line="360" w:lineRule="auto"/>
        <w:rPr>
          <w:rFonts w:hint="eastAsia" w:hAnsi="宋体" w:cs="宋体"/>
          <w:color w:val="auto"/>
        </w:rPr>
      </w:pPr>
    </w:p>
    <w:p>
      <w:pPr>
        <w:spacing w:line="360" w:lineRule="auto"/>
        <w:rPr>
          <w:rFonts w:hint="eastAsia" w:hAnsi="宋体" w:cs="宋体"/>
          <w:color w:val="auto"/>
        </w:rPr>
      </w:pPr>
    </w:p>
    <w:p>
      <w:pPr>
        <w:spacing w:line="360" w:lineRule="auto"/>
        <w:rPr>
          <w:rFonts w:hint="eastAsia" w:hAnsi="宋体" w:cs="宋体"/>
          <w:color w:val="auto"/>
        </w:rPr>
      </w:pPr>
    </w:p>
    <w:p>
      <w:pPr>
        <w:spacing w:line="360" w:lineRule="auto"/>
        <w:rPr>
          <w:rFonts w:hint="eastAsia" w:hAnsi="宋体" w:cs="宋体"/>
          <w:color w:val="auto"/>
        </w:rPr>
      </w:pPr>
      <w:r>
        <w:rPr>
          <w:rFonts w:hint="eastAsia" w:hAnsi="宋体" w:cs="宋体"/>
          <w:color w:val="auto"/>
        </w:rPr>
        <w:br w:type="page"/>
      </w:r>
    </w:p>
    <w:p>
      <w:pPr>
        <w:widowControl/>
        <w:adjustRightInd/>
        <w:spacing w:before="120" w:after="120" w:line="360" w:lineRule="auto"/>
        <w:ind w:right="893" w:firstLine="420" w:firstLineChars="200"/>
        <w:jc w:val="both"/>
        <w:textAlignment w:val="bottom"/>
        <w:rPr>
          <w:rFonts w:hint="eastAsia" w:hAnsi="宋体" w:cs="宋体"/>
          <w:color w:val="auto"/>
          <w:kern w:val="2"/>
          <w:sz w:val="21"/>
        </w:rPr>
      </w:pPr>
      <w:r>
        <w:rPr>
          <w:rFonts w:hint="eastAsia" w:hAnsi="宋体" w:cs="宋体"/>
          <w:color w:val="auto"/>
          <w:kern w:val="2"/>
          <w:sz w:val="21"/>
        </w:rPr>
        <w:t>附 法定代表人、被授权人身份证复印件</w:t>
      </w:r>
    </w:p>
    <w:p>
      <w:pPr>
        <w:widowControl/>
        <w:adjustRightInd/>
        <w:spacing w:before="120" w:after="120" w:line="360" w:lineRule="auto"/>
        <w:ind w:right="893" w:firstLine="420" w:firstLineChars="200"/>
        <w:jc w:val="both"/>
        <w:textAlignment w:val="bottom"/>
        <w:rPr>
          <w:rFonts w:hint="eastAsia" w:hAnsi="宋体" w:cs="宋体"/>
          <w:color w:val="auto"/>
          <w:kern w:val="2"/>
          <w:sz w:val="21"/>
        </w:rPr>
      </w:pPr>
    </w:p>
    <w:p>
      <w:pPr>
        <w:widowControl/>
        <w:adjustRightInd/>
        <w:spacing w:before="120" w:after="120" w:line="360" w:lineRule="auto"/>
        <w:ind w:right="893"/>
        <w:jc w:val="center"/>
        <w:textAlignment w:val="bottom"/>
        <w:rPr>
          <w:rFonts w:hint="eastAsia" w:hAnsi="宋体" w:cs="宋体"/>
          <w:color w:val="auto"/>
          <w:kern w:val="2"/>
          <w:sz w:val="21"/>
        </w:rPr>
      </w:pPr>
      <w:r>
        <w:rPr>
          <w:rFonts w:hint="eastAsia" w:hAnsi="宋体" w:cs="宋体"/>
          <w:color w:val="auto"/>
          <w:kern w:val="2"/>
          <w:sz w:val="21"/>
        </w:rPr>
        <mc:AlternateContent>
          <mc:Choice Requires="wps">
            <w:drawing>
              <wp:anchor distT="0" distB="0" distL="114300" distR="114300" simplePos="0" relativeHeight="251662336" behindDoc="0" locked="0" layoutInCell="1" allowOverlap="1">
                <wp:simplePos x="0" y="0"/>
                <wp:positionH relativeFrom="column">
                  <wp:posOffset>3414395</wp:posOffset>
                </wp:positionH>
                <wp:positionV relativeFrom="paragraph">
                  <wp:posOffset>62865</wp:posOffset>
                </wp:positionV>
                <wp:extent cx="2790825" cy="1762125"/>
                <wp:effectExtent l="4445" t="4445" r="5080" b="5080"/>
                <wp:wrapNone/>
                <wp:docPr id="4" name="文本框 10"/>
                <wp:cNvGraphicFramePr/>
                <a:graphic xmlns:a="http://schemas.openxmlformats.org/drawingml/2006/main">
                  <a:graphicData uri="http://schemas.microsoft.com/office/word/2010/wordprocessingShape">
                    <wps:wsp>
                      <wps:cNvSpPr txBox="1"/>
                      <wps:spPr>
                        <a:xfrm>
                          <a:off x="0" y="0"/>
                          <a:ext cx="2790825" cy="1762125"/>
                        </a:xfrm>
                        <a:prstGeom prst="rect">
                          <a:avLst/>
                        </a:prstGeom>
                        <a:solidFill>
                          <a:srgbClr val="FFFFFF"/>
                        </a:solidFill>
                        <a:ln w="9525" cap="flat" cmpd="sng">
                          <a:solidFill>
                            <a:srgbClr val="000000"/>
                          </a:solidFill>
                          <a:prstDash val="solid"/>
                          <a:miter/>
                          <a:headEnd type="none" w="med" len="med"/>
                          <a:tailEnd type="none" w="med" len="med"/>
                        </a:ln>
                      </wps:spPr>
                      <wps:txbx>
                        <w:txbxContent>
                          <w:p/>
                          <w:p/>
                          <w:p/>
                          <w:p/>
                          <w:p>
                            <w:pPr>
                              <w:jc w:val="center"/>
                              <w:rPr>
                                <w:rFonts w:hAnsi="宋体"/>
                                <w:kern w:val="2"/>
                                <w:sz w:val="21"/>
                              </w:rPr>
                            </w:pPr>
                            <w:r>
                              <w:rPr>
                                <w:rFonts w:hint="eastAsia" w:hAnsi="宋体"/>
                                <w:kern w:val="2"/>
                                <w:sz w:val="21"/>
                              </w:rPr>
                              <w:t>法定代表人身份证反面</w:t>
                            </w:r>
                          </w:p>
                        </w:txbxContent>
                      </wps:txbx>
                      <wps:bodyPr upright="1"/>
                    </wps:wsp>
                  </a:graphicData>
                </a:graphic>
              </wp:anchor>
            </w:drawing>
          </mc:Choice>
          <mc:Fallback>
            <w:pict>
              <v:shape id="文本框 10" o:spid="_x0000_s1026" o:spt="202" type="#_x0000_t202" style="position:absolute;left:0pt;margin-left:268.85pt;margin-top:4.95pt;height:138.75pt;width:219.75pt;z-index:251662336;mso-width-relative:page;mso-height-relative:page;" fillcolor="#FFFFFF" filled="t" stroked="t" coordsize="21600,21600" o:gfxdata="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LhP8D7ZAAAACQEAAA8AAAAAAAAAAQAgAAAAIgAAAGRycy9kb3ducmV2LnhtbFBLAQIUABQA&#10;AAAIAIdO4kAdL9ul7wEAAOoDAAAOAAAAAAAAAAEAIAAAACgBAABkcnMvZTJvRG9jLnhtbFBLBQYA&#10;AAAABgAGAFkBAACJBQAAAAA=&#10;">
                <v:fill on="t" focussize="0,0"/>
                <v:stroke color="#000000" joinstyle="miter"/>
                <v:imagedata o:title=""/>
                <o:lock v:ext="edit" aspectratio="f"/>
                <v:textbox>
                  <w:txbxContent>
                    <w:p/>
                    <w:p/>
                    <w:p/>
                    <w:p/>
                    <w:p>
                      <w:pPr>
                        <w:jc w:val="center"/>
                        <w:rPr>
                          <w:rFonts w:hAnsi="宋体"/>
                          <w:kern w:val="2"/>
                          <w:sz w:val="21"/>
                        </w:rPr>
                      </w:pPr>
                      <w:r>
                        <w:rPr>
                          <w:rFonts w:hint="eastAsia" w:hAnsi="宋体"/>
                          <w:kern w:val="2"/>
                          <w:sz w:val="21"/>
                        </w:rPr>
                        <w:t>法定代表人身份证反面</w:t>
                      </w:r>
                    </w:p>
                  </w:txbxContent>
                </v:textbox>
              </v:shape>
            </w:pict>
          </mc:Fallback>
        </mc:AlternateContent>
      </w:r>
      <w:r>
        <w:rPr>
          <w:rFonts w:hint="eastAsia" w:hAnsi="宋体" w:cs="宋体"/>
          <w:color w:val="auto"/>
          <w:kern w:val="2"/>
          <w:sz w:val="21"/>
        </w:rPr>
        <mc:AlternateContent>
          <mc:Choice Requires="wps">
            <w:drawing>
              <wp:anchor distT="0" distB="0" distL="114300" distR="114300" simplePos="0" relativeHeight="251661312" behindDoc="0" locked="0" layoutInCell="1" allowOverlap="1">
                <wp:simplePos x="0" y="0"/>
                <wp:positionH relativeFrom="column">
                  <wp:posOffset>213995</wp:posOffset>
                </wp:positionH>
                <wp:positionV relativeFrom="paragraph">
                  <wp:posOffset>62865</wp:posOffset>
                </wp:positionV>
                <wp:extent cx="2790825" cy="1762125"/>
                <wp:effectExtent l="4445" t="4445" r="5080" b="5080"/>
                <wp:wrapNone/>
                <wp:docPr id="3" name="文本框 11"/>
                <wp:cNvGraphicFramePr/>
                <a:graphic xmlns:a="http://schemas.openxmlformats.org/drawingml/2006/main">
                  <a:graphicData uri="http://schemas.microsoft.com/office/word/2010/wordprocessingShape">
                    <wps:wsp>
                      <wps:cNvSpPr txBox="1"/>
                      <wps:spPr>
                        <a:xfrm>
                          <a:off x="0" y="0"/>
                          <a:ext cx="2790825" cy="1762125"/>
                        </a:xfrm>
                        <a:prstGeom prst="rect">
                          <a:avLst/>
                        </a:prstGeom>
                        <a:solidFill>
                          <a:srgbClr val="FFFFFF"/>
                        </a:solidFill>
                        <a:ln w="9525" cap="flat" cmpd="sng">
                          <a:solidFill>
                            <a:srgbClr val="000000"/>
                          </a:solidFill>
                          <a:prstDash val="solid"/>
                          <a:miter/>
                          <a:headEnd type="none" w="med" len="med"/>
                          <a:tailEnd type="none" w="med" len="med"/>
                        </a:ln>
                      </wps:spPr>
                      <wps:txbx>
                        <w:txbxContent>
                          <w:p/>
                          <w:p/>
                          <w:p/>
                          <w:p/>
                          <w:p>
                            <w:pPr>
                              <w:jc w:val="center"/>
                              <w:rPr>
                                <w:rFonts w:hAnsi="宋体"/>
                                <w:kern w:val="2"/>
                                <w:sz w:val="21"/>
                              </w:rPr>
                            </w:pPr>
                            <w:r>
                              <w:rPr>
                                <w:rFonts w:hint="eastAsia" w:hAnsi="宋体"/>
                                <w:kern w:val="2"/>
                                <w:sz w:val="21"/>
                              </w:rPr>
                              <w:t>法定代表人身份证正面</w:t>
                            </w:r>
                          </w:p>
                        </w:txbxContent>
                      </wps:txbx>
                      <wps:bodyPr upright="1"/>
                    </wps:wsp>
                  </a:graphicData>
                </a:graphic>
              </wp:anchor>
            </w:drawing>
          </mc:Choice>
          <mc:Fallback>
            <w:pict>
              <v:shape id="文本框 11" o:spid="_x0000_s1026" o:spt="202" type="#_x0000_t202" style="position:absolute;left:0pt;margin-left:16.85pt;margin-top:4.95pt;height:138.75pt;width:219.75pt;z-index:251661312;mso-width-relative:page;mso-height-relative:page;" fillcolor="#FFFFFF" filled="t" stroked="t" coordsize="21600,21600" o:gfxdata="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Ymk0N2AAAAAgBAAAPAAAAAAAAAAEAIAAAACIAAABkcnMvZG93bnJldi54bWxQSwECFAAU&#10;AAAACACHTuJAE1JzYPEBAADqAwAADgAAAAAAAAABACAAAAAnAQAAZHJzL2Uyb0RvYy54bWxQSwUG&#10;AAAAAAYABgBZAQAAigUAAAAA&#10;">
                <v:fill on="t" focussize="0,0"/>
                <v:stroke color="#000000" joinstyle="miter"/>
                <v:imagedata o:title=""/>
                <o:lock v:ext="edit" aspectratio="f"/>
                <v:textbox>
                  <w:txbxContent>
                    <w:p/>
                    <w:p/>
                    <w:p/>
                    <w:p/>
                    <w:p>
                      <w:pPr>
                        <w:jc w:val="center"/>
                        <w:rPr>
                          <w:rFonts w:hAnsi="宋体"/>
                          <w:kern w:val="2"/>
                          <w:sz w:val="21"/>
                        </w:rPr>
                      </w:pPr>
                      <w:r>
                        <w:rPr>
                          <w:rFonts w:hint="eastAsia" w:hAnsi="宋体"/>
                          <w:kern w:val="2"/>
                          <w:sz w:val="21"/>
                        </w:rPr>
                        <w:t>法定代表人身份证正面</w:t>
                      </w:r>
                    </w:p>
                  </w:txbxContent>
                </v:textbox>
              </v:shape>
            </w:pict>
          </mc:Fallback>
        </mc:AlternateContent>
      </w:r>
    </w:p>
    <w:p>
      <w:pPr>
        <w:autoSpaceDE/>
        <w:autoSpaceDN/>
        <w:adjustRightInd/>
        <w:spacing w:before="120" w:after="120" w:line="360" w:lineRule="auto"/>
        <w:ind w:left="5040"/>
        <w:jc w:val="center"/>
        <w:rPr>
          <w:rFonts w:hint="eastAsia" w:hAnsi="宋体" w:cs="宋体"/>
          <w:color w:val="auto"/>
          <w:kern w:val="2"/>
          <w:sz w:val="21"/>
        </w:rPr>
      </w:pPr>
    </w:p>
    <w:p>
      <w:pPr>
        <w:spacing w:line="360" w:lineRule="auto"/>
        <w:jc w:val="center"/>
        <w:rPr>
          <w:rFonts w:hint="eastAsia" w:hAnsi="宋体" w:cs="宋体"/>
          <w:color w:val="auto"/>
          <w:kern w:val="2"/>
        </w:rPr>
      </w:pPr>
      <w:r>
        <w:rPr>
          <w:rFonts w:hint="eastAsia" w:hAnsi="宋体" w:cs="宋体"/>
          <w:color w:val="auto"/>
          <w:kern w:val="2"/>
        </w:rPr>
        <mc:AlternateContent>
          <mc:Choice Requires="wps">
            <w:drawing>
              <wp:anchor distT="0" distB="0" distL="114300" distR="114300" simplePos="0" relativeHeight="251664384" behindDoc="0" locked="0" layoutInCell="1" allowOverlap="1">
                <wp:simplePos x="0" y="0"/>
                <wp:positionH relativeFrom="column">
                  <wp:posOffset>3414395</wp:posOffset>
                </wp:positionH>
                <wp:positionV relativeFrom="paragraph">
                  <wp:posOffset>2688590</wp:posOffset>
                </wp:positionV>
                <wp:extent cx="2743200" cy="1771650"/>
                <wp:effectExtent l="5080" t="4445" r="13970" b="14605"/>
                <wp:wrapNone/>
                <wp:docPr id="6" name="文本框 12"/>
                <wp:cNvGraphicFramePr/>
                <a:graphic xmlns:a="http://schemas.openxmlformats.org/drawingml/2006/main">
                  <a:graphicData uri="http://schemas.microsoft.com/office/word/2010/wordprocessingShape">
                    <wps:wsp>
                      <wps:cNvSpPr txBox="1"/>
                      <wps:spPr>
                        <a:xfrm>
                          <a:off x="0" y="0"/>
                          <a:ext cx="2743200" cy="1771650"/>
                        </a:xfrm>
                        <a:prstGeom prst="rect">
                          <a:avLst/>
                        </a:prstGeom>
                        <a:solidFill>
                          <a:srgbClr val="FFFFFF"/>
                        </a:solidFill>
                        <a:ln w="9525" cap="flat" cmpd="sng">
                          <a:solidFill>
                            <a:srgbClr val="000000"/>
                          </a:solidFill>
                          <a:prstDash val="solid"/>
                          <a:miter/>
                          <a:headEnd type="none" w="med" len="med"/>
                          <a:tailEnd type="none" w="med" len="med"/>
                        </a:ln>
                      </wps:spPr>
                      <wps:txbx>
                        <w:txbxContent>
                          <w:p/>
                          <w:p>
                            <w:pPr>
                              <w:jc w:val="center"/>
                              <w:rPr>
                                <w:rFonts w:hAnsi="宋体"/>
                                <w:color w:val="FF0000"/>
                                <w:kern w:val="2"/>
                                <w:sz w:val="21"/>
                              </w:rPr>
                            </w:pPr>
                          </w:p>
                          <w:p>
                            <w:pPr>
                              <w:jc w:val="center"/>
                              <w:rPr>
                                <w:rFonts w:hAnsi="宋体"/>
                                <w:color w:val="FF0000"/>
                                <w:kern w:val="2"/>
                                <w:sz w:val="21"/>
                              </w:rPr>
                            </w:pPr>
                          </w:p>
                          <w:p>
                            <w:pPr>
                              <w:jc w:val="center"/>
                              <w:rPr>
                                <w:rFonts w:hAnsi="宋体"/>
                                <w:color w:val="FF0000"/>
                                <w:kern w:val="2"/>
                                <w:sz w:val="21"/>
                              </w:rPr>
                            </w:pPr>
                          </w:p>
                          <w:p>
                            <w:pPr>
                              <w:jc w:val="center"/>
                            </w:pPr>
                            <w:r>
                              <w:rPr>
                                <w:rFonts w:hint="eastAsia" w:hAnsi="宋体"/>
                                <w:kern w:val="2"/>
                                <w:sz w:val="21"/>
                              </w:rPr>
                              <w:t>被授权人身份证反面</w:t>
                            </w:r>
                          </w:p>
                          <w:p/>
                          <w:p/>
                        </w:txbxContent>
                      </wps:txbx>
                      <wps:bodyPr upright="1"/>
                    </wps:wsp>
                  </a:graphicData>
                </a:graphic>
              </wp:anchor>
            </w:drawing>
          </mc:Choice>
          <mc:Fallback>
            <w:pict>
              <v:shape id="文本框 12" o:spid="_x0000_s1026" o:spt="202" type="#_x0000_t202" style="position:absolute;left:0pt;margin-left:268.85pt;margin-top:211.7pt;height:139.5pt;width:216pt;z-index:251664384;mso-width-relative:page;mso-height-relative:page;" fillcolor="#FFFFFF" filled="t" stroked="t" coordsize="21600,21600" o:gfxdata="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wUOjbAAAACwEAAA8AAAAAAAAAAQAgAAAAIgAAAGRycy9kb3ducmV2LnhtbFBL&#10;AQIUABQAAAAIAIdO4kDB+DLE8wEAAOoDAAAOAAAAAAAAAAEAIAAAACoBAABkcnMvZTJvRG9jLnht&#10;bFBLBQYAAAAABgAGAFkBAACPBQAAAAA=&#10;">
                <v:fill on="t" focussize="0,0"/>
                <v:stroke color="#000000" joinstyle="miter"/>
                <v:imagedata o:title=""/>
                <o:lock v:ext="edit" aspectratio="f"/>
                <v:textbox>
                  <w:txbxContent>
                    <w:p/>
                    <w:p>
                      <w:pPr>
                        <w:jc w:val="center"/>
                        <w:rPr>
                          <w:rFonts w:hAnsi="宋体"/>
                          <w:color w:val="FF0000"/>
                          <w:kern w:val="2"/>
                          <w:sz w:val="21"/>
                        </w:rPr>
                      </w:pPr>
                    </w:p>
                    <w:p>
                      <w:pPr>
                        <w:jc w:val="center"/>
                        <w:rPr>
                          <w:rFonts w:hAnsi="宋体"/>
                          <w:color w:val="FF0000"/>
                          <w:kern w:val="2"/>
                          <w:sz w:val="21"/>
                        </w:rPr>
                      </w:pPr>
                    </w:p>
                    <w:p>
                      <w:pPr>
                        <w:jc w:val="center"/>
                        <w:rPr>
                          <w:rFonts w:hAnsi="宋体"/>
                          <w:color w:val="FF0000"/>
                          <w:kern w:val="2"/>
                          <w:sz w:val="21"/>
                        </w:rPr>
                      </w:pPr>
                    </w:p>
                    <w:p>
                      <w:pPr>
                        <w:jc w:val="center"/>
                      </w:pPr>
                      <w:r>
                        <w:rPr>
                          <w:rFonts w:hint="eastAsia" w:hAnsi="宋体"/>
                          <w:kern w:val="2"/>
                          <w:sz w:val="21"/>
                        </w:rPr>
                        <w:t>被授权人身份证反面</w:t>
                      </w:r>
                    </w:p>
                    <w:p/>
                    <w:p/>
                  </w:txbxContent>
                </v:textbox>
              </v:shape>
            </w:pict>
          </mc:Fallback>
        </mc:AlternateContent>
      </w:r>
      <w:r>
        <w:rPr>
          <w:rFonts w:hint="eastAsia" w:hAnsi="宋体" w:cs="宋体"/>
          <w:color w:val="auto"/>
          <w:kern w:val="2"/>
        </w:rPr>
        <mc:AlternateContent>
          <mc:Choice Requires="wps">
            <w:drawing>
              <wp:anchor distT="0" distB="0" distL="114300" distR="114300" simplePos="0" relativeHeight="251663360" behindDoc="0" locked="0" layoutInCell="1" allowOverlap="1">
                <wp:simplePos x="0" y="0"/>
                <wp:positionH relativeFrom="column">
                  <wp:posOffset>213995</wp:posOffset>
                </wp:positionH>
                <wp:positionV relativeFrom="paragraph">
                  <wp:posOffset>2688590</wp:posOffset>
                </wp:positionV>
                <wp:extent cx="2743200" cy="1771650"/>
                <wp:effectExtent l="5080" t="4445" r="13970" b="14605"/>
                <wp:wrapNone/>
                <wp:docPr id="5" name="文本框 13"/>
                <wp:cNvGraphicFramePr/>
                <a:graphic xmlns:a="http://schemas.openxmlformats.org/drawingml/2006/main">
                  <a:graphicData uri="http://schemas.microsoft.com/office/word/2010/wordprocessingShape">
                    <wps:wsp>
                      <wps:cNvSpPr txBox="1"/>
                      <wps:spPr>
                        <a:xfrm>
                          <a:off x="0" y="0"/>
                          <a:ext cx="2743200" cy="1771650"/>
                        </a:xfrm>
                        <a:prstGeom prst="rect">
                          <a:avLst/>
                        </a:prstGeom>
                        <a:solidFill>
                          <a:srgbClr val="FFFFFF"/>
                        </a:solidFill>
                        <a:ln w="9525" cap="flat" cmpd="sng">
                          <a:solidFill>
                            <a:srgbClr val="000000"/>
                          </a:solidFill>
                          <a:prstDash val="solid"/>
                          <a:miter/>
                          <a:headEnd type="none" w="med" len="med"/>
                          <a:tailEnd type="none" w="med" len="med"/>
                        </a:ln>
                      </wps:spPr>
                      <wps:txbx>
                        <w:txbxContent>
                          <w:p/>
                          <w:p>
                            <w:pPr>
                              <w:jc w:val="center"/>
                              <w:rPr>
                                <w:rFonts w:hAnsi="宋体"/>
                                <w:color w:val="FF0000"/>
                                <w:kern w:val="2"/>
                                <w:sz w:val="21"/>
                              </w:rPr>
                            </w:pPr>
                          </w:p>
                          <w:p>
                            <w:pPr>
                              <w:jc w:val="center"/>
                              <w:rPr>
                                <w:rFonts w:hAnsi="宋体"/>
                                <w:color w:val="FF0000"/>
                                <w:kern w:val="2"/>
                                <w:sz w:val="21"/>
                              </w:rPr>
                            </w:pPr>
                          </w:p>
                          <w:p>
                            <w:pPr>
                              <w:jc w:val="center"/>
                              <w:rPr>
                                <w:rFonts w:hAnsi="宋体"/>
                                <w:color w:val="FF0000"/>
                                <w:kern w:val="2"/>
                                <w:sz w:val="21"/>
                              </w:rPr>
                            </w:pPr>
                          </w:p>
                          <w:p>
                            <w:pPr>
                              <w:jc w:val="center"/>
                            </w:pPr>
                            <w:r>
                              <w:rPr>
                                <w:rFonts w:hint="eastAsia" w:hAnsi="宋体"/>
                                <w:kern w:val="2"/>
                                <w:sz w:val="21"/>
                              </w:rPr>
                              <w:t>被授权人身份证正面</w:t>
                            </w:r>
                          </w:p>
                          <w:p/>
                          <w:p/>
                        </w:txbxContent>
                      </wps:txbx>
                      <wps:bodyPr upright="1"/>
                    </wps:wsp>
                  </a:graphicData>
                </a:graphic>
              </wp:anchor>
            </w:drawing>
          </mc:Choice>
          <mc:Fallback>
            <w:pict>
              <v:shape id="文本框 13" o:spid="_x0000_s1026" o:spt="202" type="#_x0000_t202" style="position:absolute;left:0pt;margin-left:16.85pt;margin-top:211.7pt;height:139.5pt;width:216pt;z-index:251663360;mso-width-relative:page;mso-height-relative:page;" fillcolor="#FFFFFF" filled="t" stroked="t" coordsize="21600,21600" o:gfxdata="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0pWjetkAAAAKAQAADwAAAAAAAAABACAAAAAiAAAAZHJzL2Rvd25yZXYueG1sUEsB&#10;AhQAFAAAAAgAh07iQKyjB9T0AQAA6gMAAA4AAAAAAAAAAQAgAAAAKAEAAGRycy9lMm9Eb2MueG1s&#10;UEsFBgAAAAAGAAYAWQEAAI4FAAAAAA==&#10;">
                <v:fill on="t" focussize="0,0"/>
                <v:stroke color="#000000" joinstyle="miter"/>
                <v:imagedata o:title=""/>
                <o:lock v:ext="edit" aspectratio="f"/>
                <v:textbox>
                  <w:txbxContent>
                    <w:p/>
                    <w:p>
                      <w:pPr>
                        <w:jc w:val="center"/>
                        <w:rPr>
                          <w:rFonts w:hAnsi="宋体"/>
                          <w:color w:val="FF0000"/>
                          <w:kern w:val="2"/>
                          <w:sz w:val="21"/>
                        </w:rPr>
                      </w:pPr>
                    </w:p>
                    <w:p>
                      <w:pPr>
                        <w:jc w:val="center"/>
                        <w:rPr>
                          <w:rFonts w:hAnsi="宋体"/>
                          <w:color w:val="FF0000"/>
                          <w:kern w:val="2"/>
                          <w:sz w:val="21"/>
                        </w:rPr>
                      </w:pPr>
                    </w:p>
                    <w:p>
                      <w:pPr>
                        <w:jc w:val="center"/>
                        <w:rPr>
                          <w:rFonts w:hAnsi="宋体"/>
                          <w:color w:val="FF0000"/>
                          <w:kern w:val="2"/>
                          <w:sz w:val="21"/>
                        </w:rPr>
                      </w:pPr>
                    </w:p>
                    <w:p>
                      <w:pPr>
                        <w:jc w:val="center"/>
                      </w:pPr>
                      <w:r>
                        <w:rPr>
                          <w:rFonts w:hint="eastAsia" w:hAnsi="宋体"/>
                          <w:kern w:val="2"/>
                          <w:sz w:val="21"/>
                        </w:rPr>
                        <w:t>被授权人身份证正面</w:t>
                      </w:r>
                    </w:p>
                    <w:p/>
                    <w:p/>
                  </w:txbxContent>
                </v:textbox>
              </v:shape>
            </w:pict>
          </mc:Fallback>
        </mc:AlternateContent>
      </w:r>
    </w:p>
    <w:p>
      <w:pPr>
        <w:spacing w:line="360" w:lineRule="auto"/>
        <w:jc w:val="center"/>
        <w:rPr>
          <w:rFonts w:hint="eastAsia" w:hAnsi="宋体" w:cs="宋体"/>
          <w:color w:val="auto"/>
          <w:sz w:val="21"/>
          <w:szCs w:val="21"/>
        </w:rPr>
      </w:pPr>
    </w:p>
    <w:p>
      <w:pPr>
        <w:spacing w:line="360" w:lineRule="auto"/>
        <w:jc w:val="center"/>
        <w:rPr>
          <w:rFonts w:hint="eastAsia" w:hAnsi="宋体" w:cs="宋体"/>
          <w:color w:val="auto"/>
          <w:sz w:val="21"/>
          <w:szCs w:val="21"/>
        </w:rPr>
      </w:pPr>
    </w:p>
    <w:p>
      <w:pPr>
        <w:spacing w:line="360" w:lineRule="auto"/>
        <w:jc w:val="center"/>
        <w:rPr>
          <w:rFonts w:hint="eastAsia" w:hAnsi="宋体" w:cs="宋体"/>
          <w:color w:val="auto"/>
          <w:sz w:val="21"/>
          <w:szCs w:val="21"/>
        </w:rPr>
      </w:pPr>
    </w:p>
    <w:p>
      <w:pPr>
        <w:spacing w:line="360" w:lineRule="auto"/>
        <w:jc w:val="center"/>
        <w:rPr>
          <w:rFonts w:hint="eastAsia" w:hAnsi="宋体" w:cs="宋体"/>
          <w:color w:val="auto"/>
          <w:sz w:val="21"/>
          <w:szCs w:val="21"/>
        </w:rPr>
      </w:pPr>
    </w:p>
    <w:p>
      <w:pPr>
        <w:spacing w:line="360" w:lineRule="auto"/>
        <w:jc w:val="center"/>
        <w:rPr>
          <w:rFonts w:hint="eastAsia" w:hAnsi="宋体" w:cs="宋体"/>
          <w:color w:val="auto"/>
          <w:sz w:val="21"/>
          <w:szCs w:val="21"/>
        </w:rPr>
      </w:pPr>
    </w:p>
    <w:p>
      <w:pPr>
        <w:spacing w:line="360" w:lineRule="auto"/>
        <w:rPr>
          <w:rFonts w:hint="eastAsia" w:hAnsi="宋体" w:cs="宋体"/>
          <w:color w:val="auto"/>
          <w:sz w:val="21"/>
          <w:szCs w:val="21"/>
        </w:rPr>
      </w:pPr>
    </w:p>
    <w:p>
      <w:pPr>
        <w:spacing w:line="360" w:lineRule="auto"/>
        <w:rPr>
          <w:rFonts w:hint="eastAsia" w:hAnsi="宋体" w:cs="宋体"/>
          <w:color w:val="auto"/>
          <w:sz w:val="21"/>
          <w:szCs w:val="21"/>
        </w:rPr>
      </w:pPr>
    </w:p>
    <w:p>
      <w:pPr>
        <w:spacing w:line="360" w:lineRule="auto"/>
        <w:rPr>
          <w:rFonts w:hint="eastAsia" w:hAnsi="宋体" w:cs="宋体"/>
          <w:color w:val="auto"/>
          <w:sz w:val="21"/>
          <w:szCs w:val="21"/>
        </w:rPr>
      </w:pPr>
    </w:p>
    <w:p>
      <w:pPr>
        <w:spacing w:line="360" w:lineRule="auto"/>
        <w:rPr>
          <w:rFonts w:hint="eastAsia" w:hAnsi="宋体" w:cs="宋体"/>
          <w:color w:val="auto"/>
          <w:sz w:val="21"/>
          <w:szCs w:val="21"/>
        </w:rPr>
      </w:pPr>
    </w:p>
    <w:p>
      <w:pPr>
        <w:spacing w:line="360" w:lineRule="auto"/>
        <w:rPr>
          <w:rFonts w:hint="eastAsia" w:hAnsi="宋体" w:cs="宋体"/>
          <w:color w:val="auto"/>
          <w:sz w:val="21"/>
          <w:szCs w:val="21"/>
        </w:rPr>
      </w:pPr>
    </w:p>
    <w:p>
      <w:pPr>
        <w:spacing w:line="360" w:lineRule="auto"/>
        <w:rPr>
          <w:rFonts w:hint="eastAsia" w:hAnsi="宋体" w:cs="宋体"/>
          <w:color w:val="auto"/>
          <w:sz w:val="21"/>
          <w:szCs w:val="21"/>
        </w:rPr>
      </w:pPr>
    </w:p>
    <w:p>
      <w:pPr>
        <w:spacing w:line="360" w:lineRule="auto"/>
        <w:rPr>
          <w:rFonts w:hint="eastAsia" w:hAnsi="宋体" w:cs="宋体"/>
          <w:color w:val="auto"/>
          <w:sz w:val="21"/>
          <w:szCs w:val="21"/>
        </w:rPr>
      </w:pPr>
    </w:p>
    <w:p>
      <w:pPr>
        <w:spacing w:line="360" w:lineRule="auto"/>
        <w:rPr>
          <w:rFonts w:hint="eastAsia" w:hAnsi="宋体" w:cs="宋体"/>
          <w:color w:val="auto"/>
          <w:sz w:val="21"/>
          <w:szCs w:val="21"/>
        </w:rPr>
      </w:pPr>
    </w:p>
    <w:p>
      <w:pPr>
        <w:spacing w:line="360" w:lineRule="auto"/>
        <w:rPr>
          <w:rFonts w:hint="eastAsia" w:hAnsi="宋体" w:cs="宋体"/>
          <w:color w:val="auto"/>
          <w:sz w:val="21"/>
          <w:szCs w:val="21"/>
        </w:rPr>
      </w:pPr>
    </w:p>
    <w:p>
      <w:pPr>
        <w:spacing w:line="360" w:lineRule="auto"/>
        <w:rPr>
          <w:rFonts w:hint="eastAsia" w:hAnsi="宋体" w:cs="宋体"/>
          <w:color w:val="auto"/>
          <w:sz w:val="21"/>
          <w:szCs w:val="21"/>
        </w:rPr>
      </w:pPr>
    </w:p>
    <w:p>
      <w:pPr>
        <w:spacing w:line="360" w:lineRule="auto"/>
        <w:rPr>
          <w:rFonts w:hint="eastAsia" w:hAnsi="宋体" w:cs="宋体"/>
          <w:color w:val="auto"/>
          <w:sz w:val="21"/>
          <w:szCs w:val="21"/>
        </w:rPr>
      </w:pPr>
    </w:p>
    <w:p>
      <w:pPr>
        <w:spacing w:line="360" w:lineRule="auto"/>
        <w:rPr>
          <w:rFonts w:hint="eastAsia" w:hAnsi="宋体" w:cs="宋体"/>
          <w:color w:val="auto"/>
          <w:sz w:val="21"/>
          <w:szCs w:val="21"/>
        </w:rPr>
      </w:pPr>
    </w:p>
    <w:p>
      <w:pPr>
        <w:spacing w:line="360" w:lineRule="auto"/>
        <w:rPr>
          <w:rFonts w:hint="eastAsia" w:hAnsi="宋体" w:cs="宋体"/>
          <w:color w:val="auto"/>
          <w:sz w:val="21"/>
          <w:szCs w:val="21"/>
        </w:rPr>
      </w:pPr>
    </w:p>
    <w:p>
      <w:pPr>
        <w:spacing w:line="360" w:lineRule="auto"/>
        <w:rPr>
          <w:rFonts w:hint="eastAsia" w:hAnsi="宋体" w:cs="宋体"/>
          <w:b/>
          <w:color w:val="auto"/>
          <w:sz w:val="21"/>
          <w:szCs w:val="21"/>
        </w:rPr>
      </w:pPr>
      <w:r>
        <w:rPr>
          <w:rFonts w:hint="eastAsia" w:hAnsi="宋体" w:cs="宋体"/>
          <w:b/>
          <w:color w:val="auto"/>
          <w:sz w:val="21"/>
          <w:szCs w:val="21"/>
        </w:rPr>
        <w:t>注：上述身份证须在有效期限内。</w:t>
      </w:r>
    </w:p>
    <w:p>
      <w:pPr>
        <w:spacing w:line="360" w:lineRule="auto"/>
        <w:rPr>
          <w:rFonts w:hint="eastAsia" w:hAnsi="宋体" w:cs="宋体"/>
          <w:color w:val="auto"/>
        </w:rPr>
      </w:pPr>
    </w:p>
    <w:p>
      <w:pPr>
        <w:pStyle w:val="102"/>
        <w:tabs>
          <w:tab w:val="left" w:pos="567"/>
        </w:tabs>
        <w:spacing w:line="360" w:lineRule="auto"/>
        <w:ind w:firstLine="0" w:firstLineChars="0"/>
        <w:jc w:val="both"/>
        <w:rPr>
          <w:rFonts w:hAnsi="宋体" w:cs="宋体"/>
          <w:b/>
          <w:bCs/>
          <w:color w:val="auto"/>
          <w:kern w:val="2"/>
          <w:sz w:val="32"/>
          <w:szCs w:val="32"/>
          <w:lang w:val="zh-CN"/>
        </w:rPr>
      </w:pPr>
      <w:r>
        <w:rPr>
          <w:rFonts w:hint="eastAsia" w:hAnsi="宋体" w:cs="宋体"/>
          <w:b/>
          <w:bCs/>
          <w:color w:val="auto"/>
          <w:kern w:val="2"/>
          <w:sz w:val="32"/>
          <w:szCs w:val="32"/>
        </w:rPr>
        <w:br w:type="page"/>
      </w:r>
      <w:r>
        <w:rPr>
          <w:rFonts w:hint="eastAsia" w:hAnsi="宋体" w:cs="宋体"/>
          <w:b/>
          <w:bCs/>
          <w:color w:val="auto"/>
          <w:kern w:val="2"/>
          <w:sz w:val="32"/>
          <w:szCs w:val="32"/>
        </w:rPr>
        <w:t>5</w:t>
      </w:r>
      <w:r>
        <w:rPr>
          <w:rFonts w:hint="eastAsia" w:hAnsi="宋体" w:cs="宋体"/>
          <w:b/>
          <w:bCs/>
          <w:color w:val="auto"/>
          <w:kern w:val="2"/>
          <w:sz w:val="32"/>
          <w:szCs w:val="32"/>
          <w:lang w:val="zh-CN"/>
        </w:rPr>
        <w:t>-</w:t>
      </w:r>
      <w:r>
        <w:rPr>
          <w:rFonts w:hint="eastAsia" w:hAnsi="宋体" w:cs="宋体"/>
          <w:b/>
          <w:bCs/>
          <w:color w:val="auto"/>
          <w:kern w:val="2"/>
          <w:sz w:val="32"/>
          <w:szCs w:val="32"/>
        </w:rPr>
        <w:t>2</w:t>
      </w:r>
      <w:r>
        <w:rPr>
          <w:rFonts w:hint="eastAsia" w:hAnsi="宋体" w:cs="宋体"/>
          <w:b/>
          <w:bCs/>
          <w:color w:val="auto"/>
          <w:kern w:val="2"/>
          <w:sz w:val="32"/>
          <w:szCs w:val="32"/>
          <w:lang w:val="zh-CN"/>
        </w:rPr>
        <w:t xml:space="preserve"> 多证合一营业执照（或事业单位法人证书）复印件</w:t>
      </w:r>
    </w:p>
    <w:p>
      <w:pPr>
        <w:pStyle w:val="102"/>
        <w:tabs>
          <w:tab w:val="left" w:pos="567"/>
        </w:tabs>
        <w:spacing w:line="360" w:lineRule="auto"/>
        <w:ind w:firstLine="0" w:firstLineChars="0"/>
        <w:jc w:val="both"/>
        <w:rPr>
          <w:rFonts w:hAnsi="宋体" w:cs="宋体"/>
          <w:b/>
          <w:bCs/>
          <w:color w:val="auto"/>
          <w:kern w:val="2"/>
          <w:sz w:val="30"/>
          <w:szCs w:val="30"/>
          <w:lang w:val="zh-CN"/>
        </w:rPr>
        <w:sectPr>
          <w:footerReference r:id="rId10" w:type="first"/>
          <w:footerReference r:id="rId9" w:type="default"/>
          <w:pgSz w:w="11907" w:h="16839"/>
          <w:pgMar w:top="1417" w:right="1276" w:bottom="1417" w:left="1417" w:header="720" w:footer="1003" w:gutter="0"/>
          <w:cols w:space="720" w:num="1"/>
          <w:titlePg/>
          <w:docGrid w:linePitch="326" w:charSpace="0"/>
        </w:sectPr>
      </w:pPr>
    </w:p>
    <w:p>
      <w:pPr>
        <w:pStyle w:val="102"/>
        <w:tabs>
          <w:tab w:val="left" w:pos="567"/>
        </w:tabs>
        <w:spacing w:line="360" w:lineRule="auto"/>
        <w:ind w:firstLine="0" w:firstLineChars="0"/>
        <w:jc w:val="both"/>
        <w:rPr>
          <w:rFonts w:hAnsi="宋体" w:cs="宋体"/>
          <w:b/>
          <w:bCs/>
          <w:color w:val="auto"/>
          <w:kern w:val="2"/>
          <w:sz w:val="32"/>
          <w:szCs w:val="32"/>
          <w:lang w:val="zh-CN"/>
        </w:rPr>
      </w:pPr>
      <w:r>
        <w:rPr>
          <w:rFonts w:hint="eastAsia" w:hAnsi="宋体" w:cs="宋体"/>
          <w:b/>
          <w:bCs/>
          <w:color w:val="auto"/>
          <w:kern w:val="2"/>
          <w:sz w:val="32"/>
          <w:szCs w:val="32"/>
        </w:rPr>
        <w:t>5-3</w:t>
      </w:r>
      <w:r>
        <w:rPr>
          <w:rFonts w:hint="eastAsia" w:hAnsi="宋体" w:cs="宋体"/>
          <w:b/>
          <w:bCs/>
          <w:color w:val="auto"/>
          <w:kern w:val="2"/>
          <w:sz w:val="32"/>
          <w:szCs w:val="32"/>
          <w:lang w:val="zh-CN"/>
        </w:rPr>
        <w:t xml:space="preserve">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p>
    <w:p>
      <w:pPr>
        <w:pStyle w:val="102"/>
        <w:tabs>
          <w:tab w:val="left" w:pos="567"/>
        </w:tabs>
        <w:spacing w:line="360" w:lineRule="auto"/>
        <w:ind w:firstLine="0" w:firstLineChars="0"/>
        <w:jc w:val="both"/>
        <w:rPr>
          <w:rFonts w:hAnsi="宋体" w:cs="宋体"/>
          <w:b/>
          <w:bCs/>
          <w:color w:val="auto"/>
          <w:kern w:val="2"/>
          <w:sz w:val="30"/>
          <w:szCs w:val="30"/>
          <w:lang w:val="zh-CN"/>
        </w:rPr>
      </w:pPr>
    </w:p>
    <w:p>
      <w:pPr>
        <w:pStyle w:val="102"/>
        <w:tabs>
          <w:tab w:val="left" w:pos="567"/>
        </w:tabs>
        <w:spacing w:line="360" w:lineRule="auto"/>
        <w:ind w:firstLine="0" w:firstLineChars="0"/>
        <w:jc w:val="both"/>
        <w:rPr>
          <w:rFonts w:hAnsi="宋体" w:cs="宋体"/>
          <w:b/>
          <w:bCs/>
          <w:color w:val="auto"/>
          <w:kern w:val="2"/>
          <w:sz w:val="30"/>
          <w:szCs w:val="30"/>
          <w:lang w:val="zh-CN"/>
        </w:rPr>
        <w:sectPr>
          <w:pgSz w:w="11907" w:h="16839"/>
          <w:pgMar w:top="1417" w:right="1276" w:bottom="1417" w:left="1417" w:header="720" w:footer="1003" w:gutter="0"/>
          <w:cols w:space="720" w:num="1"/>
          <w:titlePg/>
          <w:docGrid w:linePitch="326" w:charSpace="0"/>
        </w:sectPr>
      </w:pPr>
    </w:p>
    <w:p>
      <w:pPr>
        <w:spacing w:line="360" w:lineRule="auto"/>
        <w:rPr>
          <w:rFonts w:hAnsi="宋体" w:cs="宋体"/>
          <w:b/>
          <w:bCs/>
          <w:color w:val="auto"/>
          <w:kern w:val="2"/>
          <w:sz w:val="32"/>
          <w:szCs w:val="32"/>
          <w:lang w:val="zh-CN"/>
        </w:rPr>
      </w:pPr>
      <w:r>
        <w:rPr>
          <w:rFonts w:hint="eastAsia" w:hAnsi="宋体" w:cs="宋体"/>
          <w:b/>
          <w:bCs/>
          <w:color w:val="auto"/>
          <w:kern w:val="2"/>
          <w:sz w:val="32"/>
          <w:szCs w:val="32"/>
        </w:rPr>
        <w:t>5-4</w:t>
      </w:r>
      <w:r>
        <w:rPr>
          <w:rFonts w:hint="eastAsia" w:hAnsi="宋体" w:cs="宋体"/>
          <w:b/>
          <w:bCs/>
          <w:color w:val="auto"/>
          <w:kern w:val="2"/>
          <w:sz w:val="32"/>
          <w:szCs w:val="32"/>
          <w:lang w:val="zh-CN"/>
        </w:rPr>
        <w:t xml:space="preserve"> 食品药品监督管理部门或市场监督管理部门颁发并在有效期</w:t>
      </w:r>
      <w:r>
        <w:rPr>
          <w:rFonts w:hint="eastAsia" w:hAnsi="宋体" w:cs="宋体"/>
          <w:b/>
          <w:bCs/>
          <w:color w:val="auto"/>
          <w:kern w:val="2"/>
          <w:sz w:val="32"/>
          <w:szCs w:val="32"/>
        </w:rPr>
        <w:t>内</w:t>
      </w:r>
      <w:r>
        <w:rPr>
          <w:rFonts w:hint="eastAsia" w:hAnsi="宋体" w:cs="宋体"/>
          <w:b/>
          <w:bCs/>
          <w:color w:val="auto"/>
          <w:kern w:val="2"/>
          <w:sz w:val="32"/>
          <w:szCs w:val="32"/>
          <w:lang w:val="zh-CN"/>
        </w:rPr>
        <w:t>的食品经营许可证复印件</w:t>
      </w:r>
    </w:p>
    <w:p>
      <w:pPr>
        <w:spacing w:line="360" w:lineRule="auto"/>
        <w:jc w:val="center"/>
        <w:rPr>
          <w:rFonts w:hAnsi="宋体" w:cs="宋体"/>
          <w:b/>
          <w:bCs/>
          <w:color w:val="auto"/>
          <w:kern w:val="2"/>
          <w:sz w:val="32"/>
          <w:szCs w:val="32"/>
          <w:lang w:val="zh-CN"/>
        </w:rPr>
      </w:pPr>
      <w:r>
        <w:rPr>
          <w:rFonts w:hint="eastAsia" w:hAnsi="宋体" w:cs="宋体"/>
          <w:b/>
          <w:bCs/>
          <w:color w:val="auto"/>
          <w:kern w:val="2"/>
          <w:sz w:val="32"/>
          <w:szCs w:val="32"/>
          <w:lang w:val="zh-CN"/>
        </w:rPr>
        <w:br w:type="page"/>
      </w:r>
      <w:bookmarkStart w:id="185" w:name="_Toc19929"/>
      <w:bookmarkStart w:id="186" w:name="_Toc20639"/>
      <w:r>
        <w:rPr>
          <w:rFonts w:hint="eastAsia" w:hAnsi="宋体" w:cs="宋体"/>
          <w:b/>
          <w:bCs/>
          <w:color w:val="auto"/>
          <w:kern w:val="2"/>
          <w:sz w:val="32"/>
          <w:szCs w:val="32"/>
        </w:rPr>
        <w:t>5</w:t>
      </w:r>
      <w:r>
        <w:rPr>
          <w:rFonts w:hint="eastAsia" w:hAnsi="宋体" w:cs="宋体"/>
          <w:b/>
          <w:bCs/>
          <w:color w:val="auto"/>
          <w:kern w:val="2"/>
          <w:sz w:val="32"/>
          <w:szCs w:val="32"/>
          <w:lang w:val="zh-CN"/>
        </w:rPr>
        <w:t>-</w:t>
      </w:r>
      <w:r>
        <w:rPr>
          <w:rFonts w:hint="eastAsia" w:hAnsi="宋体" w:cs="宋体"/>
          <w:b/>
          <w:bCs/>
          <w:color w:val="auto"/>
          <w:kern w:val="2"/>
          <w:sz w:val="32"/>
          <w:szCs w:val="32"/>
        </w:rPr>
        <w:t>5</w:t>
      </w:r>
      <w:r>
        <w:rPr>
          <w:rFonts w:hint="eastAsia" w:hAnsi="宋体" w:cs="宋体"/>
          <w:b/>
          <w:bCs/>
          <w:color w:val="auto"/>
          <w:kern w:val="2"/>
          <w:sz w:val="32"/>
          <w:szCs w:val="32"/>
          <w:lang w:val="zh-CN"/>
        </w:rPr>
        <w:t xml:space="preserve"> </w:t>
      </w:r>
      <w:bookmarkEnd w:id="185"/>
      <w:bookmarkEnd w:id="186"/>
      <w:r>
        <w:rPr>
          <w:rFonts w:hint="eastAsia" w:hAnsi="宋体" w:cs="宋体"/>
          <w:b/>
          <w:bCs/>
          <w:color w:val="auto"/>
          <w:kern w:val="2"/>
          <w:sz w:val="32"/>
          <w:szCs w:val="32"/>
          <w:lang w:val="zh-CN"/>
        </w:rPr>
        <w:t>最近3年企业牵涉的主要诉讼案件或其他处罚（失信和违法）说明格式</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7"/>
        <w:gridCol w:w="1716"/>
        <w:gridCol w:w="2562"/>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3257" w:type="dxa"/>
            <w:vAlign w:val="center"/>
          </w:tcPr>
          <w:p>
            <w:pPr>
              <w:spacing w:line="360" w:lineRule="auto"/>
              <w:jc w:val="center"/>
              <w:rPr>
                <w:rFonts w:hAnsi="宋体" w:cs="宋体"/>
                <w:color w:val="auto"/>
                <w:sz w:val="21"/>
                <w:szCs w:val="21"/>
                <w:shd w:val="clear" w:color="auto" w:fill="FFFFFF"/>
              </w:rPr>
            </w:pPr>
            <w:r>
              <w:rPr>
                <w:rFonts w:hint="eastAsia" w:hAnsi="宋体" w:cs="宋体"/>
                <w:b/>
                <w:bCs/>
                <w:color w:val="auto"/>
                <w:kern w:val="2"/>
                <w:sz w:val="30"/>
                <w:szCs w:val="30"/>
                <w:lang w:val="zh-CN"/>
              </w:rPr>
              <w:t>最近3年企业牵涉的主要诉讼案件或其他处罚（失信和违法）说明</w:t>
            </w:r>
            <w:r>
              <w:rPr>
                <w:rFonts w:hint="eastAsia" w:hAnsi="宋体" w:cs="宋体"/>
                <w:color w:val="auto"/>
                <w:sz w:val="21"/>
                <w:lang w:val="zh-CN"/>
              </w:rPr>
              <w:t>事项名称</w:t>
            </w:r>
          </w:p>
        </w:tc>
        <w:tc>
          <w:tcPr>
            <w:tcW w:w="1716" w:type="dxa"/>
            <w:vAlign w:val="center"/>
          </w:tcPr>
          <w:p>
            <w:pPr>
              <w:spacing w:line="360" w:lineRule="auto"/>
              <w:jc w:val="center"/>
              <w:rPr>
                <w:rFonts w:hAnsi="宋体" w:cs="宋体"/>
                <w:color w:val="auto"/>
                <w:sz w:val="21"/>
                <w:szCs w:val="21"/>
                <w:shd w:val="clear" w:color="auto" w:fill="FFFFFF"/>
              </w:rPr>
            </w:pPr>
            <w:r>
              <w:rPr>
                <w:rFonts w:hint="eastAsia" w:hAnsi="宋体" w:cs="宋体"/>
                <w:color w:val="auto"/>
                <w:sz w:val="21"/>
                <w:lang w:val="zh-CN"/>
              </w:rPr>
              <w:t>认定时间</w:t>
            </w:r>
          </w:p>
        </w:tc>
        <w:tc>
          <w:tcPr>
            <w:tcW w:w="2562" w:type="dxa"/>
            <w:vAlign w:val="center"/>
          </w:tcPr>
          <w:p>
            <w:pPr>
              <w:spacing w:line="360" w:lineRule="auto"/>
              <w:jc w:val="center"/>
              <w:rPr>
                <w:rFonts w:hAnsi="宋体" w:cs="宋体"/>
                <w:color w:val="auto"/>
                <w:sz w:val="21"/>
                <w:szCs w:val="21"/>
                <w:shd w:val="clear" w:color="auto" w:fill="FFFFFF"/>
              </w:rPr>
            </w:pPr>
            <w:r>
              <w:rPr>
                <w:rFonts w:hint="eastAsia" w:hAnsi="宋体" w:cs="宋体"/>
                <w:color w:val="auto"/>
                <w:sz w:val="21"/>
                <w:lang w:val="zh-CN"/>
              </w:rPr>
              <w:t>处罚期届满/异常名录信息失效时间</w:t>
            </w:r>
          </w:p>
        </w:tc>
        <w:tc>
          <w:tcPr>
            <w:tcW w:w="1526" w:type="dxa"/>
            <w:vAlign w:val="center"/>
          </w:tcPr>
          <w:p>
            <w:pPr>
              <w:spacing w:line="360" w:lineRule="auto"/>
              <w:jc w:val="center"/>
              <w:rPr>
                <w:rFonts w:hAnsi="宋体" w:cs="宋体"/>
                <w:color w:val="auto"/>
                <w:sz w:val="21"/>
                <w:szCs w:val="21"/>
                <w:shd w:val="clear" w:color="auto" w:fill="FFFFFF"/>
              </w:rPr>
            </w:pPr>
            <w:r>
              <w:rPr>
                <w:rFonts w:hint="eastAsia" w:hAnsi="宋体" w:cs="宋体"/>
                <w:color w:val="auto"/>
                <w:sz w:val="21"/>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3257" w:type="dxa"/>
            <w:vAlign w:val="center"/>
          </w:tcPr>
          <w:p>
            <w:pPr>
              <w:spacing w:line="360" w:lineRule="auto"/>
              <w:jc w:val="center"/>
              <w:rPr>
                <w:rFonts w:hAnsi="宋体" w:cs="宋体"/>
                <w:color w:val="auto"/>
                <w:sz w:val="21"/>
                <w:szCs w:val="21"/>
                <w:shd w:val="clear" w:color="auto" w:fill="FFFFFF"/>
              </w:rPr>
            </w:pPr>
            <w:r>
              <w:rPr>
                <w:rFonts w:hint="eastAsia" w:hAnsi="宋体" w:cs="宋体"/>
                <w:color w:val="auto"/>
                <w:sz w:val="21"/>
                <w:lang w:val="zh-CN"/>
              </w:rPr>
              <w:t>是否被认定为失信被执行人</w:t>
            </w:r>
          </w:p>
        </w:tc>
        <w:tc>
          <w:tcPr>
            <w:tcW w:w="1716" w:type="dxa"/>
            <w:vAlign w:val="center"/>
          </w:tcPr>
          <w:p>
            <w:pPr>
              <w:spacing w:line="360" w:lineRule="auto"/>
              <w:jc w:val="center"/>
              <w:rPr>
                <w:rFonts w:hAnsi="宋体" w:cs="宋体"/>
                <w:color w:val="auto"/>
                <w:sz w:val="21"/>
                <w:szCs w:val="21"/>
                <w:shd w:val="clear" w:color="auto" w:fill="FFFFFF"/>
              </w:rPr>
            </w:pPr>
          </w:p>
        </w:tc>
        <w:tc>
          <w:tcPr>
            <w:tcW w:w="2562" w:type="dxa"/>
            <w:vAlign w:val="center"/>
          </w:tcPr>
          <w:p>
            <w:pPr>
              <w:spacing w:line="360" w:lineRule="auto"/>
              <w:jc w:val="center"/>
              <w:rPr>
                <w:rFonts w:hAnsi="宋体" w:cs="宋体"/>
                <w:color w:val="auto"/>
                <w:sz w:val="21"/>
                <w:szCs w:val="21"/>
                <w:shd w:val="clear" w:color="auto" w:fill="FFFFFF"/>
              </w:rPr>
            </w:pPr>
          </w:p>
        </w:tc>
        <w:tc>
          <w:tcPr>
            <w:tcW w:w="1526" w:type="dxa"/>
            <w:vAlign w:val="center"/>
          </w:tcPr>
          <w:p>
            <w:pPr>
              <w:spacing w:line="360" w:lineRule="auto"/>
              <w:jc w:val="center"/>
              <w:rPr>
                <w:rFonts w:hAnsi="宋体" w:cs="宋体"/>
                <w:color w:val="auto"/>
                <w:sz w:val="2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257" w:type="dxa"/>
            <w:vAlign w:val="center"/>
          </w:tcPr>
          <w:p>
            <w:pPr>
              <w:spacing w:line="360" w:lineRule="auto"/>
              <w:jc w:val="center"/>
              <w:rPr>
                <w:rFonts w:hAnsi="宋体" w:cs="宋体"/>
                <w:color w:val="auto"/>
                <w:sz w:val="21"/>
                <w:szCs w:val="21"/>
                <w:shd w:val="clear" w:color="auto" w:fill="FFFFFF"/>
              </w:rPr>
            </w:pPr>
            <w:r>
              <w:rPr>
                <w:rFonts w:hint="eastAsia" w:hAnsi="宋体" w:cs="宋体"/>
                <w:color w:val="auto"/>
                <w:sz w:val="21"/>
                <w:lang w:val="zh-CN"/>
              </w:rPr>
              <w:t>是否被认定为重大税收违法案件当事人名单</w:t>
            </w:r>
          </w:p>
        </w:tc>
        <w:tc>
          <w:tcPr>
            <w:tcW w:w="1716" w:type="dxa"/>
            <w:vAlign w:val="center"/>
          </w:tcPr>
          <w:p>
            <w:pPr>
              <w:spacing w:line="360" w:lineRule="auto"/>
              <w:jc w:val="center"/>
              <w:rPr>
                <w:rFonts w:hAnsi="宋体" w:cs="宋体"/>
                <w:color w:val="auto"/>
                <w:sz w:val="21"/>
                <w:szCs w:val="21"/>
                <w:shd w:val="clear" w:color="auto" w:fill="FFFFFF"/>
              </w:rPr>
            </w:pPr>
          </w:p>
        </w:tc>
        <w:tc>
          <w:tcPr>
            <w:tcW w:w="2562" w:type="dxa"/>
            <w:vAlign w:val="center"/>
          </w:tcPr>
          <w:p>
            <w:pPr>
              <w:spacing w:line="360" w:lineRule="auto"/>
              <w:jc w:val="center"/>
              <w:rPr>
                <w:rFonts w:hAnsi="宋体" w:cs="宋体"/>
                <w:color w:val="auto"/>
                <w:sz w:val="21"/>
                <w:szCs w:val="21"/>
                <w:shd w:val="clear" w:color="auto" w:fill="FFFFFF"/>
              </w:rPr>
            </w:pPr>
          </w:p>
        </w:tc>
        <w:tc>
          <w:tcPr>
            <w:tcW w:w="1526" w:type="dxa"/>
            <w:vAlign w:val="center"/>
          </w:tcPr>
          <w:p>
            <w:pPr>
              <w:spacing w:line="360" w:lineRule="auto"/>
              <w:jc w:val="center"/>
              <w:rPr>
                <w:rFonts w:hAnsi="宋体" w:cs="宋体"/>
                <w:color w:val="auto"/>
                <w:sz w:val="2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3257" w:type="dxa"/>
            <w:vAlign w:val="center"/>
          </w:tcPr>
          <w:p>
            <w:pPr>
              <w:spacing w:line="360" w:lineRule="auto"/>
              <w:jc w:val="center"/>
              <w:rPr>
                <w:rFonts w:hAnsi="宋体" w:cs="宋体"/>
                <w:color w:val="auto"/>
                <w:sz w:val="21"/>
                <w:szCs w:val="21"/>
                <w:shd w:val="clear" w:color="auto" w:fill="FFFFFF"/>
              </w:rPr>
            </w:pPr>
            <w:r>
              <w:rPr>
                <w:rFonts w:hint="eastAsia" w:hAnsi="宋体" w:cs="宋体"/>
                <w:color w:val="auto"/>
                <w:sz w:val="21"/>
                <w:lang w:val="zh-CN"/>
              </w:rPr>
              <w:t>是否被认定为严重违法失信行为记录名单</w:t>
            </w:r>
          </w:p>
        </w:tc>
        <w:tc>
          <w:tcPr>
            <w:tcW w:w="1716" w:type="dxa"/>
            <w:vAlign w:val="center"/>
          </w:tcPr>
          <w:p>
            <w:pPr>
              <w:spacing w:line="360" w:lineRule="auto"/>
              <w:jc w:val="center"/>
              <w:rPr>
                <w:rFonts w:hAnsi="宋体" w:cs="宋体"/>
                <w:color w:val="auto"/>
                <w:sz w:val="21"/>
                <w:szCs w:val="21"/>
                <w:shd w:val="clear" w:color="auto" w:fill="FFFFFF"/>
              </w:rPr>
            </w:pPr>
          </w:p>
        </w:tc>
        <w:tc>
          <w:tcPr>
            <w:tcW w:w="2562" w:type="dxa"/>
            <w:vAlign w:val="center"/>
          </w:tcPr>
          <w:p>
            <w:pPr>
              <w:spacing w:line="360" w:lineRule="auto"/>
              <w:jc w:val="center"/>
              <w:rPr>
                <w:rFonts w:hAnsi="宋体" w:cs="宋体"/>
                <w:color w:val="auto"/>
                <w:sz w:val="21"/>
                <w:szCs w:val="21"/>
                <w:shd w:val="clear" w:color="auto" w:fill="FFFFFF"/>
              </w:rPr>
            </w:pPr>
          </w:p>
        </w:tc>
        <w:tc>
          <w:tcPr>
            <w:tcW w:w="1526" w:type="dxa"/>
            <w:vAlign w:val="center"/>
          </w:tcPr>
          <w:p>
            <w:pPr>
              <w:spacing w:line="360" w:lineRule="auto"/>
              <w:jc w:val="center"/>
              <w:rPr>
                <w:rFonts w:hAnsi="宋体" w:cs="宋体"/>
                <w:color w:val="auto"/>
                <w:sz w:val="2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3257" w:type="dxa"/>
            <w:vAlign w:val="center"/>
          </w:tcPr>
          <w:p>
            <w:pPr>
              <w:spacing w:line="360" w:lineRule="auto"/>
              <w:jc w:val="center"/>
              <w:rPr>
                <w:rFonts w:hint="eastAsia" w:hAnsi="宋体" w:cs="宋体"/>
                <w:color w:val="auto"/>
                <w:sz w:val="21"/>
                <w:lang w:val="zh-CN"/>
              </w:rPr>
            </w:pPr>
            <w:r>
              <w:rPr>
                <w:rFonts w:hint="eastAsia" w:hAnsi="宋体" w:cs="宋体"/>
                <w:color w:val="auto"/>
                <w:sz w:val="21"/>
              </w:rPr>
              <w:t>是否</w:t>
            </w:r>
            <w:r>
              <w:rPr>
                <w:rFonts w:hint="eastAsia" w:hAnsi="宋体" w:cs="宋体"/>
                <w:color w:val="auto"/>
                <w:sz w:val="21"/>
                <w:lang w:val="zh-CN"/>
              </w:rPr>
              <w:t>存在投标人或其关联公司曾与东莞市水务集团有限公司及其下属企业签订合同，且在履约过程中因投标人或其关联公司严重违约而导致合同变更、中止、解除的情形</w:t>
            </w:r>
          </w:p>
        </w:tc>
        <w:tc>
          <w:tcPr>
            <w:tcW w:w="1716" w:type="dxa"/>
            <w:vAlign w:val="center"/>
          </w:tcPr>
          <w:p>
            <w:pPr>
              <w:spacing w:line="360" w:lineRule="auto"/>
              <w:jc w:val="center"/>
              <w:rPr>
                <w:rFonts w:hAnsi="宋体" w:cs="宋体"/>
                <w:color w:val="auto"/>
                <w:sz w:val="21"/>
                <w:szCs w:val="21"/>
                <w:shd w:val="clear" w:color="auto" w:fill="FFFFFF"/>
              </w:rPr>
            </w:pPr>
          </w:p>
        </w:tc>
        <w:tc>
          <w:tcPr>
            <w:tcW w:w="2562" w:type="dxa"/>
            <w:vAlign w:val="center"/>
          </w:tcPr>
          <w:p>
            <w:pPr>
              <w:spacing w:line="360" w:lineRule="auto"/>
              <w:jc w:val="center"/>
              <w:rPr>
                <w:rFonts w:hAnsi="宋体" w:cs="宋体"/>
                <w:color w:val="auto"/>
                <w:sz w:val="21"/>
                <w:szCs w:val="21"/>
                <w:shd w:val="clear" w:color="auto" w:fill="FFFFFF"/>
              </w:rPr>
            </w:pPr>
          </w:p>
        </w:tc>
        <w:tc>
          <w:tcPr>
            <w:tcW w:w="1526" w:type="dxa"/>
            <w:vAlign w:val="center"/>
          </w:tcPr>
          <w:p>
            <w:pPr>
              <w:spacing w:line="360" w:lineRule="auto"/>
              <w:jc w:val="center"/>
              <w:rPr>
                <w:rFonts w:hAnsi="宋体" w:cs="宋体"/>
                <w:color w:val="auto"/>
                <w:sz w:val="21"/>
                <w:szCs w:val="21"/>
                <w:shd w:val="clear" w:color="auto" w:fill="FFFFFF"/>
              </w:rPr>
            </w:pPr>
          </w:p>
        </w:tc>
      </w:tr>
    </w:tbl>
    <w:p>
      <w:pPr>
        <w:spacing w:line="360" w:lineRule="auto"/>
        <w:jc w:val="both"/>
        <w:rPr>
          <w:rFonts w:hAnsi="宋体" w:cs="宋体"/>
          <w:color w:val="auto"/>
          <w:kern w:val="2"/>
          <w:sz w:val="21"/>
          <w:lang w:val="zh-CN"/>
        </w:rPr>
      </w:pPr>
    </w:p>
    <w:p>
      <w:pPr>
        <w:spacing w:line="360" w:lineRule="auto"/>
        <w:jc w:val="both"/>
        <w:rPr>
          <w:rFonts w:hAnsi="宋体" w:cs="宋体"/>
          <w:color w:val="auto"/>
          <w:kern w:val="2"/>
          <w:sz w:val="21"/>
          <w:lang w:val="zh-CN"/>
        </w:rPr>
      </w:pPr>
      <w:r>
        <w:rPr>
          <w:rFonts w:hint="eastAsia" w:hAnsi="宋体" w:cs="宋体"/>
          <w:color w:val="auto"/>
          <w:kern w:val="2"/>
          <w:sz w:val="21"/>
          <w:lang w:val="zh-CN"/>
        </w:rPr>
        <w:t>备注：</w:t>
      </w:r>
    </w:p>
    <w:p>
      <w:pPr>
        <w:spacing w:line="360" w:lineRule="auto"/>
        <w:ind w:left="418" w:leftChars="174"/>
        <w:jc w:val="both"/>
        <w:rPr>
          <w:rFonts w:hAnsi="宋体" w:cs="宋体"/>
          <w:color w:val="auto"/>
          <w:kern w:val="2"/>
          <w:sz w:val="21"/>
          <w:lang w:val="zh-CN"/>
        </w:rPr>
      </w:pPr>
      <w:r>
        <w:rPr>
          <w:rFonts w:hint="eastAsia" w:hAnsi="宋体" w:cs="宋体"/>
          <w:color w:val="auto"/>
          <w:kern w:val="2"/>
          <w:sz w:val="21"/>
          <w:lang w:val="zh-CN"/>
        </w:rPr>
        <w:t>根据投标人及其不具有独立法人资格的分支机构的实际情况自行编写，无相关事项的，在 “认定时间”列填“无”；若受到相关处罚的应附处罚相关材料复印件，发生经济诉讼或纠纷的应附法院判决书、仲裁决议等相关材料复印件；若出现相关处罚的处罚期满,但处罚公示没有及时更新的情况,投标人须提供相关材料(复印件)佐证,需原件备查。</w:t>
      </w:r>
    </w:p>
    <w:p>
      <w:pPr>
        <w:spacing w:line="360" w:lineRule="auto"/>
        <w:ind w:left="424" w:hanging="424" w:hangingChars="201"/>
        <w:jc w:val="both"/>
        <w:rPr>
          <w:rFonts w:hAnsi="宋体" w:cs="宋体"/>
          <w:b/>
          <w:color w:val="auto"/>
          <w:kern w:val="2"/>
          <w:sz w:val="21"/>
          <w:lang w:val="zh-CN"/>
        </w:rPr>
      </w:pPr>
    </w:p>
    <w:p>
      <w:pPr>
        <w:spacing w:line="360" w:lineRule="auto"/>
        <w:jc w:val="both"/>
        <w:rPr>
          <w:rFonts w:hAnsi="宋体" w:cs="宋体"/>
          <w:color w:val="auto"/>
          <w:kern w:val="2"/>
          <w:sz w:val="21"/>
          <w:lang w:val="zh-CN"/>
        </w:rPr>
      </w:pPr>
    </w:p>
    <w:p>
      <w:pPr>
        <w:spacing w:line="360" w:lineRule="auto"/>
        <w:jc w:val="both"/>
        <w:rPr>
          <w:rFonts w:hAnsi="宋体" w:cs="宋体"/>
          <w:color w:val="auto"/>
          <w:kern w:val="2"/>
          <w:sz w:val="21"/>
          <w:lang w:val="zh-CN"/>
        </w:rPr>
      </w:pPr>
    </w:p>
    <w:p>
      <w:pPr>
        <w:spacing w:line="360" w:lineRule="auto"/>
        <w:ind w:firstLine="5040" w:firstLineChars="2400"/>
        <w:rPr>
          <w:rFonts w:hAnsi="宋体" w:cs="宋体"/>
          <w:color w:val="auto"/>
          <w:kern w:val="2"/>
          <w:sz w:val="21"/>
          <w:lang w:val="zh-CN"/>
        </w:rPr>
      </w:pPr>
      <w:r>
        <w:rPr>
          <w:rFonts w:hint="eastAsia" w:hAnsi="宋体" w:cs="宋体"/>
          <w:color w:val="auto"/>
          <w:kern w:val="2"/>
          <w:sz w:val="21"/>
          <w:lang w:val="zh-CN"/>
        </w:rPr>
        <w:t>投标人：（加盖投标人法人公章）</w:t>
      </w:r>
    </w:p>
    <w:p>
      <w:pPr>
        <w:spacing w:line="360" w:lineRule="auto"/>
        <w:ind w:firstLine="5040" w:firstLineChars="2400"/>
        <w:rPr>
          <w:rFonts w:hAnsi="宋体" w:cs="宋体"/>
          <w:color w:val="auto"/>
          <w:kern w:val="2"/>
          <w:sz w:val="21"/>
          <w:lang w:val="zh-CN"/>
        </w:rPr>
      </w:pPr>
      <w:r>
        <w:rPr>
          <w:rFonts w:hint="eastAsia" w:hAnsi="宋体" w:cs="宋体"/>
          <w:color w:val="auto"/>
          <w:kern w:val="2"/>
          <w:sz w:val="21"/>
          <w:lang w:val="zh-CN"/>
        </w:rPr>
        <w:t>日期：   年   月   日</w:t>
      </w:r>
    </w:p>
    <w:bookmarkEnd w:id="172"/>
    <w:bookmarkEnd w:id="173"/>
    <w:bookmarkEnd w:id="174"/>
    <w:p>
      <w:pPr>
        <w:pStyle w:val="5"/>
        <w:pageBreakBefore/>
        <w:spacing w:line="360" w:lineRule="auto"/>
        <w:rPr>
          <w:rFonts w:hAnsi="宋体" w:cs="宋体"/>
          <w:color w:val="auto"/>
          <w:kern w:val="2"/>
          <w:sz w:val="21"/>
          <w:szCs w:val="21"/>
          <w:lang w:val="zh-CN"/>
        </w:rPr>
      </w:pPr>
      <w:bookmarkStart w:id="187" w:name="_Toc5415"/>
      <w:bookmarkStart w:id="188" w:name="_Toc4743570"/>
      <w:bookmarkStart w:id="189" w:name="_Toc12422"/>
      <w:bookmarkStart w:id="190" w:name="_Toc29118"/>
      <w:bookmarkStart w:id="191" w:name="_Toc534983542"/>
      <w:r>
        <w:rPr>
          <w:rFonts w:hint="eastAsia" w:hAnsi="宋体" w:cs="宋体"/>
          <w:b/>
          <w:bCs/>
          <w:color w:val="auto"/>
          <w:kern w:val="2"/>
          <w:sz w:val="32"/>
          <w:szCs w:val="32"/>
        </w:rPr>
        <w:t>六</w:t>
      </w:r>
      <w:r>
        <w:rPr>
          <w:rFonts w:hint="eastAsia" w:hAnsi="宋体" w:cs="宋体"/>
          <w:b/>
          <w:bCs/>
          <w:color w:val="auto"/>
          <w:kern w:val="2"/>
          <w:sz w:val="32"/>
          <w:szCs w:val="32"/>
          <w:lang w:val="zh-CN"/>
        </w:rPr>
        <w:t>、投标人基本情况一览表</w:t>
      </w:r>
      <w:bookmarkEnd w:id="187"/>
      <w:bookmarkEnd w:id="188"/>
      <w:bookmarkEnd w:id="189"/>
      <w:bookmarkEnd w:id="190"/>
      <w:bookmarkEnd w:id="191"/>
    </w:p>
    <w:p>
      <w:pPr>
        <w:spacing w:line="360" w:lineRule="auto"/>
        <w:jc w:val="center"/>
        <w:rPr>
          <w:rFonts w:hAnsi="宋体" w:cs="宋体"/>
          <w:color w:val="auto"/>
          <w:kern w:val="2"/>
        </w:rPr>
      </w:pPr>
      <w:r>
        <w:rPr>
          <w:rFonts w:hint="eastAsia" w:hAnsi="宋体" w:cs="宋体"/>
          <w:b/>
          <w:bCs/>
          <w:color w:val="auto"/>
          <w:kern w:val="2"/>
          <w:sz w:val="30"/>
          <w:szCs w:val="30"/>
          <w:lang w:val="zh-CN"/>
        </w:rPr>
        <w:t>投标人基本情况一览表</w:t>
      </w:r>
    </w:p>
    <w:p>
      <w:pPr>
        <w:snapToGrid w:val="0"/>
        <w:spacing w:line="360" w:lineRule="auto"/>
        <w:rPr>
          <w:rFonts w:hAnsi="宋体" w:cs="宋体"/>
          <w:color w:val="auto"/>
          <w:kern w:val="2"/>
          <w:sz w:val="21"/>
          <w:szCs w:val="21"/>
        </w:rPr>
      </w:pPr>
      <w:r>
        <w:rPr>
          <w:rFonts w:hint="eastAsia" w:hAnsi="宋体" w:cs="宋体"/>
          <w:color w:val="auto"/>
          <w:kern w:val="2"/>
          <w:sz w:val="21"/>
          <w:szCs w:val="21"/>
          <w:lang w:val="zh-CN"/>
        </w:rPr>
        <w:t>1、名称及概况：</w:t>
      </w:r>
    </w:p>
    <w:p>
      <w:pPr>
        <w:autoSpaceDE/>
        <w:autoSpaceDN/>
        <w:snapToGrid w:val="0"/>
        <w:spacing w:line="360" w:lineRule="auto"/>
        <w:ind w:firstLine="210" w:firstLineChars="100"/>
        <w:rPr>
          <w:rFonts w:hAnsi="宋体" w:cs="宋体"/>
          <w:color w:val="auto"/>
          <w:kern w:val="2"/>
          <w:sz w:val="21"/>
          <w:lang w:val="zh-CN"/>
        </w:rPr>
      </w:pPr>
      <w:r>
        <w:rPr>
          <w:rFonts w:hint="eastAsia" w:hAnsi="宋体" w:cs="宋体"/>
          <w:color w:val="auto"/>
          <w:kern w:val="2"/>
          <w:sz w:val="21"/>
          <w:lang w:val="zh-CN"/>
        </w:rPr>
        <w:t>（1）投标人名称：________________________________________</w:t>
      </w:r>
    </w:p>
    <w:p>
      <w:pPr>
        <w:autoSpaceDE/>
        <w:autoSpaceDN/>
        <w:snapToGrid w:val="0"/>
        <w:spacing w:line="360" w:lineRule="auto"/>
        <w:ind w:firstLine="210" w:firstLineChars="100"/>
        <w:rPr>
          <w:rFonts w:hAnsi="宋体" w:cs="宋体"/>
          <w:color w:val="auto"/>
          <w:kern w:val="2"/>
          <w:sz w:val="21"/>
          <w:lang w:val="zh-CN"/>
        </w:rPr>
      </w:pPr>
      <w:r>
        <w:rPr>
          <w:rFonts w:hint="eastAsia" w:hAnsi="宋体" w:cs="宋体"/>
          <w:color w:val="auto"/>
          <w:kern w:val="2"/>
          <w:sz w:val="21"/>
          <w:lang w:val="zh-CN"/>
        </w:rPr>
        <w:t xml:space="preserve">（2）总部地址：_________________________________________ </w:t>
      </w:r>
    </w:p>
    <w:p>
      <w:pPr>
        <w:spacing w:line="360" w:lineRule="auto"/>
        <w:ind w:firstLine="735" w:firstLineChars="350"/>
        <w:jc w:val="both"/>
        <w:rPr>
          <w:rFonts w:hAnsi="宋体" w:cs="宋体"/>
          <w:color w:val="auto"/>
          <w:kern w:val="2"/>
          <w:sz w:val="21"/>
          <w:lang w:val="zh-CN"/>
        </w:rPr>
      </w:pPr>
      <w:r>
        <w:rPr>
          <w:rFonts w:hint="eastAsia" w:hAnsi="宋体" w:cs="宋体"/>
          <w:color w:val="auto"/>
          <w:kern w:val="2"/>
          <w:sz w:val="21"/>
          <w:lang w:val="zh-CN"/>
        </w:rPr>
        <w:t>邮政编码：__________________________________________</w:t>
      </w:r>
    </w:p>
    <w:p>
      <w:pPr>
        <w:spacing w:line="360" w:lineRule="auto"/>
        <w:ind w:firstLine="735" w:firstLineChars="350"/>
        <w:jc w:val="both"/>
        <w:rPr>
          <w:rFonts w:hAnsi="宋体" w:cs="宋体"/>
          <w:color w:val="auto"/>
          <w:kern w:val="2"/>
          <w:sz w:val="21"/>
          <w:lang w:val="zh-CN"/>
        </w:rPr>
      </w:pPr>
      <w:r>
        <w:rPr>
          <w:rFonts w:hint="eastAsia" w:hAnsi="宋体" w:cs="宋体"/>
          <w:color w:val="auto"/>
          <w:kern w:val="2"/>
          <w:sz w:val="21"/>
          <w:lang w:val="zh-CN"/>
        </w:rPr>
        <w:t xml:space="preserve">电话号码：_________________________________________ </w:t>
      </w:r>
    </w:p>
    <w:p>
      <w:pPr>
        <w:spacing w:line="360" w:lineRule="auto"/>
        <w:ind w:firstLine="735" w:firstLineChars="350"/>
        <w:jc w:val="both"/>
        <w:rPr>
          <w:rFonts w:hAnsi="宋体" w:cs="宋体"/>
          <w:color w:val="auto"/>
          <w:kern w:val="2"/>
          <w:sz w:val="21"/>
          <w:lang w:val="zh-CN"/>
        </w:rPr>
      </w:pPr>
      <w:r>
        <w:rPr>
          <w:rFonts w:hint="eastAsia" w:hAnsi="宋体" w:cs="宋体"/>
          <w:color w:val="auto"/>
          <w:kern w:val="2"/>
          <w:sz w:val="21"/>
          <w:lang w:val="zh-CN"/>
        </w:rPr>
        <w:t xml:space="preserve">传真号码：_________________________________________ </w:t>
      </w:r>
    </w:p>
    <w:p>
      <w:pPr>
        <w:autoSpaceDE/>
        <w:autoSpaceDN/>
        <w:snapToGrid w:val="0"/>
        <w:spacing w:line="360" w:lineRule="auto"/>
        <w:ind w:firstLine="210" w:firstLineChars="100"/>
        <w:rPr>
          <w:rFonts w:hAnsi="宋体" w:cs="宋体"/>
          <w:color w:val="auto"/>
          <w:kern w:val="2"/>
          <w:sz w:val="21"/>
          <w:lang w:val="zh-CN"/>
        </w:rPr>
      </w:pPr>
      <w:r>
        <w:rPr>
          <w:rFonts w:hint="eastAsia" w:hAnsi="宋体" w:cs="宋体"/>
          <w:color w:val="auto"/>
          <w:kern w:val="2"/>
          <w:sz w:val="21"/>
          <w:lang w:val="zh-CN"/>
        </w:rPr>
        <w:t xml:space="preserve">（3）成立或注册日期：________________________________    </w:t>
      </w:r>
    </w:p>
    <w:p>
      <w:pPr>
        <w:autoSpaceDE/>
        <w:autoSpaceDN/>
        <w:snapToGrid w:val="0"/>
        <w:spacing w:line="360" w:lineRule="auto"/>
        <w:ind w:firstLine="210" w:firstLineChars="100"/>
        <w:rPr>
          <w:rFonts w:hint="eastAsia" w:hAnsi="宋体" w:cs="宋体"/>
          <w:color w:val="auto"/>
          <w:kern w:val="2"/>
          <w:sz w:val="21"/>
          <w:lang w:val="en-US" w:eastAsia="zh-CN"/>
        </w:rPr>
      </w:pPr>
      <w:r>
        <w:rPr>
          <w:rFonts w:hint="eastAsia" w:hAnsi="宋体" w:cs="宋体"/>
          <w:color w:val="auto"/>
          <w:kern w:val="2"/>
          <w:sz w:val="21"/>
          <w:lang w:val="zh-CN"/>
        </w:rPr>
        <w:t>（4）法定代表人：</w:t>
      </w:r>
      <w:r>
        <w:rPr>
          <w:rFonts w:hint="eastAsia" w:hAnsi="宋体" w:cs="宋体"/>
          <w:color w:val="auto"/>
          <w:kern w:val="2"/>
          <w:sz w:val="21"/>
          <w:lang w:val="en-US" w:eastAsia="zh-CN"/>
        </w:rPr>
        <w:t xml:space="preserve">                                      </w:t>
      </w:r>
    </w:p>
    <w:p>
      <w:pPr>
        <w:autoSpaceDE/>
        <w:autoSpaceDN/>
        <w:snapToGrid w:val="0"/>
        <w:spacing w:line="360" w:lineRule="auto"/>
        <w:ind w:firstLine="210" w:firstLineChars="100"/>
        <w:rPr>
          <w:rFonts w:hAnsi="宋体" w:cs="宋体"/>
          <w:color w:val="auto"/>
          <w:kern w:val="2"/>
          <w:sz w:val="21"/>
          <w:lang w:val="zh-CN"/>
        </w:rPr>
      </w:pPr>
      <w:r>
        <w:rPr>
          <w:rFonts w:hint="eastAsia" w:hAnsi="宋体" w:cs="宋体"/>
          <w:color w:val="auto"/>
          <w:kern w:val="2"/>
          <w:sz w:val="21"/>
          <w:lang w:val="zh-CN"/>
        </w:rPr>
        <w:t xml:space="preserve">（5）开户银行：_________________________________________ </w:t>
      </w:r>
    </w:p>
    <w:p>
      <w:pPr>
        <w:autoSpaceDE/>
        <w:autoSpaceDN/>
        <w:snapToGrid w:val="0"/>
        <w:spacing w:line="360" w:lineRule="auto"/>
        <w:ind w:firstLine="210" w:firstLineChars="100"/>
        <w:rPr>
          <w:rFonts w:hAnsi="宋体" w:cs="宋体"/>
          <w:color w:val="auto"/>
          <w:kern w:val="2"/>
          <w:sz w:val="21"/>
          <w:lang w:val="zh-CN"/>
        </w:rPr>
      </w:pPr>
      <w:r>
        <w:rPr>
          <w:rFonts w:hint="eastAsia" w:hAnsi="宋体" w:cs="宋体"/>
          <w:color w:val="auto"/>
          <w:kern w:val="2"/>
          <w:sz w:val="21"/>
          <w:lang w:val="zh-CN"/>
        </w:rPr>
        <w:t xml:space="preserve">（6）开户账号：_________________________________________ </w:t>
      </w:r>
    </w:p>
    <w:p>
      <w:pPr>
        <w:autoSpaceDE/>
        <w:autoSpaceDN/>
        <w:snapToGrid w:val="0"/>
        <w:spacing w:line="360" w:lineRule="auto"/>
        <w:ind w:firstLine="210" w:firstLineChars="100"/>
        <w:rPr>
          <w:rFonts w:hAnsi="宋体" w:cs="宋体"/>
          <w:color w:val="auto"/>
          <w:kern w:val="2"/>
          <w:sz w:val="21"/>
          <w:lang w:val="zh-CN"/>
        </w:rPr>
      </w:pPr>
      <w:r>
        <w:rPr>
          <w:rFonts w:hint="eastAsia" w:hAnsi="宋体" w:cs="宋体"/>
          <w:color w:val="auto"/>
          <w:kern w:val="2"/>
          <w:sz w:val="21"/>
          <w:lang w:val="zh-CN"/>
        </w:rPr>
        <w:t xml:space="preserve">（7）注册资本：_________________________________________ </w:t>
      </w:r>
    </w:p>
    <w:p>
      <w:pPr>
        <w:autoSpaceDE/>
        <w:autoSpaceDN/>
        <w:snapToGrid w:val="0"/>
        <w:spacing w:line="360" w:lineRule="auto"/>
        <w:ind w:firstLine="210" w:firstLineChars="100"/>
        <w:rPr>
          <w:rFonts w:hAnsi="宋体" w:cs="宋体"/>
          <w:color w:val="auto"/>
          <w:kern w:val="2"/>
          <w:sz w:val="21"/>
        </w:rPr>
      </w:pPr>
      <w:r>
        <w:rPr>
          <w:rFonts w:hint="eastAsia" w:hAnsi="宋体" w:cs="宋体"/>
          <w:color w:val="auto"/>
          <w:kern w:val="2"/>
          <w:sz w:val="21"/>
          <w:lang w:val="zh-CN"/>
        </w:rPr>
        <w:t>（8）主要负责人姓名：</w:t>
      </w:r>
    </w:p>
    <w:p>
      <w:pPr>
        <w:spacing w:line="360" w:lineRule="auto"/>
        <w:ind w:firstLine="735" w:firstLineChars="350"/>
        <w:jc w:val="both"/>
        <w:rPr>
          <w:rFonts w:hAnsi="宋体" w:cs="宋体"/>
          <w:color w:val="auto"/>
          <w:kern w:val="2"/>
          <w:sz w:val="21"/>
          <w:u w:val="single"/>
          <w:lang w:val="zh-CN"/>
        </w:rPr>
      </w:pPr>
      <w:r>
        <w:rPr>
          <w:rFonts w:hint="eastAsia" w:hAnsi="宋体" w:cs="宋体"/>
          <w:color w:val="auto"/>
          <w:kern w:val="2"/>
          <w:sz w:val="21"/>
          <w:lang w:val="zh-CN"/>
        </w:rPr>
        <w:t>____________________________________________________</w:t>
      </w:r>
    </w:p>
    <w:p>
      <w:pPr>
        <w:autoSpaceDE/>
        <w:autoSpaceDN/>
        <w:snapToGrid w:val="0"/>
        <w:spacing w:line="360" w:lineRule="auto"/>
        <w:ind w:firstLine="210" w:firstLineChars="100"/>
        <w:rPr>
          <w:rFonts w:hAnsi="宋体" w:cs="宋体"/>
          <w:color w:val="auto"/>
          <w:kern w:val="2"/>
          <w:sz w:val="21"/>
        </w:rPr>
      </w:pPr>
      <w:r>
        <w:rPr>
          <w:rFonts w:hint="eastAsia" w:hAnsi="宋体" w:cs="宋体"/>
          <w:color w:val="auto"/>
          <w:kern w:val="2"/>
          <w:sz w:val="21"/>
          <w:lang w:val="zh-CN"/>
        </w:rPr>
        <w:t>（9）项目主要联系人（姓名、职务、移动电话号码）：</w:t>
      </w:r>
    </w:p>
    <w:p>
      <w:pPr>
        <w:spacing w:line="360" w:lineRule="auto"/>
        <w:ind w:firstLine="735" w:firstLineChars="350"/>
        <w:jc w:val="both"/>
        <w:rPr>
          <w:rFonts w:hAnsi="宋体" w:cs="宋体"/>
          <w:color w:val="auto"/>
          <w:kern w:val="2"/>
          <w:sz w:val="21"/>
          <w:lang w:val="zh-CN"/>
        </w:rPr>
      </w:pPr>
      <w:r>
        <w:rPr>
          <w:rFonts w:hint="eastAsia" w:hAnsi="宋体" w:cs="宋体"/>
          <w:color w:val="auto"/>
          <w:kern w:val="2"/>
          <w:sz w:val="21"/>
          <w:lang w:val="zh-CN"/>
        </w:rPr>
        <w:t>____________________________________________________</w:t>
      </w:r>
    </w:p>
    <w:p>
      <w:pPr>
        <w:autoSpaceDE/>
        <w:autoSpaceDN/>
        <w:snapToGrid w:val="0"/>
        <w:spacing w:line="360" w:lineRule="auto"/>
        <w:ind w:firstLine="210" w:firstLineChars="100"/>
        <w:rPr>
          <w:rFonts w:hAnsi="宋体" w:cs="宋体"/>
          <w:color w:val="auto"/>
          <w:kern w:val="2"/>
          <w:sz w:val="21"/>
        </w:rPr>
      </w:pPr>
      <w:r>
        <w:rPr>
          <w:rFonts w:hint="eastAsia" w:hAnsi="宋体" w:cs="宋体"/>
          <w:color w:val="auto"/>
          <w:kern w:val="2"/>
          <w:sz w:val="21"/>
          <w:lang w:val="zh-CN"/>
        </w:rPr>
        <w:t>（10）在中国的代表的姓名和地址（如有）：</w:t>
      </w:r>
    </w:p>
    <w:p>
      <w:pPr>
        <w:spacing w:line="360" w:lineRule="auto"/>
        <w:ind w:firstLine="735" w:firstLineChars="350"/>
        <w:jc w:val="both"/>
        <w:rPr>
          <w:rFonts w:hAnsi="宋体" w:cs="宋体"/>
          <w:color w:val="auto"/>
          <w:kern w:val="2"/>
          <w:sz w:val="21"/>
          <w:lang w:val="zh-CN"/>
        </w:rPr>
      </w:pPr>
      <w:r>
        <w:rPr>
          <w:rFonts w:hint="eastAsia" w:hAnsi="宋体" w:cs="宋体"/>
          <w:color w:val="auto"/>
          <w:kern w:val="2"/>
          <w:sz w:val="21"/>
          <w:lang w:val="zh-CN"/>
        </w:rPr>
        <w:t>____________________________________________________</w:t>
      </w:r>
    </w:p>
    <w:p>
      <w:pPr>
        <w:snapToGrid w:val="0"/>
        <w:spacing w:line="360" w:lineRule="auto"/>
        <w:rPr>
          <w:rFonts w:hAnsi="宋体" w:cs="宋体"/>
          <w:color w:val="auto"/>
          <w:kern w:val="2"/>
          <w:sz w:val="21"/>
        </w:rPr>
      </w:pPr>
      <w:r>
        <w:rPr>
          <w:rFonts w:hint="eastAsia" w:hAnsi="宋体" w:cs="宋体"/>
          <w:color w:val="auto"/>
          <w:kern w:val="2"/>
          <w:sz w:val="21"/>
          <w:lang w:val="zh-CN"/>
        </w:rPr>
        <w:t>2、供征询之银行的名称和地址：</w:t>
      </w:r>
    </w:p>
    <w:p>
      <w:pPr>
        <w:spacing w:line="360" w:lineRule="auto"/>
        <w:ind w:firstLine="735" w:firstLineChars="350"/>
        <w:jc w:val="both"/>
        <w:rPr>
          <w:rFonts w:hAnsi="宋体" w:cs="宋体"/>
          <w:color w:val="auto"/>
          <w:kern w:val="2"/>
          <w:sz w:val="21"/>
          <w:lang w:val="zh-CN"/>
        </w:rPr>
      </w:pPr>
      <w:r>
        <w:rPr>
          <w:rFonts w:hint="eastAsia" w:hAnsi="宋体" w:cs="宋体"/>
          <w:color w:val="auto"/>
          <w:kern w:val="2"/>
          <w:sz w:val="21"/>
          <w:lang w:val="zh-CN"/>
        </w:rPr>
        <w:t>____________________________________________________</w:t>
      </w:r>
    </w:p>
    <w:p>
      <w:pPr>
        <w:snapToGrid w:val="0"/>
        <w:spacing w:line="360" w:lineRule="auto"/>
        <w:rPr>
          <w:rFonts w:hAnsi="宋体" w:cs="宋体"/>
          <w:color w:val="auto"/>
          <w:kern w:val="2"/>
          <w:sz w:val="21"/>
        </w:rPr>
      </w:pPr>
      <w:r>
        <w:rPr>
          <w:rFonts w:hint="eastAsia" w:hAnsi="宋体" w:cs="宋体"/>
          <w:color w:val="auto"/>
          <w:kern w:val="2"/>
          <w:sz w:val="21"/>
          <w:lang w:val="zh-CN"/>
        </w:rPr>
        <w:t>3、公司所隶属之国际集团名称（如果是）</w:t>
      </w:r>
    </w:p>
    <w:p>
      <w:pPr>
        <w:spacing w:line="360" w:lineRule="auto"/>
        <w:ind w:firstLine="735" w:firstLineChars="350"/>
        <w:jc w:val="both"/>
        <w:rPr>
          <w:rFonts w:hAnsi="宋体" w:cs="宋体"/>
          <w:color w:val="auto"/>
          <w:kern w:val="2"/>
          <w:sz w:val="21"/>
          <w:lang w:val="zh-CN"/>
        </w:rPr>
      </w:pPr>
      <w:r>
        <w:rPr>
          <w:rFonts w:hint="eastAsia" w:hAnsi="宋体" w:cs="宋体"/>
          <w:color w:val="auto"/>
          <w:kern w:val="2"/>
          <w:sz w:val="21"/>
          <w:lang w:val="zh-CN"/>
        </w:rPr>
        <w:t>____________________________________________________</w:t>
      </w:r>
    </w:p>
    <w:p>
      <w:pPr>
        <w:snapToGrid w:val="0"/>
        <w:spacing w:line="360" w:lineRule="auto"/>
        <w:rPr>
          <w:rFonts w:hAnsi="宋体" w:cs="宋体"/>
          <w:color w:val="auto"/>
          <w:kern w:val="2"/>
          <w:sz w:val="21"/>
        </w:rPr>
      </w:pPr>
      <w:r>
        <w:rPr>
          <w:rFonts w:hint="eastAsia" w:hAnsi="宋体" w:cs="宋体"/>
          <w:color w:val="auto"/>
          <w:kern w:val="2"/>
          <w:sz w:val="21"/>
          <w:lang w:val="zh-CN"/>
        </w:rPr>
        <w:t>4、提交资料（包括但不限于组织架构、公司简介等）：</w:t>
      </w:r>
    </w:p>
    <w:p>
      <w:pPr>
        <w:autoSpaceDE/>
        <w:autoSpaceDN/>
        <w:snapToGrid w:val="0"/>
        <w:spacing w:line="360" w:lineRule="auto"/>
        <w:ind w:firstLine="210" w:firstLineChars="100"/>
        <w:rPr>
          <w:rFonts w:hAnsi="宋体" w:cs="宋体"/>
          <w:color w:val="auto"/>
          <w:kern w:val="2"/>
          <w:sz w:val="21"/>
          <w:lang w:val="zh-CN"/>
        </w:rPr>
      </w:pPr>
      <w:r>
        <w:rPr>
          <w:rFonts w:hint="eastAsia" w:hAnsi="宋体" w:cs="宋体"/>
          <w:color w:val="auto"/>
          <w:kern w:val="2"/>
          <w:sz w:val="21"/>
          <w:lang w:val="zh-CN"/>
        </w:rPr>
        <w:t>（1）公司简介；</w:t>
      </w:r>
    </w:p>
    <w:p>
      <w:pPr>
        <w:spacing w:line="360" w:lineRule="auto"/>
        <w:ind w:firstLine="735" w:firstLineChars="350"/>
        <w:jc w:val="both"/>
        <w:rPr>
          <w:rFonts w:hAnsi="宋体" w:cs="宋体"/>
          <w:color w:val="auto"/>
          <w:kern w:val="2"/>
          <w:sz w:val="21"/>
          <w:lang w:val="zh-CN"/>
        </w:rPr>
      </w:pPr>
      <w:r>
        <w:rPr>
          <w:rFonts w:hint="eastAsia" w:hAnsi="宋体" w:cs="宋体"/>
          <w:color w:val="auto"/>
          <w:kern w:val="2"/>
          <w:sz w:val="21"/>
          <w:lang w:val="zh-CN"/>
        </w:rPr>
        <w:t>____________________________________________________</w:t>
      </w:r>
    </w:p>
    <w:p>
      <w:pPr>
        <w:autoSpaceDE/>
        <w:autoSpaceDN/>
        <w:snapToGrid w:val="0"/>
        <w:spacing w:line="360" w:lineRule="auto"/>
        <w:ind w:firstLine="210" w:firstLineChars="100"/>
        <w:rPr>
          <w:rFonts w:hAnsi="宋体" w:cs="宋体"/>
          <w:color w:val="auto"/>
          <w:kern w:val="2"/>
          <w:sz w:val="21"/>
          <w:lang w:val="zh-CN"/>
        </w:rPr>
      </w:pPr>
      <w:r>
        <w:rPr>
          <w:rFonts w:hint="eastAsia" w:hAnsi="宋体" w:cs="宋体"/>
          <w:color w:val="auto"/>
          <w:kern w:val="2"/>
          <w:sz w:val="21"/>
          <w:lang w:val="zh-CN"/>
        </w:rPr>
        <w:t>（2）公司组织架构；</w:t>
      </w:r>
    </w:p>
    <w:p>
      <w:pPr>
        <w:spacing w:line="360" w:lineRule="auto"/>
        <w:ind w:firstLine="735" w:firstLineChars="350"/>
        <w:jc w:val="both"/>
        <w:rPr>
          <w:rFonts w:hAnsi="宋体" w:cs="宋体"/>
          <w:color w:val="auto"/>
          <w:kern w:val="2"/>
          <w:sz w:val="21"/>
          <w:lang w:val="zh-CN"/>
        </w:rPr>
      </w:pPr>
      <w:r>
        <w:rPr>
          <w:rFonts w:hint="eastAsia" w:hAnsi="宋体" w:cs="宋体"/>
          <w:color w:val="auto"/>
          <w:kern w:val="2"/>
          <w:sz w:val="21"/>
          <w:lang w:val="zh-CN"/>
        </w:rPr>
        <w:t>____________________________________________________</w:t>
      </w:r>
    </w:p>
    <w:p>
      <w:pPr>
        <w:autoSpaceDE/>
        <w:autoSpaceDN/>
        <w:snapToGrid w:val="0"/>
        <w:spacing w:line="360" w:lineRule="auto"/>
        <w:ind w:left="736" w:leftChars="88" w:hanging="525" w:hangingChars="250"/>
        <w:rPr>
          <w:rFonts w:hAnsi="宋体" w:cs="宋体"/>
          <w:color w:val="auto"/>
          <w:kern w:val="2"/>
          <w:sz w:val="21"/>
          <w:lang w:val="zh-CN"/>
        </w:rPr>
      </w:pPr>
      <w:r>
        <w:rPr>
          <w:rFonts w:hint="eastAsia" w:hAnsi="宋体" w:cs="宋体"/>
          <w:color w:val="auto"/>
          <w:kern w:val="2"/>
          <w:sz w:val="21"/>
          <w:lang w:val="zh-CN"/>
        </w:rPr>
        <w:t>（3）东莞市内设有分支机构情况介绍（应提供该分支机构的多证合一营业执照等证明材料，若无前述分支机构的无需介绍）。</w:t>
      </w:r>
    </w:p>
    <w:p>
      <w:pPr>
        <w:spacing w:line="360" w:lineRule="auto"/>
        <w:jc w:val="both"/>
        <w:rPr>
          <w:rFonts w:hAnsi="宋体" w:cs="宋体"/>
          <w:color w:val="auto"/>
          <w:kern w:val="2"/>
          <w:sz w:val="21"/>
          <w:lang w:val="zh-CN"/>
        </w:rPr>
      </w:pPr>
    </w:p>
    <w:p>
      <w:pPr>
        <w:spacing w:line="360" w:lineRule="auto"/>
        <w:ind w:firstLine="420"/>
        <w:jc w:val="both"/>
        <w:rPr>
          <w:rFonts w:hAnsi="宋体" w:cs="宋体"/>
          <w:color w:val="auto"/>
          <w:kern w:val="2"/>
          <w:sz w:val="21"/>
        </w:rPr>
      </w:pPr>
      <w:r>
        <w:rPr>
          <w:rFonts w:hint="eastAsia" w:hAnsi="宋体" w:cs="宋体"/>
          <w:color w:val="auto"/>
          <w:kern w:val="2"/>
          <w:sz w:val="21"/>
          <w:lang w:val="zh-CN"/>
        </w:rPr>
        <w:t>兹证明上述说明是真实、正确的，并提供了全部能提供的资料和数据，我们同意遵照贵方要求出示有关证明文件。</w:t>
      </w:r>
    </w:p>
    <w:p>
      <w:pPr>
        <w:spacing w:line="360" w:lineRule="auto"/>
        <w:ind w:firstLine="5040"/>
        <w:jc w:val="both"/>
        <w:rPr>
          <w:rFonts w:hAnsi="宋体" w:cs="宋体"/>
          <w:color w:val="auto"/>
          <w:kern w:val="2"/>
          <w:sz w:val="21"/>
          <w:lang w:val="zh-CN"/>
        </w:rPr>
      </w:pPr>
      <w:r>
        <w:rPr>
          <w:rFonts w:hint="eastAsia" w:hAnsi="宋体" w:cs="宋体"/>
          <w:color w:val="auto"/>
          <w:kern w:val="2"/>
          <w:sz w:val="21"/>
          <w:lang w:val="zh-CN"/>
        </w:rPr>
        <w:t>投标人：（加盖投标人法人公章）</w:t>
      </w:r>
    </w:p>
    <w:p>
      <w:pPr>
        <w:spacing w:line="360" w:lineRule="auto"/>
        <w:ind w:firstLine="5040"/>
        <w:jc w:val="both"/>
        <w:rPr>
          <w:rFonts w:hAnsi="宋体" w:cs="宋体"/>
          <w:color w:val="auto"/>
          <w:kern w:val="2"/>
          <w:lang w:val="zh-CN"/>
        </w:rPr>
      </w:pPr>
      <w:r>
        <w:rPr>
          <w:rFonts w:hint="eastAsia" w:hAnsi="宋体" w:cs="宋体"/>
          <w:color w:val="auto"/>
          <w:kern w:val="2"/>
          <w:sz w:val="21"/>
          <w:lang w:val="zh-CN"/>
        </w:rPr>
        <w:t>日期：   年   月   日</w:t>
      </w:r>
    </w:p>
    <w:p>
      <w:pPr>
        <w:pStyle w:val="5"/>
        <w:pageBreakBefore/>
        <w:spacing w:line="360" w:lineRule="auto"/>
        <w:rPr>
          <w:rFonts w:hAnsi="宋体" w:cs="宋体"/>
          <w:b/>
          <w:bCs/>
          <w:color w:val="auto"/>
          <w:kern w:val="2"/>
          <w:sz w:val="32"/>
          <w:szCs w:val="32"/>
          <w:lang w:val="zh-CN"/>
        </w:rPr>
      </w:pPr>
      <w:bookmarkStart w:id="192" w:name="_Toc12457"/>
      <w:bookmarkStart w:id="193" w:name="_Toc4743571"/>
      <w:bookmarkStart w:id="194" w:name="_Toc21092"/>
      <w:bookmarkStart w:id="195" w:name="_Toc534983543"/>
      <w:bookmarkStart w:id="196" w:name="_Toc32729"/>
      <w:r>
        <w:rPr>
          <w:rFonts w:hint="eastAsia" w:hAnsi="宋体" w:cs="宋体"/>
          <w:b/>
          <w:bCs/>
          <w:color w:val="auto"/>
          <w:kern w:val="2"/>
          <w:sz w:val="32"/>
          <w:szCs w:val="32"/>
        </w:rPr>
        <w:t>七</w:t>
      </w:r>
      <w:r>
        <w:rPr>
          <w:rFonts w:hint="eastAsia" w:hAnsi="宋体" w:cs="宋体"/>
          <w:b/>
          <w:bCs/>
          <w:color w:val="auto"/>
          <w:kern w:val="2"/>
          <w:sz w:val="32"/>
          <w:szCs w:val="32"/>
          <w:lang w:val="zh-CN"/>
        </w:rPr>
        <w:t>、投标人财务状况表格式</w:t>
      </w:r>
      <w:bookmarkEnd w:id="192"/>
      <w:bookmarkEnd w:id="193"/>
      <w:bookmarkEnd w:id="194"/>
      <w:bookmarkEnd w:id="195"/>
      <w:bookmarkEnd w:id="196"/>
    </w:p>
    <w:p>
      <w:pPr>
        <w:spacing w:line="360" w:lineRule="auto"/>
        <w:jc w:val="center"/>
        <w:rPr>
          <w:rFonts w:hAnsi="宋体" w:cs="宋体"/>
          <w:b/>
          <w:color w:val="auto"/>
          <w:sz w:val="30"/>
          <w:szCs w:val="30"/>
        </w:rPr>
      </w:pPr>
      <w:r>
        <w:rPr>
          <w:rFonts w:hint="eastAsia" w:hAnsi="宋体" w:cs="宋体"/>
          <w:b/>
          <w:color w:val="auto"/>
          <w:sz w:val="30"/>
          <w:szCs w:val="30"/>
        </w:rPr>
        <w:t>投标人财务状况表</w:t>
      </w:r>
    </w:p>
    <w:p>
      <w:pPr>
        <w:spacing w:line="360" w:lineRule="auto"/>
        <w:jc w:val="center"/>
        <w:rPr>
          <w:rFonts w:hAnsi="宋体" w:cs="宋体"/>
          <w:color w:val="auto"/>
          <w:sz w:val="21"/>
          <w:szCs w:val="21"/>
        </w:rPr>
      </w:pPr>
      <w:r>
        <w:rPr>
          <w:rFonts w:hint="eastAsia" w:hAnsi="宋体" w:cs="宋体"/>
          <w:color w:val="auto"/>
          <w:sz w:val="21"/>
          <w:szCs w:val="21"/>
        </w:rPr>
        <w:t>【价格单位：（人民币）元】</w:t>
      </w:r>
    </w:p>
    <w:tbl>
      <w:tblPr>
        <w:tblStyle w:val="48"/>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45"/>
        <w:gridCol w:w="1740"/>
        <w:gridCol w:w="1744"/>
        <w:gridCol w:w="2429"/>
        <w:gridCol w:w="23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trPr>
        <w:tc>
          <w:tcPr>
            <w:tcW w:w="1045" w:type="dxa"/>
            <w:vAlign w:val="center"/>
          </w:tcPr>
          <w:p>
            <w:pPr>
              <w:spacing w:line="360" w:lineRule="auto"/>
              <w:jc w:val="center"/>
              <w:rPr>
                <w:rFonts w:hAnsi="宋体" w:cs="宋体"/>
                <w:color w:val="auto"/>
                <w:sz w:val="21"/>
                <w:szCs w:val="21"/>
              </w:rPr>
            </w:pPr>
            <w:r>
              <w:rPr>
                <w:rFonts w:hint="eastAsia" w:hAnsi="宋体" w:cs="宋体"/>
                <w:color w:val="auto"/>
                <w:sz w:val="21"/>
                <w:szCs w:val="21"/>
              </w:rPr>
              <w:t>年  度</w:t>
            </w:r>
          </w:p>
        </w:tc>
        <w:tc>
          <w:tcPr>
            <w:tcW w:w="1740" w:type="dxa"/>
            <w:vAlign w:val="center"/>
          </w:tcPr>
          <w:p>
            <w:pPr>
              <w:spacing w:line="360" w:lineRule="auto"/>
              <w:jc w:val="center"/>
              <w:rPr>
                <w:rFonts w:hAnsi="宋体" w:cs="宋体"/>
                <w:color w:val="auto"/>
                <w:sz w:val="21"/>
                <w:szCs w:val="21"/>
              </w:rPr>
            </w:pPr>
            <w:r>
              <w:rPr>
                <w:rFonts w:hint="eastAsia" w:hAnsi="宋体" w:cs="宋体"/>
                <w:color w:val="auto"/>
                <w:sz w:val="21"/>
                <w:szCs w:val="21"/>
              </w:rPr>
              <w:t>总资产（元）</w:t>
            </w:r>
          </w:p>
        </w:tc>
        <w:tc>
          <w:tcPr>
            <w:tcW w:w="1744" w:type="dxa"/>
            <w:vAlign w:val="center"/>
          </w:tcPr>
          <w:p>
            <w:pPr>
              <w:spacing w:line="360" w:lineRule="auto"/>
              <w:jc w:val="center"/>
              <w:rPr>
                <w:rFonts w:hAnsi="宋体" w:cs="宋体"/>
                <w:color w:val="auto"/>
                <w:sz w:val="21"/>
                <w:szCs w:val="21"/>
              </w:rPr>
            </w:pPr>
            <w:r>
              <w:rPr>
                <w:rFonts w:hint="eastAsia" w:hAnsi="宋体" w:cs="宋体"/>
                <w:color w:val="auto"/>
                <w:sz w:val="21"/>
                <w:szCs w:val="21"/>
              </w:rPr>
              <w:t>净资产（元）</w:t>
            </w:r>
          </w:p>
        </w:tc>
        <w:tc>
          <w:tcPr>
            <w:tcW w:w="2429" w:type="dxa"/>
            <w:vAlign w:val="center"/>
          </w:tcPr>
          <w:p>
            <w:pPr>
              <w:spacing w:line="360" w:lineRule="auto"/>
              <w:jc w:val="center"/>
              <w:rPr>
                <w:rFonts w:hAnsi="宋体" w:cs="宋体"/>
                <w:color w:val="auto"/>
                <w:sz w:val="21"/>
                <w:szCs w:val="21"/>
              </w:rPr>
            </w:pPr>
            <w:r>
              <w:rPr>
                <w:rFonts w:hint="eastAsia" w:hAnsi="宋体" w:cs="宋体"/>
                <w:color w:val="auto"/>
                <w:sz w:val="21"/>
                <w:szCs w:val="21"/>
              </w:rPr>
              <w:t>年营业额（元）</w:t>
            </w:r>
          </w:p>
        </w:tc>
        <w:tc>
          <w:tcPr>
            <w:tcW w:w="2329" w:type="dxa"/>
            <w:vAlign w:val="center"/>
          </w:tcPr>
          <w:p>
            <w:pPr>
              <w:spacing w:line="360" w:lineRule="auto"/>
              <w:jc w:val="center"/>
              <w:rPr>
                <w:rFonts w:hAnsi="宋体" w:cs="宋体"/>
                <w:color w:val="auto"/>
                <w:sz w:val="21"/>
                <w:szCs w:val="21"/>
              </w:rPr>
            </w:pPr>
            <w:r>
              <w:rPr>
                <w:rFonts w:hint="eastAsia" w:hAnsi="宋体" w:cs="宋体"/>
                <w:color w:val="auto"/>
                <w:sz w:val="21"/>
                <w:szCs w:val="21"/>
              </w:rPr>
              <w:t>年净利润（元）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trPr>
        <w:tc>
          <w:tcPr>
            <w:tcW w:w="1045" w:type="dxa"/>
            <w:vAlign w:val="center"/>
          </w:tcPr>
          <w:p>
            <w:pPr>
              <w:spacing w:line="360" w:lineRule="auto"/>
              <w:jc w:val="center"/>
              <w:rPr>
                <w:rFonts w:hAnsi="宋体" w:cs="宋体"/>
                <w:color w:val="auto"/>
                <w:sz w:val="21"/>
                <w:szCs w:val="21"/>
              </w:rPr>
            </w:pPr>
            <w:r>
              <w:rPr>
                <w:rFonts w:hint="eastAsia" w:hAnsi="宋体" w:cs="宋体"/>
                <w:color w:val="auto"/>
                <w:sz w:val="21"/>
                <w:szCs w:val="21"/>
              </w:rPr>
              <w:t>201</w:t>
            </w:r>
            <w:r>
              <w:rPr>
                <w:rFonts w:hAnsi="宋体" w:cs="宋体"/>
                <w:color w:val="auto"/>
                <w:sz w:val="21"/>
                <w:szCs w:val="21"/>
              </w:rPr>
              <w:t>8</w:t>
            </w:r>
          </w:p>
        </w:tc>
        <w:tc>
          <w:tcPr>
            <w:tcW w:w="1740" w:type="dxa"/>
            <w:vAlign w:val="center"/>
          </w:tcPr>
          <w:p>
            <w:pPr>
              <w:spacing w:line="360" w:lineRule="auto"/>
              <w:jc w:val="center"/>
              <w:rPr>
                <w:rFonts w:hAnsi="宋体" w:cs="宋体"/>
                <w:color w:val="auto"/>
                <w:sz w:val="21"/>
                <w:szCs w:val="21"/>
              </w:rPr>
            </w:pPr>
          </w:p>
        </w:tc>
        <w:tc>
          <w:tcPr>
            <w:tcW w:w="1744" w:type="dxa"/>
            <w:vAlign w:val="center"/>
          </w:tcPr>
          <w:p>
            <w:pPr>
              <w:spacing w:line="360" w:lineRule="auto"/>
              <w:jc w:val="center"/>
              <w:rPr>
                <w:rFonts w:hAnsi="宋体" w:cs="宋体"/>
                <w:color w:val="auto"/>
                <w:sz w:val="21"/>
                <w:szCs w:val="21"/>
              </w:rPr>
            </w:pPr>
          </w:p>
        </w:tc>
        <w:tc>
          <w:tcPr>
            <w:tcW w:w="2429" w:type="dxa"/>
            <w:vAlign w:val="center"/>
          </w:tcPr>
          <w:p>
            <w:pPr>
              <w:spacing w:line="360" w:lineRule="auto"/>
              <w:jc w:val="center"/>
              <w:rPr>
                <w:rFonts w:hAnsi="宋体" w:cs="宋体"/>
                <w:color w:val="auto"/>
                <w:sz w:val="21"/>
                <w:szCs w:val="21"/>
              </w:rPr>
            </w:pPr>
          </w:p>
        </w:tc>
        <w:tc>
          <w:tcPr>
            <w:tcW w:w="2329" w:type="dxa"/>
            <w:vAlign w:val="center"/>
          </w:tcPr>
          <w:p>
            <w:pPr>
              <w:spacing w:line="360" w:lineRule="auto"/>
              <w:jc w:val="center"/>
              <w:rPr>
                <w:rFonts w:hAnsi="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1045" w:type="dxa"/>
            <w:vAlign w:val="center"/>
          </w:tcPr>
          <w:p>
            <w:pPr>
              <w:spacing w:line="360" w:lineRule="auto"/>
              <w:jc w:val="center"/>
              <w:rPr>
                <w:rFonts w:hAnsi="宋体" w:cs="宋体"/>
                <w:color w:val="auto"/>
                <w:sz w:val="21"/>
                <w:szCs w:val="21"/>
              </w:rPr>
            </w:pPr>
            <w:r>
              <w:rPr>
                <w:rFonts w:hint="eastAsia" w:hAnsi="宋体" w:cs="宋体"/>
                <w:color w:val="auto"/>
                <w:sz w:val="21"/>
                <w:szCs w:val="21"/>
              </w:rPr>
              <w:t>201</w:t>
            </w:r>
            <w:r>
              <w:rPr>
                <w:rFonts w:hAnsi="宋体" w:cs="宋体"/>
                <w:color w:val="auto"/>
                <w:sz w:val="21"/>
                <w:szCs w:val="21"/>
              </w:rPr>
              <w:t>9</w:t>
            </w:r>
          </w:p>
        </w:tc>
        <w:tc>
          <w:tcPr>
            <w:tcW w:w="1740" w:type="dxa"/>
            <w:vAlign w:val="center"/>
          </w:tcPr>
          <w:p>
            <w:pPr>
              <w:spacing w:line="360" w:lineRule="auto"/>
              <w:jc w:val="center"/>
              <w:rPr>
                <w:rFonts w:hAnsi="宋体" w:cs="宋体"/>
                <w:color w:val="auto"/>
                <w:sz w:val="21"/>
                <w:szCs w:val="21"/>
              </w:rPr>
            </w:pPr>
          </w:p>
        </w:tc>
        <w:tc>
          <w:tcPr>
            <w:tcW w:w="1744" w:type="dxa"/>
            <w:vAlign w:val="center"/>
          </w:tcPr>
          <w:p>
            <w:pPr>
              <w:spacing w:line="360" w:lineRule="auto"/>
              <w:jc w:val="center"/>
              <w:rPr>
                <w:rFonts w:hAnsi="宋体" w:cs="宋体"/>
                <w:color w:val="auto"/>
                <w:sz w:val="21"/>
                <w:szCs w:val="21"/>
              </w:rPr>
            </w:pPr>
          </w:p>
        </w:tc>
        <w:tc>
          <w:tcPr>
            <w:tcW w:w="2429" w:type="dxa"/>
            <w:vAlign w:val="center"/>
          </w:tcPr>
          <w:p>
            <w:pPr>
              <w:spacing w:line="360" w:lineRule="auto"/>
              <w:jc w:val="center"/>
              <w:rPr>
                <w:rFonts w:hAnsi="宋体" w:cs="宋体"/>
                <w:color w:val="auto"/>
                <w:sz w:val="21"/>
                <w:szCs w:val="21"/>
              </w:rPr>
            </w:pPr>
          </w:p>
        </w:tc>
        <w:tc>
          <w:tcPr>
            <w:tcW w:w="2329" w:type="dxa"/>
            <w:vAlign w:val="center"/>
          </w:tcPr>
          <w:p>
            <w:pPr>
              <w:spacing w:line="360" w:lineRule="auto"/>
              <w:jc w:val="center"/>
              <w:rPr>
                <w:rFonts w:hAnsi="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1045" w:type="dxa"/>
            <w:vAlign w:val="center"/>
          </w:tcPr>
          <w:p>
            <w:pPr>
              <w:spacing w:line="360" w:lineRule="auto"/>
              <w:jc w:val="center"/>
              <w:rPr>
                <w:rFonts w:hAnsi="宋体" w:cs="宋体"/>
                <w:color w:val="auto"/>
                <w:sz w:val="21"/>
                <w:szCs w:val="21"/>
              </w:rPr>
            </w:pPr>
            <w:r>
              <w:rPr>
                <w:rFonts w:hint="eastAsia" w:hAnsi="宋体" w:cs="宋体"/>
                <w:color w:val="auto"/>
                <w:sz w:val="21"/>
                <w:szCs w:val="21"/>
              </w:rPr>
              <w:t>20</w:t>
            </w:r>
            <w:r>
              <w:rPr>
                <w:rFonts w:hAnsi="宋体" w:cs="宋体"/>
                <w:color w:val="auto"/>
                <w:sz w:val="21"/>
                <w:szCs w:val="21"/>
              </w:rPr>
              <w:t>20</w:t>
            </w:r>
          </w:p>
        </w:tc>
        <w:tc>
          <w:tcPr>
            <w:tcW w:w="1740" w:type="dxa"/>
            <w:vAlign w:val="center"/>
          </w:tcPr>
          <w:p>
            <w:pPr>
              <w:spacing w:line="360" w:lineRule="auto"/>
              <w:jc w:val="center"/>
              <w:rPr>
                <w:rFonts w:hAnsi="宋体" w:cs="宋体"/>
                <w:color w:val="auto"/>
                <w:sz w:val="21"/>
                <w:szCs w:val="21"/>
              </w:rPr>
            </w:pPr>
          </w:p>
        </w:tc>
        <w:tc>
          <w:tcPr>
            <w:tcW w:w="1744" w:type="dxa"/>
            <w:vAlign w:val="center"/>
          </w:tcPr>
          <w:p>
            <w:pPr>
              <w:spacing w:line="360" w:lineRule="auto"/>
              <w:jc w:val="center"/>
              <w:rPr>
                <w:rFonts w:hAnsi="宋体" w:cs="宋体"/>
                <w:color w:val="auto"/>
                <w:sz w:val="21"/>
                <w:szCs w:val="21"/>
              </w:rPr>
            </w:pPr>
          </w:p>
        </w:tc>
        <w:tc>
          <w:tcPr>
            <w:tcW w:w="2429" w:type="dxa"/>
            <w:vAlign w:val="center"/>
          </w:tcPr>
          <w:p>
            <w:pPr>
              <w:spacing w:line="360" w:lineRule="auto"/>
              <w:jc w:val="center"/>
              <w:rPr>
                <w:rFonts w:hAnsi="宋体" w:cs="宋体"/>
                <w:color w:val="auto"/>
                <w:sz w:val="21"/>
                <w:szCs w:val="21"/>
              </w:rPr>
            </w:pPr>
          </w:p>
        </w:tc>
        <w:tc>
          <w:tcPr>
            <w:tcW w:w="2329" w:type="dxa"/>
            <w:vAlign w:val="center"/>
          </w:tcPr>
          <w:p>
            <w:pPr>
              <w:spacing w:line="360" w:lineRule="auto"/>
              <w:jc w:val="center"/>
              <w:rPr>
                <w:rFonts w:hAnsi="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4529" w:type="dxa"/>
            <w:gridSpan w:val="3"/>
            <w:vAlign w:val="center"/>
          </w:tcPr>
          <w:p>
            <w:pPr>
              <w:spacing w:line="360" w:lineRule="auto"/>
              <w:jc w:val="center"/>
              <w:rPr>
                <w:rFonts w:hAnsi="宋体" w:cs="宋体"/>
                <w:color w:val="auto"/>
                <w:sz w:val="21"/>
                <w:szCs w:val="21"/>
              </w:rPr>
            </w:pPr>
            <w:r>
              <w:rPr>
                <w:rFonts w:hint="eastAsia" w:hAnsi="宋体" w:cs="宋体"/>
                <w:color w:val="auto"/>
                <w:sz w:val="21"/>
                <w:szCs w:val="21"/>
              </w:rPr>
              <w:t>总计</w:t>
            </w:r>
          </w:p>
        </w:tc>
        <w:tc>
          <w:tcPr>
            <w:tcW w:w="2429" w:type="dxa"/>
            <w:vAlign w:val="center"/>
          </w:tcPr>
          <w:p>
            <w:pPr>
              <w:spacing w:line="360" w:lineRule="auto"/>
              <w:jc w:val="center"/>
              <w:rPr>
                <w:rFonts w:hAnsi="宋体" w:cs="宋体"/>
                <w:color w:val="auto"/>
                <w:sz w:val="21"/>
                <w:szCs w:val="21"/>
              </w:rPr>
            </w:pPr>
          </w:p>
        </w:tc>
        <w:tc>
          <w:tcPr>
            <w:tcW w:w="2329" w:type="dxa"/>
            <w:vAlign w:val="center"/>
          </w:tcPr>
          <w:p>
            <w:pPr>
              <w:spacing w:line="360" w:lineRule="auto"/>
              <w:jc w:val="center"/>
              <w:rPr>
                <w:rFonts w:hAnsi="宋体" w:cs="宋体"/>
                <w:color w:val="auto"/>
                <w:sz w:val="21"/>
                <w:szCs w:val="21"/>
              </w:rPr>
            </w:pPr>
          </w:p>
        </w:tc>
      </w:tr>
    </w:tbl>
    <w:p>
      <w:pPr>
        <w:snapToGrid w:val="0"/>
        <w:spacing w:line="360" w:lineRule="auto"/>
        <w:ind w:left="379" w:leftChars="-58" w:hanging="518" w:hangingChars="247"/>
        <w:rPr>
          <w:rFonts w:hAnsi="宋体" w:cs="宋体"/>
          <w:color w:val="auto"/>
          <w:sz w:val="21"/>
          <w:szCs w:val="21"/>
        </w:rPr>
      </w:pPr>
    </w:p>
    <w:p>
      <w:pPr>
        <w:snapToGrid w:val="0"/>
        <w:spacing w:line="360" w:lineRule="auto"/>
        <w:ind w:left="379" w:leftChars="-58" w:hanging="518" w:hangingChars="247"/>
        <w:rPr>
          <w:rFonts w:hAnsi="宋体" w:cs="宋体"/>
          <w:color w:val="auto"/>
          <w:sz w:val="21"/>
          <w:szCs w:val="21"/>
        </w:rPr>
      </w:pPr>
      <w:r>
        <w:rPr>
          <w:rFonts w:hint="eastAsia" w:hAnsi="宋体" w:cs="宋体"/>
          <w:color w:val="auto"/>
          <w:sz w:val="21"/>
          <w:szCs w:val="21"/>
        </w:rPr>
        <w:t>备注：</w:t>
      </w:r>
    </w:p>
    <w:p>
      <w:pPr>
        <w:snapToGrid w:val="0"/>
        <w:spacing w:line="360" w:lineRule="auto"/>
        <w:ind w:left="379" w:leftChars="-58" w:hanging="518" w:hangingChars="247"/>
        <w:rPr>
          <w:rFonts w:hint="eastAsia" w:hAnsi="宋体" w:cs="宋体"/>
          <w:color w:val="auto"/>
          <w:sz w:val="21"/>
          <w:szCs w:val="21"/>
        </w:rPr>
      </w:pPr>
      <w:r>
        <w:rPr>
          <w:rFonts w:hint="eastAsia" w:hAnsi="宋体" w:cs="宋体"/>
          <w:color w:val="auto"/>
          <w:sz w:val="21"/>
          <w:szCs w:val="21"/>
        </w:rPr>
        <w:t>（1）如投标人此表数据有虚假，一经查实按无效投标处理。</w:t>
      </w:r>
    </w:p>
    <w:p>
      <w:pPr>
        <w:snapToGrid w:val="0"/>
        <w:spacing w:line="360" w:lineRule="auto"/>
        <w:ind w:left="379" w:leftChars="-58" w:hanging="518" w:hangingChars="247"/>
        <w:rPr>
          <w:rFonts w:hint="eastAsia" w:hAnsi="宋体" w:cs="宋体"/>
          <w:color w:val="auto"/>
          <w:sz w:val="21"/>
          <w:szCs w:val="21"/>
        </w:rPr>
      </w:pPr>
      <w:r>
        <w:rPr>
          <w:rFonts w:hint="eastAsia" w:hAnsi="宋体" w:cs="宋体"/>
          <w:color w:val="auto"/>
          <w:sz w:val="21"/>
          <w:szCs w:val="21"/>
        </w:rPr>
        <w:t>（2）需提供经会计师事务所审计的财务报表；若投标人为新成立或未进行独立会计师事务所审计的，本表中对应年度的财务信息应填写“/”，投标人的投标文件不作无效投标处理，但存在因不符合评标办法中的评分标准而导致对应项不得分。</w:t>
      </w:r>
    </w:p>
    <w:p>
      <w:pPr>
        <w:pStyle w:val="88"/>
        <w:spacing w:line="360" w:lineRule="auto"/>
        <w:ind w:firstLine="0" w:firstLineChars="0"/>
        <w:rPr>
          <w:rFonts w:ascii="宋体" w:eastAsia="宋体" w:cs="宋体"/>
          <w:color w:val="auto"/>
          <w:sz w:val="21"/>
          <w:szCs w:val="21"/>
        </w:rPr>
      </w:pPr>
    </w:p>
    <w:p>
      <w:pPr>
        <w:spacing w:line="360" w:lineRule="auto"/>
        <w:ind w:firstLine="5040"/>
        <w:jc w:val="both"/>
        <w:rPr>
          <w:rFonts w:hAnsi="宋体" w:cs="宋体"/>
          <w:color w:val="auto"/>
          <w:kern w:val="2"/>
          <w:sz w:val="21"/>
        </w:rPr>
      </w:pPr>
      <w:r>
        <w:rPr>
          <w:rFonts w:hint="eastAsia" w:hAnsi="宋体" w:cs="宋体"/>
          <w:color w:val="auto"/>
          <w:kern w:val="2"/>
          <w:sz w:val="21"/>
          <w:lang w:val="zh-CN"/>
        </w:rPr>
        <w:t>投标人：（加盖投标人法人公章）</w:t>
      </w:r>
    </w:p>
    <w:p>
      <w:pPr>
        <w:spacing w:line="360" w:lineRule="auto"/>
        <w:ind w:firstLine="5040"/>
        <w:jc w:val="both"/>
        <w:rPr>
          <w:rFonts w:hAnsi="宋体" w:cs="宋体"/>
          <w:color w:val="auto"/>
          <w:kern w:val="2"/>
          <w:lang w:val="zh-CN"/>
        </w:rPr>
      </w:pPr>
      <w:r>
        <w:rPr>
          <w:rFonts w:hint="eastAsia" w:hAnsi="宋体" w:cs="宋体"/>
          <w:color w:val="auto"/>
          <w:kern w:val="2"/>
          <w:sz w:val="21"/>
          <w:lang w:val="zh-CN"/>
        </w:rPr>
        <w:t>日期：   年   月   日</w:t>
      </w:r>
    </w:p>
    <w:p>
      <w:pPr>
        <w:spacing w:line="360" w:lineRule="auto"/>
        <w:jc w:val="both"/>
        <w:rPr>
          <w:rFonts w:hAnsi="宋体" w:cs="宋体"/>
          <w:color w:val="auto"/>
          <w:kern w:val="2"/>
          <w:lang w:val="zh-CN"/>
        </w:rPr>
      </w:pPr>
    </w:p>
    <w:p>
      <w:pPr>
        <w:widowControl/>
        <w:autoSpaceDE/>
        <w:autoSpaceDN/>
        <w:adjustRightInd/>
        <w:rPr>
          <w:rFonts w:hAnsi="宋体" w:cs="宋体"/>
          <w:color w:val="auto"/>
          <w:kern w:val="2"/>
          <w:lang w:val="zh-CN"/>
        </w:rPr>
      </w:pPr>
    </w:p>
    <w:p>
      <w:pPr>
        <w:widowControl/>
        <w:autoSpaceDE/>
        <w:autoSpaceDN/>
        <w:adjustRightInd/>
        <w:rPr>
          <w:rFonts w:hAnsi="宋体" w:cs="宋体"/>
          <w:color w:val="auto"/>
          <w:kern w:val="2"/>
          <w:lang w:val="zh-CN"/>
        </w:rPr>
      </w:pPr>
    </w:p>
    <w:p>
      <w:pPr>
        <w:widowControl/>
        <w:autoSpaceDE/>
        <w:autoSpaceDN/>
        <w:adjustRightInd/>
        <w:rPr>
          <w:rFonts w:hAnsi="宋体" w:cs="宋体"/>
          <w:color w:val="auto"/>
          <w:kern w:val="2"/>
          <w:lang w:val="zh-CN"/>
        </w:rPr>
      </w:pPr>
    </w:p>
    <w:p>
      <w:pPr>
        <w:widowControl/>
        <w:autoSpaceDE/>
        <w:autoSpaceDN/>
        <w:adjustRightInd/>
        <w:rPr>
          <w:rFonts w:hAnsi="宋体" w:cs="宋体"/>
          <w:color w:val="auto"/>
          <w:kern w:val="2"/>
          <w:lang w:val="zh-CN"/>
        </w:rPr>
      </w:pPr>
    </w:p>
    <w:p>
      <w:pPr>
        <w:widowControl/>
        <w:autoSpaceDE/>
        <w:autoSpaceDN/>
        <w:adjustRightInd/>
        <w:rPr>
          <w:rFonts w:hAnsi="宋体" w:cs="宋体"/>
          <w:color w:val="auto"/>
          <w:kern w:val="2"/>
          <w:lang w:val="zh-CN"/>
        </w:rPr>
      </w:pPr>
    </w:p>
    <w:p>
      <w:pPr>
        <w:widowControl/>
        <w:autoSpaceDE/>
        <w:autoSpaceDN/>
        <w:adjustRightInd/>
        <w:rPr>
          <w:rFonts w:hAnsi="宋体" w:cs="宋体"/>
          <w:color w:val="auto"/>
          <w:kern w:val="2"/>
          <w:lang w:val="zh-CN"/>
        </w:rPr>
      </w:pPr>
    </w:p>
    <w:p>
      <w:pPr>
        <w:widowControl/>
        <w:autoSpaceDE/>
        <w:autoSpaceDN/>
        <w:adjustRightInd/>
        <w:rPr>
          <w:rFonts w:hAnsi="宋体" w:cs="宋体"/>
          <w:color w:val="auto"/>
          <w:kern w:val="2"/>
          <w:lang w:val="zh-CN"/>
        </w:rPr>
      </w:pPr>
    </w:p>
    <w:p>
      <w:pPr>
        <w:widowControl/>
        <w:autoSpaceDE/>
        <w:autoSpaceDN/>
        <w:adjustRightInd/>
        <w:rPr>
          <w:rFonts w:hAnsi="宋体" w:cs="宋体"/>
          <w:color w:val="auto"/>
          <w:kern w:val="2"/>
          <w:lang w:val="zh-CN"/>
        </w:rPr>
      </w:pPr>
    </w:p>
    <w:p>
      <w:pPr>
        <w:widowControl/>
        <w:autoSpaceDE/>
        <w:autoSpaceDN/>
        <w:adjustRightInd/>
        <w:rPr>
          <w:rFonts w:hAnsi="宋体" w:cs="宋体"/>
          <w:color w:val="auto"/>
          <w:kern w:val="2"/>
          <w:lang w:val="zh-CN"/>
        </w:rPr>
      </w:pPr>
    </w:p>
    <w:p>
      <w:pPr>
        <w:widowControl/>
        <w:autoSpaceDE/>
        <w:autoSpaceDN/>
        <w:adjustRightInd/>
        <w:rPr>
          <w:rFonts w:hAnsi="宋体" w:cs="宋体"/>
          <w:color w:val="auto"/>
          <w:kern w:val="2"/>
          <w:lang w:val="zh-CN"/>
        </w:rPr>
      </w:pPr>
    </w:p>
    <w:p>
      <w:pPr>
        <w:pStyle w:val="5"/>
        <w:pageBreakBefore/>
        <w:spacing w:line="360" w:lineRule="auto"/>
        <w:rPr>
          <w:rFonts w:hAnsi="宋体" w:cs="宋体"/>
          <w:b/>
          <w:bCs/>
          <w:color w:val="auto"/>
          <w:kern w:val="2"/>
          <w:sz w:val="32"/>
          <w:szCs w:val="32"/>
          <w:lang w:val="zh-CN"/>
        </w:rPr>
      </w:pPr>
      <w:bookmarkStart w:id="197" w:name="_Toc3041"/>
      <w:bookmarkStart w:id="198" w:name="_Toc8478"/>
      <w:bookmarkStart w:id="199" w:name="_Toc4743572"/>
      <w:bookmarkStart w:id="200" w:name="_Toc4457"/>
      <w:bookmarkStart w:id="201" w:name="_Toc534983544"/>
      <w:r>
        <w:rPr>
          <w:rFonts w:hint="eastAsia" w:hAnsi="宋体" w:cs="宋体"/>
          <w:b/>
          <w:bCs/>
          <w:color w:val="auto"/>
          <w:kern w:val="2"/>
          <w:sz w:val="32"/>
          <w:szCs w:val="32"/>
        </w:rPr>
        <w:t>八</w:t>
      </w:r>
      <w:r>
        <w:rPr>
          <w:rFonts w:hint="eastAsia" w:hAnsi="宋体" w:cs="宋体"/>
          <w:b/>
          <w:bCs/>
          <w:color w:val="auto"/>
          <w:kern w:val="2"/>
          <w:sz w:val="32"/>
          <w:szCs w:val="32"/>
          <w:lang w:val="zh-CN"/>
        </w:rPr>
        <w:t>、合同条款响应程度（合同条款偏离表）格式</w:t>
      </w:r>
      <w:bookmarkEnd w:id="197"/>
      <w:bookmarkEnd w:id="198"/>
      <w:bookmarkEnd w:id="199"/>
      <w:bookmarkEnd w:id="200"/>
      <w:bookmarkEnd w:id="201"/>
    </w:p>
    <w:p>
      <w:pPr>
        <w:spacing w:line="360" w:lineRule="auto"/>
        <w:jc w:val="center"/>
        <w:rPr>
          <w:rFonts w:hAnsi="宋体" w:cs="宋体"/>
          <w:b/>
          <w:color w:val="auto"/>
          <w:sz w:val="30"/>
          <w:szCs w:val="30"/>
        </w:rPr>
      </w:pPr>
      <w:r>
        <w:rPr>
          <w:rFonts w:hint="eastAsia" w:hAnsi="宋体" w:cs="宋体"/>
          <w:b/>
          <w:bCs/>
          <w:color w:val="auto"/>
          <w:sz w:val="30"/>
          <w:szCs w:val="30"/>
          <w:lang w:val="zh-CN"/>
        </w:rPr>
        <w:t>合同条款偏离表</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155"/>
        <w:gridCol w:w="2660"/>
        <w:gridCol w:w="1549"/>
        <w:gridCol w:w="3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9" w:type="dxa"/>
            <w:vMerge w:val="restart"/>
            <w:vAlign w:val="center"/>
          </w:tcPr>
          <w:p>
            <w:pPr>
              <w:pStyle w:val="88"/>
              <w:snapToGrid w:val="0"/>
              <w:spacing w:line="240" w:lineRule="auto"/>
              <w:ind w:firstLine="0" w:firstLineChars="0"/>
              <w:jc w:val="center"/>
              <w:rPr>
                <w:rFonts w:ascii="宋体" w:eastAsia="宋体" w:cs="宋体"/>
                <w:b/>
                <w:bCs/>
                <w:color w:val="auto"/>
                <w:sz w:val="21"/>
                <w:szCs w:val="21"/>
              </w:rPr>
            </w:pPr>
            <w:r>
              <w:rPr>
                <w:rFonts w:hint="eastAsia" w:ascii="宋体" w:eastAsia="宋体" w:cs="宋体"/>
                <w:b/>
                <w:bCs/>
                <w:color w:val="auto"/>
                <w:sz w:val="21"/>
                <w:szCs w:val="21"/>
              </w:rPr>
              <w:t>序号</w:t>
            </w:r>
          </w:p>
        </w:tc>
        <w:tc>
          <w:tcPr>
            <w:tcW w:w="3815" w:type="dxa"/>
            <w:gridSpan w:val="2"/>
          </w:tcPr>
          <w:p>
            <w:pPr>
              <w:pStyle w:val="88"/>
              <w:snapToGrid w:val="0"/>
              <w:spacing w:line="240" w:lineRule="auto"/>
              <w:ind w:firstLine="0" w:firstLineChars="0"/>
              <w:jc w:val="center"/>
              <w:rPr>
                <w:rFonts w:ascii="宋体" w:eastAsia="宋体" w:cs="宋体"/>
                <w:b/>
                <w:bCs/>
                <w:color w:val="auto"/>
                <w:sz w:val="21"/>
                <w:szCs w:val="21"/>
              </w:rPr>
            </w:pPr>
            <w:r>
              <w:rPr>
                <w:rFonts w:hint="eastAsia" w:ascii="宋体" w:eastAsia="宋体" w:cs="宋体"/>
                <w:b/>
                <w:bCs/>
                <w:color w:val="auto"/>
                <w:sz w:val="21"/>
                <w:szCs w:val="21"/>
              </w:rPr>
              <w:t>招标文件要求</w:t>
            </w:r>
          </w:p>
        </w:tc>
        <w:tc>
          <w:tcPr>
            <w:tcW w:w="4643" w:type="dxa"/>
            <w:gridSpan w:val="2"/>
          </w:tcPr>
          <w:p>
            <w:pPr>
              <w:pStyle w:val="88"/>
              <w:snapToGrid w:val="0"/>
              <w:spacing w:line="240" w:lineRule="auto"/>
              <w:ind w:firstLine="0" w:firstLineChars="0"/>
              <w:jc w:val="center"/>
              <w:rPr>
                <w:rFonts w:ascii="宋体" w:eastAsia="宋体" w:cs="宋体"/>
                <w:b/>
                <w:bCs/>
                <w:color w:val="auto"/>
                <w:sz w:val="21"/>
                <w:szCs w:val="21"/>
              </w:rPr>
            </w:pPr>
            <w:r>
              <w:rPr>
                <w:rFonts w:hint="eastAsia" w:ascii="宋体" w:eastAsia="宋体" w:cs="宋体"/>
                <w:b/>
                <w:bCs/>
                <w:color w:val="auto"/>
                <w:sz w:val="21"/>
                <w:szCs w:val="21"/>
              </w:rPr>
              <w:t>投标文件内容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9" w:type="dxa"/>
            <w:vMerge w:val="continue"/>
          </w:tcPr>
          <w:p>
            <w:pPr>
              <w:pStyle w:val="88"/>
              <w:snapToGrid w:val="0"/>
              <w:spacing w:line="240" w:lineRule="auto"/>
              <w:ind w:firstLine="0" w:firstLineChars="0"/>
              <w:jc w:val="center"/>
              <w:rPr>
                <w:rFonts w:ascii="宋体" w:eastAsia="宋体" w:cs="宋体"/>
                <w:b/>
                <w:bCs/>
                <w:color w:val="auto"/>
                <w:sz w:val="21"/>
                <w:szCs w:val="21"/>
              </w:rPr>
            </w:pPr>
          </w:p>
        </w:tc>
        <w:tc>
          <w:tcPr>
            <w:tcW w:w="1155" w:type="dxa"/>
          </w:tcPr>
          <w:p>
            <w:pPr>
              <w:pStyle w:val="88"/>
              <w:snapToGrid w:val="0"/>
              <w:spacing w:line="240" w:lineRule="auto"/>
              <w:ind w:firstLine="0" w:firstLineChars="0"/>
              <w:jc w:val="center"/>
              <w:rPr>
                <w:rFonts w:ascii="宋体" w:eastAsia="宋体" w:cs="宋体"/>
                <w:b/>
                <w:bCs/>
                <w:color w:val="auto"/>
                <w:sz w:val="21"/>
                <w:szCs w:val="21"/>
              </w:rPr>
            </w:pPr>
            <w:r>
              <w:rPr>
                <w:rFonts w:hint="eastAsia" w:ascii="宋体" w:eastAsia="宋体" w:cs="宋体"/>
                <w:b/>
                <w:bCs/>
                <w:color w:val="auto"/>
                <w:sz w:val="21"/>
                <w:szCs w:val="21"/>
              </w:rPr>
              <w:t>条款号</w:t>
            </w:r>
          </w:p>
        </w:tc>
        <w:tc>
          <w:tcPr>
            <w:tcW w:w="2660" w:type="dxa"/>
          </w:tcPr>
          <w:p>
            <w:pPr>
              <w:pStyle w:val="88"/>
              <w:snapToGrid w:val="0"/>
              <w:spacing w:line="240" w:lineRule="auto"/>
              <w:ind w:firstLine="0" w:firstLineChars="0"/>
              <w:jc w:val="center"/>
              <w:rPr>
                <w:rFonts w:ascii="宋体" w:eastAsia="宋体" w:cs="宋体"/>
                <w:b/>
                <w:bCs/>
                <w:color w:val="auto"/>
                <w:sz w:val="21"/>
                <w:szCs w:val="21"/>
              </w:rPr>
            </w:pPr>
            <w:r>
              <w:rPr>
                <w:rFonts w:hint="eastAsia" w:ascii="宋体" w:eastAsia="宋体" w:cs="宋体"/>
                <w:b/>
                <w:bCs/>
                <w:color w:val="auto"/>
                <w:sz w:val="21"/>
                <w:szCs w:val="21"/>
              </w:rPr>
              <w:t>简要内容</w:t>
            </w:r>
          </w:p>
        </w:tc>
        <w:tc>
          <w:tcPr>
            <w:tcW w:w="1549" w:type="dxa"/>
          </w:tcPr>
          <w:p>
            <w:pPr>
              <w:pStyle w:val="88"/>
              <w:snapToGrid w:val="0"/>
              <w:spacing w:line="240" w:lineRule="auto"/>
              <w:ind w:firstLine="0" w:firstLineChars="0"/>
              <w:jc w:val="center"/>
              <w:rPr>
                <w:rFonts w:ascii="宋体" w:eastAsia="宋体" w:cs="宋体"/>
                <w:b/>
                <w:bCs/>
                <w:color w:val="auto"/>
                <w:sz w:val="21"/>
                <w:szCs w:val="21"/>
              </w:rPr>
            </w:pPr>
            <w:r>
              <w:rPr>
                <w:rFonts w:hint="eastAsia" w:ascii="宋体" w:eastAsia="宋体" w:cs="宋体"/>
                <w:b/>
                <w:bCs/>
                <w:color w:val="auto"/>
                <w:sz w:val="21"/>
                <w:szCs w:val="21"/>
              </w:rPr>
              <w:t>偏离情况</w:t>
            </w:r>
          </w:p>
        </w:tc>
        <w:tc>
          <w:tcPr>
            <w:tcW w:w="3094" w:type="dxa"/>
            <w:vAlign w:val="center"/>
          </w:tcPr>
          <w:p>
            <w:pPr>
              <w:pStyle w:val="88"/>
              <w:snapToGrid w:val="0"/>
              <w:spacing w:line="240" w:lineRule="auto"/>
              <w:ind w:firstLine="0" w:firstLineChars="0"/>
              <w:jc w:val="center"/>
              <w:rPr>
                <w:rFonts w:ascii="宋体" w:eastAsia="宋体" w:cs="宋体"/>
                <w:b/>
                <w:bCs/>
                <w:color w:val="auto"/>
                <w:sz w:val="21"/>
                <w:szCs w:val="21"/>
              </w:rPr>
            </w:pPr>
            <w:r>
              <w:rPr>
                <w:rFonts w:hint="eastAsia" w:ascii="宋体" w:eastAsia="宋体" w:cs="宋体"/>
                <w:b/>
                <w:bCs/>
                <w:color w:val="auto"/>
                <w:sz w:val="21"/>
                <w:szCs w:val="21"/>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Align w:val="center"/>
          </w:tcPr>
          <w:p>
            <w:pPr>
              <w:pStyle w:val="88"/>
              <w:snapToGrid w:val="0"/>
              <w:spacing w:line="240" w:lineRule="auto"/>
              <w:ind w:firstLine="0" w:firstLineChars="0"/>
              <w:jc w:val="center"/>
              <w:rPr>
                <w:rFonts w:ascii="宋体" w:eastAsia="宋体" w:cs="宋体"/>
                <w:color w:val="auto"/>
                <w:sz w:val="21"/>
                <w:szCs w:val="21"/>
              </w:rPr>
            </w:pPr>
            <w:r>
              <w:rPr>
                <w:rFonts w:hint="eastAsia" w:ascii="宋体" w:eastAsia="宋体" w:cs="宋体"/>
                <w:color w:val="auto"/>
                <w:sz w:val="21"/>
                <w:szCs w:val="21"/>
              </w:rPr>
              <w:t>1</w:t>
            </w:r>
          </w:p>
        </w:tc>
        <w:tc>
          <w:tcPr>
            <w:tcW w:w="1155" w:type="dxa"/>
            <w:vAlign w:val="center"/>
          </w:tcPr>
          <w:p>
            <w:pPr>
              <w:pStyle w:val="88"/>
              <w:snapToGrid w:val="0"/>
              <w:spacing w:line="240" w:lineRule="auto"/>
              <w:ind w:firstLine="0" w:firstLineChars="0"/>
              <w:jc w:val="center"/>
              <w:rPr>
                <w:rFonts w:ascii="宋体" w:eastAsia="宋体" w:cs="宋体"/>
                <w:color w:val="auto"/>
                <w:sz w:val="21"/>
                <w:szCs w:val="21"/>
              </w:rPr>
            </w:pPr>
            <w:r>
              <w:rPr>
                <w:rFonts w:hint="eastAsia" w:ascii="宋体" w:eastAsia="宋体" w:cs="宋体"/>
                <w:color w:val="auto"/>
                <w:sz w:val="21"/>
                <w:szCs w:val="21"/>
              </w:rPr>
              <w:t>第一条</w:t>
            </w:r>
          </w:p>
        </w:tc>
        <w:tc>
          <w:tcPr>
            <w:tcW w:w="2660" w:type="dxa"/>
            <w:vAlign w:val="center"/>
          </w:tcPr>
          <w:p>
            <w:pPr>
              <w:pStyle w:val="88"/>
              <w:snapToGrid w:val="0"/>
              <w:spacing w:line="240" w:lineRule="auto"/>
              <w:ind w:firstLine="0" w:firstLineChars="0"/>
              <w:rPr>
                <w:rFonts w:ascii="宋体" w:eastAsia="宋体" w:cs="宋体"/>
                <w:bCs/>
                <w:color w:val="auto"/>
                <w:sz w:val="21"/>
                <w:szCs w:val="21"/>
              </w:rPr>
            </w:pPr>
            <w:r>
              <w:rPr>
                <w:rFonts w:hint="eastAsia" w:ascii="宋体" w:eastAsia="宋体" w:cs="宋体"/>
                <w:bCs/>
                <w:color w:val="auto"/>
                <w:sz w:val="21"/>
                <w:szCs w:val="21"/>
              </w:rPr>
              <w:t>食品材料名称、规格、品牌</w:t>
            </w:r>
          </w:p>
        </w:tc>
        <w:tc>
          <w:tcPr>
            <w:tcW w:w="1549" w:type="dxa"/>
            <w:vAlign w:val="center"/>
          </w:tcPr>
          <w:p>
            <w:pPr>
              <w:pStyle w:val="88"/>
              <w:snapToGrid w:val="0"/>
              <w:spacing w:line="240" w:lineRule="auto"/>
              <w:ind w:firstLine="0" w:firstLineChars="0"/>
              <w:rPr>
                <w:rFonts w:ascii="宋体" w:eastAsia="宋体" w:cs="宋体"/>
                <w:color w:val="auto"/>
                <w:sz w:val="21"/>
                <w:szCs w:val="21"/>
              </w:rPr>
            </w:pPr>
          </w:p>
        </w:tc>
        <w:tc>
          <w:tcPr>
            <w:tcW w:w="3094" w:type="dxa"/>
            <w:vAlign w:val="center"/>
          </w:tcPr>
          <w:p>
            <w:pPr>
              <w:pStyle w:val="88"/>
              <w:snapToGrid w:val="0"/>
              <w:spacing w:line="240" w:lineRule="auto"/>
              <w:ind w:firstLine="0" w:firstLineChars="0"/>
              <w:rPr>
                <w:rFonts w:asci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Align w:val="center"/>
          </w:tcPr>
          <w:p>
            <w:pPr>
              <w:pStyle w:val="88"/>
              <w:snapToGrid w:val="0"/>
              <w:spacing w:line="240" w:lineRule="auto"/>
              <w:ind w:firstLine="0" w:firstLineChars="0"/>
              <w:jc w:val="center"/>
              <w:rPr>
                <w:rFonts w:ascii="宋体" w:eastAsia="宋体" w:cs="宋体"/>
                <w:color w:val="auto"/>
                <w:sz w:val="21"/>
                <w:szCs w:val="21"/>
              </w:rPr>
            </w:pPr>
            <w:r>
              <w:rPr>
                <w:rFonts w:hint="eastAsia" w:ascii="宋体" w:eastAsia="宋体" w:cs="宋体"/>
                <w:color w:val="auto"/>
                <w:sz w:val="21"/>
                <w:szCs w:val="21"/>
              </w:rPr>
              <w:t>2</w:t>
            </w:r>
          </w:p>
        </w:tc>
        <w:tc>
          <w:tcPr>
            <w:tcW w:w="1155" w:type="dxa"/>
            <w:vAlign w:val="center"/>
          </w:tcPr>
          <w:p>
            <w:pPr>
              <w:pStyle w:val="88"/>
              <w:snapToGrid w:val="0"/>
              <w:spacing w:line="240" w:lineRule="auto"/>
              <w:ind w:firstLine="0" w:firstLineChars="0"/>
              <w:jc w:val="center"/>
              <w:rPr>
                <w:rFonts w:ascii="宋体" w:eastAsia="宋体" w:cs="宋体"/>
                <w:color w:val="auto"/>
                <w:sz w:val="21"/>
                <w:szCs w:val="21"/>
              </w:rPr>
            </w:pPr>
            <w:r>
              <w:rPr>
                <w:rFonts w:hint="eastAsia" w:ascii="宋体" w:eastAsia="宋体" w:cs="宋体"/>
                <w:color w:val="auto"/>
                <w:sz w:val="21"/>
                <w:szCs w:val="21"/>
              </w:rPr>
              <w:t>第二条</w:t>
            </w:r>
          </w:p>
        </w:tc>
        <w:tc>
          <w:tcPr>
            <w:tcW w:w="2660" w:type="dxa"/>
            <w:vAlign w:val="center"/>
          </w:tcPr>
          <w:p>
            <w:pPr>
              <w:pStyle w:val="88"/>
              <w:snapToGrid w:val="0"/>
              <w:spacing w:line="240" w:lineRule="auto"/>
              <w:ind w:firstLine="0" w:firstLineChars="0"/>
              <w:rPr>
                <w:rFonts w:ascii="宋体" w:eastAsia="宋体" w:cs="宋体"/>
                <w:bCs/>
                <w:color w:val="auto"/>
                <w:sz w:val="21"/>
                <w:szCs w:val="21"/>
              </w:rPr>
            </w:pPr>
            <w:r>
              <w:rPr>
                <w:rFonts w:hint="eastAsia" w:ascii="宋体" w:eastAsia="宋体" w:cs="宋体"/>
                <w:bCs/>
                <w:color w:val="auto"/>
                <w:sz w:val="21"/>
                <w:szCs w:val="21"/>
              </w:rPr>
              <w:t>订货方式、送货时间、地点及凭证</w:t>
            </w:r>
          </w:p>
        </w:tc>
        <w:tc>
          <w:tcPr>
            <w:tcW w:w="1549" w:type="dxa"/>
            <w:vAlign w:val="center"/>
          </w:tcPr>
          <w:p>
            <w:pPr>
              <w:pStyle w:val="88"/>
              <w:snapToGrid w:val="0"/>
              <w:spacing w:line="240" w:lineRule="auto"/>
              <w:ind w:firstLine="0" w:firstLineChars="0"/>
              <w:rPr>
                <w:rFonts w:ascii="宋体" w:eastAsia="宋体" w:cs="宋体"/>
                <w:color w:val="auto"/>
                <w:sz w:val="21"/>
                <w:szCs w:val="21"/>
              </w:rPr>
            </w:pPr>
          </w:p>
        </w:tc>
        <w:tc>
          <w:tcPr>
            <w:tcW w:w="3094" w:type="dxa"/>
            <w:vAlign w:val="center"/>
          </w:tcPr>
          <w:p>
            <w:pPr>
              <w:pStyle w:val="88"/>
              <w:snapToGrid w:val="0"/>
              <w:spacing w:line="240" w:lineRule="auto"/>
              <w:ind w:firstLine="0" w:firstLineChars="0"/>
              <w:rPr>
                <w:rFonts w:asci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Align w:val="center"/>
          </w:tcPr>
          <w:p>
            <w:pPr>
              <w:pStyle w:val="88"/>
              <w:snapToGrid w:val="0"/>
              <w:spacing w:line="240" w:lineRule="auto"/>
              <w:ind w:firstLine="0" w:firstLineChars="0"/>
              <w:jc w:val="center"/>
              <w:rPr>
                <w:rFonts w:ascii="宋体" w:eastAsia="宋体" w:cs="宋体"/>
                <w:color w:val="auto"/>
                <w:sz w:val="21"/>
                <w:szCs w:val="21"/>
              </w:rPr>
            </w:pPr>
            <w:r>
              <w:rPr>
                <w:rFonts w:hint="eastAsia" w:ascii="宋体" w:eastAsia="宋体" w:cs="宋体"/>
                <w:color w:val="auto"/>
                <w:sz w:val="21"/>
                <w:szCs w:val="21"/>
              </w:rPr>
              <w:t>3</w:t>
            </w:r>
          </w:p>
        </w:tc>
        <w:tc>
          <w:tcPr>
            <w:tcW w:w="1155" w:type="dxa"/>
            <w:vAlign w:val="center"/>
          </w:tcPr>
          <w:p>
            <w:pPr>
              <w:pStyle w:val="88"/>
              <w:snapToGrid w:val="0"/>
              <w:spacing w:line="240" w:lineRule="auto"/>
              <w:ind w:firstLine="0" w:firstLineChars="0"/>
              <w:jc w:val="center"/>
              <w:rPr>
                <w:rFonts w:ascii="宋体" w:eastAsia="宋体" w:cs="宋体"/>
                <w:color w:val="auto"/>
                <w:sz w:val="21"/>
                <w:szCs w:val="21"/>
              </w:rPr>
            </w:pPr>
            <w:r>
              <w:rPr>
                <w:rFonts w:hint="eastAsia" w:ascii="宋体" w:eastAsia="宋体" w:cs="宋体"/>
                <w:color w:val="auto"/>
                <w:sz w:val="21"/>
                <w:szCs w:val="21"/>
              </w:rPr>
              <w:t>第三条</w:t>
            </w:r>
          </w:p>
        </w:tc>
        <w:tc>
          <w:tcPr>
            <w:tcW w:w="2660" w:type="dxa"/>
            <w:vAlign w:val="center"/>
          </w:tcPr>
          <w:p>
            <w:pPr>
              <w:pStyle w:val="88"/>
              <w:snapToGrid w:val="0"/>
              <w:spacing w:line="240" w:lineRule="auto"/>
              <w:ind w:firstLine="0" w:firstLineChars="0"/>
              <w:rPr>
                <w:rFonts w:ascii="宋体" w:eastAsia="宋体" w:cs="宋体"/>
                <w:bCs/>
                <w:color w:val="auto"/>
                <w:sz w:val="21"/>
                <w:szCs w:val="21"/>
              </w:rPr>
            </w:pPr>
            <w:r>
              <w:rPr>
                <w:rFonts w:hint="eastAsia" w:ascii="宋体" w:eastAsia="宋体" w:cs="宋体"/>
                <w:bCs/>
                <w:color w:val="auto"/>
                <w:sz w:val="21"/>
                <w:szCs w:val="21"/>
              </w:rPr>
              <w:t>验收要求</w:t>
            </w:r>
          </w:p>
        </w:tc>
        <w:tc>
          <w:tcPr>
            <w:tcW w:w="1549" w:type="dxa"/>
            <w:vAlign w:val="center"/>
          </w:tcPr>
          <w:p>
            <w:pPr>
              <w:pStyle w:val="88"/>
              <w:snapToGrid w:val="0"/>
              <w:spacing w:line="240" w:lineRule="auto"/>
              <w:ind w:firstLine="0" w:firstLineChars="0"/>
              <w:rPr>
                <w:rFonts w:ascii="宋体" w:eastAsia="宋体" w:cs="宋体"/>
                <w:color w:val="auto"/>
                <w:sz w:val="21"/>
                <w:szCs w:val="21"/>
              </w:rPr>
            </w:pPr>
          </w:p>
        </w:tc>
        <w:tc>
          <w:tcPr>
            <w:tcW w:w="3094" w:type="dxa"/>
            <w:vAlign w:val="center"/>
          </w:tcPr>
          <w:p>
            <w:pPr>
              <w:pStyle w:val="88"/>
              <w:snapToGrid w:val="0"/>
              <w:spacing w:line="240" w:lineRule="auto"/>
              <w:ind w:firstLine="0" w:firstLineChars="0"/>
              <w:rPr>
                <w:rFonts w:asci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Align w:val="center"/>
          </w:tcPr>
          <w:p>
            <w:pPr>
              <w:pStyle w:val="88"/>
              <w:snapToGrid w:val="0"/>
              <w:spacing w:line="240" w:lineRule="auto"/>
              <w:ind w:firstLine="0" w:firstLineChars="0"/>
              <w:jc w:val="center"/>
              <w:rPr>
                <w:rFonts w:ascii="宋体" w:eastAsia="宋体" w:cs="宋体"/>
                <w:color w:val="auto"/>
                <w:sz w:val="21"/>
                <w:szCs w:val="21"/>
              </w:rPr>
            </w:pPr>
            <w:r>
              <w:rPr>
                <w:rFonts w:hint="eastAsia" w:ascii="宋体" w:eastAsia="宋体" w:cs="宋体"/>
                <w:color w:val="auto"/>
                <w:sz w:val="21"/>
                <w:szCs w:val="21"/>
              </w:rPr>
              <w:t>4</w:t>
            </w:r>
          </w:p>
        </w:tc>
        <w:tc>
          <w:tcPr>
            <w:tcW w:w="1155" w:type="dxa"/>
            <w:vAlign w:val="center"/>
          </w:tcPr>
          <w:p>
            <w:pPr>
              <w:pStyle w:val="88"/>
              <w:snapToGrid w:val="0"/>
              <w:spacing w:line="240" w:lineRule="auto"/>
              <w:ind w:firstLine="0" w:firstLineChars="0"/>
              <w:jc w:val="center"/>
              <w:rPr>
                <w:rFonts w:ascii="宋体" w:eastAsia="宋体" w:cs="宋体"/>
                <w:color w:val="auto"/>
                <w:sz w:val="21"/>
                <w:szCs w:val="21"/>
              </w:rPr>
            </w:pPr>
            <w:r>
              <w:rPr>
                <w:rFonts w:hint="eastAsia" w:ascii="宋体" w:eastAsia="宋体" w:cs="宋体"/>
                <w:color w:val="auto"/>
                <w:sz w:val="21"/>
                <w:szCs w:val="21"/>
              </w:rPr>
              <w:t>第四条</w:t>
            </w:r>
          </w:p>
        </w:tc>
        <w:tc>
          <w:tcPr>
            <w:tcW w:w="2660" w:type="dxa"/>
            <w:vAlign w:val="center"/>
          </w:tcPr>
          <w:p>
            <w:pPr>
              <w:pStyle w:val="88"/>
              <w:snapToGrid w:val="0"/>
              <w:spacing w:line="240" w:lineRule="auto"/>
              <w:ind w:firstLine="0" w:firstLineChars="0"/>
              <w:rPr>
                <w:rFonts w:ascii="宋体" w:eastAsia="宋体" w:cs="宋体"/>
                <w:bCs/>
                <w:color w:val="auto"/>
                <w:sz w:val="21"/>
                <w:szCs w:val="21"/>
              </w:rPr>
            </w:pPr>
            <w:r>
              <w:rPr>
                <w:rFonts w:hint="eastAsia" w:ascii="宋体" w:eastAsia="宋体" w:cs="宋体"/>
                <w:bCs/>
                <w:color w:val="auto"/>
                <w:sz w:val="21"/>
                <w:szCs w:val="21"/>
              </w:rPr>
              <w:t>合同期限</w:t>
            </w:r>
          </w:p>
        </w:tc>
        <w:tc>
          <w:tcPr>
            <w:tcW w:w="1549" w:type="dxa"/>
            <w:vAlign w:val="center"/>
          </w:tcPr>
          <w:p>
            <w:pPr>
              <w:pStyle w:val="88"/>
              <w:snapToGrid w:val="0"/>
              <w:spacing w:line="240" w:lineRule="auto"/>
              <w:ind w:firstLine="0" w:firstLineChars="0"/>
              <w:rPr>
                <w:rFonts w:ascii="宋体" w:eastAsia="宋体" w:cs="宋体"/>
                <w:color w:val="auto"/>
                <w:sz w:val="21"/>
                <w:szCs w:val="21"/>
              </w:rPr>
            </w:pPr>
          </w:p>
        </w:tc>
        <w:tc>
          <w:tcPr>
            <w:tcW w:w="3094" w:type="dxa"/>
            <w:vAlign w:val="center"/>
          </w:tcPr>
          <w:p>
            <w:pPr>
              <w:pStyle w:val="88"/>
              <w:snapToGrid w:val="0"/>
              <w:spacing w:line="240" w:lineRule="auto"/>
              <w:ind w:firstLine="0" w:firstLineChars="0"/>
              <w:rPr>
                <w:rFonts w:asci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Align w:val="center"/>
          </w:tcPr>
          <w:p>
            <w:pPr>
              <w:pStyle w:val="88"/>
              <w:snapToGrid w:val="0"/>
              <w:spacing w:line="240" w:lineRule="auto"/>
              <w:ind w:firstLine="0" w:firstLineChars="0"/>
              <w:jc w:val="center"/>
              <w:rPr>
                <w:rFonts w:ascii="宋体" w:eastAsia="宋体" w:cs="宋体"/>
                <w:color w:val="auto"/>
                <w:sz w:val="21"/>
                <w:szCs w:val="21"/>
              </w:rPr>
            </w:pPr>
            <w:r>
              <w:rPr>
                <w:rFonts w:hint="eastAsia" w:ascii="宋体" w:eastAsia="宋体" w:cs="宋体"/>
                <w:color w:val="auto"/>
                <w:sz w:val="21"/>
                <w:szCs w:val="21"/>
              </w:rPr>
              <w:t>5</w:t>
            </w:r>
          </w:p>
        </w:tc>
        <w:tc>
          <w:tcPr>
            <w:tcW w:w="1155" w:type="dxa"/>
            <w:vAlign w:val="center"/>
          </w:tcPr>
          <w:p>
            <w:pPr>
              <w:pStyle w:val="88"/>
              <w:snapToGrid w:val="0"/>
              <w:spacing w:line="240" w:lineRule="auto"/>
              <w:ind w:firstLine="0" w:firstLineChars="0"/>
              <w:jc w:val="center"/>
              <w:rPr>
                <w:rFonts w:ascii="宋体" w:eastAsia="宋体" w:cs="宋体"/>
                <w:color w:val="auto"/>
                <w:sz w:val="21"/>
                <w:szCs w:val="21"/>
              </w:rPr>
            </w:pPr>
            <w:r>
              <w:rPr>
                <w:rFonts w:hint="eastAsia" w:ascii="宋体" w:eastAsia="宋体" w:cs="宋体"/>
                <w:color w:val="auto"/>
                <w:sz w:val="21"/>
                <w:szCs w:val="21"/>
              </w:rPr>
              <w:t>第五条</w:t>
            </w:r>
          </w:p>
        </w:tc>
        <w:tc>
          <w:tcPr>
            <w:tcW w:w="2660" w:type="dxa"/>
            <w:vAlign w:val="center"/>
          </w:tcPr>
          <w:p>
            <w:pPr>
              <w:pStyle w:val="88"/>
              <w:snapToGrid w:val="0"/>
              <w:spacing w:line="240" w:lineRule="auto"/>
              <w:ind w:firstLine="0" w:firstLineChars="0"/>
              <w:rPr>
                <w:rFonts w:ascii="宋体" w:eastAsia="宋体" w:cs="宋体"/>
                <w:bCs/>
                <w:color w:val="auto"/>
                <w:sz w:val="21"/>
                <w:szCs w:val="21"/>
              </w:rPr>
            </w:pPr>
            <w:r>
              <w:rPr>
                <w:rFonts w:hint="eastAsia" w:ascii="宋体" w:eastAsia="宋体" w:cs="宋体"/>
                <w:bCs/>
                <w:color w:val="auto"/>
                <w:sz w:val="21"/>
                <w:szCs w:val="21"/>
              </w:rPr>
              <w:t>合同价格</w:t>
            </w:r>
          </w:p>
        </w:tc>
        <w:tc>
          <w:tcPr>
            <w:tcW w:w="1549" w:type="dxa"/>
            <w:vAlign w:val="center"/>
          </w:tcPr>
          <w:p>
            <w:pPr>
              <w:pStyle w:val="88"/>
              <w:snapToGrid w:val="0"/>
              <w:spacing w:line="240" w:lineRule="auto"/>
              <w:ind w:firstLine="0" w:firstLineChars="0"/>
              <w:rPr>
                <w:rFonts w:ascii="宋体" w:eastAsia="宋体" w:cs="宋体"/>
                <w:color w:val="auto"/>
                <w:sz w:val="21"/>
                <w:szCs w:val="21"/>
              </w:rPr>
            </w:pPr>
          </w:p>
        </w:tc>
        <w:tc>
          <w:tcPr>
            <w:tcW w:w="3094" w:type="dxa"/>
            <w:vAlign w:val="center"/>
          </w:tcPr>
          <w:p>
            <w:pPr>
              <w:pStyle w:val="88"/>
              <w:snapToGrid w:val="0"/>
              <w:spacing w:line="240" w:lineRule="auto"/>
              <w:ind w:firstLine="0" w:firstLineChars="0"/>
              <w:rPr>
                <w:rFonts w:asci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Align w:val="center"/>
          </w:tcPr>
          <w:p>
            <w:pPr>
              <w:pStyle w:val="88"/>
              <w:snapToGrid w:val="0"/>
              <w:spacing w:line="240" w:lineRule="auto"/>
              <w:ind w:firstLine="0" w:firstLineChars="0"/>
              <w:jc w:val="center"/>
              <w:rPr>
                <w:rFonts w:ascii="宋体" w:eastAsia="宋体" w:cs="宋体"/>
                <w:color w:val="auto"/>
                <w:sz w:val="21"/>
                <w:szCs w:val="21"/>
              </w:rPr>
            </w:pPr>
            <w:r>
              <w:rPr>
                <w:rFonts w:hint="eastAsia" w:ascii="宋体" w:eastAsia="宋体" w:cs="宋体"/>
                <w:color w:val="auto"/>
                <w:sz w:val="21"/>
                <w:szCs w:val="21"/>
              </w:rPr>
              <w:t>6</w:t>
            </w:r>
          </w:p>
        </w:tc>
        <w:tc>
          <w:tcPr>
            <w:tcW w:w="1155" w:type="dxa"/>
            <w:vAlign w:val="center"/>
          </w:tcPr>
          <w:p>
            <w:pPr>
              <w:pStyle w:val="88"/>
              <w:snapToGrid w:val="0"/>
              <w:spacing w:line="240" w:lineRule="auto"/>
              <w:ind w:firstLine="0" w:firstLineChars="0"/>
              <w:jc w:val="center"/>
              <w:rPr>
                <w:rFonts w:ascii="宋体" w:eastAsia="宋体" w:cs="宋体"/>
                <w:color w:val="auto"/>
                <w:sz w:val="21"/>
                <w:szCs w:val="21"/>
              </w:rPr>
            </w:pPr>
            <w:r>
              <w:rPr>
                <w:rFonts w:hint="eastAsia" w:ascii="宋体" w:eastAsia="宋体" w:cs="宋体"/>
                <w:color w:val="auto"/>
                <w:sz w:val="21"/>
                <w:szCs w:val="21"/>
              </w:rPr>
              <w:t>第六条</w:t>
            </w:r>
          </w:p>
        </w:tc>
        <w:tc>
          <w:tcPr>
            <w:tcW w:w="2660" w:type="dxa"/>
            <w:vAlign w:val="center"/>
          </w:tcPr>
          <w:p>
            <w:pPr>
              <w:pStyle w:val="88"/>
              <w:snapToGrid w:val="0"/>
              <w:spacing w:line="240" w:lineRule="auto"/>
              <w:ind w:firstLine="0" w:firstLineChars="0"/>
              <w:rPr>
                <w:rFonts w:ascii="宋体" w:eastAsia="宋体" w:cs="宋体"/>
                <w:bCs/>
                <w:color w:val="auto"/>
                <w:sz w:val="21"/>
                <w:szCs w:val="21"/>
              </w:rPr>
            </w:pPr>
            <w:r>
              <w:rPr>
                <w:rFonts w:hint="eastAsia" w:ascii="宋体" w:eastAsia="宋体" w:cs="宋体"/>
                <w:bCs/>
                <w:color w:val="auto"/>
                <w:sz w:val="21"/>
                <w:szCs w:val="21"/>
              </w:rPr>
              <w:t>支付方式</w:t>
            </w:r>
          </w:p>
        </w:tc>
        <w:tc>
          <w:tcPr>
            <w:tcW w:w="1549" w:type="dxa"/>
            <w:vAlign w:val="center"/>
          </w:tcPr>
          <w:p>
            <w:pPr>
              <w:pStyle w:val="88"/>
              <w:snapToGrid w:val="0"/>
              <w:spacing w:line="240" w:lineRule="auto"/>
              <w:ind w:firstLine="0" w:firstLineChars="0"/>
              <w:rPr>
                <w:rFonts w:ascii="宋体" w:eastAsia="宋体" w:cs="宋体"/>
                <w:color w:val="auto"/>
                <w:sz w:val="21"/>
                <w:szCs w:val="21"/>
              </w:rPr>
            </w:pPr>
          </w:p>
        </w:tc>
        <w:tc>
          <w:tcPr>
            <w:tcW w:w="3094" w:type="dxa"/>
            <w:vAlign w:val="center"/>
          </w:tcPr>
          <w:p>
            <w:pPr>
              <w:pStyle w:val="88"/>
              <w:snapToGrid w:val="0"/>
              <w:spacing w:line="240" w:lineRule="auto"/>
              <w:ind w:firstLine="0" w:firstLineChars="0"/>
              <w:rPr>
                <w:rFonts w:asci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Align w:val="center"/>
          </w:tcPr>
          <w:p>
            <w:pPr>
              <w:pStyle w:val="88"/>
              <w:snapToGrid w:val="0"/>
              <w:spacing w:line="240" w:lineRule="auto"/>
              <w:ind w:firstLine="0" w:firstLineChars="0"/>
              <w:jc w:val="center"/>
              <w:rPr>
                <w:rFonts w:ascii="宋体" w:eastAsia="宋体" w:cs="宋体"/>
                <w:color w:val="auto"/>
                <w:sz w:val="21"/>
                <w:szCs w:val="21"/>
              </w:rPr>
            </w:pPr>
            <w:r>
              <w:rPr>
                <w:rFonts w:hint="eastAsia" w:ascii="宋体" w:eastAsia="宋体" w:cs="宋体"/>
                <w:color w:val="auto"/>
                <w:sz w:val="21"/>
                <w:szCs w:val="21"/>
              </w:rPr>
              <w:t>7</w:t>
            </w:r>
          </w:p>
        </w:tc>
        <w:tc>
          <w:tcPr>
            <w:tcW w:w="1155" w:type="dxa"/>
            <w:vAlign w:val="center"/>
          </w:tcPr>
          <w:p>
            <w:pPr>
              <w:pStyle w:val="88"/>
              <w:snapToGrid w:val="0"/>
              <w:spacing w:line="240" w:lineRule="auto"/>
              <w:ind w:firstLine="0" w:firstLineChars="0"/>
              <w:jc w:val="center"/>
              <w:rPr>
                <w:rFonts w:ascii="宋体" w:eastAsia="宋体" w:cs="宋体"/>
                <w:color w:val="auto"/>
                <w:sz w:val="21"/>
                <w:szCs w:val="21"/>
              </w:rPr>
            </w:pPr>
            <w:r>
              <w:rPr>
                <w:rFonts w:hint="eastAsia" w:ascii="宋体" w:eastAsia="宋体" w:cs="宋体"/>
                <w:color w:val="auto"/>
                <w:sz w:val="21"/>
                <w:szCs w:val="21"/>
              </w:rPr>
              <w:t>第七条</w:t>
            </w:r>
          </w:p>
        </w:tc>
        <w:tc>
          <w:tcPr>
            <w:tcW w:w="2660" w:type="dxa"/>
            <w:vAlign w:val="center"/>
          </w:tcPr>
          <w:p>
            <w:pPr>
              <w:pStyle w:val="88"/>
              <w:snapToGrid w:val="0"/>
              <w:spacing w:line="240" w:lineRule="auto"/>
              <w:ind w:firstLine="0" w:firstLineChars="0"/>
              <w:rPr>
                <w:rFonts w:ascii="宋体" w:eastAsia="宋体" w:cs="宋体"/>
                <w:bCs/>
                <w:color w:val="auto"/>
                <w:sz w:val="21"/>
                <w:szCs w:val="21"/>
              </w:rPr>
            </w:pPr>
            <w:r>
              <w:rPr>
                <w:rFonts w:hint="eastAsia" w:ascii="宋体" w:eastAsia="宋体" w:cs="宋体"/>
                <w:bCs/>
                <w:color w:val="auto"/>
                <w:sz w:val="21"/>
                <w:szCs w:val="21"/>
              </w:rPr>
              <w:t>履约担保</w:t>
            </w:r>
          </w:p>
        </w:tc>
        <w:tc>
          <w:tcPr>
            <w:tcW w:w="1549" w:type="dxa"/>
            <w:vAlign w:val="center"/>
          </w:tcPr>
          <w:p>
            <w:pPr>
              <w:pStyle w:val="88"/>
              <w:snapToGrid w:val="0"/>
              <w:spacing w:line="240" w:lineRule="auto"/>
              <w:ind w:firstLine="0" w:firstLineChars="0"/>
              <w:rPr>
                <w:rFonts w:ascii="宋体" w:eastAsia="宋体" w:cs="宋体"/>
                <w:color w:val="auto"/>
                <w:sz w:val="21"/>
                <w:szCs w:val="21"/>
              </w:rPr>
            </w:pPr>
          </w:p>
        </w:tc>
        <w:tc>
          <w:tcPr>
            <w:tcW w:w="3094" w:type="dxa"/>
            <w:vAlign w:val="center"/>
          </w:tcPr>
          <w:p>
            <w:pPr>
              <w:pStyle w:val="88"/>
              <w:snapToGrid w:val="0"/>
              <w:spacing w:line="240" w:lineRule="auto"/>
              <w:ind w:firstLine="0" w:firstLineChars="0"/>
              <w:rPr>
                <w:rFonts w:asci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Align w:val="center"/>
          </w:tcPr>
          <w:p>
            <w:pPr>
              <w:pStyle w:val="88"/>
              <w:snapToGrid w:val="0"/>
              <w:spacing w:line="240" w:lineRule="auto"/>
              <w:ind w:firstLine="0" w:firstLineChars="0"/>
              <w:jc w:val="center"/>
              <w:rPr>
                <w:rFonts w:ascii="宋体" w:eastAsia="宋体" w:cs="宋体"/>
                <w:color w:val="auto"/>
                <w:sz w:val="21"/>
                <w:szCs w:val="21"/>
              </w:rPr>
            </w:pPr>
            <w:r>
              <w:rPr>
                <w:rFonts w:hint="eastAsia" w:ascii="宋体" w:eastAsia="宋体" w:cs="宋体"/>
                <w:color w:val="auto"/>
                <w:sz w:val="21"/>
                <w:szCs w:val="21"/>
              </w:rPr>
              <w:t>8</w:t>
            </w:r>
          </w:p>
        </w:tc>
        <w:tc>
          <w:tcPr>
            <w:tcW w:w="1155" w:type="dxa"/>
            <w:vAlign w:val="center"/>
          </w:tcPr>
          <w:p>
            <w:pPr>
              <w:pStyle w:val="88"/>
              <w:snapToGrid w:val="0"/>
              <w:spacing w:line="240" w:lineRule="auto"/>
              <w:ind w:firstLine="0" w:firstLineChars="0"/>
              <w:jc w:val="center"/>
              <w:rPr>
                <w:rFonts w:ascii="宋体" w:eastAsia="宋体" w:cs="宋体"/>
                <w:color w:val="auto"/>
                <w:sz w:val="21"/>
                <w:szCs w:val="21"/>
              </w:rPr>
            </w:pPr>
            <w:r>
              <w:rPr>
                <w:rFonts w:hint="eastAsia" w:ascii="宋体" w:eastAsia="宋体" w:cs="宋体"/>
                <w:color w:val="auto"/>
                <w:sz w:val="21"/>
                <w:szCs w:val="21"/>
              </w:rPr>
              <w:t>第八条</w:t>
            </w:r>
          </w:p>
        </w:tc>
        <w:tc>
          <w:tcPr>
            <w:tcW w:w="2660" w:type="dxa"/>
            <w:vAlign w:val="center"/>
          </w:tcPr>
          <w:p>
            <w:pPr>
              <w:pStyle w:val="88"/>
              <w:snapToGrid w:val="0"/>
              <w:spacing w:line="240" w:lineRule="auto"/>
              <w:ind w:firstLine="0" w:firstLineChars="0"/>
              <w:rPr>
                <w:rFonts w:ascii="宋体" w:eastAsia="宋体" w:cs="宋体"/>
                <w:bCs/>
                <w:color w:val="auto"/>
                <w:sz w:val="21"/>
                <w:szCs w:val="21"/>
              </w:rPr>
            </w:pPr>
            <w:r>
              <w:rPr>
                <w:rFonts w:hint="eastAsia" w:ascii="宋体" w:eastAsia="宋体" w:cs="宋体"/>
                <w:bCs/>
                <w:color w:val="auto"/>
                <w:sz w:val="21"/>
                <w:szCs w:val="21"/>
              </w:rPr>
              <w:t>考核管理</w:t>
            </w:r>
          </w:p>
        </w:tc>
        <w:tc>
          <w:tcPr>
            <w:tcW w:w="1549" w:type="dxa"/>
            <w:vAlign w:val="center"/>
          </w:tcPr>
          <w:p>
            <w:pPr>
              <w:pStyle w:val="88"/>
              <w:snapToGrid w:val="0"/>
              <w:spacing w:line="240" w:lineRule="auto"/>
              <w:ind w:firstLine="0" w:firstLineChars="0"/>
              <w:rPr>
                <w:rFonts w:ascii="宋体" w:eastAsia="宋体" w:cs="宋体"/>
                <w:color w:val="auto"/>
                <w:sz w:val="21"/>
                <w:szCs w:val="21"/>
              </w:rPr>
            </w:pPr>
          </w:p>
        </w:tc>
        <w:tc>
          <w:tcPr>
            <w:tcW w:w="3094" w:type="dxa"/>
            <w:vAlign w:val="center"/>
          </w:tcPr>
          <w:p>
            <w:pPr>
              <w:pStyle w:val="88"/>
              <w:snapToGrid w:val="0"/>
              <w:spacing w:line="240" w:lineRule="auto"/>
              <w:ind w:firstLine="0" w:firstLineChars="0"/>
              <w:rPr>
                <w:rFonts w:asci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Align w:val="center"/>
          </w:tcPr>
          <w:p>
            <w:pPr>
              <w:pStyle w:val="88"/>
              <w:snapToGrid w:val="0"/>
              <w:spacing w:line="240" w:lineRule="auto"/>
              <w:ind w:firstLine="0" w:firstLineChars="0"/>
              <w:jc w:val="center"/>
              <w:rPr>
                <w:rFonts w:ascii="宋体" w:eastAsia="宋体" w:cs="宋体"/>
                <w:color w:val="auto"/>
                <w:sz w:val="21"/>
                <w:szCs w:val="21"/>
              </w:rPr>
            </w:pPr>
            <w:r>
              <w:rPr>
                <w:rFonts w:hint="eastAsia" w:ascii="宋体" w:eastAsia="宋体" w:cs="宋体"/>
                <w:color w:val="auto"/>
                <w:sz w:val="21"/>
                <w:szCs w:val="21"/>
              </w:rPr>
              <w:t>9</w:t>
            </w:r>
          </w:p>
        </w:tc>
        <w:tc>
          <w:tcPr>
            <w:tcW w:w="1155" w:type="dxa"/>
            <w:vAlign w:val="center"/>
          </w:tcPr>
          <w:p>
            <w:pPr>
              <w:pStyle w:val="88"/>
              <w:snapToGrid w:val="0"/>
              <w:spacing w:line="240" w:lineRule="auto"/>
              <w:ind w:firstLine="0" w:firstLineChars="0"/>
              <w:jc w:val="center"/>
              <w:rPr>
                <w:rFonts w:ascii="宋体" w:eastAsia="宋体" w:cs="宋体"/>
                <w:color w:val="auto"/>
                <w:sz w:val="21"/>
                <w:szCs w:val="21"/>
              </w:rPr>
            </w:pPr>
            <w:r>
              <w:rPr>
                <w:rFonts w:hint="eastAsia" w:ascii="宋体" w:eastAsia="宋体" w:cs="宋体"/>
                <w:color w:val="auto"/>
                <w:sz w:val="21"/>
                <w:szCs w:val="21"/>
              </w:rPr>
              <w:t>第九条</w:t>
            </w:r>
          </w:p>
        </w:tc>
        <w:tc>
          <w:tcPr>
            <w:tcW w:w="2660" w:type="dxa"/>
            <w:vAlign w:val="center"/>
          </w:tcPr>
          <w:p>
            <w:pPr>
              <w:pStyle w:val="88"/>
              <w:snapToGrid w:val="0"/>
              <w:spacing w:line="240" w:lineRule="auto"/>
              <w:ind w:firstLine="0" w:firstLineChars="0"/>
              <w:rPr>
                <w:rFonts w:ascii="宋体" w:eastAsia="宋体" w:cs="宋体"/>
                <w:bCs/>
                <w:color w:val="auto"/>
                <w:sz w:val="21"/>
                <w:szCs w:val="21"/>
              </w:rPr>
            </w:pPr>
            <w:r>
              <w:rPr>
                <w:rFonts w:hint="eastAsia" w:ascii="宋体" w:eastAsia="宋体" w:cs="宋体"/>
                <w:bCs/>
                <w:color w:val="auto"/>
                <w:sz w:val="21"/>
                <w:szCs w:val="21"/>
              </w:rPr>
              <w:t>甲方的权利和义务</w:t>
            </w:r>
          </w:p>
        </w:tc>
        <w:tc>
          <w:tcPr>
            <w:tcW w:w="1549" w:type="dxa"/>
            <w:vAlign w:val="center"/>
          </w:tcPr>
          <w:p>
            <w:pPr>
              <w:pStyle w:val="88"/>
              <w:snapToGrid w:val="0"/>
              <w:spacing w:line="240" w:lineRule="auto"/>
              <w:ind w:firstLine="0" w:firstLineChars="0"/>
              <w:rPr>
                <w:rFonts w:ascii="宋体" w:eastAsia="宋体" w:cs="宋体"/>
                <w:color w:val="auto"/>
                <w:sz w:val="21"/>
                <w:szCs w:val="21"/>
              </w:rPr>
            </w:pPr>
          </w:p>
        </w:tc>
        <w:tc>
          <w:tcPr>
            <w:tcW w:w="3094" w:type="dxa"/>
            <w:vAlign w:val="center"/>
          </w:tcPr>
          <w:p>
            <w:pPr>
              <w:pStyle w:val="88"/>
              <w:snapToGrid w:val="0"/>
              <w:spacing w:line="240" w:lineRule="auto"/>
              <w:ind w:firstLine="0" w:firstLineChars="0"/>
              <w:rPr>
                <w:rFonts w:asci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Align w:val="center"/>
          </w:tcPr>
          <w:p>
            <w:pPr>
              <w:pStyle w:val="88"/>
              <w:snapToGrid w:val="0"/>
              <w:spacing w:line="240" w:lineRule="auto"/>
              <w:ind w:firstLine="0" w:firstLineChars="0"/>
              <w:jc w:val="center"/>
              <w:rPr>
                <w:rFonts w:ascii="宋体" w:eastAsia="宋体" w:cs="宋体"/>
                <w:color w:val="auto"/>
                <w:sz w:val="21"/>
                <w:szCs w:val="21"/>
              </w:rPr>
            </w:pPr>
            <w:r>
              <w:rPr>
                <w:rFonts w:hint="eastAsia" w:ascii="宋体" w:eastAsia="宋体" w:cs="宋体"/>
                <w:color w:val="auto"/>
                <w:sz w:val="21"/>
                <w:szCs w:val="21"/>
              </w:rPr>
              <w:t>10</w:t>
            </w:r>
          </w:p>
        </w:tc>
        <w:tc>
          <w:tcPr>
            <w:tcW w:w="1155" w:type="dxa"/>
            <w:vAlign w:val="center"/>
          </w:tcPr>
          <w:p>
            <w:pPr>
              <w:pStyle w:val="88"/>
              <w:snapToGrid w:val="0"/>
              <w:spacing w:line="240" w:lineRule="auto"/>
              <w:ind w:firstLine="0" w:firstLineChars="0"/>
              <w:jc w:val="center"/>
              <w:rPr>
                <w:rFonts w:ascii="宋体" w:eastAsia="宋体" w:cs="宋体"/>
                <w:color w:val="auto"/>
                <w:sz w:val="21"/>
                <w:szCs w:val="21"/>
              </w:rPr>
            </w:pPr>
            <w:r>
              <w:rPr>
                <w:rFonts w:hint="eastAsia" w:ascii="宋体" w:eastAsia="宋体" w:cs="宋体"/>
                <w:color w:val="auto"/>
                <w:sz w:val="21"/>
                <w:szCs w:val="21"/>
              </w:rPr>
              <w:t>第十条</w:t>
            </w:r>
          </w:p>
        </w:tc>
        <w:tc>
          <w:tcPr>
            <w:tcW w:w="2660" w:type="dxa"/>
            <w:vAlign w:val="center"/>
          </w:tcPr>
          <w:p>
            <w:pPr>
              <w:pStyle w:val="88"/>
              <w:snapToGrid w:val="0"/>
              <w:spacing w:line="240" w:lineRule="auto"/>
              <w:ind w:firstLine="0" w:firstLineChars="0"/>
              <w:rPr>
                <w:rFonts w:ascii="宋体" w:eastAsia="宋体" w:cs="宋体"/>
                <w:bCs/>
                <w:color w:val="auto"/>
                <w:sz w:val="21"/>
                <w:szCs w:val="21"/>
              </w:rPr>
            </w:pPr>
            <w:r>
              <w:rPr>
                <w:rFonts w:hint="eastAsia" w:ascii="宋体" w:eastAsia="宋体" w:cs="宋体"/>
                <w:bCs/>
                <w:color w:val="auto"/>
                <w:sz w:val="21"/>
                <w:szCs w:val="21"/>
              </w:rPr>
              <w:t>乙方的权利和义务</w:t>
            </w:r>
          </w:p>
        </w:tc>
        <w:tc>
          <w:tcPr>
            <w:tcW w:w="1549" w:type="dxa"/>
            <w:vAlign w:val="center"/>
          </w:tcPr>
          <w:p>
            <w:pPr>
              <w:pStyle w:val="88"/>
              <w:snapToGrid w:val="0"/>
              <w:spacing w:line="240" w:lineRule="auto"/>
              <w:ind w:firstLine="0" w:firstLineChars="0"/>
              <w:rPr>
                <w:rFonts w:ascii="宋体" w:eastAsia="宋体" w:cs="宋体"/>
                <w:color w:val="auto"/>
                <w:sz w:val="21"/>
                <w:szCs w:val="21"/>
              </w:rPr>
            </w:pPr>
          </w:p>
        </w:tc>
        <w:tc>
          <w:tcPr>
            <w:tcW w:w="3094" w:type="dxa"/>
            <w:vAlign w:val="center"/>
          </w:tcPr>
          <w:p>
            <w:pPr>
              <w:pStyle w:val="88"/>
              <w:snapToGrid w:val="0"/>
              <w:spacing w:line="240" w:lineRule="auto"/>
              <w:ind w:firstLine="0" w:firstLineChars="0"/>
              <w:rPr>
                <w:rFonts w:asci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Align w:val="center"/>
          </w:tcPr>
          <w:p>
            <w:pPr>
              <w:pStyle w:val="88"/>
              <w:snapToGrid w:val="0"/>
              <w:spacing w:line="240" w:lineRule="auto"/>
              <w:ind w:firstLine="0" w:firstLineChars="0"/>
              <w:jc w:val="center"/>
              <w:rPr>
                <w:rFonts w:ascii="宋体" w:eastAsia="宋体" w:cs="宋体"/>
                <w:color w:val="auto"/>
                <w:sz w:val="21"/>
                <w:szCs w:val="21"/>
              </w:rPr>
            </w:pPr>
            <w:r>
              <w:rPr>
                <w:rFonts w:hint="eastAsia" w:ascii="宋体" w:eastAsia="宋体" w:cs="宋体"/>
                <w:color w:val="auto"/>
                <w:sz w:val="21"/>
                <w:szCs w:val="21"/>
              </w:rPr>
              <w:t>11</w:t>
            </w:r>
          </w:p>
        </w:tc>
        <w:tc>
          <w:tcPr>
            <w:tcW w:w="1155" w:type="dxa"/>
            <w:vAlign w:val="center"/>
          </w:tcPr>
          <w:p>
            <w:pPr>
              <w:pStyle w:val="88"/>
              <w:snapToGrid w:val="0"/>
              <w:spacing w:line="240" w:lineRule="auto"/>
              <w:ind w:firstLine="0" w:firstLineChars="0"/>
              <w:jc w:val="center"/>
              <w:rPr>
                <w:rFonts w:ascii="宋体" w:eastAsia="宋体" w:cs="宋体"/>
                <w:color w:val="auto"/>
                <w:sz w:val="21"/>
                <w:szCs w:val="21"/>
              </w:rPr>
            </w:pPr>
            <w:r>
              <w:rPr>
                <w:rFonts w:hint="eastAsia" w:ascii="宋体" w:eastAsia="宋体" w:cs="宋体"/>
                <w:color w:val="auto"/>
                <w:sz w:val="21"/>
                <w:szCs w:val="21"/>
              </w:rPr>
              <w:t>第十一条</w:t>
            </w:r>
          </w:p>
        </w:tc>
        <w:tc>
          <w:tcPr>
            <w:tcW w:w="2660" w:type="dxa"/>
            <w:vAlign w:val="center"/>
          </w:tcPr>
          <w:p>
            <w:pPr>
              <w:pStyle w:val="88"/>
              <w:snapToGrid w:val="0"/>
              <w:spacing w:line="240" w:lineRule="auto"/>
              <w:ind w:firstLine="0" w:firstLineChars="0"/>
              <w:rPr>
                <w:rFonts w:ascii="宋体" w:eastAsia="宋体" w:cs="宋体"/>
                <w:bCs/>
                <w:color w:val="auto"/>
                <w:sz w:val="21"/>
                <w:szCs w:val="21"/>
              </w:rPr>
            </w:pPr>
            <w:r>
              <w:rPr>
                <w:rFonts w:hint="eastAsia" w:ascii="宋体" w:eastAsia="宋体" w:cs="宋体"/>
                <w:bCs/>
                <w:color w:val="auto"/>
                <w:sz w:val="21"/>
                <w:szCs w:val="21"/>
              </w:rPr>
              <w:t>保密条款</w:t>
            </w:r>
          </w:p>
        </w:tc>
        <w:tc>
          <w:tcPr>
            <w:tcW w:w="1549" w:type="dxa"/>
            <w:vAlign w:val="center"/>
          </w:tcPr>
          <w:p>
            <w:pPr>
              <w:pStyle w:val="88"/>
              <w:snapToGrid w:val="0"/>
              <w:spacing w:line="240" w:lineRule="auto"/>
              <w:ind w:firstLine="0" w:firstLineChars="0"/>
              <w:rPr>
                <w:rFonts w:ascii="宋体" w:eastAsia="宋体" w:cs="宋体"/>
                <w:color w:val="auto"/>
                <w:sz w:val="21"/>
                <w:szCs w:val="21"/>
              </w:rPr>
            </w:pPr>
          </w:p>
        </w:tc>
        <w:tc>
          <w:tcPr>
            <w:tcW w:w="3094" w:type="dxa"/>
            <w:vAlign w:val="center"/>
          </w:tcPr>
          <w:p>
            <w:pPr>
              <w:pStyle w:val="88"/>
              <w:snapToGrid w:val="0"/>
              <w:spacing w:line="240" w:lineRule="auto"/>
              <w:ind w:firstLine="0" w:firstLineChars="0"/>
              <w:rPr>
                <w:rFonts w:asci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Align w:val="center"/>
          </w:tcPr>
          <w:p>
            <w:pPr>
              <w:pStyle w:val="88"/>
              <w:snapToGrid w:val="0"/>
              <w:spacing w:line="240" w:lineRule="auto"/>
              <w:ind w:firstLine="0" w:firstLineChars="0"/>
              <w:jc w:val="center"/>
              <w:rPr>
                <w:rFonts w:ascii="宋体" w:eastAsia="宋体" w:cs="宋体"/>
                <w:color w:val="auto"/>
                <w:sz w:val="21"/>
                <w:szCs w:val="21"/>
              </w:rPr>
            </w:pPr>
            <w:r>
              <w:rPr>
                <w:rFonts w:hint="eastAsia" w:ascii="宋体" w:eastAsia="宋体" w:cs="宋体"/>
                <w:color w:val="auto"/>
                <w:sz w:val="21"/>
                <w:szCs w:val="21"/>
              </w:rPr>
              <w:t>12</w:t>
            </w:r>
          </w:p>
        </w:tc>
        <w:tc>
          <w:tcPr>
            <w:tcW w:w="1155" w:type="dxa"/>
            <w:vAlign w:val="center"/>
          </w:tcPr>
          <w:p>
            <w:pPr>
              <w:pStyle w:val="88"/>
              <w:snapToGrid w:val="0"/>
              <w:spacing w:line="240" w:lineRule="auto"/>
              <w:ind w:firstLine="0" w:firstLineChars="0"/>
              <w:jc w:val="center"/>
              <w:rPr>
                <w:rFonts w:ascii="宋体" w:eastAsia="宋体" w:cs="宋体"/>
                <w:color w:val="auto"/>
                <w:sz w:val="21"/>
                <w:szCs w:val="21"/>
              </w:rPr>
            </w:pPr>
            <w:r>
              <w:rPr>
                <w:rFonts w:hint="eastAsia" w:ascii="宋体" w:eastAsia="宋体" w:cs="宋体"/>
                <w:color w:val="auto"/>
                <w:sz w:val="21"/>
                <w:szCs w:val="21"/>
              </w:rPr>
              <w:t>第十二条</w:t>
            </w:r>
          </w:p>
        </w:tc>
        <w:tc>
          <w:tcPr>
            <w:tcW w:w="2660" w:type="dxa"/>
            <w:vAlign w:val="center"/>
          </w:tcPr>
          <w:p>
            <w:pPr>
              <w:pStyle w:val="88"/>
              <w:snapToGrid w:val="0"/>
              <w:spacing w:line="240" w:lineRule="auto"/>
              <w:ind w:firstLine="0" w:firstLineChars="0"/>
              <w:rPr>
                <w:rFonts w:ascii="宋体" w:eastAsia="宋体" w:cs="宋体"/>
                <w:bCs/>
                <w:color w:val="auto"/>
                <w:sz w:val="21"/>
                <w:szCs w:val="21"/>
              </w:rPr>
            </w:pPr>
            <w:r>
              <w:rPr>
                <w:rFonts w:hint="eastAsia" w:ascii="宋体" w:eastAsia="宋体" w:cs="宋体"/>
                <w:bCs/>
                <w:color w:val="auto"/>
                <w:sz w:val="21"/>
                <w:szCs w:val="21"/>
              </w:rPr>
              <w:t>违约处理</w:t>
            </w:r>
          </w:p>
        </w:tc>
        <w:tc>
          <w:tcPr>
            <w:tcW w:w="1549" w:type="dxa"/>
            <w:vAlign w:val="center"/>
          </w:tcPr>
          <w:p>
            <w:pPr>
              <w:pStyle w:val="88"/>
              <w:snapToGrid w:val="0"/>
              <w:spacing w:line="240" w:lineRule="auto"/>
              <w:ind w:firstLine="0" w:firstLineChars="0"/>
              <w:rPr>
                <w:rFonts w:ascii="宋体" w:eastAsia="宋体" w:cs="宋体"/>
                <w:color w:val="auto"/>
                <w:sz w:val="21"/>
                <w:szCs w:val="21"/>
              </w:rPr>
            </w:pPr>
          </w:p>
        </w:tc>
        <w:tc>
          <w:tcPr>
            <w:tcW w:w="3094" w:type="dxa"/>
            <w:vAlign w:val="center"/>
          </w:tcPr>
          <w:p>
            <w:pPr>
              <w:pStyle w:val="88"/>
              <w:snapToGrid w:val="0"/>
              <w:spacing w:line="240" w:lineRule="auto"/>
              <w:ind w:firstLine="0" w:firstLineChars="0"/>
              <w:rPr>
                <w:rFonts w:asci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Align w:val="center"/>
          </w:tcPr>
          <w:p>
            <w:pPr>
              <w:pStyle w:val="88"/>
              <w:snapToGrid w:val="0"/>
              <w:spacing w:line="240" w:lineRule="auto"/>
              <w:ind w:firstLine="0" w:firstLineChars="0"/>
              <w:jc w:val="center"/>
              <w:rPr>
                <w:rFonts w:ascii="宋体" w:eastAsia="宋体" w:cs="宋体"/>
                <w:color w:val="auto"/>
                <w:sz w:val="21"/>
                <w:szCs w:val="21"/>
              </w:rPr>
            </w:pPr>
            <w:r>
              <w:rPr>
                <w:rFonts w:hint="eastAsia" w:ascii="宋体" w:eastAsia="宋体" w:cs="宋体"/>
                <w:color w:val="auto"/>
                <w:sz w:val="21"/>
                <w:szCs w:val="21"/>
              </w:rPr>
              <w:t>13</w:t>
            </w:r>
          </w:p>
        </w:tc>
        <w:tc>
          <w:tcPr>
            <w:tcW w:w="1155" w:type="dxa"/>
            <w:vAlign w:val="center"/>
          </w:tcPr>
          <w:p>
            <w:pPr>
              <w:pStyle w:val="88"/>
              <w:snapToGrid w:val="0"/>
              <w:spacing w:line="240" w:lineRule="auto"/>
              <w:ind w:firstLine="0" w:firstLineChars="0"/>
              <w:jc w:val="center"/>
              <w:rPr>
                <w:rFonts w:ascii="宋体" w:eastAsia="宋体" w:cs="宋体"/>
                <w:color w:val="auto"/>
                <w:sz w:val="21"/>
                <w:szCs w:val="21"/>
              </w:rPr>
            </w:pPr>
            <w:r>
              <w:rPr>
                <w:rFonts w:hint="eastAsia" w:ascii="宋体" w:eastAsia="宋体" w:cs="宋体"/>
                <w:color w:val="auto"/>
                <w:sz w:val="21"/>
                <w:szCs w:val="21"/>
              </w:rPr>
              <w:t>第十三条</w:t>
            </w:r>
          </w:p>
        </w:tc>
        <w:tc>
          <w:tcPr>
            <w:tcW w:w="2660" w:type="dxa"/>
            <w:vAlign w:val="center"/>
          </w:tcPr>
          <w:p>
            <w:pPr>
              <w:pStyle w:val="88"/>
              <w:snapToGrid w:val="0"/>
              <w:spacing w:line="240" w:lineRule="auto"/>
              <w:ind w:firstLine="0" w:firstLineChars="0"/>
              <w:rPr>
                <w:rFonts w:ascii="宋体" w:eastAsia="宋体" w:cs="宋体"/>
                <w:bCs/>
                <w:color w:val="auto"/>
                <w:sz w:val="21"/>
                <w:szCs w:val="21"/>
              </w:rPr>
            </w:pPr>
            <w:r>
              <w:rPr>
                <w:rFonts w:hint="eastAsia" w:ascii="宋体" w:eastAsia="宋体" w:cs="宋体"/>
                <w:bCs/>
                <w:color w:val="auto"/>
                <w:sz w:val="21"/>
                <w:szCs w:val="21"/>
              </w:rPr>
              <w:t>严禁转包或再分包</w:t>
            </w:r>
          </w:p>
        </w:tc>
        <w:tc>
          <w:tcPr>
            <w:tcW w:w="1549" w:type="dxa"/>
            <w:vAlign w:val="center"/>
          </w:tcPr>
          <w:p>
            <w:pPr>
              <w:pStyle w:val="88"/>
              <w:snapToGrid w:val="0"/>
              <w:spacing w:line="240" w:lineRule="auto"/>
              <w:ind w:firstLine="0" w:firstLineChars="0"/>
              <w:rPr>
                <w:rFonts w:ascii="宋体" w:eastAsia="宋体" w:cs="宋体"/>
                <w:color w:val="auto"/>
                <w:sz w:val="21"/>
                <w:szCs w:val="21"/>
              </w:rPr>
            </w:pPr>
          </w:p>
        </w:tc>
        <w:tc>
          <w:tcPr>
            <w:tcW w:w="3094" w:type="dxa"/>
            <w:vAlign w:val="center"/>
          </w:tcPr>
          <w:p>
            <w:pPr>
              <w:pStyle w:val="88"/>
              <w:snapToGrid w:val="0"/>
              <w:spacing w:line="240" w:lineRule="auto"/>
              <w:ind w:firstLine="0" w:firstLineChars="0"/>
              <w:rPr>
                <w:rFonts w:asci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Align w:val="center"/>
          </w:tcPr>
          <w:p>
            <w:pPr>
              <w:pStyle w:val="88"/>
              <w:snapToGrid w:val="0"/>
              <w:spacing w:line="240" w:lineRule="auto"/>
              <w:ind w:firstLine="0" w:firstLineChars="0"/>
              <w:jc w:val="center"/>
              <w:rPr>
                <w:rFonts w:ascii="宋体" w:eastAsia="宋体" w:cs="宋体"/>
                <w:color w:val="auto"/>
                <w:sz w:val="21"/>
                <w:szCs w:val="21"/>
              </w:rPr>
            </w:pPr>
            <w:r>
              <w:rPr>
                <w:rFonts w:hint="eastAsia" w:ascii="宋体" w:eastAsia="宋体" w:cs="宋体"/>
                <w:color w:val="auto"/>
                <w:sz w:val="21"/>
                <w:szCs w:val="21"/>
              </w:rPr>
              <w:t>14</w:t>
            </w:r>
          </w:p>
        </w:tc>
        <w:tc>
          <w:tcPr>
            <w:tcW w:w="1155" w:type="dxa"/>
            <w:vAlign w:val="center"/>
          </w:tcPr>
          <w:p>
            <w:pPr>
              <w:pStyle w:val="88"/>
              <w:snapToGrid w:val="0"/>
              <w:spacing w:line="240" w:lineRule="auto"/>
              <w:ind w:firstLine="0" w:firstLineChars="0"/>
              <w:jc w:val="center"/>
              <w:rPr>
                <w:rFonts w:ascii="宋体" w:eastAsia="宋体" w:cs="宋体"/>
                <w:color w:val="auto"/>
                <w:sz w:val="21"/>
                <w:szCs w:val="21"/>
              </w:rPr>
            </w:pPr>
            <w:r>
              <w:rPr>
                <w:rFonts w:hint="eastAsia" w:ascii="宋体" w:eastAsia="宋体" w:cs="宋体"/>
                <w:color w:val="auto"/>
                <w:sz w:val="21"/>
                <w:szCs w:val="21"/>
              </w:rPr>
              <w:t>第十四条</w:t>
            </w:r>
          </w:p>
        </w:tc>
        <w:tc>
          <w:tcPr>
            <w:tcW w:w="2660" w:type="dxa"/>
            <w:vAlign w:val="center"/>
          </w:tcPr>
          <w:p>
            <w:pPr>
              <w:pStyle w:val="88"/>
              <w:snapToGrid w:val="0"/>
              <w:spacing w:line="240" w:lineRule="auto"/>
              <w:ind w:firstLine="0" w:firstLineChars="0"/>
              <w:rPr>
                <w:rFonts w:ascii="宋体" w:eastAsia="宋体" w:cs="宋体"/>
                <w:bCs/>
                <w:color w:val="auto"/>
                <w:sz w:val="21"/>
                <w:szCs w:val="21"/>
              </w:rPr>
            </w:pPr>
            <w:r>
              <w:rPr>
                <w:rFonts w:hint="eastAsia" w:ascii="宋体" w:eastAsia="宋体" w:cs="宋体"/>
                <w:bCs/>
                <w:color w:val="auto"/>
                <w:sz w:val="21"/>
                <w:szCs w:val="21"/>
              </w:rPr>
              <w:t>合同终止</w:t>
            </w:r>
          </w:p>
        </w:tc>
        <w:tc>
          <w:tcPr>
            <w:tcW w:w="1549" w:type="dxa"/>
            <w:vAlign w:val="center"/>
          </w:tcPr>
          <w:p>
            <w:pPr>
              <w:pStyle w:val="88"/>
              <w:snapToGrid w:val="0"/>
              <w:spacing w:line="240" w:lineRule="auto"/>
              <w:ind w:firstLine="0" w:firstLineChars="0"/>
              <w:rPr>
                <w:rFonts w:ascii="宋体" w:eastAsia="宋体" w:cs="宋体"/>
                <w:color w:val="auto"/>
                <w:sz w:val="21"/>
                <w:szCs w:val="21"/>
              </w:rPr>
            </w:pPr>
          </w:p>
        </w:tc>
        <w:tc>
          <w:tcPr>
            <w:tcW w:w="3094" w:type="dxa"/>
            <w:vAlign w:val="center"/>
          </w:tcPr>
          <w:p>
            <w:pPr>
              <w:pStyle w:val="88"/>
              <w:snapToGrid w:val="0"/>
              <w:spacing w:line="240" w:lineRule="auto"/>
              <w:ind w:firstLine="0" w:firstLineChars="0"/>
              <w:rPr>
                <w:rFonts w:asci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Align w:val="center"/>
          </w:tcPr>
          <w:p>
            <w:pPr>
              <w:pStyle w:val="88"/>
              <w:snapToGrid w:val="0"/>
              <w:spacing w:line="240" w:lineRule="auto"/>
              <w:ind w:firstLine="0" w:firstLineChars="0"/>
              <w:jc w:val="center"/>
              <w:rPr>
                <w:rFonts w:ascii="宋体" w:eastAsia="宋体" w:cs="宋体"/>
                <w:color w:val="auto"/>
                <w:sz w:val="21"/>
                <w:szCs w:val="21"/>
              </w:rPr>
            </w:pPr>
            <w:r>
              <w:rPr>
                <w:rFonts w:hint="eastAsia" w:ascii="宋体" w:eastAsia="宋体" w:cs="宋体"/>
                <w:color w:val="auto"/>
                <w:sz w:val="21"/>
                <w:szCs w:val="21"/>
              </w:rPr>
              <w:t>15</w:t>
            </w:r>
          </w:p>
        </w:tc>
        <w:tc>
          <w:tcPr>
            <w:tcW w:w="1155" w:type="dxa"/>
            <w:vAlign w:val="center"/>
          </w:tcPr>
          <w:p>
            <w:pPr>
              <w:pStyle w:val="88"/>
              <w:snapToGrid w:val="0"/>
              <w:spacing w:line="240" w:lineRule="auto"/>
              <w:ind w:firstLine="0" w:firstLineChars="0"/>
              <w:jc w:val="center"/>
              <w:rPr>
                <w:rFonts w:ascii="宋体" w:eastAsia="宋体" w:cs="宋体"/>
                <w:color w:val="auto"/>
                <w:sz w:val="21"/>
                <w:szCs w:val="21"/>
              </w:rPr>
            </w:pPr>
            <w:r>
              <w:rPr>
                <w:rFonts w:hint="eastAsia" w:ascii="宋体" w:eastAsia="宋体" w:cs="宋体"/>
                <w:color w:val="auto"/>
                <w:sz w:val="21"/>
                <w:szCs w:val="21"/>
              </w:rPr>
              <w:t>第十五条</w:t>
            </w:r>
          </w:p>
        </w:tc>
        <w:tc>
          <w:tcPr>
            <w:tcW w:w="2660" w:type="dxa"/>
            <w:vAlign w:val="center"/>
          </w:tcPr>
          <w:p>
            <w:pPr>
              <w:pStyle w:val="88"/>
              <w:snapToGrid w:val="0"/>
              <w:spacing w:line="240" w:lineRule="auto"/>
              <w:ind w:firstLine="0" w:firstLineChars="0"/>
              <w:rPr>
                <w:rFonts w:ascii="宋体" w:eastAsia="宋体" w:cs="宋体"/>
                <w:bCs/>
                <w:color w:val="auto"/>
                <w:sz w:val="21"/>
                <w:szCs w:val="21"/>
              </w:rPr>
            </w:pPr>
            <w:r>
              <w:rPr>
                <w:rFonts w:hint="eastAsia" w:ascii="宋体" w:eastAsia="宋体" w:cs="宋体"/>
                <w:bCs/>
                <w:color w:val="auto"/>
                <w:sz w:val="21"/>
                <w:szCs w:val="21"/>
              </w:rPr>
              <w:t>争议处理</w:t>
            </w:r>
          </w:p>
        </w:tc>
        <w:tc>
          <w:tcPr>
            <w:tcW w:w="1549" w:type="dxa"/>
            <w:vAlign w:val="center"/>
          </w:tcPr>
          <w:p>
            <w:pPr>
              <w:pStyle w:val="88"/>
              <w:snapToGrid w:val="0"/>
              <w:spacing w:line="240" w:lineRule="auto"/>
              <w:ind w:firstLine="0" w:firstLineChars="0"/>
              <w:rPr>
                <w:rFonts w:ascii="宋体" w:eastAsia="宋体" w:cs="宋体"/>
                <w:color w:val="auto"/>
                <w:sz w:val="21"/>
                <w:szCs w:val="21"/>
              </w:rPr>
            </w:pPr>
          </w:p>
        </w:tc>
        <w:tc>
          <w:tcPr>
            <w:tcW w:w="3094" w:type="dxa"/>
            <w:vAlign w:val="center"/>
          </w:tcPr>
          <w:p>
            <w:pPr>
              <w:pStyle w:val="88"/>
              <w:snapToGrid w:val="0"/>
              <w:spacing w:line="240" w:lineRule="auto"/>
              <w:ind w:firstLine="0" w:firstLineChars="0"/>
              <w:rPr>
                <w:rFonts w:asci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Align w:val="center"/>
          </w:tcPr>
          <w:p>
            <w:pPr>
              <w:pStyle w:val="88"/>
              <w:snapToGrid w:val="0"/>
              <w:spacing w:line="240" w:lineRule="auto"/>
              <w:ind w:firstLine="0" w:firstLineChars="0"/>
              <w:jc w:val="center"/>
              <w:rPr>
                <w:rFonts w:ascii="宋体" w:eastAsia="宋体" w:cs="宋体"/>
                <w:color w:val="auto"/>
                <w:sz w:val="21"/>
                <w:szCs w:val="21"/>
              </w:rPr>
            </w:pPr>
            <w:r>
              <w:rPr>
                <w:rFonts w:hint="eastAsia" w:ascii="宋体" w:eastAsia="宋体" w:cs="宋体"/>
                <w:color w:val="auto"/>
                <w:sz w:val="21"/>
                <w:szCs w:val="21"/>
              </w:rPr>
              <w:t>16</w:t>
            </w:r>
          </w:p>
        </w:tc>
        <w:tc>
          <w:tcPr>
            <w:tcW w:w="1155" w:type="dxa"/>
            <w:vAlign w:val="center"/>
          </w:tcPr>
          <w:p>
            <w:pPr>
              <w:pStyle w:val="88"/>
              <w:snapToGrid w:val="0"/>
              <w:spacing w:line="240" w:lineRule="auto"/>
              <w:ind w:firstLine="0" w:firstLineChars="0"/>
              <w:jc w:val="center"/>
              <w:rPr>
                <w:rFonts w:ascii="宋体" w:eastAsia="宋体" w:cs="宋体"/>
                <w:color w:val="auto"/>
                <w:sz w:val="21"/>
                <w:szCs w:val="21"/>
              </w:rPr>
            </w:pPr>
            <w:r>
              <w:rPr>
                <w:rFonts w:hint="eastAsia" w:ascii="宋体" w:eastAsia="宋体" w:cs="宋体"/>
                <w:color w:val="auto"/>
                <w:sz w:val="21"/>
                <w:szCs w:val="21"/>
              </w:rPr>
              <w:t>第十六条</w:t>
            </w:r>
          </w:p>
        </w:tc>
        <w:tc>
          <w:tcPr>
            <w:tcW w:w="2660" w:type="dxa"/>
            <w:vAlign w:val="center"/>
          </w:tcPr>
          <w:p>
            <w:pPr>
              <w:pStyle w:val="88"/>
              <w:snapToGrid w:val="0"/>
              <w:spacing w:line="240" w:lineRule="auto"/>
              <w:ind w:firstLine="0" w:firstLineChars="0"/>
              <w:rPr>
                <w:rFonts w:ascii="宋体" w:eastAsia="宋体" w:cs="宋体"/>
                <w:bCs/>
                <w:color w:val="auto"/>
                <w:sz w:val="21"/>
                <w:szCs w:val="21"/>
              </w:rPr>
            </w:pPr>
            <w:r>
              <w:rPr>
                <w:rFonts w:hint="eastAsia" w:ascii="宋体" w:eastAsia="宋体" w:cs="宋体"/>
                <w:bCs/>
                <w:color w:val="auto"/>
                <w:sz w:val="21"/>
                <w:szCs w:val="21"/>
              </w:rPr>
              <w:t>不可抗力</w:t>
            </w:r>
          </w:p>
        </w:tc>
        <w:tc>
          <w:tcPr>
            <w:tcW w:w="1549" w:type="dxa"/>
            <w:vAlign w:val="center"/>
          </w:tcPr>
          <w:p>
            <w:pPr>
              <w:pStyle w:val="88"/>
              <w:snapToGrid w:val="0"/>
              <w:spacing w:line="240" w:lineRule="auto"/>
              <w:ind w:firstLine="0" w:firstLineChars="0"/>
              <w:rPr>
                <w:rFonts w:ascii="宋体" w:eastAsia="宋体" w:cs="宋体"/>
                <w:color w:val="auto"/>
                <w:sz w:val="21"/>
                <w:szCs w:val="21"/>
              </w:rPr>
            </w:pPr>
          </w:p>
        </w:tc>
        <w:tc>
          <w:tcPr>
            <w:tcW w:w="3094" w:type="dxa"/>
            <w:vAlign w:val="center"/>
          </w:tcPr>
          <w:p>
            <w:pPr>
              <w:pStyle w:val="88"/>
              <w:snapToGrid w:val="0"/>
              <w:spacing w:line="240" w:lineRule="auto"/>
              <w:ind w:firstLine="0" w:firstLineChars="0"/>
              <w:rPr>
                <w:rFonts w:asci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Align w:val="center"/>
          </w:tcPr>
          <w:p>
            <w:pPr>
              <w:pStyle w:val="88"/>
              <w:snapToGrid w:val="0"/>
              <w:spacing w:line="240" w:lineRule="auto"/>
              <w:ind w:firstLine="0" w:firstLineChars="0"/>
              <w:jc w:val="center"/>
              <w:rPr>
                <w:rFonts w:ascii="宋体" w:eastAsia="宋体" w:cs="宋体"/>
                <w:color w:val="auto"/>
                <w:sz w:val="21"/>
                <w:szCs w:val="21"/>
              </w:rPr>
            </w:pPr>
            <w:r>
              <w:rPr>
                <w:rFonts w:hint="eastAsia" w:ascii="宋体" w:eastAsia="宋体" w:cs="宋体"/>
                <w:color w:val="auto"/>
                <w:sz w:val="21"/>
                <w:szCs w:val="21"/>
              </w:rPr>
              <w:t>17</w:t>
            </w:r>
          </w:p>
        </w:tc>
        <w:tc>
          <w:tcPr>
            <w:tcW w:w="1155" w:type="dxa"/>
            <w:vAlign w:val="center"/>
          </w:tcPr>
          <w:p>
            <w:pPr>
              <w:pStyle w:val="88"/>
              <w:snapToGrid w:val="0"/>
              <w:spacing w:line="240" w:lineRule="auto"/>
              <w:ind w:firstLine="0" w:firstLineChars="0"/>
              <w:jc w:val="center"/>
              <w:rPr>
                <w:rFonts w:ascii="宋体" w:eastAsia="宋体" w:cs="宋体"/>
                <w:color w:val="auto"/>
                <w:sz w:val="21"/>
                <w:szCs w:val="21"/>
              </w:rPr>
            </w:pPr>
            <w:r>
              <w:rPr>
                <w:rFonts w:hint="eastAsia" w:ascii="宋体" w:eastAsia="宋体" w:cs="宋体"/>
                <w:color w:val="auto"/>
                <w:sz w:val="21"/>
                <w:szCs w:val="21"/>
              </w:rPr>
              <w:t>第十七条</w:t>
            </w:r>
          </w:p>
        </w:tc>
        <w:tc>
          <w:tcPr>
            <w:tcW w:w="2660" w:type="dxa"/>
            <w:vAlign w:val="center"/>
          </w:tcPr>
          <w:p>
            <w:pPr>
              <w:pStyle w:val="88"/>
              <w:snapToGrid w:val="0"/>
              <w:spacing w:line="240" w:lineRule="auto"/>
              <w:ind w:firstLine="0" w:firstLineChars="0"/>
              <w:rPr>
                <w:rFonts w:ascii="宋体" w:eastAsia="宋体" w:cs="宋体"/>
                <w:bCs/>
                <w:color w:val="auto"/>
                <w:sz w:val="21"/>
                <w:szCs w:val="21"/>
              </w:rPr>
            </w:pPr>
            <w:r>
              <w:rPr>
                <w:rFonts w:hint="eastAsia" w:ascii="宋体" w:eastAsia="宋体" w:cs="宋体"/>
                <w:bCs/>
                <w:color w:val="auto"/>
                <w:sz w:val="21"/>
                <w:szCs w:val="21"/>
              </w:rPr>
              <w:t>需要双方明确的其他事项</w:t>
            </w:r>
          </w:p>
        </w:tc>
        <w:tc>
          <w:tcPr>
            <w:tcW w:w="1549" w:type="dxa"/>
            <w:vAlign w:val="center"/>
          </w:tcPr>
          <w:p>
            <w:pPr>
              <w:pStyle w:val="88"/>
              <w:snapToGrid w:val="0"/>
              <w:spacing w:line="240" w:lineRule="auto"/>
              <w:ind w:firstLine="0" w:firstLineChars="0"/>
              <w:rPr>
                <w:rFonts w:ascii="宋体" w:eastAsia="宋体" w:cs="宋体"/>
                <w:color w:val="auto"/>
                <w:sz w:val="21"/>
                <w:szCs w:val="21"/>
              </w:rPr>
            </w:pPr>
          </w:p>
        </w:tc>
        <w:tc>
          <w:tcPr>
            <w:tcW w:w="3094" w:type="dxa"/>
            <w:vAlign w:val="center"/>
          </w:tcPr>
          <w:p>
            <w:pPr>
              <w:pStyle w:val="88"/>
              <w:snapToGrid w:val="0"/>
              <w:spacing w:line="240" w:lineRule="auto"/>
              <w:ind w:firstLine="0" w:firstLineChars="0"/>
              <w:rPr>
                <w:rFonts w:asci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Align w:val="center"/>
          </w:tcPr>
          <w:p>
            <w:pPr>
              <w:pStyle w:val="88"/>
              <w:snapToGrid w:val="0"/>
              <w:spacing w:line="240" w:lineRule="auto"/>
              <w:ind w:firstLine="0" w:firstLineChars="0"/>
              <w:jc w:val="center"/>
              <w:rPr>
                <w:rFonts w:ascii="宋体" w:eastAsia="宋体" w:cs="宋体"/>
                <w:color w:val="auto"/>
                <w:sz w:val="21"/>
                <w:szCs w:val="21"/>
              </w:rPr>
            </w:pPr>
            <w:r>
              <w:rPr>
                <w:rFonts w:hint="eastAsia" w:ascii="宋体" w:eastAsia="宋体" w:cs="宋体"/>
                <w:color w:val="auto"/>
                <w:sz w:val="21"/>
                <w:szCs w:val="21"/>
              </w:rPr>
              <w:t>18</w:t>
            </w:r>
          </w:p>
        </w:tc>
        <w:tc>
          <w:tcPr>
            <w:tcW w:w="1155" w:type="dxa"/>
            <w:vAlign w:val="center"/>
          </w:tcPr>
          <w:p>
            <w:pPr>
              <w:pStyle w:val="88"/>
              <w:snapToGrid w:val="0"/>
              <w:spacing w:line="240" w:lineRule="auto"/>
              <w:ind w:firstLine="0" w:firstLineChars="0"/>
              <w:jc w:val="center"/>
              <w:rPr>
                <w:rFonts w:ascii="宋体" w:eastAsia="宋体" w:cs="宋体"/>
                <w:color w:val="auto"/>
                <w:sz w:val="21"/>
                <w:szCs w:val="21"/>
              </w:rPr>
            </w:pPr>
            <w:r>
              <w:rPr>
                <w:rFonts w:hint="eastAsia" w:ascii="宋体" w:eastAsia="宋体" w:cs="宋体"/>
                <w:color w:val="auto"/>
                <w:sz w:val="21"/>
                <w:szCs w:val="21"/>
              </w:rPr>
              <w:t>第十八条</w:t>
            </w:r>
          </w:p>
        </w:tc>
        <w:tc>
          <w:tcPr>
            <w:tcW w:w="2660" w:type="dxa"/>
            <w:vAlign w:val="center"/>
          </w:tcPr>
          <w:p>
            <w:pPr>
              <w:pStyle w:val="88"/>
              <w:snapToGrid w:val="0"/>
              <w:spacing w:line="240" w:lineRule="auto"/>
              <w:ind w:firstLine="0" w:firstLineChars="0"/>
              <w:rPr>
                <w:rFonts w:ascii="宋体" w:eastAsia="宋体" w:cs="宋体"/>
                <w:bCs/>
                <w:color w:val="auto"/>
                <w:sz w:val="21"/>
                <w:szCs w:val="21"/>
              </w:rPr>
            </w:pPr>
            <w:r>
              <w:rPr>
                <w:rFonts w:hint="eastAsia" w:ascii="宋体" w:eastAsia="宋体" w:cs="宋体"/>
                <w:bCs/>
                <w:color w:val="auto"/>
                <w:sz w:val="21"/>
                <w:szCs w:val="21"/>
              </w:rPr>
              <w:t>合同生效</w:t>
            </w:r>
          </w:p>
        </w:tc>
        <w:tc>
          <w:tcPr>
            <w:tcW w:w="1549" w:type="dxa"/>
            <w:vAlign w:val="center"/>
          </w:tcPr>
          <w:p>
            <w:pPr>
              <w:pStyle w:val="88"/>
              <w:snapToGrid w:val="0"/>
              <w:spacing w:line="240" w:lineRule="auto"/>
              <w:ind w:firstLine="0" w:firstLineChars="0"/>
              <w:rPr>
                <w:rFonts w:ascii="宋体" w:eastAsia="宋体" w:cs="宋体"/>
                <w:color w:val="auto"/>
                <w:sz w:val="21"/>
                <w:szCs w:val="21"/>
              </w:rPr>
            </w:pPr>
          </w:p>
        </w:tc>
        <w:tc>
          <w:tcPr>
            <w:tcW w:w="3094" w:type="dxa"/>
            <w:vAlign w:val="center"/>
          </w:tcPr>
          <w:p>
            <w:pPr>
              <w:pStyle w:val="88"/>
              <w:snapToGrid w:val="0"/>
              <w:spacing w:line="240" w:lineRule="auto"/>
              <w:ind w:firstLine="0" w:firstLineChars="0"/>
              <w:rPr>
                <w:rFonts w:asci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Align w:val="center"/>
          </w:tcPr>
          <w:p>
            <w:pPr>
              <w:pStyle w:val="88"/>
              <w:snapToGrid w:val="0"/>
              <w:spacing w:line="240" w:lineRule="auto"/>
              <w:ind w:firstLine="0" w:firstLineChars="0"/>
              <w:jc w:val="center"/>
              <w:rPr>
                <w:rFonts w:ascii="宋体" w:eastAsia="宋体" w:cs="宋体"/>
                <w:color w:val="auto"/>
                <w:sz w:val="21"/>
                <w:szCs w:val="21"/>
              </w:rPr>
            </w:pPr>
            <w:r>
              <w:rPr>
                <w:rFonts w:hint="eastAsia" w:ascii="宋体" w:eastAsia="宋体" w:cs="宋体"/>
                <w:color w:val="auto"/>
                <w:sz w:val="21"/>
                <w:szCs w:val="21"/>
              </w:rPr>
              <w:t>19</w:t>
            </w:r>
          </w:p>
        </w:tc>
        <w:tc>
          <w:tcPr>
            <w:tcW w:w="1155" w:type="dxa"/>
            <w:vAlign w:val="center"/>
          </w:tcPr>
          <w:p>
            <w:pPr>
              <w:pStyle w:val="88"/>
              <w:snapToGrid w:val="0"/>
              <w:spacing w:line="240" w:lineRule="auto"/>
              <w:ind w:firstLine="0" w:firstLineChars="0"/>
              <w:jc w:val="center"/>
              <w:rPr>
                <w:rFonts w:ascii="宋体" w:eastAsia="宋体" w:cs="宋体"/>
                <w:color w:val="auto"/>
                <w:sz w:val="21"/>
                <w:szCs w:val="21"/>
              </w:rPr>
            </w:pPr>
            <w:r>
              <w:rPr>
                <w:rFonts w:hint="eastAsia" w:ascii="宋体" w:eastAsia="宋体" w:cs="宋体"/>
                <w:color w:val="auto"/>
                <w:sz w:val="21"/>
                <w:szCs w:val="21"/>
              </w:rPr>
              <w:t>第十九条</w:t>
            </w:r>
          </w:p>
        </w:tc>
        <w:tc>
          <w:tcPr>
            <w:tcW w:w="2660" w:type="dxa"/>
            <w:vAlign w:val="center"/>
          </w:tcPr>
          <w:p>
            <w:pPr>
              <w:pStyle w:val="88"/>
              <w:snapToGrid w:val="0"/>
              <w:spacing w:line="240" w:lineRule="auto"/>
              <w:ind w:firstLine="0" w:firstLineChars="0"/>
              <w:rPr>
                <w:rFonts w:ascii="宋体" w:eastAsia="宋体" w:cs="宋体"/>
                <w:bCs/>
                <w:color w:val="auto"/>
                <w:sz w:val="21"/>
                <w:szCs w:val="21"/>
              </w:rPr>
            </w:pPr>
            <w:r>
              <w:rPr>
                <w:rFonts w:hint="eastAsia" w:ascii="宋体" w:eastAsia="宋体" w:cs="宋体"/>
                <w:bCs/>
                <w:color w:val="auto"/>
                <w:sz w:val="21"/>
                <w:szCs w:val="21"/>
              </w:rPr>
              <w:t>附件</w:t>
            </w:r>
          </w:p>
        </w:tc>
        <w:tc>
          <w:tcPr>
            <w:tcW w:w="1549" w:type="dxa"/>
            <w:vAlign w:val="center"/>
          </w:tcPr>
          <w:p>
            <w:pPr>
              <w:pStyle w:val="88"/>
              <w:snapToGrid w:val="0"/>
              <w:spacing w:line="240" w:lineRule="auto"/>
              <w:ind w:firstLine="0" w:firstLineChars="0"/>
              <w:rPr>
                <w:rFonts w:ascii="宋体" w:eastAsia="宋体" w:cs="宋体"/>
                <w:color w:val="auto"/>
                <w:sz w:val="21"/>
                <w:szCs w:val="21"/>
              </w:rPr>
            </w:pPr>
          </w:p>
        </w:tc>
        <w:tc>
          <w:tcPr>
            <w:tcW w:w="3094" w:type="dxa"/>
            <w:vAlign w:val="center"/>
          </w:tcPr>
          <w:p>
            <w:pPr>
              <w:pStyle w:val="88"/>
              <w:snapToGrid w:val="0"/>
              <w:spacing w:line="240" w:lineRule="auto"/>
              <w:ind w:firstLine="0" w:firstLineChars="0"/>
              <w:rPr>
                <w:rFonts w:asci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Align w:val="center"/>
          </w:tcPr>
          <w:p>
            <w:pPr>
              <w:pStyle w:val="88"/>
              <w:snapToGrid w:val="0"/>
              <w:spacing w:line="240" w:lineRule="auto"/>
              <w:ind w:firstLine="0" w:firstLineChars="0"/>
              <w:jc w:val="center"/>
              <w:rPr>
                <w:rFonts w:ascii="宋体" w:eastAsia="宋体" w:cs="宋体"/>
                <w:color w:val="auto"/>
                <w:sz w:val="21"/>
                <w:szCs w:val="21"/>
              </w:rPr>
            </w:pPr>
            <w:r>
              <w:rPr>
                <w:rFonts w:hint="eastAsia" w:ascii="宋体" w:eastAsia="宋体" w:cs="宋体"/>
                <w:color w:val="auto"/>
                <w:sz w:val="21"/>
                <w:szCs w:val="21"/>
              </w:rPr>
              <w:t>20</w:t>
            </w:r>
          </w:p>
        </w:tc>
        <w:tc>
          <w:tcPr>
            <w:tcW w:w="1155" w:type="dxa"/>
            <w:vAlign w:val="center"/>
          </w:tcPr>
          <w:p>
            <w:pPr>
              <w:pStyle w:val="88"/>
              <w:snapToGrid w:val="0"/>
              <w:spacing w:line="240" w:lineRule="auto"/>
              <w:ind w:firstLine="0" w:firstLineChars="0"/>
              <w:jc w:val="center"/>
              <w:rPr>
                <w:rFonts w:ascii="宋体" w:eastAsia="宋体" w:cs="宋体"/>
                <w:color w:val="auto"/>
                <w:sz w:val="21"/>
                <w:szCs w:val="21"/>
              </w:rPr>
            </w:pPr>
            <w:r>
              <w:rPr>
                <w:rFonts w:hint="eastAsia" w:ascii="宋体" w:eastAsia="宋体" w:cs="宋体"/>
                <w:color w:val="auto"/>
                <w:sz w:val="21"/>
                <w:szCs w:val="21"/>
              </w:rPr>
              <w:t>附件1</w:t>
            </w:r>
          </w:p>
        </w:tc>
        <w:tc>
          <w:tcPr>
            <w:tcW w:w="2660" w:type="dxa"/>
            <w:vAlign w:val="center"/>
          </w:tcPr>
          <w:p>
            <w:pPr>
              <w:pStyle w:val="88"/>
              <w:snapToGrid w:val="0"/>
              <w:spacing w:line="240" w:lineRule="auto"/>
              <w:ind w:firstLine="0" w:firstLineChars="0"/>
              <w:rPr>
                <w:rFonts w:ascii="宋体" w:eastAsia="宋体" w:cs="宋体"/>
                <w:color w:val="auto"/>
                <w:sz w:val="21"/>
                <w:szCs w:val="21"/>
              </w:rPr>
            </w:pPr>
            <w:r>
              <w:rPr>
                <w:rFonts w:hint="eastAsia" w:ascii="宋体" w:eastAsia="宋体" w:cs="宋体"/>
                <w:color w:val="auto"/>
                <w:sz w:val="21"/>
                <w:szCs w:val="21"/>
              </w:rPr>
              <w:t>食堂就餐人员及配送地址</w:t>
            </w:r>
          </w:p>
        </w:tc>
        <w:tc>
          <w:tcPr>
            <w:tcW w:w="1549" w:type="dxa"/>
            <w:vAlign w:val="center"/>
          </w:tcPr>
          <w:p>
            <w:pPr>
              <w:pStyle w:val="88"/>
              <w:snapToGrid w:val="0"/>
              <w:spacing w:line="240" w:lineRule="auto"/>
              <w:ind w:firstLine="0" w:firstLineChars="0"/>
              <w:rPr>
                <w:rFonts w:ascii="宋体" w:eastAsia="宋体" w:cs="宋体"/>
                <w:color w:val="auto"/>
                <w:sz w:val="21"/>
                <w:szCs w:val="21"/>
              </w:rPr>
            </w:pPr>
          </w:p>
        </w:tc>
        <w:tc>
          <w:tcPr>
            <w:tcW w:w="3094" w:type="dxa"/>
            <w:vAlign w:val="center"/>
          </w:tcPr>
          <w:p>
            <w:pPr>
              <w:pStyle w:val="88"/>
              <w:snapToGrid w:val="0"/>
              <w:spacing w:line="240" w:lineRule="auto"/>
              <w:ind w:firstLine="0" w:firstLineChars="0"/>
              <w:rPr>
                <w:rFonts w:asci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Align w:val="center"/>
          </w:tcPr>
          <w:p>
            <w:pPr>
              <w:pStyle w:val="88"/>
              <w:snapToGrid w:val="0"/>
              <w:spacing w:line="240" w:lineRule="auto"/>
              <w:ind w:firstLine="0" w:firstLineChars="0"/>
              <w:jc w:val="center"/>
              <w:rPr>
                <w:rFonts w:ascii="宋体" w:eastAsia="宋体" w:cs="宋体"/>
                <w:color w:val="auto"/>
                <w:sz w:val="21"/>
                <w:szCs w:val="21"/>
              </w:rPr>
            </w:pPr>
            <w:r>
              <w:rPr>
                <w:rFonts w:hint="eastAsia" w:ascii="宋体" w:eastAsia="宋体" w:cs="宋体"/>
                <w:color w:val="auto"/>
                <w:sz w:val="21"/>
                <w:szCs w:val="21"/>
              </w:rPr>
              <w:t>21</w:t>
            </w:r>
          </w:p>
        </w:tc>
        <w:tc>
          <w:tcPr>
            <w:tcW w:w="1155" w:type="dxa"/>
            <w:vAlign w:val="center"/>
          </w:tcPr>
          <w:p>
            <w:pPr>
              <w:pStyle w:val="88"/>
              <w:snapToGrid w:val="0"/>
              <w:spacing w:line="240" w:lineRule="auto"/>
              <w:ind w:firstLine="0" w:firstLineChars="0"/>
              <w:jc w:val="center"/>
              <w:rPr>
                <w:rFonts w:ascii="宋体" w:eastAsia="宋体" w:cs="宋体"/>
                <w:color w:val="auto"/>
                <w:sz w:val="21"/>
                <w:szCs w:val="21"/>
              </w:rPr>
            </w:pPr>
            <w:r>
              <w:rPr>
                <w:rFonts w:hint="eastAsia" w:ascii="宋体" w:eastAsia="宋体" w:cs="宋体"/>
                <w:color w:val="auto"/>
                <w:sz w:val="21"/>
                <w:szCs w:val="21"/>
              </w:rPr>
              <w:t>附件2</w:t>
            </w:r>
          </w:p>
        </w:tc>
        <w:tc>
          <w:tcPr>
            <w:tcW w:w="2660" w:type="dxa"/>
            <w:vAlign w:val="center"/>
          </w:tcPr>
          <w:p>
            <w:pPr>
              <w:pStyle w:val="88"/>
              <w:snapToGrid w:val="0"/>
              <w:spacing w:line="240" w:lineRule="auto"/>
              <w:ind w:firstLine="0" w:firstLineChars="0"/>
              <w:rPr>
                <w:rFonts w:ascii="宋体" w:eastAsia="宋体" w:cs="宋体"/>
                <w:color w:val="auto"/>
                <w:sz w:val="21"/>
                <w:szCs w:val="21"/>
              </w:rPr>
            </w:pPr>
            <w:r>
              <w:rPr>
                <w:rFonts w:hint="eastAsia" w:ascii="宋体" w:eastAsia="宋体" w:cs="宋体"/>
                <w:color w:val="auto"/>
                <w:sz w:val="21"/>
                <w:szCs w:val="21"/>
              </w:rPr>
              <w:t>食堂配送服务考核评分表</w:t>
            </w:r>
          </w:p>
        </w:tc>
        <w:tc>
          <w:tcPr>
            <w:tcW w:w="1549" w:type="dxa"/>
            <w:vAlign w:val="center"/>
          </w:tcPr>
          <w:p>
            <w:pPr>
              <w:pStyle w:val="88"/>
              <w:snapToGrid w:val="0"/>
              <w:spacing w:line="240" w:lineRule="auto"/>
              <w:ind w:firstLine="0" w:firstLineChars="0"/>
              <w:rPr>
                <w:rFonts w:ascii="宋体" w:eastAsia="宋体" w:cs="宋体"/>
                <w:color w:val="auto"/>
                <w:sz w:val="21"/>
                <w:szCs w:val="21"/>
              </w:rPr>
            </w:pPr>
          </w:p>
        </w:tc>
        <w:tc>
          <w:tcPr>
            <w:tcW w:w="3094" w:type="dxa"/>
            <w:vAlign w:val="center"/>
          </w:tcPr>
          <w:p>
            <w:pPr>
              <w:pStyle w:val="88"/>
              <w:snapToGrid w:val="0"/>
              <w:spacing w:line="240" w:lineRule="auto"/>
              <w:ind w:firstLine="0" w:firstLineChars="0"/>
              <w:rPr>
                <w:rFonts w:asci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Align w:val="center"/>
          </w:tcPr>
          <w:p>
            <w:pPr>
              <w:pStyle w:val="88"/>
              <w:snapToGrid w:val="0"/>
              <w:spacing w:line="240" w:lineRule="auto"/>
              <w:ind w:firstLine="0" w:firstLineChars="0"/>
              <w:jc w:val="center"/>
              <w:rPr>
                <w:rFonts w:ascii="宋体" w:eastAsia="宋体" w:cs="宋体"/>
                <w:color w:val="auto"/>
                <w:sz w:val="21"/>
                <w:szCs w:val="21"/>
              </w:rPr>
            </w:pPr>
            <w:r>
              <w:rPr>
                <w:rFonts w:hint="eastAsia" w:ascii="宋体" w:eastAsia="宋体" w:cs="宋体"/>
                <w:color w:val="auto"/>
                <w:sz w:val="21"/>
                <w:szCs w:val="21"/>
              </w:rPr>
              <w:t>22</w:t>
            </w:r>
          </w:p>
        </w:tc>
        <w:tc>
          <w:tcPr>
            <w:tcW w:w="1155" w:type="dxa"/>
            <w:vAlign w:val="center"/>
          </w:tcPr>
          <w:p>
            <w:pPr>
              <w:pStyle w:val="88"/>
              <w:snapToGrid w:val="0"/>
              <w:spacing w:line="240" w:lineRule="auto"/>
              <w:ind w:firstLine="0" w:firstLineChars="0"/>
              <w:jc w:val="center"/>
              <w:rPr>
                <w:rFonts w:ascii="宋体" w:eastAsia="宋体" w:cs="宋体"/>
                <w:color w:val="auto"/>
                <w:sz w:val="21"/>
                <w:szCs w:val="21"/>
              </w:rPr>
            </w:pPr>
            <w:r>
              <w:rPr>
                <w:rFonts w:hint="eastAsia" w:ascii="宋体" w:eastAsia="宋体" w:cs="宋体"/>
                <w:color w:val="auto"/>
                <w:sz w:val="21"/>
                <w:szCs w:val="21"/>
              </w:rPr>
              <w:t>附件3</w:t>
            </w:r>
          </w:p>
        </w:tc>
        <w:tc>
          <w:tcPr>
            <w:tcW w:w="2660" w:type="dxa"/>
            <w:vAlign w:val="center"/>
          </w:tcPr>
          <w:p>
            <w:pPr>
              <w:pStyle w:val="88"/>
              <w:snapToGrid w:val="0"/>
              <w:spacing w:line="240" w:lineRule="auto"/>
              <w:ind w:firstLine="0" w:firstLineChars="0"/>
              <w:rPr>
                <w:rFonts w:ascii="宋体" w:eastAsia="宋体" w:cs="宋体"/>
                <w:color w:val="auto"/>
                <w:sz w:val="21"/>
                <w:szCs w:val="21"/>
              </w:rPr>
            </w:pPr>
            <w:r>
              <w:rPr>
                <w:rFonts w:hint="eastAsia" w:ascii="宋体" w:eastAsia="宋体" w:cs="宋体"/>
                <w:color w:val="auto"/>
                <w:sz w:val="21"/>
                <w:szCs w:val="21"/>
              </w:rPr>
              <w:t>食堂供应商考核登记表</w:t>
            </w:r>
          </w:p>
        </w:tc>
        <w:tc>
          <w:tcPr>
            <w:tcW w:w="1549" w:type="dxa"/>
            <w:vAlign w:val="center"/>
          </w:tcPr>
          <w:p>
            <w:pPr>
              <w:pStyle w:val="88"/>
              <w:snapToGrid w:val="0"/>
              <w:spacing w:line="240" w:lineRule="auto"/>
              <w:ind w:firstLine="0" w:firstLineChars="0"/>
              <w:rPr>
                <w:rFonts w:ascii="宋体" w:eastAsia="宋体" w:cs="宋体"/>
                <w:color w:val="auto"/>
                <w:sz w:val="21"/>
                <w:szCs w:val="21"/>
              </w:rPr>
            </w:pPr>
          </w:p>
        </w:tc>
        <w:tc>
          <w:tcPr>
            <w:tcW w:w="3094" w:type="dxa"/>
            <w:vAlign w:val="center"/>
          </w:tcPr>
          <w:p>
            <w:pPr>
              <w:pStyle w:val="88"/>
              <w:snapToGrid w:val="0"/>
              <w:spacing w:line="240" w:lineRule="auto"/>
              <w:ind w:firstLine="0" w:firstLineChars="0"/>
              <w:rPr>
                <w:rFonts w:asci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Align w:val="center"/>
          </w:tcPr>
          <w:p>
            <w:pPr>
              <w:pStyle w:val="88"/>
              <w:snapToGrid w:val="0"/>
              <w:spacing w:line="240" w:lineRule="auto"/>
              <w:ind w:firstLine="0" w:firstLineChars="0"/>
              <w:jc w:val="center"/>
              <w:rPr>
                <w:rFonts w:ascii="宋体" w:eastAsia="宋体" w:cs="宋体"/>
                <w:color w:val="auto"/>
                <w:sz w:val="21"/>
                <w:szCs w:val="21"/>
              </w:rPr>
            </w:pPr>
            <w:r>
              <w:rPr>
                <w:rFonts w:hint="eastAsia" w:ascii="宋体" w:eastAsia="宋体" w:cs="宋体"/>
                <w:color w:val="auto"/>
                <w:sz w:val="21"/>
                <w:szCs w:val="21"/>
              </w:rPr>
              <w:t>23</w:t>
            </w:r>
          </w:p>
        </w:tc>
        <w:tc>
          <w:tcPr>
            <w:tcW w:w="1155" w:type="dxa"/>
            <w:vAlign w:val="center"/>
          </w:tcPr>
          <w:p>
            <w:pPr>
              <w:pStyle w:val="88"/>
              <w:snapToGrid w:val="0"/>
              <w:spacing w:line="240" w:lineRule="auto"/>
              <w:ind w:firstLine="0" w:firstLineChars="0"/>
              <w:jc w:val="center"/>
              <w:rPr>
                <w:rFonts w:ascii="宋体" w:eastAsia="宋体" w:cs="宋体"/>
                <w:color w:val="auto"/>
                <w:sz w:val="21"/>
                <w:szCs w:val="21"/>
              </w:rPr>
            </w:pPr>
            <w:r>
              <w:rPr>
                <w:rFonts w:hint="eastAsia" w:ascii="宋体" w:eastAsia="宋体" w:cs="宋体"/>
                <w:color w:val="auto"/>
                <w:sz w:val="21"/>
                <w:szCs w:val="21"/>
              </w:rPr>
              <w:t>附件4</w:t>
            </w:r>
          </w:p>
        </w:tc>
        <w:tc>
          <w:tcPr>
            <w:tcW w:w="2660" w:type="dxa"/>
            <w:vAlign w:val="center"/>
          </w:tcPr>
          <w:p>
            <w:pPr>
              <w:pStyle w:val="88"/>
              <w:snapToGrid w:val="0"/>
              <w:spacing w:line="240" w:lineRule="auto"/>
              <w:ind w:firstLine="0" w:firstLineChars="0"/>
              <w:rPr>
                <w:rFonts w:ascii="宋体" w:eastAsia="宋体" w:cs="宋体"/>
                <w:color w:val="auto"/>
                <w:sz w:val="21"/>
                <w:szCs w:val="21"/>
              </w:rPr>
            </w:pPr>
            <w:r>
              <w:rPr>
                <w:rFonts w:hint="eastAsia" w:ascii="宋体" w:eastAsia="宋体" w:cs="宋体"/>
                <w:color w:val="auto"/>
                <w:sz w:val="21"/>
                <w:szCs w:val="21"/>
              </w:rPr>
              <w:t>廉洁协议书</w:t>
            </w:r>
          </w:p>
        </w:tc>
        <w:tc>
          <w:tcPr>
            <w:tcW w:w="1549" w:type="dxa"/>
            <w:vAlign w:val="center"/>
          </w:tcPr>
          <w:p>
            <w:pPr>
              <w:pStyle w:val="88"/>
              <w:snapToGrid w:val="0"/>
              <w:spacing w:line="240" w:lineRule="auto"/>
              <w:ind w:firstLine="0" w:firstLineChars="0"/>
              <w:rPr>
                <w:rFonts w:ascii="宋体" w:eastAsia="宋体" w:cs="宋体"/>
                <w:color w:val="auto"/>
                <w:sz w:val="21"/>
                <w:szCs w:val="21"/>
              </w:rPr>
            </w:pPr>
          </w:p>
        </w:tc>
        <w:tc>
          <w:tcPr>
            <w:tcW w:w="3094" w:type="dxa"/>
            <w:vAlign w:val="center"/>
          </w:tcPr>
          <w:p>
            <w:pPr>
              <w:pStyle w:val="88"/>
              <w:snapToGrid w:val="0"/>
              <w:spacing w:line="240" w:lineRule="auto"/>
              <w:ind w:firstLine="0" w:firstLineChars="0"/>
              <w:rPr>
                <w:rFonts w:asci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Align w:val="center"/>
          </w:tcPr>
          <w:p>
            <w:pPr>
              <w:pStyle w:val="88"/>
              <w:snapToGrid w:val="0"/>
              <w:spacing w:line="240" w:lineRule="auto"/>
              <w:ind w:firstLine="0" w:firstLineChars="0"/>
              <w:jc w:val="center"/>
              <w:rPr>
                <w:rFonts w:ascii="宋体" w:eastAsia="宋体" w:cs="宋体"/>
                <w:color w:val="auto"/>
                <w:sz w:val="21"/>
                <w:szCs w:val="21"/>
              </w:rPr>
            </w:pPr>
            <w:r>
              <w:rPr>
                <w:rFonts w:hint="eastAsia" w:ascii="宋体" w:eastAsia="宋体" w:cs="宋体"/>
                <w:color w:val="auto"/>
                <w:sz w:val="21"/>
                <w:szCs w:val="21"/>
              </w:rPr>
              <w:t>24</w:t>
            </w:r>
          </w:p>
        </w:tc>
        <w:tc>
          <w:tcPr>
            <w:tcW w:w="1155" w:type="dxa"/>
            <w:vAlign w:val="center"/>
          </w:tcPr>
          <w:p>
            <w:pPr>
              <w:pStyle w:val="88"/>
              <w:snapToGrid w:val="0"/>
              <w:spacing w:line="240" w:lineRule="auto"/>
              <w:ind w:firstLine="0" w:firstLineChars="0"/>
              <w:jc w:val="center"/>
              <w:rPr>
                <w:rFonts w:ascii="宋体" w:eastAsia="宋体" w:cs="宋体"/>
                <w:color w:val="auto"/>
                <w:sz w:val="21"/>
                <w:szCs w:val="21"/>
              </w:rPr>
            </w:pPr>
            <w:r>
              <w:rPr>
                <w:rFonts w:hint="eastAsia" w:ascii="宋体" w:eastAsia="宋体" w:cs="宋体"/>
                <w:color w:val="auto"/>
                <w:sz w:val="21"/>
                <w:szCs w:val="21"/>
              </w:rPr>
              <w:t>附件5</w:t>
            </w:r>
          </w:p>
        </w:tc>
        <w:tc>
          <w:tcPr>
            <w:tcW w:w="2660" w:type="dxa"/>
            <w:vAlign w:val="center"/>
          </w:tcPr>
          <w:p>
            <w:pPr>
              <w:pStyle w:val="88"/>
              <w:snapToGrid w:val="0"/>
              <w:spacing w:line="240" w:lineRule="auto"/>
              <w:ind w:firstLine="0" w:firstLineChars="0"/>
              <w:rPr>
                <w:rFonts w:ascii="宋体" w:eastAsia="宋体" w:cs="宋体"/>
                <w:color w:val="auto"/>
                <w:sz w:val="21"/>
                <w:szCs w:val="21"/>
              </w:rPr>
            </w:pPr>
            <w:r>
              <w:rPr>
                <w:rFonts w:hint="eastAsia" w:ascii="宋体" w:eastAsia="宋体" w:cs="宋体"/>
                <w:color w:val="auto"/>
                <w:sz w:val="21"/>
                <w:szCs w:val="21"/>
              </w:rPr>
              <w:t>承诺书</w:t>
            </w:r>
          </w:p>
        </w:tc>
        <w:tc>
          <w:tcPr>
            <w:tcW w:w="1549" w:type="dxa"/>
            <w:vAlign w:val="center"/>
          </w:tcPr>
          <w:p>
            <w:pPr>
              <w:pStyle w:val="88"/>
              <w:snapToGrid w:val="0"/>
              <w:spacing w:line="240" w:lineRule="auto"/>
              <w:ind w:firstLine="0" w:firstLineChars="0"/>
              <w:rPr>
                <w:rFonts w:ascii="宋体" w:eastAsia="宋体" w:cs="宋体"/>
                <w:color w:val="auto"/>
                <w:sz w:val="21"/>
                <w:szCs w:val="21"/>
              </w:rPr>
            </w:pPr>
          </w:p>
        </w:tc>
        <w:tc>
          <w:tcPr>
            <w:tcW w:w="3094" w:type="dxa"/>
            <w:vAlign w:val="center"/>
          </w:tcPr>
          <w:p>
            <w:pPr>
              <w:pStyle w:val="88"/>
              <w:snapToGrid w:val="0"/>
              <w:spacing w:line="240" w:lineRule="auto"/>
              <w:ind w:firstLine="0" w:firstLineChars="0"/>
              <w:rPr>
                <w:rFonts w:asci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Align w:val="center"/>
          </w:tcPr>
          <w:p>
            <w:pPr>
              <w:pStyle w:val="88"/>
              <w:snapToGrid w:val="0"/>
              <w:spacing w:line="240" w:lineRule="auto"/>
              <w:ind w:firstLine="0" w:firstLineChars="0"/>
              <w:jc w:val="center"/>
              <w:rPr>
                <w:rFonts w:ascii="宋体" w:eastAsia="宋体" w:cs="宋体"/>
                <w:color w:val="auto"/>
                <w:sz w:val="21"/>
                <w:szCs w:val="21"/>
              </w:rPr>
            </w:pPr>
            <w:r>
              <w:rPr>
                <w:rFonts w:hint="eastAsia" w:ascii="宋体" w:eastAsia="宋体" w:cs="宋体"/>
                <w:color w:val="auto"/>
                <w:sz w:val="21"/>
                <w:szCs w:val="21"/>
              </w:rPr>
              <w:t>25</w:t>
            </w:r>
          </w:p>
        </w:tc>
        <w:tc>
          <w:tcPr>
            <w:tcW w:w="1155" w:type="dxa"/>
            <w:vAlign w:val="center"/>
          </w:tcPr>
          <w:p>
            <w:pPr>
              <w:pStyle w:val="88"/>
              <w:snapToGrid w:val="0"/>
              <w:spacing w:line="240" w:lineRule="auto"/>
              <w:ind w:firstLine="0" w:firstLineChars="0"/>
              <w:jc w:val="center"/>
              <w:rPr>
                <w:rFonts w:ascii="宋体" w:eastAsia="宋体" w:cs="宋体"/>
                <w:color w:val="auto"/>
                <w:sz w:val="21"/>
                <w:szCs w:val="21"/>
              </w:rPr>
            </w:pPr>
            <w:r>
              <w:rPr>
                <w:rFonts w:hint="eastAsia" w:ascii="宋体" w:eastAsia="宋体" w:cs="宋体"/>
                <w:color w:val="auto"/>
                <w:sz w:val="21"/>
                <w:szCs w:val="21"/>
              </w:rPr>
              <w:t>一</w:t>
            </w:r>
          </w:p>
        </w:tc>
        <w:tc>
          <w:tcPr>
            <w:tcW w:w="2660" w:type="dxa"/>
            <w:vAlign w:val="center"/>
          </w:tcPr>
          <w:p>
            <w:pPr>
              <w:pStyle w:val="88"/>
              <w:snapToGrid w:val="0"/>
              <w:spacing w:line="240" w:lineRule="auto"/>
              <w:ind w:firstLine="0" w:firstLineChars="0"/>
              <w:rPr>
                <w:rFonts w:ascii="宋体" w:eastAsia="宋体" w:cs="宋体"/>
                <w:color w:val="auto"/>
                <w:sz w:val="21"/>
                <w:szCs w:val="21"/>
              </w:rPr>
            </w:pPr>
            <w:r>
              <w:rPr>
                <w:rFonts w:hint="eastAsia" w:ascii="宋体" w:eastAsia="宋体" w:cs="宋体"/>
                <w:color w:val="auto"/>
                <w:sz w:val="21"/>
                <w:szCs w:val="21"/>
              </w:rPr>
              <w:t>不可撤销银行履约保函</w:t>
            </w:r>
          </w:p>
        </w:tc>
        <w:tc>
          <w:tcPr>
            <w:tcW w:w="1549" w:type="dxa"/>
            <w:vAlign w:val="center"/>
          </w:tcPr>
          <w:p>
            <w:pPr>
              <w:pStyle w:val="88"/>
              <w:snapToGrid w:val="0"/>
              <w:spacing w:line="240" w:lineRule="auto"/>
              <w:ind w:firstLine="0" w:firstLineChars="0"/>
              <w:rPr>
                <w:rFonts w:ascii="宋体" w:eastAsia="宋体" w:cs="宋体"/>
                <w:color w:val="auto"/>
                <w:sz w:val="21"/>
                <w:szCs w:val="21"/>
              </w:rPr>
            </w:pPr>
          </w:p>
        </w:tc>
        <w:tc>
          <w:tcPr>
            <w:tcW w:w="3094" w:type="dxa"/>
            <w:vAlign w:val="center"/>
          </w:tcPr>
          <w:p>
            <w:pPr>
              <w:pStyle w:val="88"/>
              <w:snapToGrid w:val="0"/>
              <w:spacing w:line="240" w:lineRule="auto"/>
              <w:ind w:firstLine="0" w:firstLineChars="0"/>
              <w:rPr>
                <w:rFonts w:asci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Align w:val="center"/>
          </w:tcPr>
          <w:p>
            <w:pPr>
              <w:pStyle w:val="88"/>
              <w:snapToGrid w:val="0"/>
              <w:spacing w:line="240" w:lineRule="auto"/>
              <w:ind w:firstLine="0" w:firstLineChars="0"/>
              <w:jc w:val="center"/>
              <w:rPr>
                <w:rFonts w:ascii="宋体" w:eastAsia="宋体" w:cs="宋体"/>
                <w:color w:val="auto"/>
                <w:sz w:val="21"/>
                <w:szCs w:val="21"/>
              </w:rPr>
            </w:pPr>
            <w:r>
              <w:rPr>
                <w:rFonts w:hint="eastAsia" w:ascii="宋体" w:eastAsia="宋体" w:cs="宋体"/>
                <w:color w:val="auto"/>
                <w:sz w:val="21"/>
                <w:szCs w:val="21"/>
              </w:rPr>
              <w:t>26</w:t>
            </w:r>
          </w:p>
        </w:tc>
        <w:tc>
          <w:tcPr>
            <w:tcW w:w="1155" w:type="dxa"/>
            <w:vAlign w:val="center"/>
          </w:tcPr>
          <w:p>
            <w:pPr>
              <w:pStyle w:val="88"/>
              <w:snapToGrid w:val="0"/>
              <w:spacing w:line="240" w:lineRule="auto"/>
              <w:ind w:firstLine="0" w:firstLineChars="0"/>
              <w:jc w:val="center"/>
              <w:rPr>
                <w:rFonts w:ascii="宋体" w:eastAsia="宋体" w:cs="宋体"/>
                <w:color w:val="auto"/>
                <w:sz w:val="21"/>
                <w:szCs w:val="21"/>
              </w:rPr>
            </w:pPr>
            <w:r>
              <w:rPr>
                <w:rFonts w:hint="eastAsia" w:ascii="宋体" w:eastAsia="宋体" w:cs="宋体"/>
                <w:color w:val="auto"/>
                <w:sz w:val="21"/>
                <w:szCs w:val="21"/>
              </w:rPr>
              <w:t>二</w:t>
            </w:r>
          </w:p>
        </w:tc>
        <w:tc>
          <w:tcPr>
            <w:tcW w:w="2660" w:type="dxa"/>
            <w:vAlign w:val="center"/>
          </w:tcPr>
          <w:p>
            <w:pPr>
              <w:pStyle w:val="88"/>
              <w:snapToGrid w:val="0"/>
              <w:spacing w:line="240" w:lineRule="auto"/>
              <w:ind w:firstLine="0" w:firstLineChars="0"/>
              <w:rPr>
                <w:rFonts w:ascii="宋体" w:eastAsia="宋体" w:cs="宋体"/>
                <w:color w:val="auto"/>
                <w:sz w:val="21"/>
                <w:szCs w:val="21"/>
              </w:rPr>
            </w:pPr>
            <w:r>
              <w:rPr>
                <w:rFonts w:hint="eastAsia" w:ascii="宋体" w:eastAsia="宋体" w:cs="宋体"/>
                <w:color w:val="auto"/>
                <w:sz w:val="21"/>
                <w:szCs w:val="21"/>
              </w:rPr>
              <w:t>履约担保书</w:t>
            </w:r>
          </w:p>
        </w:tc>
        <w:tc>
          <w:tcPr>
            <w:tcW w:w="1549" w:type="dxa"/>
            <w:vAlign w:val="center"/>
          </w:tcPr>
          <w:p>
            <w:pPr>
              <w:pStyle w:val="88"/>
              <w:snapToGrid w:val="0"/>
              <w:spacing w:line="240" w:lineRule="auto"/>
              <w:ind w:firstLine="0" w:firstLineChars="0"/>
              <w:rPr>
                <w:rFonts w:ascii="宋体" w:eastAsia="宋体" w:cs="宋体"/>
                <w:color w:val="auto"/>
                <w:sz w:val="21"/>
                <w:szCs w:val="21"/>
              </w:rPr>
            </w:pPr>
          </w:p>
        </w:tc>
        <w:tc>
          <w:tcPr>
            <w:tcW w:w="3094" w:type="dxa"/>
            <w:vAlign w:val="center"/>
          </w:tcPr>
          <w:p>
            <w:pPr>
              <w:pStyle w:val="88"/>
              <w:snapToGrid w:val="0"/>
              <w:spacing w:line="240" w:lineRule="auto"/>
              <w:ind w:firstLine="0" w:firstLineChars="0"/>
              <w:rPr>
                <w:rFonts w:asci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Align w:val="center"/>
          </w:tcPr>
          <w:p>
            <w:pPr>
              <w:pStyle w:val="88"/>
              <w:snapToGrid w:val="0"/>
              <w:spacing w:line="240" w:lineRule="auto"/>
              <w:ind w:firstLine="0" w:firstLineChars="0"/>
              <w:jc w:val="center"/>
              <w:rPr>
                <w:rFonts w:ascii="宋体" w:eastAsia="宋体" w:cs="宋体"/>
                <w:color w:val="auto"/>
                <w:sz w:val="21"/>
                <w:szCs w:val="21"/>
              </w:rPr>
            </w:pPr>
            <w:r>
              <w:rPr>
                <w:rFonts w:hint="eastAsia" w:ascii="宋体" w:eastAsia="宋体" w:cs="宋体"/>
                <w:color w:val="auto"/>
                <w:sz w:val="21"/>
                <w:szCs w:val="21"/>
              </w:rPr>
              <w:t>27</w:t>
            </w:r>
          </w:p>
        </w:tc>
        <w:tc>
          <w:tcPr>
            <w:tcW w:w="1155" w:type="dxa"/>
            <w:vAlign w:val="center"/>
          </w:tcPr>
          <w:p>
            <w:pPr>
              <w:pStyle w:val="88"/>
              <w:snapToGrid w:val="0"/>
              <w:spacing w:line="240" w:lineRule="auto"/>
              <w:ind w:firstLine="0" w:firstLineChars="0"/>
              <w:jc w:val="center"/>
              <w:rPr>
                <w:rFonts w:ascii="宋体" w:eastAsia="宋体" w:cs="宋体"/>
                <w:color w:val="auto"/>
                <w:sz w:val="21"/>
                <w:szCs w:val="21"/>
              </w:rPr>
            </w:pPr>
            <w:r>
              <w:rPr>
                <w:rFonts w:hint="eastAsia" w:ascii="宋体" w:eastAsia="宋体" w:cs="宋体"/>
                <w:color w:val="auto"/>
                <w:sz w:val="21"/>
                <w:szCs w:val="21"/>
              </w:rPr>
              <w:t>三</w:t>
            </w:r>
          </w:p>
        </w:tc>
        <w:tc>
          <w:tcPr>
            <w:tcW w:w="2660" w:type="dxa"/>
            <w:vAlign w:val="center"/>
          </w:tcPr>
          <w:p>
            <w:pPr>
              <w:pStyle w:val="88"/>
              <w:snapToGrid w:val="0"/>
              <w:spacing w:line="240" w:lineRule="auto"/>
              <w:ind w:firstLine="0" w:firstLineChars="0"/>
              <w:rPr>
                <w:rFonts w:ascii="宋体" w:eastAsia="宋体" w:cs="宋体"/>
                <w:color w:val="auto"/>
                <w:sz w:val="21"/>
                <w:szCs w:val="21"/>
              </w:rPr>
            </w:pPr>
            <w:r>
              <w:rPr>
                <w:rFonts w:hint="eastAsia" w:ascii="宋体" w:eastAsia="宋体" w:cs="宋体"/>
                <w:color w:val="auto"/>
                <w:sz w:val="21"/>
                <w:szCs w:val="21"/>
              </w:rPr>
              <w:t>公证书</w:t>
            </w:r>
          </w:p>
        </w:tc>
        <w:tc>
          <w:tcPr>
            <w:tcW w:w="1549" w:type="dxa"/>
            <w:vAlign w:val="center"/>
          </w:tcPr>
          <w:p>
            <w:pPr>
              <w:pStyle w:val="88"/>
              <w:snapToGrid w:val="0"/>
              <w:spacing w:line="240" w:lineRule="auto"/>
              <w:ind w:firstLine="0" w:firstLineChars="0"/>
              <w:rPr>
                <w:rFonts w:ascii="宋体" w:eastAsia="宋体" w:cs="宋体"/>
                <w:color w:val="auto"/>
                <w:sz w:val="21"/>
                <w:szCs w:val="21"/>
              </w:rPr>
            </w:pPr>
          </w:p>
        </w:tc>
        <w:tc>
          <w:tcPr>
            <w:tcW w:w="3094" w:type="dxa"/>
            <w:vAlign w:val="center"/>
          </w:tcPr>
          <w:p>
            <w:pPr>
              <w:pStyle w:val="88"/>
              <w:snapToGrid w:val="0"/>
              <w:spacing w:line="240" w:lineRule="auto"/>
              <w:ind w:firstLine="0" w:firstLineChars="0"/>
              <w:rPr>
                <w:rFonts w:ascii="宋体" w:eastAsia="宋体" w:cs="宋体"/>
                <w:color w:val="auto"/>
                <w:sz w:val="21"/>
                <w:szCs w:val="21"/>
              </w:rPr>
            </w:pPr>
          </w:p>
        </w:tc>
      </w:tr>
    </w:tbl>
    <w:p>
      <w:pPr>
        <w:snapToGrid w:val="0"/>
        <w:spacing w:line="360" w:lineRule="auto"/>
        <w:ind w:left="379" w:leftChars="-58" w:hanging="518" w:hangingChars="247"/>
        <w:rPr>
          <w:rFonts w:hAnsi="宋体" w:cs="宋体"/>
          <w:color w:val="auto"/>
          <w:sz w:val="21"/>
          <w:szCs w:val="21"/>
        </w:rPr>
      </w:pPr>
      <w:r>
        <w:rPr>
          <w:rFonts w:hint="eastAsia" w:hAnsi="宋体" w:cs="宋体"/>
          <w:color w:val="auto"/>
          <w:sz w:val="21"/>
          <w:szCs w:val="21"/>
        </w:rPr>
        <w:t>备注：</w:t>
      </w:r>
    </w:p>
    <w:p>
      <w:pPr>
        <w:snapToGrid w:val="0"/>
        <w:spacing w:line="340" w:lineRule="exact"/>
        <w:ind w:left="379" w:leftChars="-58" w:hanging="518" w:hangingChars="247"/>
        <w:rPr>
          <w:rFonts w:hAnsi="宋体" w:cs="宋体"/>
          <w:b/>
          <w:color w:val="auto"/>
          <w:sz w:val="21"/>
          <w:szCs w:val="21"/>
        </w:rPr>
      </w:pPr>
      <w:r>
        <w:rPr>
          <w:rFonts w:hint="eastAsia" w:hAnsi="宋体" w:cs="宋体"/>
          <w:color w:val="auto"/>
          <w:sz w:val="21"/>
          <w:szCs w:val="21"/>
        </w:rPr>
        <w:t>（1）</w:t>
      </w:r>
      <w:r>
        <w:rPr>
          <w:rFonts w:hint="eastAsia" w:hAnsi="宋体" w:cs="宋体"/>
          <w:b/>
          <w:color w:val="auto"/>
          <w:sz w:val="21"/>
          <w:szCs w:val="21"/>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此表未逐条填写或虚假填写本表，或对合同及其附件响应有负偏离的，按无效投标文件处理。</w:t>
      </w:r>
    </w:p>
    <w:p>
      <w:pPr>
        <w:snapToGrid w:val="0"/>
        <w:spacing w:line="340" w:lineRule="exact"/>
        <w:ind w:left="379" w:leftChars="-58" w:hanging="518" w:hangingChars="247"/>
        <w:rPr>
          <w:rFonts w:hAnsi="宋体" w:cs="宋体"/>
          <w:b/>
          <w:bCs/>
          <w:color w:val="auto"/>
          <w:sz w:val="21"/>
          <w:szCs w:val="21"/>
        </w:rPr>
      </w:pPr>
      <w:r>
        <w:rPr>
          <w:rFonts w:hint="eastAsia" w:hAnsi="宋体" w:cs="宋体"/>
          <w:color w:val="auto"/>
          <w:sz w:val="21"/>
          <w:szCs w:val="21"/>
        </w:rPr>
        <w:t>（2）偏离情况（投标文件对招标文件合同条款的响应程度）分为：正偏离、负偏离、无偏离。正偏离是指投标人提供的服务（或货物、或工程）商务条件优于招标文件的要求；负偏离是指投标人提供的服务（或货物、或工程）商务条件不满足或不完全满足招标文件的要求；无偏离是指投标人提供的服务（或货物、或工程）商务条件完全满足招标文件的要求。</w:t>
      </w:r>
    </w:p>
    <w:p>
      <w:pPr>
        <w:snapToGrid w:val="0"/>
        <w:spacing w:line="340" w:lineRule="exact"/>
        <w:ind w:left="379" w:leftChars="-58" w:hanging="518" w:hangingChars="247"/>
        <w:rPr>
          <w:rFonts w:hAnsi="宋体" w:cs="宋体"/>
          <w:b/>
          <w:bCs/>
          <w:color w:val="auto"/>
          <w:sz w:val="21"/>
          <w:szCs w:val="21"/>
        </w:rPr>
      </w:pPr>
      <w:r>
        <w:rPr>
          <w:rFonts w:hint="eastAsia" w:hAnsi="宋体" w:cs="宋体"/>
          <w:color w:val="auto"/>
          <w:sz w:val="21"/>
          <w:szCs w:val="21"/>
        </w:rPr>
        <w:t>（3）招标文件“第五篇 相关保函格式”作为重要的商务条款，投标人的响应情况列入本合同条款偏离表。</w:t>
      </w:r>
    </w:p>
    <w:p>
      <w:pPr>
        <w:snapToGrid w:val="0"/>
        <w:spacing w:line="340" w:lineRule="exact"/>
        <w:ind w:left="379" w:leftChars="-58" w:hanging="518" w:hangingChars="247"/>
        <w:rPr>
          <w:rFonts w:hAnsi="宋体" w:cs="宋体"/>
          <w:color w:val="auto"/>
          <w:sz w:val="21"/>
          <w:szCs w:val="21"/>
        </w:rPr>
      </w:pPr>
      <w:r>
        <w:rPr>
          <w:rFonts w:hint="eastAsia" w:hAnsi="宋体" w:cs="宋体"/>
          <w:color w:val="auto"/>
          <w:sz w:val="21"/>
          <w:szCs w:val="21"/>
        </w:rPr>
        <w:t>（4）如投标人差异内容较多可另附页说明，</w:t>
      </w:r>
      <w:r>
        <w:rPr>
          <w:rFonts w:hint="eastAsia" w:hAnsi="宋体" w:cs="宋体"/>
          <w:color w:val="auto"/>
          <w:sz w:val="21"/>
          <w:szCs w:val="21"/>
          <w:lang w:val="zh-CN"/>
        </w:rPr>
        <w:t>并在本偏离表“具体偏离内容”项注明其在投标文件中的具体页码</w:t>
      </w:r>
      <w:r>
        <w:rPr>
          <w:rFonts w:hint="eastAsia" w:hAnsi="宋体" w:cs="宋体"/>
          <w:color w:val="auto"/>
          <w:sz w:val="21"/>
          <w:szCs w:val="21"/>
        </w:rPr>
        <w:t>。</w:t>
      </w:r>
    </w:p>
    <w:p>
      <w:pPr>
        <w:spacing w:line="360" w:lineRule="auto"/>
        <w:ind w:firstLine="5040" w:firstLineChars="2400"/>
        <w:rPr>
          <w:rFonts w:hAnsi="宋体" w:cs="宋体"/>
          <w:color w:val="auto"/>
          <w:kern w:val="2"/>
          <w:sz w:val="21"/>
          <w:lang w:val="zh-CN"/>
        </w:rPr>
      </w:pPr>
      <w:r>
        <w:rPr>
          <w:rFonts w:hint="eastAsia" w:hAnsi="宋体" w:cs="宋体"/>
          <w:color w:val="auto"/>
          <w:kern w:val="2"/>
          <w:sz w:val="21"/>
          <w:lang w:val="zh-CN"/>
        </w:rPr>
        <w:t>投标人：（加盖投标人法人公章）</w:t>
      </w:r>
    </w:p>
    <w:p>
      <w:pPr>
        <w:spacing w:line="360" w:lineRule="auto"/>
        <w:ind w:firstLine="5040"/>
        <w:jc w:val="both"/>
        <w:rPr>
          <w:rFonts w:hAnsi="宋体" w:cs="宋体"/>
          <w:color w:val="auto"/>
          <w:kern w:val="2"/>
          <w:sz w:val="21"/>
          <w:lang w:val="zh-CN"/>
        </w:rPr>
      </w:pPr>
      <w:r>
        <w:rPr>
          <w:rFonts w:hint="eastAsia" w:hAnsi="宋体" w:cs="宋体"/>
          <w:color w:val="auto"/>
          <w:kern w:val="2"/>
          <w:sz w:val="21"/>
          <w:lang w:val="zh-CN"/>
        </w:rPr>
        <w:t>日期：   年   月   日</w:t>
      </w:r>
    </w:p>
    <w:p>
      <w:pPr>
        <w:pStyle w:val="5"/>
        <w:pageBreakBefore/>
        <w:spacing w:line="360" w:lineRule="auto"/>
        <w:rPr>
          <w:rFonts w:hAnsi="宋体" w:cs="宋体"/>
          <w:b/>
          <w:bCs/>
          <w:color w:val="auto"/>
          <w:kern w:val="2"/>
          <w:sz w:val="32"/>
          <w:szCs w:val="32"/>
          <w:lang w:val="zh-CN"/>
        </w:rPr>
      </w:pPr>
      <w:bookmarkStart w:id="202" w:name="_Toc4743573"/>
      <w:bookmarkStart w:id="203" w:name="_Toc18853"/>
      <w:bookmarkStart w:id="204" w:name="_Toc19403"/>
      <w:bookmarkStart w:id="205" w:name="_Toc17712"/>
      <w:bookmarkStart w:id="206" w:name="_Toc534983545"/>
      <w:r>
        <w:rPr>
          <w:rFonts w:hint="eastAsia" w:hAnsi="宋体" w:cs="宋体"/>
          <w:b/>
          <w:bCs/>
          <w:color w:val="auto"/>
          <w:kern w:val="2"/>
          <w:sz w:val="32"/>
          <w:szCs w:val="32"/>
        </w:rPr>
        <w:t>九</w:t>
      </w:r>
      <w:r>
        <w:rPr>
          <w:rFonts w:hint="eastAsia" w:hAnsi="宋体" w:cs="宋体"/>
          <w:b/>
          <w:bCs/>
          <w:color w:val="auto"/>
          <w:kern w:val="2"/>
          <w:sz w:val="32"/>
          <w:szCs w:val="32"/>
          <w:lang w:val="zh-CN"/>
        </w:rPr>
        <w:t>、业绩表格式</w:t>
      </w:r>
      <w:bookmarkEnd w:id="202"/>
      <w:bookmarkEnd w:id="203"/>
      <w:bookmarkEnd w:id="204"/>
      <w:bookmarkEnd w:id="205"/>
      <w:bookmarkEnd w:id="206"/>
    </w:p>
    <w:p>
      <w:pPr>
        <w:spacing w:line="360" w:lineRule="auto"/>
        <w:jc w:val="center"/>
        <w:rPr>
          <w:rFonts w:hAnsi="宋体" w:cs="宋体"/>
          <w:b/>
          <w:bCs/>
          <w:color w:val="auto"/>
          <w:kern w:val="2"/>
          <w:sz w:val="30"/>
          <w:szCs w:val="30"/>
          <w:lang w:val="zh-CN"/>
        </w:rPr>
      </w:pPr>
      <w:r>
        <w:rPr>
          <w:rFonts w:hint="eastAsia" w:hAnsi="宋体" w:cs="宋体"/>
          <w:b/>
          <w:bCs/>
          <w:color w:val="auto"/>
          <w:kern w:val="2"/>
          <w:sz w:val="30"/>
          <w:szCs w:val="30"/>
          <w:lang w:val="zh-CN"/>
        </w:rPr>
        <w:t>投标人201</w:t>
      </w:r>
      <w:r>
        <w:rPr>
          <w:rFonts w:hAnsi="宋体" w:cs="宋体"/>
          <w:b/>
          <w:bCs/>
          <w:color w:val="auto"/>
          <w:kern w:val="2"/>
          <w:sz w:val="30"/>
          <w:szCs w:val="30"/>
        </w:rPr>
        <w:t>8</w:t>
      </w:r>
      <w:r>
        <w:rPr>
          <w:rFonts w:hint="eastAsia" w:hAnsi="宋体" w:cs="宋体"/>
          <w:b/>
          <w:bCs/>
          <w:color w:val="auto"/>
          <w:kern w:val="2"/>
          <w:sz w:val="30"/>
          <w:szCs w:val="30"/>
          <w:lang w:val="zh-CN"/>
        </w:rPr>
        <w:t>年以来已完成或正在服务的饭堂、食堂食品或者食材供应链配送服务项目业绩表</w:t>
      </w:r>
    </w:p>
    <w:p>
      <w:pPr>
        <w:pStyle w:val="26"/>
        <w:spacing w:line="360" w:lineRule="auto"/>
        <w:ind w:left="5" w:leftChars="2" w:firstLine="420" w:firstLineChars="200"/>
        <w:rPr>
          <w:rFonts w:hAnsi="宋体" w:cs="宋体"/>
          <w:color w:val="auto"/>
          <w:sz w:val="21"/>
          <w:szCs w:val="21"/>
        </w:rPr>
      </w:pPr>
      <w:r>
        <w:rPr>
          <w:rFonts w:hint="eastAsia" w:hAnsi="宋体" w:cs="宋体"/>
          <w:color w:val="auto"/>
          <w:sz w:val="21"/>
          <w:szCs w:val="21"/>
        </w:rPr>
        <w:t>本项业绩必须为：投标人201</w:t>
      </w:r>
      <w:r>
        <w:rPr>
          <w:rFonts w:hAnsi="宋体" w:cs="宋体"/>
          <w:color w:val="auto"/>
          <w:sz w:val="21"/>
          <w:szCs w:val="21"/>
        </w:rPr>
        <w:t>8</w:t>
      </w:r>
      <w:r>
        <w:rPr>
          <w:rFonts w:hint="eastAsia" w:hAnsi="宋体" w:cs="宋体"/>
          <w:color w:val="auto"/>
          <w:sz w:val="21"/>
          <w:szCs w:val="21"/>
        </w:rPr>
        <w:t>年以来（签订合同的时间为201</w:t>
      </w:r>
      <w:r>
        <w:rPr>
          <w:rFonts w:hAnsi="宋体" w:cs="宋体"/>
          <w:color w:val="auto"/>
          <w:sz w:val="21"/>
          <w:szCs w:val="21"/>
        </w:rPr>
        <w:t>8</w:t>
      </w:r>
      <w:r>
        <w:rPr>
          <w:rFonts w:hint="eastAsia" w:hAnsi="宋体" w:cs="宋体"/>
          <w:color w:val="auto"/>
          <w:sz w:val="21"/>
          <w:szCs w:val="21"/>
        </w:rPr>
        <w:t>年1月1日或以后）</w:t>
      </w:r>
      <w:r>
        <w:rPr>
          <w:rFonts w:hint="eastAsia" w:hAnsi="宋体" w:cs="宋体"/>
          <w:color w:val="auto"/>
          <w:sz w:val="21"/>
          <w:szCs w:val="21"/>
          <w:lang w:val="pt-BR"/>
        </w:rPr>
        <w:t>已完成或正在服务的饭堂、食堂食品或者食材供应链</w:t>
      </w:r>
      <w:r>
        <w:rPr>
          <w:rFonts w:hint="eastAsia" w:hAnsi="宋体" w:cs="宋体"/>
          <w:color w:val="auto"/>
          <w:sz w:val="21"/>
          <w:szCs w:val="21"/>
        </w:rPr>
        <w:t>配送服务项目业绩。</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655"/>
        <w:gridCol w:w="942"/>
        <w:gridCol w:w="1195"/>
        <w:gridCol w:w="992"/>
        <w:gridCol w:w="993"/>
        <w:gridCol w:w="992"/>
        <w:gridCol w:w="1134"/>
        <w:gridCol w:w="992"/>
        <w:gridCol w:w="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092" w:hRule="exact"/>
          <w:jc w:val="center"/>
        </w:trPr>
        <w:tc>
          <w:tcPr>
            <w:tcW w:w="655" w:type="dxa"/>
            <w:vAlign w:val="center"/>
          </w:tcPr>
          <w:p>
            <w:pPr>
              <w:jc w:val="center"/>
              <w:rPr>
                <w:rFonts w:hAnsi="宋体" w:cs="宋体"/>
                <w:color w:val="auto"/>
                <w:sz w:val="21"/>
                <w:szCs w:val="21"/>
              </w:rPr>
            </w:pPr>
            <w:r>
              <w:rPr>
                <w:rFonts w:hint="eastAsia" w:hAnsi="宋体" w:cs="宋体"/>
                <w:color w:val="auto"/>
                <w:sz w:val="21"/>
                <w:szCs w:val="21"/>
              </w:rPr>
              <w:t>序号</w:t>
            </w:r>
          </w:p>
        </w:tc>
        <w:tc>
          <w:tcPr>
            <w:tcW w:w="942" w:type="dxa"/>
            <w:vAlign w:val="center"/>
          </w:tcPr>
          <w:p>
            <w:pPr>
              <w:jc w:val="center"/>
              <w:rPr>
                <w:rFonts w:hAnsi="宋体" w:cs="宋体"/>
                <w:color w:val="auto"/>
                <w:sz w:val="21"/>
                <w:szCs w:val="21"/>
              </w:rPr>
            </w:pPr>
            <w:r>
              <w:rPr>
                <w:rFonts w:hint="eastAsia" w:hAnsi="宋体" w:cs="宋体"/>
                <w:color w:val="auto"/>
                <w:sz w:val="21"/>
                <w:szCs w:val="21"/>
              </w:rPr>
              <w:t>项目名称</w:t>
            </w:r>
          </w:p>
        </w:tc>
        <w:tc>
          <w:tcPr>
            <w:tcW w:w="1195" w:type="dxa"/>
            <w:vAlign w:val="center"/>
          </w:tcPr>
          <w:p>
            <w:pPr>
              <w:jc w:val="center"/>
              <w:rPr>
                <w:rFonts w:hAnsi="宋体" w:cs="宋体"/>
                <w:color w:val="auto"/>
                <w:sz w:val="21"/>
                <w:szCs w:val="21"/>
              </w:rPr>
            </w:pPr>
            <w:r>
              <w:rPr>
                <w:rFonts w:hint="eastAsia" w:hAnsi="宋体" w:cs="宋体"/>
                <w:color w:val="auto"/>
                <w:sz w:val="21"/>
                <w:szCs w:val="21"/>
              </w:rPr>
              <w:t>合同金额（万元）</w:t>
            </w:r>
          </w:p>
        </w:tc>
        <w:tc>
          <w:tcPr>
            <w:tcW w:w="992" w:type="dxa"/>
            <w:vAlign w:val="center"/>
          </w:tcPr>
          <w:p>
            <w:pPr>
              <w:jc w:val="center"/>
              <w:rPr>
                <w:rFonts w:hAnsi="宋体" w:cs="宋体"/>
                <w:color w:val="auto"/>
                <w:sz w:val="21"/>
                <w:szCs w:val="21"/>
              </w:rPr>
            </w:pPr>
            <w:r>
              <w:rPr>
                <w:rFonts w:hint="eastAsia" w:hAnsi="宋体" w:cs="宋体"/>
                <w:color w:val="auto"/>
                <w:sz w:val="21"/>
                <w:szCs w:val="21"/>
              </w:rPr>
              <w:t>合同主要服务内容</w:t>
            </w:r>
          </w:p>
        </w:tc>
        <w:tc>
          <w:tcPr>
            <w:tcW w:w="993" w:type="dxa"/>
            <w:vAlign w:val="center"/>
          </w:tcPr>
          <w:p>
            <w:pPr>
              <w:jc w:val="center"/>
              <w:rPr>
                <w:rFonts w:hAnsi="宋体" w:cs="宋体"/>
                <w:color w:val="auto"/>
                <w:sz w:val="21"/>
                <w:szCs w:val="21"/>
              </w:rPr>
            </w:pPr>
            <w:r>
              <w:rPr>
                <w:rFonts w:hint="eastAsia" w:hAnsi="宋体" w:cs="宋体"/>
                <w:color w:val="auto"/>
                <w:sz w:val="21"/>
                <w:szCs w:val="21"/>
              </w:rPr>
              <w:t>合同期限</w:t>
            </w:r>
          </w:p>
        </w:tc>
        <w:tc>
          <w:tcPr>
            <w:tcW w:w="992" w:type="dxa"/>
            <w:vAlign w:val="center"/>
          </w:tcPr>
          <w:p>
            <w:pPr>
              <w:jc w:val="center"/>
              <w:rPr>
                <w:rFonts w:hAnsi="宋体" w:cs="宋体"/>
                <w:color w:val="auto"/>
                <w:sz w:val="21"/>
                <w:szCs w:val="21"/>
              </w:rPr>
            </w:pPr>
            <w:r>
              <w:rPr>
                <w:rFonts w:hint="eastAsia" w:hAnsi="宋体" w:cs="宋体"/>
                <w:color w:val="auto"/>
                <w:sz w:val="21"/>
                <w:szCs w:val="21"/>
              </w:rPr>
              <w:t>签约日期</w:t>
            </w:r>
          </w:p>
        </w:tc>
        <w:tc>
          <w:tcPr>
            <w:tcW w:w="1134" w:type="dxa"/>
            <w:vAlign w:val="center"/>
          </w:tcPr>
          <w:p>
            <w:pPr>
              <w:jc w:val="center"/>
              <w:rPr>
                <w:rFonts w:hAnsi="宋体" w:cs="宋体"/>
                <w:color w:val="auto"/>
                <w:sz w:val="21"/>
                <w:szCs w:val="21"/>
              </w:rPr>
            </w:pPr>
            <w:r>
              <w:rPr>
                <w:rFonts w:hint="eastAsia" w:hAnsi="宋体" w:cs="宋体"/>
                <w:color w:val="auto"/>
                <w:sz w:val="21"/>
                <w:szCs w:val="21"/>
              </w:rPr>
              <w:t>服务情况</w:t>
            </w:r>
          </w:p>
        </w:tc>
        <w:tc>
          <w:tcPr>
            <w:tcW w:w="992" w:type="dxa"/>
            <w:vAlign w:val="center"/>
          </w:tcPr>
          <w:p>
            <w:pPr>
              <w:jc w:val="center"/>
              <w:rPr>
                <w:rFonts w:hAnsi="宋体" w:cs="宋体"/>
                <w:color w:val="auto"/>
                <w:sz w:val="21"/>
                <w:szCs w:val="21"/>
              </w:rPr>
            </w:pPr>
            <w:r>
              <w:rPr>
                <w:rFonts w:hint="eastAsia" w:hAnsi="宋体" w:cs="宋体"/>
                <w:color w:val="auto"/>
                <w:sz w:val="21"/>
                <w:szCs w:val="21"/>
              </w:rPr>
              <w:t>业主联系人及电话</w:t>
            </w:r>
          </w:p>
        </w:tc>
        <w:tc>
          <w:tcPr>
            <w:tcW w:w="948" w:type="dxa"/>
            <w:vAlign w:val="center"/>
          </w:tcPr>
          <w:p>
            <w:pPr>
              <w:jc w:val="center"/>
              <w:rPr>
                <w:rFonts w:hAnsi="宋体" w:cs="宋体"/>
                <w:color w:val="auto"/>
                <w:sz w:val="21"/>
                <w:szCs w:val="21"/>
              </w:rPr>
            </w:pPr>
            <w:r>
              <w:rPr>
                <w:rFonts w:hint="eastAsia" w:hAnsi="宋体" w:cs="宋体"/>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655" w:type="dxa"/>
            <w:vAlign w:val="center"/>
          </w:tcPr>
          <w:p>
            <w:pPr>
              <w:jc w:val="center"/>
              <w:rPr>
                <w:rFonts w:hAnsi="宋体" w:cs="宋体"/>
                <w:color w:val="auto"/>
                <w:sz w:val="21"/>
                <w:szCs w:val="21"/>
              </w:rPr>
            </w:pPr>
          </w:p>
        </w:tc>
        <w:tc>
          <w:tcPr>
            <w:tcW w:w="942" w:type="dxa"/>
            <w:vAlign w:val="center"/>
          </w:tcPr>
          <w:p>
            <w:pPr>
              <w:jc w:val="center"/>
              <w:rPr>
                <w:rFonts w:hAnsi="宋体" w:cs="宋体"/>
                <w:color w:val="auto"/>
                <w:sz w:val="21"/>
                <w:szCs w:val="21"/>
              </w:rPr>
            </w:pPr>
          </w:p>
        </w:tc>
        <w:tc>
          <w:tcPr>
            <w:tcW w:w="1195" w:type="dxa"/>
            <w:vAlign w:val="center"/>
          </w:tcPr>
          <w:p>
            <w:pPr>
              <w:jc w:val="center"/>
              <w:rPr>
                <w:rFonts w:hAnsi="宋体" w:cs="宋体"/>
                <w:color w:val="auto"/>
                <w:sz w:val="21"/>
                <w:szCs w:val="21"/>
              </w:rPr>
            </w:pPr>
          </w:p>
        </w:tc>
        <w:tc>
          <w:tcPr>
            <w:tcW w:w="992" w:type="dxa"/>
            <w:vAlign w:val="center"/>
          </w:tcPr>
          <w:p>
            <w:pPr>
              <w:jc w:val="center"/>
              <w:rPr>
                <w:rFonts w:hAnsi="宋体" w:cs="宋体"/>
                <w:color w:val="auto"/>
                <w:sz w:val="21"/>
                <w:szCs w:val="21"/>
              </w:rPr>
            </w:pPr>
          </w:p>
        </w:tc>
        <w:tc>
          <w:tcPr>
            <w:tcW w:w="993" w:type="dxa"/>
            <w:vAlign w:val="center"/>
          </w:tcPr>
          <w:p>
            <w:pPr>
              <w:jc w:val="center"/>
              <w:rPr>
                <w:rFonts w:hAnsi="宋体" w:cs="宋体"/>
                <w:color w:val="auto"/>
                <w:sz w:val="21"/>
                <w:szCs w:val="21"/>
              </w:rPr>
            </w:pPr>
          </w:p>
        </w:tc>
        <w:tc>
          <w:tcPr>
            <w:tcW w:w="992" w:type="dxa"/>
            <w:vAlign w:val="center"/>
          </w:tcPr>
          <w:p>
            <w:pPr>
              <w:jc w:val="center"/>
              <w:rPr>
                <w:rFonts w:hAnsi="宋体" w:cs="宋体"/>
                <w:color w:val="auto"/>
                <w:sz w:val="21"/>
                <w:szCs w:val="21"/>
              </w:rPr>
            </w:pPr>
          </w:p>
        </w:tc>
        <w:tc>
          <w:tcPr>
            <w:tcW w:w="1134" w:type="dxa"/>
            <w:vAlign w:val="center"/>
          </w:tcPr>
          <w:p>
            <w:pPr>
              <w:jc w:val="center"/>
              <w:rPr>
                <w:rFonts w:hAnsi="宋体" w:cs="宋体"/>
                <w:color w:val="auto"/>
                <w:sz w:val="21"/>
                <w:szCs w:val="21"/>
              </w:rPr>
            </w:pPr>
          </w:p>
        </w:tc>
        <w:tc>
          <w:tcPr>
            <w:tcW w:w="992" w:type="dxa"/>
            <w:vAlign w:val="center"/>
          </w:tcPr>
          <w:p>
            <w:pPr>
              <w:jc w:val="center"/>
              <w:rPr>
                <w:rFonts w:hAnsi="宋体" w:cs="宋体"/>
                <w:color w:val="auto"/>
                <w:sz w:val="21"/>
                <w:szCs w:val="21"/>
              </w:rPr>
            </w:pPr>
          </w:p>
        </w:tc>
        <w:tc>
          <w:tcPr>
            <w:tcW w:w="948" w:type="dxa"/>
            <w:vAlign w:val="center"/>
          </w:tcPr>
          <w:p>
            <w:pPr>
              <w:jc w:val="center"/>
              <w:rPr>
                <w:rFonts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655" w:type="dxa"/>
            <w:vAlign w:val="center"/>
          </w:tcPr>
          <w:p>
            <w:pPr>
              <w:jc w:val="center"/>
              <w:rPr>
                <w:rFonts w:hAnsi="宋体" w:cs="宋体"/>
                <w:color w:val="auto"/>
                <w:sz w:val="21"/>
                <w:szCs w:val="21"/>
              </w:rPr>
            </w:pPr>
          </w:p>
        </w:tc>
        <w:tc>
          <w:tcPr>
            <w:tcW w:w="942" w:type="dxa"/>
            <w:vAlign w:val="center"/>
          </w:tcPr>
          <w:p>
            <w:pPr>
              <w:jc w:val="center"/>
              <w:rPr>
                <w:rFonts w:hAnsi="宋体" w:cs="宋体"/>
                <w:color w:val="auto"/>
                <w:sz w:val="21"/>
                <w:szCs w:val="21"/>
              </w:rPr>
            </w:pPr>
          </w:p>
        </w:tc>
        <w:tc>
          <w:tcPr>
            <w:tcW w:w="1195" w:type="dxa"/>
            <w:vAlign w:val="center"/>
          </w:tcPr>
          <w:p>
            <w:pPr>
              <w:jc w:val="center"/>
              <w:rPr>
                <w:rFonts w:hAnsi="宋体" w:cs="宋体"/>
                <w:color w:val="auto"/>
                <w:sz w:val="21"/>
                <w:szCs w:val="21"/>
              </w:rPr>
            </w:pPr>
          </w:p>
        </w:tc>
        <w:tc>
          <w:tcPr>
            <w:tcW w:w="992" w:type="dxa"/>
            <w:vAlign w:val="center"/>
          </w:tcPr>
          <w:p>
            <w:pPr>
              <w:jc w:val="center"/>
              <w:rPr>
                <w:rFonts w:hAnsi="宋体" w:cs="宋体"/>
                <w:color w:val="auto"/>
                <w:sz w:val="21"/>
                <w:szCs w:val="21"/>
              </w:rPr>
            </w:pPr>
          </w:p>
        </w:tc>
        <w:tc>
          <w:tcPr>
            <w:tcW w:w="993" w:type="dxa"/>
            <w:vAlign w:val="center"/>
          </w:tcPr>
          <w:p>
            <w:pPr>
              <w:jc w:val="center"/>
              <w:rPr>
                <w:rFonts w:hAnsi="宋体" w:cs="宋体"/>
                <w:color w:val="auto"/>
                <w:sz w:val="21"/>
                <w:szCs w:val="21"/>
              </w:rPr>
            </w:pPr>
          </w:p>
        </w:tc>
        <w:tc>
          <w:tcPr>
            <w:tcW w:w="992" w:type="dxa"/>
            <w:vAlign w:val="center"/>
          </w:tcPr>
          <w:p>
            <w:pPr>
              <w:jc w:val="center"/>
              <w:rPr>
                <w:rFonts w:hAnsi="宋体" w:cs="宋体"/>
                <w:color w:val="auto"/>
                <w:sz w:val="21"/>
                <w:szCs w:val="21"/>
              </w:rPr>
            </w:pPr>
          </w:p>
        </w:tc>
        <w:tc>
          <w:tcPr>
            <w:tcW w:w="1134" w:type="dxa"/>
            <w:vAlign w:val="center"/>
          </w:tcPr>
          <w:p>
            <w:pPr>
              <w:jc w:val="center"/>
              <w:rPr>
                <w:rFonts w:hAnsi="宋体" w:cs="宋体"/>
                <w:color w:val="auto"/>
                <w:sz w:val="21"/>
                <w:szCs w:val="21"/>
              </w:rPr>
            </w:pPr>
          </w:p>
        </w:tc>
        <w:tc>
          <w:tcPr>
            <w:tcW w:w="992" w:type="dxa"/>
            <w:vAlign w:val="center"/>
          </w:tcPr>
          <w:p>
            <w:pPr>
              <w:jc w:val="center"/>
              <w:rPr>
                <w:rFonts w:hAnsi="宋体" w:cs="宋体"/>
                <w:color w:val="auto"/>
                <w:sz w:val="21"/>
                <w:szCs w:val="21"/>
              </w:rPr>
            </w:pPr>
          </w:p>
        </w:tc>
        <w:tc>
          <w:tcPr>
            <w:tcW w:w="948" w:type="dxa"/>
            <w:vAlign w:val="center"/>
          </w:tcPr>
          <w:p>
            <w:pPr>
              <w:jc w:val="center"/>
              <w:rPr>
                <w:rFonts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655" w:type="dxa"/>
            <w:vAlign w:val="center"/>
          </w:tcPr>
          <w:p>
            <w:pPr>
              <w:jc w:val="center"/>
              <w:rPr>
                <w:rFonts w:hAnsi="宋体" w:cs="宋体"/>
                <w:color w:val="auto"/>
                <w:sz w:val="21"/>
                <w:szCs w:val="21"/>
              </w:rPr>
            </w:pPr>
          </w:p>
        </w:tc>
        <w:tc>
          <w:tcPr>
            <w:tcW w:w="942" w:type="dxa"/>
            <w:vAlign w:val="center"/>
          </w:tcPr>
          <w:p>
            <w:pPr>
              <w:jc w:val="center"/>
              <w:rPr>
                <w:rFonts w:hAnsi="宋体" w:cs="宋体"/>
                <w:color w:val="auto"/>
                <w:sz w:val="21"/>
                <w:szCs w:val="21"/>
              </w:rPr>
            </w:pPr>
          </w:p>
        </w:tc>
        <w:tc>
          <w:tcPr>
            <w:tcW w:w="1195" w:type="dxa"/>
            <w:vAlign w:val="center"/>
          </w:tcPr>
          <w:p>
            <w:pPr>
              <w:jc w:val="center"/>
              <w:rPr>
                <w:rFonts w:hAnsi="宋体" w:cs="宋体"/>
                <w:color w:val="auto"/>
                <w:sz w:val="21"/>
                <w:szCs w:val="21"/>
              </w:rPr>
            </w:pPr>
          </w:p>
        </w:tc>
        <w:tc>
          <w:tcPr>
            <w:tcW w:w="992" w:type="dxa"/>
            <w:vAlign w:val="center"/>
          </w:tcPr>
          <w:p>
            <w:pPr>
              <w:jc w:val="center"/>
              <w:rPr>
                <w:rFonts w:hAnsi="宋体" w:cs="宋体"/>
                <w:color w:val="auto"/>
                <w:sz w:val="21"/>
                <w:szCs w:val="21"/>
              </w:rPr>
            </w:pPr>
          </w:p>
        </w:tc>
        <w:tc>
          <w:tcPr>
            <w:tcW w:w="993" w:type="dxa"/>
            <w:vAlign w:val="center"/>
          </w:tcPr>
          <w:p>
            <w:pPr>
              <w:jc w:val="center"/>
              <w:rPr>
                <w:rFonts w:hAnsi="宋体" w:cs="宋体"/>
                <w:color w:val="auto"/>
                <w:sz w:val="21"/>
                <w:szCs w:val="21"/>
              </w:rPr>
            </w:pPr>
          </w:p>
        </w:tc>
        <w:tc>
          <w:tcPr>
            <w:tcW w:w="992" w:type="dxa"/>
            <w:vAlign w:val="center"/>
          </w:tcPr>
          <w:p>
            <w:pPr>
              <w:jc w:val="center"/>
              <w:rPr>
                <w:rFonts w:hAnsi="宋体" w:cs="宋体"/>
                <w:color w:val="auto"/>
                <w:sz w:val="21"/>
                <w:szCs w:val="21"/>
              </w:rPr>
            </w:pPr>
          </w:p>
        </w:tc>
        <w:tc>
          <w:tcPr>
            <w:tcW w:w="1134" w:type="dxa"/>
            <w:vAlign w:val="center"/>
          </w:tcPr>
          <w:p>
            <w:pPr>
              <w:jc w:val="center"/>
              <w:rPr>
                <w:rFonts w:hAnsi="宋体" w:cs="宋体"/>
                <w:color w:val="auto"/>
                <w:sz w:val="21"/>
                <w:szCs w:val="21"/>
              </w:rPr>
            </w:pPr>
          </w:p>
        </w:tc>
        <w:tc>
          <w:tcPr>
            <w:tcW w:w="992" w:type="dxa"/>
            <w:vAlign w:val="center"/>
          </w:tcPr>
          <w:p>
            <w:pPr>
              <w:jc w:val="center"/>
              <w:rPr>
                <w:rFonts w:hAnsi="宋体" w:cs="宋体"/>
                <w:color w:val="auto"/>
                <w:sz w:val="21"/>
                <w:szCs w:val="21"/>
              </w:rPr>
            </w:pPr>
          </w:p>
        </w:tc>
        <w:tc>
          <w:tcPr>
            <w:tcW w:w="948" w:type="dxa"/>
            <w:vAlign w:val="center"/>
          </w:tcPr>
          <w:p>
            <w:pPr>
              <w:jc w:val="center"/>
              <w:rPr>
                <w:rFonts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655" w:type="dxa"/>
            <w:vAlign w:val="center"/>
          </w:tcPr>
          <w:p>
            <w:pPr>
              <w:jc w:val="center"/>
              <w:rPr>
                <w:rFonts w:hAnsi="宋体" w:cs="宋体"/>
                <w:color w:val="auto"/>
                <w:sz w:val="21"/>
                <w:szCs w:val="21"/>
              </w:rPr>
            </w:pPr>
          </w:p>
        </w:tc>
        <w:tc>
          <w:tcPr>
            <w:tcW w:w="942" w:type="dxa"/>
            <w:vAlign w:val="center"/>
          </w:tcPr>
          <w:p>
            <w:pPr>
              <w:jc w:val="center"/>
              <w:rPr>
                <w:rFonts w:hAnsi="宋体" w:cs="宋体"/>
                <w:color w:val="auto"/>
                <w:sz w:val="21"/>
                <w:szCs w:val="21"/>
              </w:rPr>
            </w:pPr>
          </w:p>
        </w:tc>
        <w:tc>
          <w:tcPr>
            <w:tcW w:w="1195" w:type="dxa"/>
            <w:vAlign w:val="center"/>
          </w:tcPr>
          <w:p>
            <w:pPr>
              <w:jc w:val="center"/>
              <w:rPr>
                <w:rFonts w:hAnsi="宋体" w:cs="宋体"/>
                <w:color w:val="auto"/>
                <w:sz w:val="21"/>
                <w:szCs w:val="21"/>
              </w:rPr>
            </w:pPr>
          </w:p>
        </w:tc>
        <w:tc>
          <w:tcPr>
            <w:tcW w:w="992" w:type="dxa"/>
            <w:vAlign w:val="center"/>
          </w:tcPr>
          <w:p>
            <w:pPr>
              <w:jc w:val="center"/>
              <w:rPr>
                <w:rFonts w:hAnsi="宋体" w:cs="宋体"/>
                <w:color w:val="auto"/>
                <w:sz w:val="21"/>
                <w:szCs w:val="21"/>
              </w:rPr>
            </w:pPr>
          </w:p>
        </w:tc>
        <w:tc>
          <w:tcPr>
            <w:tcW w:w="993" w:type="dxa"/>
            <w:vAlign w:val="center"/>
          </w:tcPr>
          <w:p>
            <w:pPr>
              <w:jc w:val="center"/>
              <w:rPr>
                <w:rFonts w:hAnsi="宋体" w:cs="宋体"/>
                <w:color w:val="auto"/>
                <w:sz w:val="21"/>
                <w:szCs w:val="21"/>
              </w:rPr>
            </w:pPr>
          </w:p>
        </w:tc>
        <w:tc>
          <w:tcPr>
            <w:tcW w:w="992" w:type="dxa"/>
            <w:vAlign w:val="center"/>
          </w:tcPr>
          <w:p>
            <w:pPr>
              <w:jc w:val="center"/>
              <w:rPr>
                <w:rFonts w:hAnsi="宋体" w:cs="宋体"/>
                <w:color w:val="auto"/>
                <w:sz w:val="21"/>
                <w:szCs w:val="21"/>
              </w:rPr>
            </w:pPr>
          </w:p>
        </w:tc>
        <w:tc>
          <w:tcPr>
            <w:tcW w:w="1134" w:type="dxa"/>
            <w:vAlign w:val="center"/>
          </w:tcPr>
          <w:p>
            <w:pPr>
              <w:jc w:val="center"/>
              <w:rPr>
                <w:rFonts w:hAnsi="宋体" w:cs="宋体"/>
                <w:color w:val="auto"/>
                <w:sz w:val="21"/>
                <w:szCs w:val="21"/>
              </w:rPr>
            </w:pPr>
          </w:p>
        </w:tc>
        <w:tc>
          <w:tcPr>
            <w:tcW w:w="992" w:type="dxa"/>
            <w:vAlign w:val="center"/>
          </w:tcPr>
          <w:p>
            <w:pPr>
              <w:jc w:val="center"/>
              <w:rPr>
                <w:rFonts w:hAnsi="宋体" w:cs="宋体"/>
                <w:color w:val="auto"/>
                <w:sz w:val="21"/>
                <w:szCs w:val="21"/>
              </w:rPr>
            </w:pPr>
          </w:p>
        </w:tc>
        <w:tc>
          <w:tcPr>
            <w:tcW w:w="948" w:type="dxa"/>
            <w:vAlign w:val="center"/>
          </w:tcPr>
          <w:p>
            <w:pPr>
              <w:jc w:val="center"/>
              <w:rPr>
                <w:rFonts w:hAnsi="宋体" w:cs="宋体"/>
                <w:color w:val="auto"/>
                <w:sz w:val="21"/>
                <w:szCs w:val="21"/>
              </w:rPr>
            </w:pPr>
          </w:p>
        </w:tc>
      </w:tr>
    </w:tbl>
    <w:p>
      <w:pPr>
        <w:snapToGrid w:val="0"/>
        <w:spacing w:line="360" w:lineRule="auto"/>
        <w:ind w:left="379" w:leftChars="-58" w:hanging="518" w:hangingChars="247"/>
        <w:rPr>
          <w:rFonts w:hAnsi="宋体" w:cs="宋体"/>
          <w:color w:val="auto"/>
          <w:kern w:val="2"/>
          <w:sz w:val="21"/>
          <w:lang w:val="zh-CN"/>
        </w:rPr>
      </w:pPr>
      <w:r>
        <w:rPr>
          <w:rFonts w:hint="eastAsia" w:hAnsi="宋体" w:cs="宋体"/>
          <w:color w:val="auto"/>
          <w:kern w:val="2"/>
          <w:sz w:val="21"/>
          <w:lang w:val="zh-CN"/>
        </w:rPr>
        <w:t>备注：</w:t>
      </w:r>
    </w:p>
    <w:p>
      <w:pPr>
        <w:snapToGrid w:val="0"/>
        <w:spacing w:line="360" w:lineRule="auto"/>
        <w:ind w:left="379" w:leftChars="-58" w:hanging="518" w:hangingChars="247"/>
        <w:rPr>
          <w:rFonts w:hAnsi="宋体" w:cs="宋体"/>
          <w:color w:val="auto"/>
          <w:sz w:val="21"/>
          <w:szCs w:val="21"/>
        </w:rPr>
      </w:pPr>
      <w:r>
        <w:rPr>
          <w:rFonts w:hint="eastAsia" w:hAnsi="宋体" w:cs="宋体"/>
          <w:color w:val="auto"/>
          <w:kern w:val="2"/>
          <w:sz w:val="21"/>
          <w:lang w:val="zh-CN"/>
        </w:rPr>
        <w:t>（1）项目</w:t>
      </w:r>
      <w:r>
        <w:rPr>
          <w:rFonts w:hint="eastAsia" w:hAnsi="宋体" w:cs="宋体"/>
          <w:color w:val="auto"/>
          <w:kern w:val="2"/>
          <w:sz w:val="21"/>
          <w:szCs w:val="21"/>
        </w:rPr>
        <w:t>业绩按单项合同金额从高到低的方式排列</w:t>
      </w:r>
      <w:r>
        <w:rPr>
          <w:rFonts w:hint="eastAsia" w:hAnsi="宋体" w:cs="宋体"/>
          <w:color w:val="auto"/>
          <w:sz w:val="21"/>
          <w:szCs w:val="21"/>
        </w:rPr>
        <w:t>；</w:t>
      </w:r>
    </w:p>
    <w:p>
      <w:pPr>
        <w:snapToGrid w:val="0"/>
        <w:spacing w:line="360" w:lineRule="auto"/>
        <w:ind w:left="379" w:leftChars="-58" w:hanging="518" w:hangingChars="247"/>
        <w:rPr>
          <w:rFonts w:hAnsi="宋体" w:cs="宋体"/>
          <w:color w:val="auto"/>
          <w:sz w:val="21"/>
          <w:szCs w:val="21"/>
        </w:rPr>
      </w:pPr>
      <w:r>
        <w:rPr>
          <w:rFonts w:hint="eastAsia" w:hAnsi="宋体" w:cs="宋体"/>
          <w:color w:val="auto"/>
          <w:kern w:val="2"/>
          <w:sz w:val="21"/>
          <w:szCs w:val="21"/>
        </w:rPr>
        <w:t>（2）业绩须附合同复印件加盖投标人公章；</w:t>
      </w:r>
    </w:p>
    <w:p>
      <w:pPr>
        <w:snapToGrid w:val="0"/>
        <w:spacing w:line="360" w:lineRule="auto"/>
        <w:ind w:left="379" w:leftChars="-58" w:hanging="518" w:hangingChars="247"/>
        <w:rPr>
          <w:rFonts w:hAnsi="宋体" w:cs="宋体"/>
          <w:color w:val="auto"/>
          <w:sz w:val="21"/>
          <w:szCs w:val="21"/>
        </w:rPr>
      </w:pPr>
      <w:r>
        <w:rPr>
          <w:rFonts w:hint="eastAsia" w:hAnsi="宋体" w:cs="宋体"/>
          <w:color w:val="auto"/>
          <w:sz w:val="21"/>
          <w:szCs w:val="21"/>
        </w:rPr>
        <w:t>（3）合同或用户评价必须能反映评分条件[合同签订日期为201</w:t>
      </w:r>
      <w:r>
        <w:rPr>
          <w:rFonts w:hAnsi="宋体" w:cs="宋体"/>
          <w:color w:val="auto"/>
          <w:sz w:val="21"/>
          <w:szCs w:val="21"/>
        </w:rPr>
        <w:t>8</w:t>
      </w:r>
      <w:r>
        <w:rPr>
          <w:rFonts w:hint="eastAsia" w:hAnsi="宋体" w:cs="宋体"/>
          <w:color w:val="auto"/>
          <w:sz w:val="21"/>
          <w:szCs w:val="21"/>
        </w:rPr>
        <w:t>年1月1日或以后，合同服务内容必须为食材配送服务，合同金额]，否则，需同时提供对应金额的发票或合同业主方出具的书面补充说明证明文件（需加盖业主方公章）；</w:t>
      </w:r>
    </w:p>
    <w:p>
      <w:pPr>
        <w:snapToGrid w:val="0"/>
        <w:spacing w:line="360" w:lineRule="auto"/>
        <w:ind w:left="379" w:leftChars="-58" w:hanging="518" w:hangingChars="247"/>
        <w:rPr>
          <w:rFonts w:hAnsi="宋体" w:cs="宋体"/>
          <w:color w:val="auto"/>
          <w:kern w:val="2"/>
          <w:sz w:val="21"/>
          <w:szCs w:val="21"/>
          <w:lang w:val="zh-CN"/>
        </w:rPr>
      </w:pPr>
      <w:r>
        <w:rPr>
          <w:rFonts w:hint="eastAsia" w:hAnsi="宋体" w:cs="宋体"/>
          <w:color w:val="auto"/>
          <w:kern w:val="2"/>
          <w:sz w:val="21"/>
          <w:szCs w:val="21"/>
          <w:lang w:val="zh-CN"/>
        </w:rPr>
        <w:t>（</w:t>
      </w:r>
      <w:r>
        <w:rPr>
          <w:rFonts w:hint="eastAsia" w:hAnsi="宋体" w:cs="宋体"/>
          <w:color w:val="auto"/>
          <w:kern w:val="2"/>
          <w:sz w:val="21"/>
          <w:szCs w:val="21"/>
        </w:rPr>
        <w:t>4</w:t>
      </w:r>
      <w:r>
        <w:rPr>
          <w:rFonts w:hint="eastAsia" w:hAnsi="宋体" w:cs="宋体"/>
          <w:color w:val="auto"/>
          <w:kern w:val="2"/>
          <w:sz w:val="21"/>
          <w:szCs w:val="21"/>
          <w:lang w:val="zh-CN"/>
        </w:rPr>
        <w:t>）若业绩为框架式协议或资格入围无明确金额的合同，必须同时提供合同期限内已服务发票金额统计表和发票复印件；</w:t>
      </w:r>
    </w:p>
    <w:p>
      <w:pPr>
        <w:autoSpaceDE/>
        <w:autoSpaceDN/>
        <w:adjustRightInd/>
        <w:snapToGrid w:val="0"/>
        <w:spacing w:line="360" w:lineRule="auto"/>
        <w:ind w:left="379" w:leftChars="-58" w:hanging="518" w:hangingChars="247"/>
        <w:rPr>
          <w:rFonts w:hAnsi="宋体" w:cs="宋体"/>
          <w:color w:val="auto"/>
          <w:sz w:val="21"/>
          <w:szCs w:val="21"/>
        </w:rPr>
      </w:pPr>
      <w:r>
        <w:rPr>
          <w:rFonts w:hint="eastAsia" w:hAnsi="宋体" w:cs="宋体"/>
          <w:color w:val="auto"/>
          <w:kern w:val="2"/>
          <w:sz w:val="21"/>
          <w:szCs w:val="21"/>
          <w:lang w:val="zh-CN"/>
        </w:rPr>
        <w:t>（</w:t>
      </w:r>
      <w:r>
        <w:rPr>
          <w:rFonts w:hint="eastAsia" w:hAnsi="宋体" w:cs="宋体"/>
          <w:color w:val="auto"/>
          <w:kern w:val="2"/>
          <w:sz w:val="21"/>
          <w:szCs w:val="21"/>
        </w:rPr>
        <w:t>5</w:t>
      </w:r>
      <w:r>
        <w:rPr>
          <w:rFonts w:hint="eastAsia" w:hAnsi="宋体" w:cs="宋体"/>
          <w:color w:val="auto"/>
          <w:kern w:val="2"/>
          <w:sz w:val="21"/>
          <w:szCs w:val="21"/>
          <w:lang w:val="zh-CN"/>
        </w:rPr>
        <w:t>）</w:t>
      </w:r>
      <w:r>
        <w:rPr>
          <w:rFonts w:hint="eastAsia" w:hAnsi="宋体" w:cs="宋体"/>
          <w:color w:val="auto"/>
          <w:sz w:val="21"/>
          <w:szCs w:val="21"/>
        </w:rPr>
        <w:t>未按上述要求提供证明材料的业绩，或所附材料无法证明填报项目属投标人完成的或符合本项评分要求的业绩，在评标时将不予考虑。</w:t>
      </w:r>
    </w:p>
    <w:p>
      <w:pPr>
        <w:autoSpaceDE/>
        <w:autoSpaceDN/>
        <w:adjustRightInd/>
        <w:snapToGrid w:val="0"/>
        <w:spacing w:line="360" w:lineRule="auto"/>
        <w:ind w:left="379" w:leftChars="-58" w:hanging="518" w:hangingChars="247"/>
        <w:rPr>
          <w:rFonts w:hint="eastAsia" w:hAnsi="宋体" w:cs="宋体"/>
          <w:color w:val="auto"/>
          <w:kern w:val="2"/>
          <w:sz w:val="21"/>
          <w:lang w:val="zh-CN"/>
        </w:rPr>
      </w:pPr>
      <w:r>
        <w:rPr>
          <w:rFonts w:hint="eastAsia" w:hAnsi="宋体" w:cs="宋体"/>
          <w:color w:val="auto"/>
          <w:kern w:val="2"/>
          <w:sz w:val="21"/>
          <w:lang w:val="zh-CN"/>
        </w:rPr>
        <w:t>（</w:t>
      </w:r>
      <w:r>
        <w:rPr>
          <w:rFonts w:hint="eastAsia" w:hAnsi="宋体" w:cs="宋体"/>
          <w:color w:val="auto"/>
          <w:kern w:val="2"/>
          <w:sz w:val="21"/>
        </w:rPr>
        <w:t>6</w:t>
      </w:r>
      <w:r>
        <w:rPr>
          <w:rFonts w:hint="eastAsia" w:hAnsi="宋体" w:cs="宋体"/>
          <w:color w:val="auto"/>
          <w:kern w:val="2"/>
          <w:sz w:val="21"/>
          <w:lang w:val="zh-CN"/>
        </w:rPr>
        <w:t>）招标人有权对上述业绩进行核查，若发现弄虚作假，有权按照评标委员会推荐的中标候选人名单排序依次确定其他中标候选人为中标人或重新招标，并不予退还投标保证金，若合同履行过程中发现弄虚作假，将没收履约担保，并将上报行政管理部门，从严处理。</w:t>
      </w:r>
    </w:p>
    <w:p>
      <w:pPr>
        <w:snapToGrid w:val="0"/>
        <w:spacing w:line="360" w:lineRule="auto"/>
        <w:ind w:left="379" w:leftChars="-58" w:hanging="518" w:hangingChars="247"/>
        <w:rPr>
          <w:rFonts w:hAnsi="宋体" w:cs="宋体"/>
          <w:color w:val="auto"/>
          <w:kern w:val="2"/>
          <w:sz w:val="21"/>
          <w:szCs w:val="21"/>
          <w:lang w:val="zh-CN"/>
        </w:rPr>
      </w:pPr>
      <w:r>
        <w:rPr>
          <w:rFonts w:hint="eastAsia" w:hAnsi="宋体" w:cs="宋体"/>
          <w:color w:val="auto"/>
          <w:kern w:val="2"/>
          <w:sz w:val="21"/>
          <w:szCs w:val="21"/>
          <w:lang w:val="zh-CN"/>
        </w:rPr>
        <w:t>（7）在接到招标人通知之日起3个工作日内，投标人必须提供上述合同及其证明材料的原件供招标人核对其真实性。</w:t>
      </w:r>
    </w:p>
    <w:p>
      <w:pPr>
        <w:spacing w:line="360" w:lineRule="auto"/>
        <w:rPr>
          <w:rFonts w:hAnsi="宋体" w:cs="宋体"/>
          <w:color w:val="auto"/>
          <w:kern w:val="2"/>
          <w:sz w:val="21"/>
        </w:rPr>
      </w:pPr>
    </w:p>
    <w:p>
      <w:pPr>
        <w:spacing w:line="360" w:lineRule="auto"/>
        <w:ind w:firstLine="5040" w:firstLineChars="2400"/>
        <w:rPr>
          <w:rFonts w:hAnsi="宋体" w:cs="宋体"/>
          <w:color w:val="auto"/>
          <w:sz w:val="21"/>
          <w:szCs w:val="21"/>
        </w:rPr>
      </w:pPr>
      <w:r>
        <w:rPr>
          <w:rFonts w:hint="eastAsia" w:hAnsi="宋体" w:cs="宋体"/>
          <w:color w:val="auto"/>
          <w:kern w:val="2"/>
          <w:sz w:val="21"/>
          <w:lang w:val="zh-CN"/>
        </w:rPr>
        <w:t>投标人：（加盖投标人法人公章）</w:t>
      </w:r>
    </w:p>
    <w:p>
      <w:pPr>
        <w:spacing w:line="360" w:lineRule="auto"/>
        <w:ind w:firstLine="5040" w:firstLineChars="2400"/>
        <w:rPr>
          <w:rFonts w:hAnsi="宋体" w:cs="宋体"/>
          <w:color w:val="auto"/>
          <w:kern w:val="2"/>
          <w:sz w:val="21"/>
          <w:lang w:val="zh-CN"/>
        </w:rPr>
      </w:pPr>
      <w:r>
        <w:rPr>
          <w:rFonts w:hint="eastAsia" w:hAnsi="宋体" w:cs="宋体"/>
          <w:color w:val="auto"/>
          <w:kern w:val="2"/>
          <w:sz w:val="21"/>
          <w:lang w:val="zh-CN"/>
        </w:rPr>
        <w:t>日期：   年   月   日</w:t>
      </w:r>
    </w:p>
    <w:p>
      <w:pPr>
        <w:spacing w:line="360" w:lineRule="auto"/>
        <w:jc w:val="both"/>
        <w:rPr>
          <w:rFonts w:hAnsi="宋体" w:cs="宋体"/>
          <w:b/>
          <w:bCs/>
          <w:color w:val="auto"/>
          <w:kern w:val="2"/>
          <w:sz w:val="30"/>
          <w:szCs w:val="30"/>
          <w:lang w:val="zh-CN"/>
        </w:rPr>
      </w:pPr>
      <w:bookmarkStart w:id="207" w:name="_Toc534983546"/>
      <w:bookmarkStart w:id="208" w:name="_Toc447045097"/>
      <w:bookmarkStart w:id="209" w:name="_Toc447044610"/>
      <w:bookmarkStart w:id="210" w:name="_Toc447044486"/>
      <w:bookmarkStart w:id="211" w:name="_Toc4743574"/>
      <w:r>
        <w:rPr>
          <w:rFonts w:hint="eastAsia" w:hAnsi="宋体" w:cs="宋体"/>
          <w:b/>
          <w:bCs/>
          <w:color w:val="auto"/>
          <w:kern w:val="2"/>
          <w:sz w:val="30"/>
          <w:szCs w:val="30"/>
          <w:lang w:val="zh-CN"/>
        </w:rPr>
        <w:t>附表：已服务发票金额统计表</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3202"/>
        <w:gridCol w:w="1135"/>
        <w:gridCol w:w="1274"/>
        <w:gridCol w:w="1558"/>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vAlign w:val="center"/>
          </w:tcPr>
          <w:p>
            <w:pPr>
              <w:pStyle w:val="21"/>
              <w:snapToGrid w:val="0"/>
              <w:spacing w:line="360" w:lineRule="auto"/>
              <w:ind w:left="0" w:leftChars="0"/>
              <w:jc w:val="center"/>
              <w:rPr>
                <w:rFonts w:ascii="宋体" w:hAnsi="宋体" w:cs="宋体"/>
                <w:color w:val="auto"/>
                <w:sz w:val="21"/>
                <w:szCs w:val="21"/>
              </w:rPr>
            </w:pPr>
            <w:r>
              <w:rPr>
                <w:rFonts w:hint="eastAsia" w:ascii="宋体" w:hAnsi="宋体" w:cs="宋体"/>
                <w:color w:val="auto"/>
                <w:sz w:val="21"/>
                <w:szCs w:val="21"/>
              </w:rPr>
              <w:t>项目名称</w:t>
            </w:r>
          </w:p>
        </w:tc>
        <w:tc>
          <w:tcPr>
            <w:tcW w:w="5208" w:type="dxa"/>
            <w:gridSpan w:val="4"/>
            <w:vAlign w:val="center"/>
          </w:tcPr>
          <w:p>
            <w:pPr>
              <w:pStyle w:val="21"/>
              <w:snapToGrid w:val="0"/>
              <w:spacing w:line="360" w:lineRule="auto"/>
              <w:ind w:left="0" w:leftChars="0"/>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vAlign w:val="center"/>
          </w:tcPr>
          <w:p>
            <w:pPr>
              <w:pStyle w:val="21"/>
              <w:snapToGrid w:val="0"/>
              <w:spacing w:line="360" w:lineRule="auto"/>
              <w:ind w:left="0" w:leftChars="0"/>
              <w:jc w:val="center"/>
              <w:rPr>
                <w:rFonts w:ascii="宋体" w:hAnsi="宋体" w:cs="宋体"/>
                <w:color w:val="auto"/>
                <w:sz w:val="21"/>
                <w:szCs w:val="21"/>
              </w:rPr>
            </w:pPr>
            <w:r>
              <w:rPr>
                <w:rFonts w:hint="eastAsia" w:ascii="宋体" w:hAnsi="宋体" w:cs="宋体"/>
                <w:color w:val="auto"/>
                <w:sz w:val="21"/>
                <w:szCs w:val="21"/>
              </w:rPr>
              <w:t>合同约定的服务期</w:t>
            </w:r>
          </w:p>
        </w:tc>
        <w:tc>
          <w:tcPr>
            <w:tcW w:w="5208" w:type="dxa"/>
            <w:gridSpan w:val="4"/>
            <w:vAlign w:val="center"/>
          </w:tcPr>
          <w:p>
            <w:pPr>
              <w:pStyle w:val="21"/>
              <w:snapToGrid w:val="0"/>
              <w:spacing w:line="360" w:lineRule="auto"/>
              <w:ind w:left="0" w:leftChars="0"/>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vAlign w:val="center"/>
          </w:tcPr>
          <w:p>
            <w:pPr>
              <w:pStyle w:val="21"/>
              <w:snapToGrid w:val="0"/>
              <w:spacing w:line="360" w:lineRule="auto"/>
              <w:ind w:left="0" w:leftChars="0"/>
              <w:jc w:val="center"/>
              <w:rPr>
                <w:rFonts w:ascii="宋体" w:hAnsi="宋体" w:cs="宋体"/>
                <w:color w:val="auto"/>
                <w:sz w:val="21"/>
                <w:szCs w:val="21"/>
              </w:rPr>
            </w:pPr>
            <w:r>
              <w:rPr>
                <w:rFonts w:hint="eastAsia" w:ascii="宋体" w:hAnsi="宋体" w:cs="宋体"/>
                <w:color w:val="auto"/>
                <w:sz w:val="21"/>
                <w:szCs w:val="21"/>
              </w:rPr>
              <w:t>发票抬头（</w:t>
            </w:r>
            <w:r>
              <w:rPr>
                <w:rFonts w:hint="eastAsia" w:ascii="宋体" w:hAnsi="宋体" w:cs="宋体"/>
                <w:color w:val="auto"/>
                <w:sz w:val="21"/>
              </w:rPr>
              <w:t>合同甲方）</w:t>
            </w:r>
          </w:p>
        </w:tc>
        <w:tc>
          <w:tcPr>
            <w:tcW w:w="5208" w:type="dxa"/>
            <w:gridSpan w:val="4"/>
            <w:vAlign w:val="center"/>
          </w:tcPr>
          <w:p>
            <w:pPr>
              <w:pStyle w:val="21"/>
              <w:snapToGrid w:val="0"/>
              <w:spacing w:line="360" w:lineRule="auto"/>
              <w:ind w:left="0" w:leftChars="0"/>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Align w:val="center"/>
          </w:tcPr>
          <w:p>
            <w:pPr>
              <w:pStyle w:val="21"/>
              <w:snapToGrid w:val="0"/>
              <w:spacing w:line="360" w:lineRule="auto"/>
              <w:ind w:left="0" w:leftChars="0"/>
              <w:jc w:val="center"/>
              <w:rPr>
                <w:rFonts w:ascii="宋体" w:hAnsi="宋体" w:cs="宋体"/>
                <w:color w:val="auto"/>
                <w:sz w:val="21"/>
                <w:szCs w:val="21"/>
              </w:rPr>
            </w:pPr>
            <w:r>
              <w:rPr>
                <w:rFonts w:hint="eastAsia" w:ascii="宋体" w:hAnsi="宋体" w:cs="宋体"/>
                <w:color w:val="auto"/>
                <w:sz w:val="21"/>
                <w:szCs w:val="21"/>
              </w:rPr>
              <w:t>序号</w:t>
            </w:r>
          </w:p>
        </w:tc>
        <w:tc>
          <w:tcPr>
            <w:tcW w:w="3202" w:type="dxa"/>
            <w:vAlign w:val="center"/>
          </w:tcPr>
          <w:p>
            <w:pPr>
              <w:pStyle w:val="21"/>
              <w:snapToGrid w:val="0"/>
              <w:spacing w:line="360" w:lineRule="auto"/>
              <w:ind w:left="0" w:leftChars="0"/>
              <w:jc w:val="center"/>
              <w:rPr>
                <w:rFonts w:ascii="宋体" w:hAnsi="宋体" w:cs="宋体"/>
                <w:color w:val="auto"/>
                <w:sz w:val="21"/>
                <w:szCs w:val="21"/>
              </w:rPr>
            </w:pPr>
            <w:r>
              <w:rPr>
                <w:rFonts w:hint="eastAsia" w:ascii="宋体" w:hAnsi="宋体" w:cs="宋体"/>
                <w:color w:val="auto"/>
                <w:sz w:val="21"/>
                <w:szCs w:val="21"/>
              </w:rPr>
              <w:t>发票名目</w:t>
            </w:r>
          </w:p>
        </w:tc>
        <w:tc>
          <w:tcPr>
            <w:tcW w:w="1135" w:type="dxa"/>
            <w:vAlign w:val="center"/>
          </w:tcPr>
          <w:p>
            <w:pPr>
              <w:pStyle w:val="21"/>
              <w:snapToGrid w:val="0"/>
              <w:spacing w:line="360" w:lineRule="auto"/>
              <w:ind w:left="0" w:leftChars="0"/>
              <w:jc w:val="center"/>
              <w:rPr>
                <w:rFonts w:ascii="宋体" w:hAnsi="宋体" w:cs="宋体"/>
                <w:color w:val="auto"/>
                <w:sz w:val="21"/>
                <w:szCs w:val="21"/>
              </w:rPr>
            </w:pPr>
            <w:r>
              <w:rPr>
                <w:rFonts w:hint="eastAsia" w:ascii="宋体" w:hAnsi="宋体" w:cs="宋体"/>
                <w:color w:val="auto"/>
                <w:sz w:val="21"/>
                <w:szCs w:val="21"/>
              </w:rPr>
              <w:t>发票金额</w:t>
            </w:r>
          </w:p>
        </w:tc>
        <w:tc>
          <w:tcPr>
            <w:tcW w:w="1274" w:type="dxa"/>
            <w:vAlign w:val="center"/>
          </w:tcPr>
          <w:p>
            <w:pPr>
              <w:pStyle w:val="21"/>
              <w:snapToGrid w:val="0"/>
              <w:spacing w:line="360" w:lineRule="auto"/>
              <w:ind w:left="0" w:leftChars="0"/>
              <w:jc w:val="center"/>
              <w:rPr>
                <w:rFonts w:ascii="宋体" w:hAnsi="宋体" w:cs="宋体"/>
                <w:color w:val="auto"/>
                <w:sz w:val="21"/>
                <w:szCs w:val="21"/>
              </w:rPr>
            </w:pPr>
            <w:r>
              <w:rPr>
                <w:rFonts w:hint="eastAsia" w:ascii="宋体" w:hAnsi="宋体" w:cs="宋体"/>
                <w:color w:val="auto"/>
                <w:sz w:val="21"/>
                <w:szCs w:val="21"/>
              </w:rPr>
              <w:t>发票号码</w:t>
            </w:r>
          </w:p>
        </w:tc>
        <w:tc>
          <w:tcPr>
            <w:tcW w:w="1558" w:type="dxa"/>
            <w:vAlign w:val="center"/>
          </w:tcPr>
          <w:p>
            <w:pPr>
              <w:pStyle w:val="21"/>
              <w:snapToGrid w:val="0"/>
              <w:spacing w:line="360" w:lineRule="auto"/>
              <w:ind w:left="0" w:leftChars="0"/>
              <w:jc w:val="center"/>
              <w:rPr>
                <w:rFonts w:ascii="宋体" w:hAnsi="宋体" w:cs="宋体"/>
                <w:color w:val="auto"/>
                <w:sz w:val="21"/>
                <w:szCs w:val="21"/>
              </w:rPr>
            </w:pPr>
            <w:r>
              <w:rPr>
                <w:rFonts w:hint="eastAsia" w:ascii="宋体" w:hAnsi="宋体" w:cs="宋体"/>
                <w:color w:val="auto"/>
                <w:sz w:val="21"/>
                <w:szCs w:val="21"/>
              </w:rPr>
              <w:t>发票所属时期</w:t>
            </w:r>
          </w:p>
        </w:tc>
        <w:tc>
          <w:tcPr>
            <w:tcW w:w="1241" w:type="dxa"/>
            <w:vAlign w:val="center"/>
          </w:tcPr>
          <w:p>
            <w:pPr>
              <w:pStyle w:val="21"/>
              <w:snapToGrid w:val="0"/>
              <w:spacing w:line="360" w:lineRule="auto"/>
              <w:ind w:left="0" w:leftChars="0"/>
              <w:jc w:val="center"/>
              <w:rPr>
                <w:rFonts w:ascii="宋体" w:hAnsi="宋体" w:cs="宋体"/>
                <w:color w:val="auto"/>
                <w:sz w:val="21"/>
                <w:szCs w:val="21"/>
              </w:rPr>
            </w:pPr>
            <w:r>
              <w:rPr>
                <w:rFonts w:hint="eastAsia" w:ascii="宋体" w:hAnsi="宋体" w:cs="宋体"/>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Align w:val="center"/>
          </w:tcPr>
          <w:p>
            <w:pPr>
              <w:pStyle w:val="21"/>
              <w:snapToGrid w:val="0"/>
              <w:spacing w:line="360" w:lineRule="auto"/>
              <w:ind w:left="0" w:leftChars="0"/>
              <w:jc w:val="center"/>
              <w:rPr>
                <w:rFonts w:ascii="宋体" w:hAnsi="宋体" w:cs="宋体"/>
                <w:color w:val="auto"/>
                <w:sz w:val="21"/>
                <w:szCs w:val="21"/>
              </w:rPr>
            </w:pPr>
            <w:r>
              <w:rPr>
                <w:rFonts w:hint="eastAsia" w:ascii="宋体" w:hAnsi="宋体" w:cs="宋体"/>
                <w:color w:val="auto"/>
                <w:sz w:val="21"/>
                <w:szCs w:val="21"/>
              </w:rPr>
              <w:t>1</w:t>
            </w:r>
          </w:p>
        </w:tc>
        <w:tc>
          <w:tcPr>
            <w:tcW w:w="3202" w:type="dxa"/>
            <w:vAlign w:val="center"/>
          </w:tcPr>
          <w:p>
            <w:pPr>
              <w:pStyle w:val="21"/>
              <w:snapToGrid w:val="0"/>
              <w:spacing w:line="360" w:lineRule="auto"/>
              <w:ind w:left="0" w:leftChars="0"/>
              <w:jc w:val="center"/>
              <w:rPr>
                <w:rFonts w:ascii="宋体" w:hAnsi="宋体" w:cs="宋体"/>
                <w:color w:val="auto"/>
                <w:sz w:val="21"/>
                <w:szCs w:val="21"/>
              </w:rPr>
            </w:pPr>
          </w:p>
        </w:tc>
        <w:tc>
          <w:tcPr>
            <w:tcW w:w="1135" w:type="dxa"/>
            <w:vAlign w:val="center"/>
          </w:tcPr>
          <w:p>
            <w:pPr>
              <w:pStyle w:val="21"/>
              <w:snapToGrid w:val="0"/>
              <w:spacing w:line="360" w:lineRule="auto"/>
              <w:ind w:left="0" w:leftChars="0"/>
              <w:jc w:val="center"/>
              <w:rPr>
                <w:rFonts w:ascii="宋体" w:hAnsi="宋体" w:cs="宋体"/>
                <w:color w:val="auto"/>
                <w:sz w:val="21"/>
                <w:szCs w:val="21"/>
              </w:rPr>
            </w:pPr>
          </w:p>
        </w:tc>
        <w:tc>
          <w:tcPr>
            <w:tcW w:w="1274" w:type="dxa"/>
            <w:vAlign w:val="center"/>
          </w:tcPr>
          <w:p>
            <w:pPr>
              <w:pStyle w:val="21"/>
              <w:snapToGrid w:val="0"/>
              <w:spacing w:line="360" w:lineRule="auto"/>
              <w:ind w:left="0" w:leftChars="0"/>
              <w:jc w:val="center"/>
              <w:rPr>
                <w:rFonts w:ascii="宋体" w:hAnsi="宋体" w:cs="宋体"/>
                <w:color w:val="auto"/>
                <w:sz w:val="21"/>
                <w:szCs w:val="21"/>
              </w:rPr>
            </w:pPr>
          </w:p>
        </w:tc>
        <w:tc>
          <w:tcPr>
            <w:tcW w:w="1558" w:type="dxa"/>
            <w:vAlign w:val="center"/>
          </w:tcPr>
          <w:p>
            <w:pPr>
              <w:pStyle w:val="21"/>
              <w:snapToGrid w:val="0"/>
              <w:spacing w:line="360" w:lineRule="auto"/>
              <w:ind w:left="0" w:leftChars="0"/>
              <w:jc w:val="center"/>
              <w:rPr>
                <w:rFonts w:ascii="宋体" w:hAnsi="宋体" w:cs="宋体"/>
                <w:color w:val="auto"/>
                <w:sz w:val="21"/>
                <w:szCs w:val="21"/>
              </w:rPr>
            </w:pPr>
          </w:p>
        </w:tc>
        <w:tc>
          <w:tcPr>
            <w:tcW w:w="1241" w:type="dxa"/>
            <w:vAlign w:val="center"/>
          </w:tcPr>
          <w:p>
            <w:pPr>
              <w:pStyle w:val="21"/>
              <w:snapToGrid w:val="0"/>
              <w:spacing w:line="360" w:lineRule="auto"/>
              <w:ind w:left="0" w:leftChars="0"/>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Align w:val="center"/>
          </w:tcPr>
          <w:p>
            <w:pPr>
              <w:pStyle w:val="21"/>
              <w:snapToGrid w:val="0"/>
              <w:spacing w:line="360" w:lineRule="auto"/>
              <w:ind w:left="0" w:leftChars="0"/>
              <w:jc w:val="center"/>
              <w:rPr>
                <w:rFonts w:ascii="宋体" w:hAnsi="宋体" w:cs="宋体"/>
                <w:color w:val="auto"/>
                <w:sz w:val="21"/>
                <w:szCs w:val="21"/>
              </w:rPr>
            </w:pPr>
            <w:r>
              <w:rPr>
                <w:rFonts w:hint="eastAsia" w:ascii="宋体" w:hAnsi="宋体" w:cs="宋体"/>
                <w:color w:val="auto"/>
                <w:sz w:val="21"/>
                <w:szCs w:val="21"/>
              </w:rPr>
              <w:t>2</w:t>
            </w:r>
          </w:p>
        </w:tc>
        <w:tc>
          <w:tcPr>
            <w:tcW w:w="3202" w:type="dxa"/>
            <w:vAlign w:val="center"/>
          </w:tcPr>
          <w:p>
            <w:pPr>
              <w:pStyle w:val="21"/>
              <w:snapToGrid w:val="0"/>
              <w:spacing w:line="360" w:lineRule="auto"/>
              <w:ind w:left="0" w:leftChars="0"/>
              <w:jc w:val="center"/>
              <w:rPr>
                <w:rFonts w:ascii="宋体" w:hAnsi="宋体" w:cs="宋体"/>
                <w:color w:val="auto"/>
                <w:sz w:val="21"/>
                <w:szCs w:val="21"/>
              </w:rPr>
            </w:pPr>
          </w:p>
        </w:tc>
        <w:tc>
          <w:tcPr>
            <w:tcW w:w="1135" w:type="dxa"/>
            <w:vAlign w:val="center"/>
          </w:tcPr>
          <w:p>
            <w:pPr>
              <w:pStyle w:val="21"/>
              <w:snapToGrid w:val="0"/>
              <w:spacing w:line="360" w:lineRule="auto"/>
              <w:ind w:left="0" w:leftChars="0"/>
              <w:jc w:val="center"/>
              <w:rPr>
                <w:rFonts w:ascii="宋体" w:hAnsi="宋体" w:cs="宋体"/>
                <w:color w:val="auto"/>
                <w:sz w:val="21"/>
                <w:szCs w:val="21"/>
              </w:rPr>
            </w:pPr>
          </w:p>
        </w:tc>
        <w:tc>
          <w:tcPr>
            <w:tcW w:w="1274" w:type="dxa"/>
            <w:vAlign w:val="center"/>
          </w:tcPr>
          <w:p>
            <w:pPr>
              <w:pStyle w:val="21"/>
              <w:snapToGrid w:val="0"/>
              <w:spacing w:line="360" w:lineRule="auto"/>
              <w:ind w:left="0" w:leftChars="0"/>
              <w:jc w:val="center"/>
              <w:rPr>
                <w:rFonts w:ascii="宋体" w:hAnsi="宋体" w:cs="宋体"/>
                <w:color w:val="auto"/>
                <w:sz w:val="21"/>
                <w:szCs w:val="21"/>
              </w:rPr>
            </w:pPr>
          </w:p>
        </w:tc>
        <w:tc>
          <w:tcPr>
            <w:tcW w:w="1558" w:type="dxa"/>
            <w:vAlign w:val="center"/>
          </w:tcPr>
          <w:p>
            <w:pPr>
              <w:pStyle w:val="21"/>
              <w:snapToGrid w:val="0"/>
              <w:spacing w:line="360" w:lineRule="auto"/>
              <w:ind w:left="0" w:leftChars="0"/>
              <w:jc w:val="center"/>
              <w:rPr>
                <w:rFonts w:ascii="宋体" w:hAnsi="宋体" w:cs="宋体"/>
                <w:color w:val="auto"/>
                <w:sz w:val="21"/>
                <w:szCs w:val="21"/>
              </w:rPr>
            </w:pPr>
          </w:p>
        </w:tc>
        <w:tc>
          <w:tcPr>
            <w:tcW w:w="1241" w:type="dxa"/>
            <w:vAlign w:val="center"/>
          </w:tcPr>
          <w:p>
            <w:pPr>
              <w:pStyle w:val="21"/>
              <w:snapToGrid w:val="0"/>
              <w:spacing w:line="360" w:lineRule="auto"/>
              <w:ind w:left="0" w:leftChars="0"/>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Align w:val="center"/>
          </w:tcPr>
          <w:p>
            <w:pPr>
              <w:pStyle w:val="21"/>
              <w:snapToGrid w:val="0"/>
              <w:spacing w:line="360" w:lineRule="auto"/>
              <w:ind w:left="0" w:leftChars="0"/>
              <w:jc w:val="center"/>
              <w:rPr>
                <w:rFonts w:ascii="宋体" w:hAnsi="宋体" w:cs="宋体"/>
                <w:color w:val="auto"/>
                <w:sz w:val="21"/>
                <w:szCs w:val="21"/>
              </w:rPr>
            </w:pPr>
            <w:r>
              <w:rPr>
                <w:rFonts w:hint="eastAsia" w:ascii="宋体" w:hAnsi="宋体" w:cs="宋体"/>
                <w:color w:val="auto"/>
                <w:sz w:val="21"/>
                <w:szCs w:val="21"/>
              </w:rPr>
              <w:t>3</w:t>
            </w:r>
          </w:p>
        </w:tc>
        <w:tc>
          <w:tcPr>
            <w:tcW w:w="3202" w:type="dxa"/>
            <w:vAlign w:val="center"/>
          </w:tcPr>
          <w:p>
            <w:pPr>
              <w:pStyle w:val="21"/>
              <w:snapToGrid w:val="0"/>
              <w:spacing w:line="360" w:lineRule="auto"/>
              <w:ind w:left="0" w:leftChars="0"/>
              <w:jc w:val="center"/>
              <w:rPr>
                <w:rFonts w:ascii="宋体" w:hAnsi="宋体" w:cs="宋体"/>
                <w:color w:val="auto"/>
                <w:sz w:val="21"/>
                <w:szCs w:val="21"/>
              </w:rPr>
            </w:pPr>
          </w:p>
        </w:tc>
        <w:tc>
          <w:tcPr>
            <w:tcW w:w="1135" w:type="dxa"/>
            <w:vAlign w:val="center"/>
          </w:tcPr>
          <w:p>
            <w:pPr>
              <w:pStyle w:val="21"/>
              <w:snapToGrid w:val="0"/>
              <w:spacing w:line="360" w:lineRule="auto"/>
              <w:ind w:left="0" w:leftChars="0"/>
              <w:jc w:val="center"/>
              <w:rPr>
                <w:rFonts w:ascii="宋体" w:hAnsi="宋体" w:cs="宋体"/>
                <w:color w:val="auto"/>
                <w:sz w:val="21"/>
                <w:szCs w:val="21"/>
              </w:rPr>
            </w:pPr>
          </w:p>
        </w:tc>
        <w:tc>
          <w:tcPr>
            <w:tcW w:w="1274" w:type="dxa"/>
            <w:vAlign w:val="center"/>
          </w:tcPr>
          <w:p>
            <w:pPr>
              <w:pStyle w:val="21"/>
              <w:snapToGrid w:val="0"/>
              <w:spacing w:line="360" w:lineRule="auto"/>
              <w:ind w:left="0" w:leftChars="0"/>
              <w:jc w:val="center"/>
              <w:rPr>
                <w:rFonts w:ascii="宋体" w:hAnsi="宋体" w:cs="宋体"/>
                <w:color w:val="auto"/>
                <w:sz w:val="21"/>
                <w:szCs w:val="21"/>
              </w:rPr>
            </w:pPr>
          </w:p>
        </w:tc>
        <w:tc>
          <w:tcPr>
            <w:tcW w:w="1558" w:type="dxa"/>
            <w:vAlign w:val="center"/>
          </w:tcPr>
          <w:p>
            <w:pPr>
              <w:pStyle w:val="21"/>
              <w:snapToGrid w:val="0"/>
              <w:spacing w:line="360" w:lineRule="auto"/>
              <w:ind w:left="0" w:leftChars="0"/>
              <w:jc w:val="center"/>
              <w:rPr>
                <w:rFonts w:ascii="宋体" w:hAnsi="宋体" w:cs="宋体"/>
                <w:color w:val="auto"/>
                <w:sz w:val="21"/>
                <w:szCs w:val="21"/>
              </w:rPr>
            </w:pPr>
          </w:p>
        </w:tc>
        <w:tc>
          <w:tcPr>
            <w:tcW w:w="1241" w:type="dxa"/>
            <w:vAlign w:val="center"/>
          </w:tcPr>
          <w:p>
            <w:pPr>
              <w:pStyle w:val="21"/>
              <w:snapToGrid w:val="0"/>
              <w:spacing w:line="360" w:lineRule="auto"/>
              <w:ind w:left="0" w:leftChars="0"/>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Align w:val="center"/>
          </w:tcPr>
          <w:p>
            <w:pPr>
              <w:pStyle w:val="21"/>
              <w:snapToGrid w:val="0"/>
              <w:spacing w:line="360" w:lineRule="auto"/>
              <w:ind w:left="0" w:leftChars="0"/>
              <w:jc w:val="center"/>
              <w:rPr>
                <w:rFonts w:ascii="宋体" w:hAnsi="宋体" w:cs="宋体"/>
                <w:color w:val="auto"/>
                <w:sz w:val="21"/>
                <w:szCs w:val="21"/>
              </w:rPr>
            </w:pPr>
            <w:r>
              <w:rPr>
                <w:rFonts w:hint="eastAsia" w:ascii="宋体" w:hAnsi="宋体" w:cs="宋体"/>
                <w:color w:val="auto"/>
                <w:sz w:val="21"/>
                <w:szCs w:val="21"/>
              </w:rPr>
              <w:t>...</w:t>
            </w:r>
          </w:p>
        </w:tc>
        <w:tc>
          <w:tcPr>
            <w:tcW w:w="3202" w:type="dxa"/>
            <w:vAlign w:val="center"/>
          </w:tcPr>
          <w:p>
            <w:pPr>
              <w:pStyle w:val="21"/>
              <w:snapToGrid w:val="0"/>
              <w:spacing w:line="360" w:lineRule="auto"/>
              <w:ind w:left="0" w:leftChars="0"/>
              <w:jc w:val="center"/>
              <w:rPr>
                <w:rFonts w:ascii="宋体" w:hAnsi="宋体" w:cs="宋体"/>
                <w:color w:val="auto"/>
                <w:sz w:val="21"/>
                <w:szCs w:val="21"/>
              </w:rPr>
            </w:pPr>
          </w:p>
        </w:tc>
        <w:tc>
          <w:tcPr>
            <w:tcW w:w="1135" w:type="dxa"/>
            <w:vAlign w:val="center"/>
          </w:tcPr>
          <w:p>
            <w:pPr>
              <w:pStyle w:val="21"/>
              <w:snapToGrid w:val="0"/>
              <w:spacing w:line="360" w:lineRule="auto"/>
              <w:ind w:left="0" w:leftChars="0"/>
              <w:jc w:val="center"/>
              <w:rPr>
                <w:rFonts w:ascii="宋体" w:hAnsi="宋体" w:cs="宋体"/>
                <w:color w:val="auto"/>
                <w:sz w:val="21"/>
                <w:szCs w:val="21"/>
              </w:rPr>
            </w:pPr>
          </w:p>
        </w:tc>
        <w:tc>
          <w:tcPr>
            <w:tcW w:w="1274" w:type="dxa"/>
            <w:vAlign w:val="center"/>
          </w:tcPr>
          <w:p>
            <w:pPr>
              <w:pStyle w:val="21"/>
              <w:snapToGrid w:val="0"/>
              <w:spacing w:line="360" w:lineRule="auto"/>
              <w:ind w:left="0" w:leftChars="0"/>
              <w:jc w:val="center"/>
              <w:rPr>
                <w:rFonts w:ascii="宋体" w:hAnsi="宋体" w:cs="宋体"/>
                <w:color w:val="auto"/>
                <w:sz w:val="21"/>
                <w:szCs w:val="21"/>
              </w:rPr>
            </w:pPr>
          </w:p>
        </w:tc>
        <w:tc>
          <w:tcPr>
            <w:tcW w:w="1558" w:type="dxa"/>
            <w:vAlign w:val="center"/>
          </w:tcPr>
          <w:p>
            <w:pPr>
              <w:pStyle w:val="21"/>
              <w:snapToGrid w:val="0"/>
              <w:spacing w:line="360" w:lineRule="auto"/>
              <w:ind w:left="0" w:leftChars="0"/>
              <w:jc w:val="center"/>
              <w:rPr>
                <w:rFonts w:ascii="宋体" w:hAnsi="宋体" w:cs="宋体"/>
                <w:color w:val="auto"/>
                <w:sz w:val="21"/>
                <w:szCs w:val="21"/>
              </w:rPr>
            </w:pPr>
          </w:p>
        </w:tc>
        <w:tc>
          <w:tcPr>
            <w:tcW w:w="1241" w:type="dxa"/>
            <w:vAlign w:val="center"/>
          </w:tcPr>
          <w:p>
            <w:pPr>
              <w:pStyle w:val="21"/>
              <w:snapToGrid w:val="0"/>
              <w:spacing w:line="360" w:lineRule="auto"/>
              <w:ind w:left="0" w:leftChars="0"/>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vAlign w:val="center"/>
          </w:tcPr>
          <w:p>
            <w:pPr>
              <w:pStyle w:val="21"/>
              <w:snapToGrid w:val="0"/>
              <w:spacing w:line="360" w:lineRule="auto"/>
              <w:ind w:left="0" w:leftChars="0"/>
              <w:jc w:val="center"/>
              <w:rPr>
                <w:rFonts w:ascii="宋体" w:hAnsi="宋体" w:cs="宋体"/>
                <w:color w:val="auto"/>
                <w:sz w:val="21"/>
                <w:szCs w:val="21"/>
              </w:rPr>
            </w:pPr>
            <w:r>
              <w:rPr>
                <w:rFonts w:hint="eastAsia" w:ascii="宋体" w:hAnsi="宋体" w:cs="宋体"/>
                <w:color w:val="auto"/>
                <w:sz w:val="21"/>
                <w:szCs w:val="21"/>
              </w:rPr>
              <w:t>发票金额合计</w:t>
            </w:r>
          </w:p>
        </w:tc>
        <w:tc>
          <w:tcPr>
            <w:tcW w:w="1135" w:type="dxa"/>
            <w:vAlign w:val="center"/>
          </w:tcPr>
          <w:p>
            <w:pPr>
              <w:pStyle w:val="21"/>
              <w:snapToGrid w:val="0"/>
              <w:spacing w:line="360" w:lineRule="auto"/>
              <w:ind w:left="0" w:leftChars="0"/>
              <w:jc w:val="center"/>
              <w:rPr>
                <w:rFonts w:ascii="宋体" w:hAnsi="宋体" w:cs="宋体"/>
                <w:color w:val="auto"/>
                <w:sz w:val="21"/>
                <w:szCs w:val="21"/>
              </w:rPr>
            </w:pPr>
          </w:p>
        </w:tc>
        <w:tc>
          <w:tcPr>
            <w:tcW w:w="1274" w:type="dxa"/>
            <w:vAlign w:val="center"/>
          </w:tcPr>
          <w:p>
            <w:pPr>
              <w:pStyle w:val="21"/>
              <w:snapToGrid w:val="0"/>
              <w:spacing w:line="360" w:lineRule="auto"/>
              <w:ind w:left="0" w:leftChars="0"/>
              <w:jc w:val="center"/>
              <w:rPr>
                <w:rFonts w:ascii="宋体" w:hAnsi="宋体" w:cs="宋体"/>
                <w:color w:val="auto"/>
                <w:sz w:val="21"/>
                <w:szCs w:val="21"/>
              </w:rPr>
            </w:pPr>
          </w:p>
        </w:tc>
        <w:tc>
          <w:tcPr>
            <w:tcW w:w="1558" w:type="dxa"/>
            <w:vAlign w:val="center"/>
          </w:tcPr>
          <w:p>
            <w:pPr>
              <w:pStyle w:val="21"/>
              <w:snapToGrid w:val="0"/>
              <w:spacing w:line="360" w:lineRule="auto"/>
              <w:ind w:left="0" w:leftChars="0"/>
              <w:jc w:val="center"/>
              <w:rPr>
                <w:rFonts w:ascii="宋体" w:hAnsi="宋体" w:cs="宋体"/>
                <w:color w:val="auto"/>
                <w:sz w:val="21"/>
                <w:szCs w:val="21"/>
              </w:rPr>
            </w:pPr>
          </w:p>
        </w:tc>
        <w:tc>
          <w:tcPr>
            <w:tcW w:w="1241" w:type="dxa"/>
            <w:vAlign w:val="center"/>
          </w:tcPr>
          <w:p>
            <w:pPr>
              <w:pStyle w:val="21"/>
              <w:snapToGrid w:val="0"/>
              <w:spacing w:line="360" w:lineRule="auto"/>
              <w:ind w:left="0" w:leftChars="0"/>
              <w:jc w:val="center"/>
              <w:rPr>
                <w:rFonts w:ascii="宋体" w:hAnsi="宋体" w:cs="宋体"/>
                <w:color w:val="auto"/>
                <w:sz w:val="21"/>
                <w:szCs w:val="21"/>
              </w:rPr>
            </w:pPr>
          </w:p>
        </w:tc>
      </w:tr>
    </w:tbl>
    <w:p>
      <w:pPr>
        <w:snapToGrid w:val="0"/>
        <w:spacing w:line="360" w:lineRule="auto"/>
        <w:ind w:left="474" w:leftChars="-57" w:hanging="611" w:hangingChars="291"/>
        <w:rPr>
          <w:rFonts w:hAnsi="宋体" w:cs="宋体"/>
          <w:color w:val="auto"/>
          <w:kern w:val="2"/>
          <w:sz w:val="21"/>
        </w:rPr>
      </w:pPr>
    </w:p>
    <w:p>
      <w:pPr>
        <w:snapToGrid w:val="0"/>
        <w:spacing w:line="360" w:lineRule="auto"/>
        <w:ind w:left="474" w:leftChars="-57" w:hanging="611" w:hangingChars="291"/>
        <w:rPr>
          <w:rFonts w:hAnsi="宋体" w:cs="宋体"/>
          <w:color w:val="auto"/>
          <w:kern w:val="2"/>
          <w:sz w:val="21"/>
        </w:rPr>
      </w:pPr>
      <w:r>
        <w:rPr>
          <w:rFonts w:hint="eastAsia" w:hAnsi="宋体" w:cs="宋体"/>
          <w:color w:val="auto"/>
          <w:kern w:val="2"/>
          <w:sz w:val="21"/>
        </w:rPr>
        <w:t>备注：</w:t>
      </w:r>
    </w:p>
    <w:p>
      <w:pPr>
        <w:snapToGrid w:val="0"/>
        <w:spacing w:line="360" w:lineRule="auto"/>
        <w:ind w:left="379" w:leftChars="-58" w:hanging="518" w:hangingChars="247"/>
        <w:rPr>
          <w:rFonts w:hAnsi="宋体" w:cs="宋体"/>
          <w:color w:val="auto"/>
          <w:kern w:val="2"/>
          <w:sz w:val="21"/>
        </w:rPr>
      </w:pPr>
      <w:r>
        <w:rPr>
          <w:rFonts w:hint="eastAsia" w:hAnsi="宋体" w:cs="宋体"/>
          <w:color w:val="auto"/>
          <w:kern w:val="2"/>
          <w:sz w:val="21"/>
        </w:rPr>
        <w:t>（1）投标人提供框架式协议或资格入围无明确金额的合同时，须同时提供本统计表及服务发票复印件，本统计表及服务发票复印件应后附于合同复印件；</w:t>
      </w:r>
    </w:p>
    <w:p>
      <w:pPr>
        <w:snapToGrid w:val="0"/>
        <w:spacing w:line="360" w:lineRule="auto"/>
        <w:ind w:left="379" w:leftChars="-58" w:hanging="518" w:hangingChars="247"/>
        <w:rPr>
          <w:rFonts w:hAnsi="宋体" w:cs="宋体"/>
          <w:color w:val="auto"/>
          <w:kern w:val="2"/>
          <w:sz w:val="21"/>
        </w:rPr>
      </w:pPr>
      <w:r>
        <w:rPr>
          <w:rFonts w:hint="eastAsia" w:hAnsi="宋体" w:cs="宋体"/>
          <w:color w:val="auto"/>
          <w:kern w:val="2"/>
          <w:sz w:val="21"/>
        </w:rPr>
        <w:t>（2）发票抬头应为合同服务方，收款人应为投标人，且发票名目、所属时期应与合同约定内容一致，否则不计分；</w:t>
      </w:r>
    </w:p>
    <w:p>
      <w:pPr>
        <w:snapToGrid w:val="0"/>
        <w:spacing w:line="360" w:lineRule="auto"/>
        <w:ind w:left="379" w:leftChars="-58" w:hanging="518" w:hangingChars="247"/>
        <w:rPr>
          <w:rFonts w:hAnsi="宋体" w:cs="宋体"/>
          <w:color w:val="auto"/>
          <w:kern w:val="2"/>
          <w:sz w:val="21"/>
        </w:rPr>
      </w:pPr>
      <w:bookmarkStart w:id="212" w:name="_Toc2780"/>
      <w:bookmarkStart w:id="213" w:name="_Toc22445"/>
      <w:r>
        <w:rPr>
          <w:rFonts w:hint="eastAsia" w:hAnsi="宋体" w:cs="宋体"/>
          <w:color w:val="auto"/>
          <w:kern w:val="2"/>
          <w:sz w:val="21"/>
        </w:rPr>
        <w:t>（3）发票合计金额视为投标人所提供该项服务业绩的金额，并按此金额进行评审。</w:t>
      </w:r>
      <w:bookmarkEnd w:id="212"/>
      <w:bookmarkEnd w:id="213"/>
    </w:p>
    <w:p>
      <w:pPr>
        <w:tabs>
          <w:tab w:val="left" w:pos="567"/>
        </w:tabs>
        <w:spacing w:line="360" w:lineRule="auto"/>
        <w:ind w:left="567" w:hanging="567"/>
        <w:outlineLvl w:val="2"/>
        <w:rPr>
          <w:rFonts w:hAnsi="宋体" w:cs="宋体"/>
          <w:b/>
          <w:bCs/>
          <w:color w:val="auto"/>
          <w:kern w:val="2"/>
          <w:sz w:val="32"/>
          <w:szCs w:val="32"/>
          <w:lang w:val="zh-CN"/>
        </w:rPr>
      </w:pPr>
      <w:r>
        <w:rPr>
          <w:rFonts w:hint="eastAsia" w:hAnsi="宋体" w:cs="宋体"/>
          <w:color w:val="auto"/>
          <w:kern w:val="2"/>
          <w:sz w:val="21"/>
        </w:rPr>
        <w:br w:type="page"/>
      </w:r>
      <w:bookmarkStart w:id="214" w:name="_Toc32134"/>
      <w:bookmarkStart w:id="215" w:name="_Toc30413"/>
      <w:bookmarkStart w:id="216" w:name="_Toc17770"/>
      <w:r>
        <w:rPr>
          <w:rFonts w:hint="eastAsia" w:hAnsi="宋体" w:cs="宋体"/>
          <w:b/>
          <w:bCs/>
          <w:color w:val="auto"/>
          <w:kern w:val="2"/>
          <w:sz w:val="32"/>
          <w:szCs w:val="32"/>
        </w:rPr>
        <w:t>十</w:t>
      </w:r>
      <w:r>
        <w:rPr>
          <w:rFonts w:hint="eastAsia" w:hAnsi="宋体" w:cs="宋体"/>
          <w:b/>
          <w:bCs/>
          <w:color w:val="auto"/>
          <w:kern w:val="2"/>
          <w:sz w:val="32"/>
          <w:szCs w:val="32"/>
          <w:lang w:val="zh-CN"/>
        </w:rPr>
        <w:t>、拟投入本项目的配送场所</w:t>
      </w:r>
      <w:bookmarkEnd w:id="214"/>
      <w:bookmarkEnd w:id="215"/>
    </w:p>
    <w:p>
      <w:pPr>
        <w:spacing w:line="240" w:lineRule="auto"/>
        <w:ind w:left="0" w:firstLine="0" w:firstLineChars="0"/>
        <w:jc w:val="both"/>
        <w:outlineLvl w:val="9"/>
        <w:rPr>
          <w:rFonts w:hAnsi="宋体" w:cs="宋体"/>
          <w:b/>
          <w:bCs/>
          <w:color w:val="auto"/>
          <w:kern w:val="2"/>
          <w:sz w:val="32"/>
          <w:szCs w:val="32"/>
        </w:rPr>
      </w:pPr>
      <w:r>
        <w:rPr>
          <w:rFonts w:hint="eastAsia" w:hAnsi="宋体" w:cs="宋体"/>
          <w:b/>
          <w:bCs/>
          <w:color w:val="auto"/>
          <w:kern w:val="2"/>
          <w:sz w:val="32"/>
          <w:szCs w:val="32"/>
          <w:lang w:val="zh-CN"/>
        </w:rPr>
        <w:br w:type="page"/>
      </w:r>
      <w:bookmarkStart w:id="217" w:name="_Toc13679"/>
      <w:bookmarkStart w:id="218" w:name="_Toc22590"/>
      <w:r>
        <w:rPr>
          <w:rFonts w:hint="eastAsia" w:hAnsi="宋体" w:cs="宋体"/>
          <w:b/>
          <w:bCs/>
          <w:color w:val="auto"/>
          <w:kern w:val="2"/>
          <w:sz w:val="32"/>
          <w:szCs w:val="32"/>
        </w:rPr>
        <w:t>十</w:t>
      </w:r>
      <w:r>
        <w:rPr>
          <w:rFonts w:hint="eastAsia" w:hAnsi="宋体" w:cs="宋体"/>
          <w:b/>
          <w:bCs/>
          <w:color w:val="auto"/>
          <w:kern w:val="2"/>
          <w:sz w:val="32"/>
          <w:szCs w:val="32"/>
          <w:lang w:val="en-US" w:eastAsia="zh-CN"/>
        </w:rPr>
        <w:t>一</w:t>
      </w:r>
      <w:r>
        <w:rPr>
          <w:rFonts w:hint="eastAsia" w:hAnsi="宋体" w:cs="宋体"/>
          <w:b/>
          <w:bCs/>
          <w:color w:val="auto"/>
          <w:kern w:val="2"/>
          <w:sz w:val="32"/>
          <w:szCs w:val="32"/>
        </w:rPr>
        <w:t>、拟供应货品来源情况</w:t>
      </w:r>
      <w:bookmarkEnd w:id="217"/>
      <w:bookmarkEnd w:id="218"/>
    </w:p>
    <w:p>
      <w:pPr>
        <w:tabs>
          <w:tab w:val="left" w:pos="567"/>
        </w:tabs>
        <w:spacing w:line="360" w:lineRule="auto"/>
        <w:ind w:left="567" w:hanging="567"/>
        <w:outlineLvl w:val="2"/>
        <w:rPr>
          <w:rFonts w:hAnsi="宋体" w:cs="宋体"/>
          <w:b/>
          <w:bCs/>
          <w:color w:val="auto"/>
          <w:kern w:val="2"/>
          <w:sz w:val="32"/>
          <w:szCs w:val="32"/>
          <w:lang w:val="zh-CN"/>
        </w:rPr>
      </w:pPr>
      <w:r>
        <w:rPr>
          <w:rFonts w:hint="eastAsia" w:hAnsi="宋体" w:cs="宋体"/>
          <w:b/>
          <w:bCs/>
          <w:color w:val="auto"/>
          <w:kern w:val="2"/>
          <w:sz w:val="32"/>
          <w:szCs w:val="32"/>
        </w:rPr>
        <w:br w:type="page"/>
      </w:r>
      <w:bookmarkEnd w:id="216"/>
      <w:bookmarkStart w:id="219" w:name="_Toc17621"/>
      <w:r>
        <w:rPr>
          <w:rFonts w:hint="eastAsia" w:hAnsi="宋体" w:cs="宋体"/>
          <w:b/>
          <w:bCs/>
          <w:color w:val="auto"/>
          <w:kern w:val="2"/>
          <w:sz w:val="32"/>
          <w:szCs w:val="32"/>
        </w:rPr>
        <w:t>十</w:t>
      </w:r>
      <w:r>
        <w:rPr>
          <w:rFonts w:hint="eastAsia" w:hAnsi="宋体" w:cs="宋体"/>
          <w:b/>
          <w:bCs/>
          <w:color w:val="auto"/>
          <w:kern w:val="2"/>
          <w:sz w:val="32"/>
          <w:szCs w:val="32"/>
          <w:lang w:val="en-US" w:eastAsia="zh-CN"/>
        </w:rPr>
        <w:t>二</w:t>
      </w:r>
      <w:r>
        <w:rPr>
          <w:rFonts w:hint="eastAsia" w:hAnsi="宋体" w:cs="宋体"/>
          <w:b/>
          <w:bCs/>
          <w:color w:val="auto"/>
          <w:kern w:val="2"/>
          <w:sz w:val="32"/>
          <w:szCs w:val="32"/>
          <w:lang w:val="zh-CN"/>
        </w:rPr>
        <w:t>、中标服务费承诺书格式</w:t>
      </w:r>
      <w:bookmarkEnd w:id="207"/>
      <w:bookmarkEnd w:id="208"/>
      <w:bookmarkEnd w:id="209"/>
      <w:bookmarkEnd w:id="210"/>
      <w:bookmarkEnd w:id="211"/>
      <w:bookmarkEnd w:id="219"/>
    </w:p>
    <w:p>
      <w:pPr>
        <w:spacing w:line="360" w:lineRule="auto"/>
        <w:jc w:val="center"/>
        <w:rPr>
          <w:rFonts w:hAnsi="宋体" w:cs="宋体"/>
          <w:b/>
          <w:bCs/>
          <w:color w:val="auto"/>
          <w:kern w:val="2"/>
          <w:sz w:val="30"/>
          <w:szCs w:val="30"/>
          <w:lang w:val="zh-CN"/>
        </w:rPr>
      </w:pPr>
      <w:r>
        <w:rPr>
          <w:rFonts w:hint="eastAsia" w:hAnsi="宋体" w:cs="宋体"/>
          <w:b/>
          <w:bCs/>
          <w:color w:val="auto"/>
          <w:kern w:val="2"/>
          <w:sz w:val="30"/>
          <w:szCs w:val="30"/>
          <w:lang w:val="zh-CN"/>
        </w:rPr>
        <w:t>中标服务费承诺书</w:t>
      </w:r>
    </w:p>
    <w:p>
      <w:pPr>
        <w:spacing w:line="360" w:lineRule="auto"/>
        <w:jc w:val="both"/>
        <w:rPr>
          <w:rFonts w:hAnsi="宋体" w:cs="宋体"/>
          <w:b/>
          <w:bCs/>
          <w:color w:val="auto"/>
          <w:kern w:val="2"/>
          <w:lang w:val="zh-CN"/>
        </w:rPr>
      </w:pPr>
    </w:p>
    <w:p>
      <w:pPr>
        <w:spacing w:line="360" w:lineRule="auto"/>
        <w:jc w:val="both"/>
        <w:rPr>
          <w:rFonts w:hAnsi="宋体" w:cs="宋体"/>
          <w:b/>
          <w:bCs/>
          <w:color w:val="auto"/>
          <w:kern w:val="2"/>
          <w:sz w:val="21"/>
          <w:szCs w:val="21"/>
          <w:lang w:val="zh-CN"/>
        </w:rPr>
      </w:pPr>
      <w:r>
        <w:rPr>
          <w:rFonts w:hint="eastAsia" w:hAnsi="宋体" w:cs="宋体"/>
          <w:b/>
          <w:bCs/>
          <w:color w:val="auto"/>
          <w:kern w:val="2"/>
          <w:sz w:val="21"/>
          <w:szCs w:val="21"/>
          <w:lang w:val="zh-CN"/>
        </w:rPr>
        <w:t>致：广东华迪工程管理有限公司</w:t>
      </w:r>
    </w:p>
    <w:p>
      <w:pPr>
        <w:spacing w:line="360" w:lineRule="auto"/>
        <w:ind w:right="893"/>
        <w:jc w:val="both"/>
        <w:rPr>
          <w:rFonts w:hAnsi="宋体" w:cs="宋体"/>
          <w:color w:val="auto"/>
          <w:kern w:val="2"/>
          <w:sz w:val="21"/>
          <w:szCs w:val="21"/>
          <w:lang w:val="zh-CN"/>
        </w:rPr>
      </w:pPr>
    </w:p>
    <w:p>
      <w:pPr>
        <w:tabs>
          <w:tab w:val="left" w:pos="-142"/>
        </w:tabs>
        <w:spacing w:line="360" w:lineRule="auto"/>
        <w:ind w:left="-36" w:leftChars="-15" w:right="18" w:firstLine="457" w:firstLineChars="218"/>
        <w:jc w:val="both"/>
        <w:rPr>
          <w:rFonts w:hAnsi="宋体" w:cs="宋体"/>
          <w:color w:val="auto"/>
          <w:kern w:val="2"/>
          <w:sz w:val="21"/>
          <w:lang w:val="zh-CN"/>
        </w:rPr>
      </w:pPr>
      <w:r>
        <w:rPr>
          <w:rFonts w:hint="eastAsia" w:hAnsi="宋体" w:cs="宋体"/>
          <w:color w:val="auto"/>
          <w:kern w:val="2"/>
          <w:sz w:val="21"/>
          <w:lang w:val="zh-CN"/>
        </w:rPr>
        <w:t>在贵司代理的</w:t>
      </w:r>
      <w:r>
        <w:rPr>
          <w:rFonts w:hint="eastAsia" w:hAnsi="宋体" w:cs="宋体"/>
          <w:color w:val="auto"/>
          <w:spacing w:val="6"/>
          <w:sz w:val="21"/>
          <w:szCs w:val="32"/>
        </w:rPr>
        <w:t>东莞市水务集团管网有限公司2022年食堂食材配送服务采购项目</w:t>
      </w:r>
      <w:r>
        <w:rPr>
          <w:rFonts w:hint="eastAsia" w:hAnsi="宋体" w:cs="宋体"/>
          <w:color w:val="auto"/>
          <w:kern w:val="2"/>
          <w:sz w:val="21"/>
          <w:szCs w:val="21"/>
          <w:lang w:val="zh-CN"/>
        </w:rPr>
        <w:t>（招标编号：GDHD-ST-2021-14）</w:t>
      </w:r>
      <w:r>
        <w:rPr>
          <w:rFonts w:hint="eastAsia" w:hAnsi="宋体" w:cs="宋体"/>
          <w:color w:val="auto"/>
          <w:kern w:val="2"/>
          <w:sz w:val="21"/>
          <w:lang w:val="zh-CN"/>
        </w:rPr>
        <w:t>招标中，我司如获中标，保证在领取中标通知书原件之</w:t>
      </w:r>
      <w:r>
        <w:rPr>
          <w:rFonts w:hint="eastAsia" w:hAnsi="宋体" w:cs="宋体"/>
          <w:color w:val="auto"/>
          <w:kern w:val="2"/>
          <w:sz w:val="21"/>
        </w:rPr>
        <w:t>前</w:t>
      </w:r>
      <w:r>
        <w:rPr>
          <w:rFonts w:hint="eastAsia" w:hAnsi="宋体" w:cs="宋体"/>
          <w:color w:val="auto"/>
          <w:kern w:val="2"/>
          <w:sz w:val="21"/>
          <w:lang w:val="zh-CN"/>
        </w:rPr>
        <w:t>按招标文件的规定向贵</w:t>
      </w:r>
      <w:r>
        <w:rPr>
          <w:rFonts w:hint="eastAsia" w:hAnsi="宋体" w:cs="宋体"/>
          <w:color w:val="auto"/>
          <w:kern w:val="2"/>
          <w:sz w:val="21"/>
          <w:szCs w:val="21"/>
          <w:lang w:val="zh-CN"/>
        </w:rPr>
        <w:t>司即广东华迪工程管理有限公司指定的银行账号，一次性交纳中标服务费</w:t>
      </w:r>
      <w:r>
        <w:rPr>
          <w:rFonts w:hint="eastAsia" w:hAnsi="宋体" w:cs="宋体"/>
          <w:color w:val="auto"/>
          <w:kern w:val="2"/>
          <w:sz w:val="21"/>
          <w:lang w:val="zh-CN"/>
        </w:rPr>
        <w:t>。</w:t>
      </w:r>
    </w:p>
    <w:p>
      <w:pPr>
        <w:spacing w:line="360" w:lineRule="auto"/>
        <w:ind w:right="893"/>
        <w:jc w:val="both"/>
        <w:rPr>
          <w:rFonts w:hAnsi="宋体" w:cs="宋体"/>
          <w:color w:val="auto"/>
          <w:kern w:val="2"/>
          <w:sz w:val="21"/>
          <w:szCs w:val="21"/>
          <w:lang w:val="zh-CN"/>
        </w:rPr>
      </w:pPr>
    </w:p>
    <w:p>
      <w:pPr>
        <w:spacing w:line="360" w:lineRule="auto"/>
        <w:ind w:right="893" w:firstLine="480"/>
        <w:jc w:val="both"/>
        <w:rPr>
          <w:rFonts w:hAnsi="宋体" w:cs="宋体"/>
          <w:color w:val="auto"/>
          <w:kern w:val="2"/>
          <w:sz w:val="21"/>
          <w:lang w:val="zh-CN"/>
        </w:rPr>
      </w:pPr>
      <w:r>
        <w:rPr>
          <w:rFonts w:hint="eastAsia" w:hAnsi="宋体" w:cs="宋体"/>
          <w:color w:val="auto"/>
          <w:kern w:val="2"/>
          <w:sz w:val="21"/>
          <w:lang w:val="zh-CN"/>
        </w:rPr>
        <w:t>特此承诺。</w:t>
      </w:r>
    </w:p>
    <w:p>
      <w:pPr>
        <w:spacing w:line="360" w:lineRule="auto"/>
        <w:ind w:right="893"/>
        <w:jc w:val="both"/>
        <w:rPr>
          <w:rFonts w:hAnsi="宋体" w:cs="宋体"/>
          <w:color w:val="auto"/>
          <w:kern w:val="2"/>
          <w:sz w:val="21"/>
          <w:lang w:val="zh-CN"/>
        </w:rPr>
      </w:pPr>
    </w:p>
    <w:p>
      <w:pPr>
        <w:spacing w:line="360" w:lineRule="auto"/>
        <w:ind w:right="893"/>
        <w:jc w:val="both"/>
        <w:rPr>
          <w:rFonts w:hAnsi="宋体" w:cs="宋体"/>
          <w:color w:val="auto"/>
          <w:kern w:val="2"/>
          <w:sz w:val="21"/>
          <w:lang w:val="zh-CN"/>
        </w:rPr>
      </w:pPr>
      <w:r>
        <w:rPr>
          <w:rFonts w:hint="eastAsia" w:hAnsi="宋体" w:cs="宋体"/>
          <w:color w:val="auto"/>
          <w:kern w:val="2"/>
          <w:sz w:val="21"/>
          <w:lang w:val="zh-CN"/>
        </w:rPr>
        <w:t>地址：</w:t>
      </w:r>
      <w:r>
        <w:rPr>
          <w:rFonts w:hint="eastAsia" w:hAnsi="宋体" w:cs="宋体"/>
          <w:color w:val="auto"/>
          <w:kern w:val="2"/>
          <w:sz w:val="21"/>
          <w:u w:val="single"/>
          <w:lang w:val="zh-CN"/>
        </w:rPr>
        <w:t xml:space="preserve">                       </w:t>
      </w:r>
    </w:p>
    <w:p>
      <w:pPr>
        <w:spacing w:line="360" w:lineRule="auto"/>
        <w:ind w:right="893"/>
        <w:jc w:val="both"/>
        <w:rPr>
          <w:rFonts w:hAnsi="宋体" w:cs="宋体"/>
          <w:color w:val="auto"/>
          <w:kern w:val="2"/>
          <w:sz w:val="21"/>
          <w:u w:val="single"/>
          <w:lang w:val="zh-CN"/>
        </w:rPr>
      </w:pPr>
      <w:r>
        <w:rPr>
          <w:rFonts w:hint="eastAsia" w:hAnsi="宋体" w:cs="宋体"/>
          <w:color w:val="auto"/>
          <w:kern w:val="2"/>
          <w:sz w:val="21"/>
          <w:lang w:val="zh-CN"/>
        </w:rPr>
        <w:t xml:space="preserve">电话： </w:t>
      </w:r>
      <w:r>
        <w:rPr>
          <w:rFonts w:hint="eastAsia" w:hAnsi="宋体" w:cs="宋体"/>
          <w:color w:val="auto"/>
          <w:kern w:val="2"/>
          <w:sz w:val="21"/>
          <w:u w:val="single"/>
          <w:lang w:val="zh-CN"/>
        </w:rPr>
        <w:t xml:space="preserve">                      </w:t>
      </w:r>
      <w:r>
        <w:rPr>
          <w:rFonts w:hint="eastAsia" w:hAnsi="宋体" w:cs="宋体"/>
          <w:color w:val="auto"/>
          <w:kern w:val="2"/>
          <w:sz w:val="21"/>
          <w:lang w:val="zh-CN"/>
        </w:rPr>
        <w:t xml:space="preserve">       传真： </w:t>
      </w:r>
      <w:r>
        <w:rPr>
          <w:rFonts w:hint="eastAsia" w:hAnsi="宋体" w:cs="宋体"/>
          <w:color w:val="auto"/>
          <w:kern w:val="2"/>
          <w:sz w:val="21"/>
          <w:u w:val="single"/>
          <w:lang w:val="zh-CN"/>
        </w:rPr>
        <w:t xml:space="preserve">                  </w:t>
      </w:r>
    </w:p>
    <w:p>
      <w:pPr>
        <w:spacing w:line="360" w:lineRule="auto"/>
        <w:ind w:right="893"/>
        <w:jc w:val="both"/>
        <w:rPr>
          <w:rFonts w:hAnsi="宋体" w:cs="宋体"/>
          <w:color w:val="auto"/>
          <w:kern w:val="2"/>
          <w:sz w:val="21"/>
          <w:u w:val="single"/>
          <w:lang w:val="zh-CN"/>
        </w:rPr>
      </w:pPr>
      <w:r>
        <w:rPr>
          <w:rFonts w:hint="eastAsia" w:hAnsi="宋体" w:cs="宋体"/>
          <w:color w:val="auto"/>
          <w:kern w:val="2"/>
          <w:sz w:val="21"/>
          <w:lang w:val="zh-CN"/>
        </w:rPr>
        <w:t xml:space="preserve">邮箱： </w:t>
      </w:r>
      <w:r>
        <w:rPr>
          <w:rFonts w:hint="eastAsia" w:hAnsi="宋体" w:cs="宋体"/>
          <w:color w:val="auto"/>
          <w:kern w:val="2"/>
          <w:sz w:val="21"/>
          <w:u w:val="single"/>
          <w:lang w:val="zh-CN"/>
        </w:rPr>
        <w:t xml:space="preserve">                      </w:t>
      </w:r>
      <w:r>
        <w:rPr>
          <w:rFonts w:hint="eastAsia" w:hAnsi="宋体" w:cs="宋体"/>
          <w:color w:val="auto"/>
          <w:kern w:val="2"/>
          <w:sz w:val="21"/>
          <w:lang w:val="zh-CN"/>
        </w:rPr>
        <w:t xml:space="preserve">       邮编： </w:t>
      </w:r>
      <w:r>
        <w:rPr>
          <w:rFonts w:hint="eastAsia" w:hAnsi="宋体" w:cs="宋体"/>
          <w:color w:val="auto"/>
          <w:kern w:val="2"/>
          <w:sz w:val="21"/>
          <w:u w:val="single"/>
          <w:lang w:val="zh-CN"/>
        </w:rPr>
        <w:t xml:space="preserve">                  </w:t>
      </w:r>
    </w:p>
    <w:p>
      <w:pPr>
        <w:spacing w:line="360" w:lineRule="auto"/>
        <w:ind w:right="893"/>
        <w:jc w:val="both"/>
        <w:rPr>
          <w:rFonts w:hAnsi="宋体" w:cs="宋体"/>
          <w:color w:val="auto"/>
          <w:kern w:val="2"/>
          <w:sz w:val="21"/>
          <w:lang w:val="zh-CN"/>
        </w:rPr>
      </w:pPr>
    </w:p>
    <w:p>
      <w:pPr>
        <w:spacing w:line="360" w:lineRule="auto"/>
        <w:ind w:firstLine="5040" w:firstLineChars="2400"/>
        <w:rPr>
          <w:rFonts w:hAnsi="宋体" w:cs="宋体"/>
          <w:color w:val="auto"/>
          <w:sz w:val="21"/>
          <w:szCs w:val="21"/>
        </w:rPr>
      </w:pPr>
      <w:r>
        <w:rPr>
          <w:rFonts w:hint="eastAsia" w:hAnsi="宋体" w:cs="宋体"/>
          <w:color w:val="auto"/>
          <w:kern w:val="2"/>
          <w:sz w:val="21"/>
          <w:lang w:val="zh-CN"/>
        </w:rPr>
        <w:t>投标人：（加盖投标人法人公章）</w:t>
      </w:r>
    </w:p>
    <w:p>
      <w:pPr>
        <w:spacing w:line="360" w:lineRule="auto"/>
        <w:ind w:firstLine="5040" w:firstLineChars="2400"/>
        <w:rPr>
          <w:rFonts w:hAnsi="宋体" w:cs="宋体"/>
          <w:color w:val="auto"/>
          <w:kern w:val="2"/>
          <w:sz w:val="21"/>
          <w:lang w:val="zh-CN"/>
        </w:rPr>
      </w:pPr>
      <w:r>
        <w:rPr>
          <w:rFonts w:hint="eastAsia" w:hAnsi="宋体" w:cs="宋体"/>
          <w:color w:val="auto"/>
          <w:kern w:val="2"/>
          <w:sz w:val="21"/>
          <w:lang w:val="zh-CN"/>
        </w:rPr>
        <w:t>日期：   年   月   日</w:t>
      </w:r>
    </w:p>
    <w:p>
      <w:pPr>
        <w:autoSpaceDE/>
        <w:autoSpaceDN/>
        <w:adjustRightInd/>
        <w:spacing w:line="360" w:lineRule="auto"/>
        <w:jc w:val="both"/>
        <w:rPr>
          <w:rFonts w:hAnsi="宋体" w:cs="宋体"/>
          <w:color w:val="auto"/>
          <w:kern w:val="2"/>
          <w:sz w:val="21"/>
          <w:lang w:val="zh-CN"/>
        </w:rPr>
      </w:pPr>
    </w:p>
    <w:p>
      <w:pPr>
        <w:widowControl/>
        <w:autoSpaceDE/>
        <w:autoSpaceDN/>
        <w:adjustRightInd/>
        <w:rPr>
          <w:rFonts w:hAnsi="宋体" w:cs="宋体"/>
          <w:color w:val="auto"/>
          <w:kern w:val="2"/>
          <w:sz w:val="21"/>
          <w:lang w:val="zh-CN"/>
        </w:rPr>
      </w:pPr>
    </w:p>
    <w:p>
      <w:pPr>
        <w:widowControl/>
        <w:autoSpaceDE/>
        <w:autoSpaceDN/>
        <w:adjustRightInd/>
        <w:rPr>
          <w:rFonts w:hAnsi="宋体" w:cs="宋体"/>
          <w:color w:val="auto"/>
          <w:kern w:val="2"/>
          <w:sz w:val="21"/>
          <w:lang w:val="zh-CN"/>
        </w:rPr>
      </w:pPr>
    </w:p>
    <w:p>
      <w:pPr>
        <w:widowControl/>
        <w:autoSpaceDE/>
        <w:autoSpaceDN/>
        <w:adjustRightInd/>
        <w:rPr>
          <w:rFonts w:hAnsi="宋体" w:cs="宋体"/>
          <w:color w:val="auto"/>
          <w:kern w:val="2"/>
          <w:sz w:val="21"/>
          <w:lang w:val="zh-CN"/>
        </w:rPr>
      </w:pPr>
    </w:p>
    <w:p>
      <w:pPr>
        <w:widowControl/>
        <w:autoSpaceDE/>
        <w:autoSpaceDN/>
        <w:adjustRightInd/>
        <w:rPr>
          <w:rFonts w:hAnsi="宋体" w:cs="宋体"/>
          <w:color w:val="auto"/>
          <w:kern w:val="2"/>
          <w:sz w:val="21"/>
          <w:lang w:val="zh-CN"/>
        </w:rPr>
      </w:pPr>
    </w:p>
    <w:p>
      <w:pPr>
        <w:widowControl/>
        <w:autoSpaceDE/>
        <w:autoSpaceDN/>
        <w:adjustRightInd/>
        <w:rPr>
          <w:rFonts w:hAnsi="宋体" w:cs="宋体"/>
          <w:color w:val="auto"/>
          <w:kern w:val="2"/>
          <w:sz w:val="21"/>
          <w:lang w:val="zh-CN"/>
        </w:rPr>
      </w:pPr>
    </w:p>
    <w:p>
      <w:pPr>
        <w:widowControl/>
        <w:autoSpaceDE/>
        <w:autoSpaceDN/>
        <w:adjustRightInd/>
        <w:rPr>
          <w:rFonts w:hAnsi="宋体" w:cs="宋体"/>
          <w:color w:val="auto"/>
          <w:kern w:val="2"/>
          <w:sz w:val="21"/>
          <w:lang w:val="zh-CN"/>
        </w:rPr>
      </w:pPr>
    </w:p>
    <w:p>
      <w:pPr>
        <w:widowControl/>
        <w:autoSpaceDE/>
        <w:autoSpaceDN/>
        <w:adjustRightInd/>
        <w:rPr>
          <w:rFonts w:hAnsi="宋体" w:cs="宋体"/>
          <w:color w:val="auto"/>
          <w:kern w:val="2"/>
          <w:sz w:val="21"/>
          <w:lang w:val="zh-CN"/>
        </w:rPr>
      </w:pPr>
    </w:p>
    <w:p>
      <w:pPr>
        <w:widowControl/>
        <w:autoSpaceDE/>
        <w:autoSpaceDN/>
        <w:adjustRightInd/>
        <w:rPr>
          <w:rFonts w:hAnsi="宋体" w:cs="宋体"/>
          <w:color w:val="auto"/>
          <w:kern w:val="2"/>
          <w:sz w:val="21"/>
          <w:lang w:val="zh-CN"/>
        </w:rPr>
      </w:pPr>
    </w:p>
    <w:p>
      <w:pPr>
        <w:widowControl/>
        <w:autoSpaceDE/>
        <w:autoSpaceDN/>
        <w:adjustRightInd/>
        <w:rPr>
          <w:rFonts w:hAnsi="宋体" w:cs="宋体"/>
          <w:color w:val="auto"/>
          <w:kern w:val="2"/>
          <w:sz w:val="21"/>
          <w:lang w:val="zh-CN"/>
        </w:rPr>
      </w:pPr>
    </w:p>
    <w:p>
      <w:pPr>
        <w:widowControl/>
        <w:autoSpaceDE/>
        <w:autoSpaceDN/>
        <w:adjustRightInd/>
        <w:rPr>
          <w:rFonts w:hAnsi="宋体" w:cs="宋体"/>
          <w:color w:val="auto"/>
          <w:kern w:val="2"/>
          <w:sz w:val="21"/>
          <w:lang w:val="zh-CN"/>
        </w:rPr>
      </w:pPr>
    </w:p>
    <w:p>
      <w:pPr>
        <w:widowControl/>
        <w:autoSpaceDE/>
        <w:autoSpaceDN/>
        <w:adjustRightInd/>
        <w:rPr>
          <w:rFonts w:hAnsi="宋体" w:cs="宋体"/>
          <w:color w:val="auto"/>
          <w:kern w:val="2"/>
          <w:sz w:val="21"/>
          <w:lang w:val="zh-CN"/>
        </w:rPr>
      </w:pPr>
    </w:p>
    <w:p>
      <w:pPr>
        <w:widowControl/>
        <w:autoSpaceDE/>
        <w:autoSpaceDN/>
        <w:adjustRightInd/>
        <w:rPr>
          <w:rFonts w:hAnsi="宋体" w:cs="宋体"/>
          <w:color w:val="auto"/>
          <w:kern w:val="2"/>
          <w:sz w:val="21"/>
          <w:lang w:val="zh-CN"/>
        </w:rPr>
      </w:pPr>
    </w:p>
    <w:p>
      <w:pPr>
        <w:widowControl/>
        <w:autoSpaceDE/>
        <w:autoSpaceDN/>
        <w:adjustRightInd/>
        <w:rPr>
          <w:rFonts w:hAnsi="宋体" w:cs="宋体"/>
          <w:color w:val="auto"/>
          <w:kern w:val="2"/>
          <w:sz w:val="21"/>
          <w:lang w:val="zh-CN"/>
        </w:rPr>
      </w:pPr>
    </w:p>
    <w:p>
      <w:pPr>
        <w:pStyle w:val="5"/>
        <w:pageBreakBefore/>
        <w:spacing w:line="360" w:lineRule="auto"/>
        <w:rPr>
          <w:rFonts w:hAnsi="宋体" w:cs="宋体"/>
          <w:b/>
          <w:bCs/>
          <w:color w:val="auto"/>
          <w:kern w:val="2"/>
          <w:sz w:val="32"/>
          <w:szCs w:val="32"/>
          <w:lang w:val="zh-CN"/>
        </w:rPr>
      </w:pPr>
      <w:bookmarkStart w:id="220" w:name="_Toc4743575"/>
      <w:bookmarkStart w:id="221" w:name="_Toc7936"/>
      <w:bookmarkStart w:id="222" w:name="_Toc534983547"/>
      <w:bookmarkStart w:id="223" w:name="_Toc18900"/>
      <w:bookmarkStart w:id="224" w:name="_Toc4587"/>
      <w:r>
        <w:rPr>
          <w:rFonts w:hint="eastAsia" w:hAnsi="宋体" w:cs="宋体"/>
          <w:b/>
          <w:bCs/>
          <w:color w:val="auto"/>
          <w:kern w:val="2"/>
          <w:sz w:val="32"/>
          <w:szCs w:val="32"/>
          <w:lang w:val="zh-CN"/>
        </w:rPr>
        <w:t>十</w:t>
      </w:r>
      <w:r>
        <w:rPr>
          <w:rFonts w:hint="eastAsia" w:hAnsi="宋体" w:cs="宋体"/>
          <w:b/>
          <w:bCs/>
          <w:color w:val="auto"/>
          <w:kern w:val="2"/>
          <w:sz w:val="32"/>
          <w:szCs w:val="32"/>
          <w:lang w:val="en-US" w:eastAsia="zh-CN"/>
        </w:rPr>
        <w:t>三</w:t>
      </w:r>
      <w:r>
        <w:rPr>
          <w:rFonts w:hint="eastAsia" w:hAnsi="宋体" w:cs="宋体"/>
          <w:b/>
          <w:bCs/>
          <w:color w:val="auto"/>
          <w:kern w:val="2"/>
          <w:sz w:val="32"/>
          <w:szCs w:val="32"/>
          <w:lang w:val="zh-CN"/>
        </w:rPr>
        <w:t>、投标保证金汇入情况说明</w:t>
      </w:r>
      <w:bookmarkEnd w:id="220"/>
      <w:bookmarkEnd w:id="221"/>
      <w:bookmarkEnd w:id="222"/>
      <w:bookmarkEnd w:id="223"/>
      <w:bookmarkEnd w:id="224"/>
    </w:p>
    <w:p>
      <w:pPr>
        <w:spacing w:line="360" w:lineRule="auto"/>
        <w:jc w:val="center"/>
        <w:rPr>
          <w:rFonts w:hAnsi="宋体" w:cs="宋体"/>
          <w:b/>
          <w:bCs/>
          <w:color w:val="auto"/>
          <w:kern w:val="2"/>
          <w:sz w:val="30"/>
          <w:szCs w:val="30"/>
          <w:lang w:val="zh-CN"/>
        </w:rPr>
      </w:pPr>
      <w:r>
        <w:rPr>
          <w:rFonts w:hint="eastAsia" w:hAnsi="宋体" w:cs="宋体"/>
          <w:b/>
          <w:bCs/>
          <w:color w:val="auto"/>
          <w:kern w:val="2"/>
          <w:sz w:val="30"/>
          <w:szCs w:val="30"/>
          <w:lang w:val="zh-CN"/>
        </w:rPr>
        <w:t>投标保证金汇入情况说明</w:t>
      </w:r>
    </w:p>
    <w:p>
      <w:pPr>
        <w:spacing w:line="360" w:lineRule="auto"/>
        <w:rPr>
          <w:rFonts w:hAnsi="宋体" w:cs="宋体"/>
          <w:b/>
          <w:bCs/>
          <w:color w:val="auto"/>
          <w:sz w:val="21"/>
        </w:rPr>
      </w:pPr>
    </w:p>
    <w:p>
      <w:pPr>
        <w:spacing w:line="360" w:lineRule="auto"/>
        <w:rPr>
          <w:rFonts w:hAnsi="宋体" w:cs="宋体"/>
          <w:color w:val="auto"/>
          <w:sz w:val="21"/>
        </w:rPr>
      </w:pPr>
      <w:r>
        <w:rPr>
          <w:rFonts w:hint="eastAsia" w:hAnsi="宋体" w:cs="宋体"/>
          <w:color w:val="auto"/>
          <w:sz w:val="21"/>
        </w:rPr>
        <w:t>广东华迪工程管理有限公司：</w:t>
      </w:r>
    </w:p>
    <w:p>
      <w:pPr>
        <w:spacing w:line="360" w:lineRule="auto"/>
        <w:ind w:firstLine="420" w:firstLineChars="200"/>
        <w:rPr>
          <w:rFonts w:hAnsi="宋体" w:cs="宋体"/>
          <w:color w:val="auto"/>
          <w:sz w:val="21"/>
          <w:szCs w:val="21"/>
        </w:rPr>
      </w:pPr>
      <w:r>
        <w:rPr>
          <w:rFonts w:hint="eastAsia" w:hAnsi="宋体" w:cs="宋体"/>
          <w:color w:val="auto"/>
          <w:sz w:val="21"/>
          <w:szCs w:val="21"/>
        </w:rPr>
        <w:t>本公司已按</w:t>
      </w:r>
      <w:r>
        <w:rPr>
          <w:rFonts w:hint="eastAsia" w:hAnsi="宋体" w:cs="宋体"/>
          <w:color w:val="auto"/>
          <w:sz w:val="21"/>
          <w:szCs w:val="21"/>
          <w:u w:val="single"/>
        </w:rPr>
        <w:t>东莞市水务集团管网有限公司2022年食堂食材配送服务采购项目</w:t>
      </w:r>
      <w:r>
        <w:rPr>
          <w:rFonts w:hint="eastAsia" w:hAnsi="宋体" w:cs="宋体"/>
          <w:color w:val="auto"/>
          <w:sz w:val="21"/>
          <w:szCs w:val="21"/>
        </w:rPr>
        <w:t>（招标编号：</w:t>
      </w:r>
      <w:r>
        <w:rPr>
          <w:rFonts w:hint="eastAsia" w:hAnsi="宋体" w:cs="宋体"/>
          <w:color w:val="auto"/>
          <w:sz w:val="21"/>
          <w:szCs w:val="21"/>
          <w:lang w:val="zh-CN"/>
        </w:rPr>
        <w:t>GDHD-ST-2021-14</w:t>
      </w:r>
      <w:r>
        <w:rPr>
          <w:rFonts w:hint="eastAsia" w:hAnsi="宋体" w:cs="宋体"/>
          <w:color w:val="auto"/>
          <w:sz w:val="21"/>
          <w:szCs w:val="21"/>
        </w:rPr>
        <w:t>）招标文件的要求，于</w:t>
      </w:r>
      <w:r>
        <w:rPr>
          <w:rFonts w:hint="eastAsia" w:hAnsi="宋体" w:cs="宋体"/>
          <w:color w:val="auto"/>
          <w:sz w:val="21"/>
          <w:szCs w:val="21"/>
          <w:u w:val="single"/>
        </w:rPr>
        <w:t xml:space="preserve">   </w:t>
      </w:r>
      <w:r>
        <w:rPr>
          <w:rFonts w:hint="eastAsia" w:hAnsi="宋体" w:cs="宋体"/>
          <w:color w:val="auto"/>
          <w:sz w:val="21"/>
          <w:szCs w:val="21"/>
        </w:rPr>
        <w:t>年</w:t>
      </w:r>
      <w:r>
        <w:rPr>
          <w:rFonts w:hint="eastAsia" w:hAnsi="宋体" w:cs="宋体"/>
          <w:color w:val="auto"/>
          <w:sz w:val="21"/>
          <w:szCs w:val="21"/>
          <w:u w:val="single"/>
        </w:rPr>
        <w:t xml:space="preserve">   </w:t>
      </w:r>
      <w:r>
        <w:rPr>
          <w:rFonts w:hint="eastAsia" w:hAnsi="宋体" w:cs="宋体"/>
          <w:color w:val="auto"/>
          <w:sz w:val="21"/>
          <w:szCs w:val="21"/>
        </w:rPr>
        <w:t>月</w:t>
      </w:r>
      <w:r>
        <w:rPr>
          <w:rFonts w:hint="eastAsia" w:hAnsi="宋体" w:cs="宋体"/>
          <w:color w:val="auto"/>
          <w:sz w:val="21"/>
          <w:szCs w:val="21"/>
          <w:u w:val="single"/>
        </w:rPr>
        <w:t xml:space="preserve">   </w:t>
      </w:r>
      <w:r>
        <w:rPr>
          <w:rFonts w:hint="eastAsia" w:hAnsi="宋体" w:cs="宋体"/>
          <w:color w:val="auto"/>
          <w:sz w:val="21"/>
          <w:szCs w:val="21"/>
        </w:rPr>
        <w:t>日前从我方基本账户以</w:t>
      </w:r>
      <w:r>
        <w:rPr>
          <w:rFonts w:hint="eastAsia" w:hAnsi="宋体" w:cs="宋体"/>
          <w:color w:val="auto"/>
          <w:sz w:val="21"/>
          <w:szCs w:val="21"/>
          <w:u w:val="single"/>
        </w:rPr>
        <w:t xml:space="preserve">   </w:t>
      </w:r>
      <w:r>
        <w:rPr>
          <w:rFonts w:hint="eastAsia" w:hAnsi="宋体" w:cs="宋体"/>
          <w:color w:val="auto"/>
          <w:sz w:val="21"/>
          <w:szCs w:val="21"/>
        </w:rPr>
        <w:t>（付款形式）方式汇入指定账户（账户名称：广东华迪工程管理有限公司，账号：</w:t>
      </w:r>
      <w:r>
        <w:rPr>
          <w:rFonts w:hint="eastAsia" w:hAnsi="宋体" w:cs="宋体"/>
          <w:color w:val="auto"/>
          <w:sz w:val="21"/>
          <w:szCs w:val="21"/>
          <w:u w:val="single"/>
          <w:lang w:val="zh-CN"/>
        </w:rPr>
        <w:t>3602010719200390896</w:t>
      </w:r>
      <w:r>
        <w:rPr>
          <w:rFonts w:hint="eastAsia" w:hAnsi="宋体" w:cs="宋体"/>
          <w:color w:val="auto"/>
          <w:sz w:val="21"/>
          <w:szCs w:val="21"/>
        </w:rPr>
        <w:t>，开户银行：</w:t>
      </w:r>
      <w:r>
        <w:rPr>
          <w:rFonts w:hint="eastAsia" w:hAnsi="宋体" w:cs="宋体"/>
          <w:color w:val="auto"/>
          <w:sz w:val="21"/>
          <w:szCs w:val="21"/>
          <w:lang w:val="zh-CN"/>
        </w:rPr>
        <w:t>中国工商银行股份有限公司广州东风东路支行</w:t>
      </w:r>
      <w:r>
        <w:rPr>
          <w:rFonts w:hint="eastAsia" w:hAnsi="宋体" w:cs="宋体"/>
          <w:color w:val="auto"/>
          <w:sz w:val="21"/>
          <w:szCs w:val="21"/>
        </w:rPr>
        <w:t>）。</w:t>
      </w:r>
    </w:p>
    <w:p>
      <w:pPr>
        <w:spacing w:line="360" w:lineRule="auto"/>
        <w:ind w:firstLine="420" w:firstLineChars="200"/>
        <w:rPr>
          <w:rFonts w:hAnsi="宋体" w:cs="宋体"/>
          <w:color w:val="auto"/>
          <w:sz w:val="21"/>
          <w:szCs w:val="21"/>
        </w:rPr>
      </w:pPr>
      <w:r>
        <w:rPr>
          <w:rFonts w:hint="eastAsia" w:hAnsi="宋体" w:cs="宋体"/>
          <w:color w:val="auto"/>
          <w:sz w:val="21"/>
          <w:szCs w:val="21"/>
        </w:rPr>
        <w:t>本公司投标保证金的汇款情况：（详见附件－投标保证金进账单）</w:t>
      </w:r>
    </w:p>
    <w:p>
      <w:pPr>
        <w:spacing w:line="360" w:lineRule="auto"/>
        <w:ind w:firstLine="420" w:firstLineChars="200"/>
        <w:rPr>
          <w:rFonts w:hAnsi="宋体" w:cs="宋体"/>
          <w:color w:val="auto"/>
          <w:sz w:val="21"/>
          <w:szCs w:val="21"/>
        </w:rPr>
      </w:pPr>
      <w:r>
        <w:rPr>
          <w:rFonts w:hint="eastAsia" w:hAnsi="宋体" w:cs="宋体"/>
          <w:color w:val="auto"/>
          <w:sz w:val="21"/>
          <w:szCs w:val="21"/>
        </w:rPr>
        <w:t>汇出时间：</w:t>
      </w:r>
      <w:r>
        <w:rPr>
          <w:rFonts w:hint="eastAsia" w:hAnsi="宋体" w:cs="宋体"/>
          <w:color w:val="auto"/>
          <w:sz w:val="21"/>
          <w:szCs w:val="21"/>
          <w:u w:val="single"/>
        </w:rPr>
        <w:t xml:space="preserve">   </w:t>
      </w:r>
      <w:r>
        <w:rPr>
          <w:rFonts w:hint="eastAsia" w:hAnsi="宋体" w:cs="宋体"/>
          <w:color w:val="auto"/>
          <w:sz w:val="21"/>
          <w:szCs w:val="21"/>
        </w:rPr>
        <w:t>年</w:t>
      </w:r>
      <w:r>
        <w:rPr>
          <w:rFonts w:hint="eastAsia" w:hAnsi="宋体" w:cs="宋体"/>
          <w:color w:val="auto"/>
          <w:sz w:val="21"/>
          <w:szCs w:val="21"/>
          <w:u w:val="single"/>
        </w:rPr>
        <w:t xml:space="preserve">   </w:t>
      </w:r>
      <w:r>
        <w:rPr>
          <w:rFonts w:hint="eastAsia" w:hAnsi="宋体" w:cs="宋体"/>
          <w:color w:val="auto"/>
          <w:sz w:val="21"/>
          <w:szCs w:val="21"/>
        </w:rPr>
        <w:t>月</w:t>
      </w:r>
      <w:r>
        <w:rPr>
          <w:rFonts w:hint="eastAsia" w:hAnsi="宋体" w:cs="宋体"/>
          <w:color w:val="auto"/>
          <w:sz w:val="21"/>
          <w:szCs w:val="21"/>
          <w:u w:val="single"/>
        </w:rPr>
        <w:t xml:space="preserve">   </w:t>
      </w:r>
      <w:r>
        <w:rPr>
          <w:rFonts w:hint="eastAsia" w:hAnsi="宋体" w:cs="宋体"/>
          <w:color w:val="auto"/>
          <w:sz w:val="21"/>
          <w:szCs w:val="21"/>
        </w:rPr>
        <w:t>日；</w:t>
      </w:r>
    </w:p>
    <w:p>
      <w:pPr>
        <w:spacing w:line="360" w:lineRule="auto"/>
        <w:ind w:firstLine="420" w:firstLineChars="200"/>
        <w:rPr>
          <w:rFonts w:hAnsi="宋体" w:cs="宋体"/>
          <w:color w:val="auto"/>
          <w:sz w:val="21"/>
          <w:szCs w:val="21"/>
          <w:u w:val="single"/>
        </w:rPr>
      </w:pPr>
      <w:r>
        <w:rPr>
          <w:rFonts w:hint="eastAsia" w:hAnsi="宋体" w:cs="宋体"/>
          <w:color w:val="auto"/>
          <w:sz w:val="21"/>
          <w:szCs w:val="21"/>
        </w:rPr>
        <w:t>汇款金额：（大写）人民币</w:t>
      </w:r>
      <w:r>
        <w:rPr>
          <w:rFonts w:hint="eastAsia" w:hAnsi="宋体" w:cs="宋体"/>
          <w:color w:val="auto"/>
          <w:sz w:val="21"/>
          <w:szCs w:val="21"/>
          <w:u w:val="single"/>
        </w:rPr>
        <w:t xml:space="preserve">      </w:t>
      </w:r>
      <w:r>
        <w:rPr>
          <w:rFonts w:hint="eastAsia" w:hAnsi="宋体" w:cs="宋体"/>
          <w:color w:val="auto"/>
          <w:sz w:val="21"/>
          <w:szCs w:val="21"/>
        </w:rPr>
        <w:t>元（小写：¥</w:t>
      </w:r>
      <w:r>
        <w:rPr>
          <w:rFonts w:hint="eastAsia" w:hAnsi="宋体" w:cs="宋体"/>
          <w:color w:val="auto"/>
          <w:sz w:val="21"/>
          <w:szCs w:val="21"/>
          <w:u w:val="single"/>
        </w:rPr>
        <w:t xml:space="preserve">      </w:t>
      </w:r>
      <w:r>
        <w:rPr>
          <w:rFonts w:hint="eastAsia" w:hAnsi="宋体" w:cs="宋体"/>
          <w:color w:val="auto"/>
          <w:sz w:val="21"/>
          <w:szCs w:val="21"/>
        </w:rPr>
        <w:t>元），</w:t>
      </w:r>
    </w:p>
    <w:p>
      <w:pPr>
        <w:spacing w:line="360" w:lineRule="auto"/>
        <w:ind w:firstLine="420" w:firstLineChars="200"/>
        <w:rPr>
          <w:rFonts w:hAnsi="宋体" w:cs="宋体"/>
          <w:color w:val="auto"/>
          <w:sz w:val="21"/>
          <w:szCs w:val="21"/>
          <w:u w:val="single"/>
        </w:rPr>
      </w:pPr>
      <w:r>
        <w:rPr>
          <w:rFonts w:hint="eastAsia" w:hAnsi="宋体" w:cs="宋体"/>
          <w:color w:val="auto"/>
          <w:sz w:val="21"/>
          <w:szCs w:val="21"/>
        </w:rPr>
        <w:t>汇款账户名称：</w:t>
      </w:r>
      <w:r>
        <w:rPr>
          <w:rFonts w:hint="eastAsia" w:hAnsi="宋体" w:cs="宋体"/>
          <w:color w:val="auto"/>
          <w:sz w:val="21"/>
          <w:szCs w:val="21"/>
          <w:u w:val="single"/>
        </w:rPr>
        <w:t xml:space="preserve">  （必须是投标时使用的账户名）   </w:t>
      </w:r>
    </w:p>
    <w:p>
      <w:pPr>
        <w:spacing w:line="360" w:lineRule="auto"/>
        <w:ind w:firstLine="420" w:firstLineChars="200"/>
        <w:rPr>
          <w:rFonts w:hAnsi="宋体" w:cs="宋体"/>
          <w:color w:val="auto"/>
          <w:sz w:val="21"/>
          <w:szCs w:val="21"/>
        </w:rPr>
      </w:pPr>
      <w:r>
        <w:rPr>
          <w:rFonts w:hint="eastAsia" w:hAnsi="宋体" w:cs="宋体"/>
          <w:color w:val="auto"/>
          <w:sz w:val="21"/>
          <w:szCs w:val="21"/>
        </w:rPr>
        <w:t>账    号：</w:t>
      </w:r>
      <w:r>
        <w:rPr>
          <w:rFonts w:hint="eastAsia" w:hAnsi="宋体" w:cs="宋体"/>
          <w:color w:val="auto"/>
          <w:sz w:val="21"/>
          <w:szCs w:val="21"/>
          <w:u w:val="single"/>
        </w:rPr>
        <w:t xml:space="preserve">  （必须是投标时使用的账号）     </w:t>
      </w:r>
    </w:p>
    <w:p>
      <w:pPr>
        <w:spacing w:line="360" w:lineRule="auto"/>
        <w:ind w:firstLine="420" w:firstLineChars="200"/>
        <w:rPr>
          <w:rFonts w:hAnsi="宋体" w:cs="宋体"/>
          <w:color w:val="auto"/>
          <w:sz w:val="21"/>
          <w:szCs w:val="21"/>
          <w:u w:val="single"/>
        </w:rPr>
      </w:pPr>
      <w:r>
        <w:rPr>
          <w:rFonts w:hint="eastAsia" w:hAnsi="宋体" w:cs="宋体"/>
          <w:color w:val="auto"/>
          <w:sz w:val="21"/>
          <w:szCs w:val="21"/>
        </w:rPr>
        <w:t>开户银行：</w:t>
      </w:r>
      <w:r>
        <w:rPr>
          <w:rFonts w:hint="eastAsia" w:hAnsi="宋体" w:cs="宋体"/>
          <w:color w:val="auto"/>
          <w:sz w:val="21"/>
          <w:szCs w:val="21"/>
          <w:u w:val="single"/>
        </w:rPr>
        <w:t xml:space="preserve">                                 </w:t>
      </w:r>
    </w:p>
    <w:p>
      <w:pPr>
        <w:spacing w:line="360" w:lineRule="auto"/>
        <w:ind w:firstLine="420" w:firstLineChars="200"/>
        <w:rPr>
          <w:rFonts w:hAnsi="宋体" w:cs="宋体"/>
          <w:color w:val="auto"/>
          <w:sz w:val="21"/>
          <w:szCs w:val="21"/>
        </w:rPr>
      </w:pPr>
      <w:r>
        <w:rPr>
          <w:rFonts w:hint="eastAsia" w:hAnsi="宋体" w:cs="宋体"/>
          <w:color w:val="auto"/>
          <w:sz w:val="21"/>
          <w:szCs w:val="21"/>
        </w:rPr>
        <w:t>本公司谨承诺上述资料是正确、真实的，如因上述证明与事实不符导致的一切损失，本公司保证承担赔偿等一切法律责任。</w:t>
      </w:r>
    </w:p>
    <w:p>
      <w:pPr>
        <w:spacing w:line="360" w:lineRule="auto"/>
        <w:ind w:firstLine="420" w:firstLineChars="200"/>
        <w:rPr>
          <w:rFonts w:hAnsi="宋体" w:cs="宋体"/>
          <w:color w:val="auto"/>
          <w:sz w:val="21"/>
          <w:szCs w:val="21"/>
        </w:rPr>
      </w:pPr>
      <w:r>
        <w:rPr>
          <w:rFonts w:hint="eastAsia" w:hAnsi="宋体" w:cs="宋体"/>
          <w:color w:val="auto"/>
          <w:sz w:val="21"/>
          <w:szCs w:val="21"/>
        </w:rPr>
        <w:t>投标保证金退回时，请按上述账户信息退回。</w:t>
      </w:r>
    </w:p>
    <w:p>
      <w:pPr>
        <w:spacing w:line="360" w:lineRule="auto"/>
        <w:rPr>
          <w:rFonts w:hAnsi="宋体" w:cs="宋体"/>
          <w:color w:val="auto"/>
          <w:sz w:val="21"/>
          <w:szCs w:val="21"/>
        </w:rPr>
      </w:pPr>
    </w:p>
    <w:p>
      <w:pPr>
        <w:spacing w:line="360" w:lineRule="auto"/>
        <w:ind w:right="965" w:rightChars="402"/>
        <w:jc w:val="right"/>
        <w:rPr>
          <w:rFonts w:hAnsi="宋体" w:cs="宋体"/>
          <w:color w:val="auto"/>
          <w:sz w:val="21"/>
          <w:szCs w:val="21"/>
        </w:rPr>
      </w:pPr>
      <w:r>
        <w:rPr>
          <w:rFonts w:hint="eastAsia" w:hAnsi="宋体" w:cs="宋体"/>
          <w:color w:val="auto"/>
          <w:sz w:val="21"/>
          <w:szCs w:val="21"/>
        </w:rPr>
        <w:t>（</w:t>
      </w:r>
      <w:r>
        <w:rPr>
          <w:rFonts w:hint="eastAsia" w:hAnsi="宋体" w:cs="宋体"/>
          <w:bCs/>
          <w:color w:val="auto"/>
          <w:sz w:val="21"/>
        </w:rPr>
        <w:t>投标人法人公章</w:t>
      </w:r>
      <w:r>
        <w:rPr>
          <w:rFonts w:hint="eastAsia" w:hAnsi="宋体" w:cs="宋体"/>
          <w:color w:val="auto"/>
          <w:sz w:val="21"/>
          <w:szCs w:val="21"/>
        </w:rPr>
        <w:t>）</w:t>
      </w:r>
    </w:p>
    <w:p>
      <w:pPr>
        <w:spacing w:line="360" w:lineRule="auto"/>
        <w:ind w:right="991" w:rightChars="413"/>
        <w:jc w:val="right"/>
        <w:rPr>
          <w:rFonts w:hAnsi="宋体" w:cs="宋体"/>
          <w:color w:val="auto"/>
          <w:sz w:val="21"/>
          <w:szCs w:val="21"/>
        </w:rPr>
      </w:pPr>
      <w:r>
        <w:rPr>
          <w:rFonts w:hint="eastAsia" w:hAnsi="宋体" w:cs="宋体"/>
          <w:color w:val="auto"/>
          <w:sz w:val="21"/>
          <w:szCs w:val="21"/>
        </w:rPr>
        <w:t>年   月   日</w:t>
      </w:r>
    </w:p>
    <w:p>
      <w:pPr>
        <w:spacing w:line="360" w:lineRule="auto"/>
        <w:rPr>
          <w:rFonts w:hAnsi="宋体" w:cs="宋体"/>
          <w:color w:val="auto"/>
          <w:sz w:val="21"/>
          <w:szCs w:val="21"/>
          <w:u w:val="single"/>
        </w:rPr>
      </w:pPr>
      <w:r>
        <w:rPr>
          <w:rFonts w:hint="eastAsia" w:hAnsi="宋体" w:cs="宋体"/>
          <w:color w:val="auto"/>
          <w:sz w:val="21"/>
          <w:szCs w:val="21"/>
        </w:rPr>
        <w:t>公司名称：</w:t>
      </w:r>
    </w:p>
    <w:p>
      <w:pPr>
        <w:spacing w:line="360" w:lineRule="auto"/>
        <w:rPr>
          <w:rFonts w:hAnsi="宋体" w:cs="宋体"/>
          <w:color w:val="auto"/>
          <w:sz w:val="21"/>
          <w:szCs w:val="21"/>
        </w:rPr>
      </w:pPr>
      <w:r>
        <w:rPr>
          <w:rFonts w:hint="eastAsia" w:hAnsi="宋体" w:cs="宋体"/>
          <w:color w:val="auto"/>
          <w:sz w:val="21"/>
          <w:szCs w:val="21"/>
        </w:rPr>
        <w:t>公司地址：</w:t>
      </w:r>
    </w:p>
    <w:p>
      <w:pPr>
        <w:spacing w:line="360" w:lineRule="auto"/>
        <w:rPr>
          <w:rFonts w:hAnsi="宋体" w:cs="宋体"/>
          <w:color w:val="auto"/>
          <w:sz w:val="21"/>
          <w:szCs w:val="21"/>
        </w:rPr>
      </w:pPr>
      <w:r>
        <w:rPr>
          <w:rFonts w:hint="eastAsia" w:hAnsi="宋体" w:cs="宋体"/>
          <w:color w:val="auto"/>
          <w:sz w:val="21"/>
          <w:szCs w:val="21"/>
        </w:rPr>
        <w:t>联系人：</w:t>
      </w:r>
    </w:p>
    <w:p>
      <w:pPr>
        <w:spacing w:line="360" w:lineRule="auto"/>
        <w:rPr>
          <w:rFonts w:hAnsi="宋体" w:cs="宋体"/>
          <w:color w:val="auto"/>
          <w:sz w:val="21"/>
          <w:szCs w:val="21"/>
        </w:rPr>
      </w:pPr>
      <w:r>
        <w:rPr>
          <w:rFonts w:hint="eastAsia" w:hAnsi="宋体" w:cs="宋体"/>
          <w:color w:val="auto"/>
          <w:sz w:val="21"/>
          <w:szCs w:val="21"/>
        </w:rPr>
        <w:t>公司电话：      联系人手机：</w:t>
      </w:r>
    </w:p>
    <w:p>
      <w:pPr>
        <w:spacing w:line="360" w:lineRule="auto"/>
        <w:rPr>
          <w:rFonts w:hAnsi="宋体" w:cs="宋体"/>
          <w:b/>
          <w:bCs/>
          <w:color w:val="auto"/>
        </w:rPr>
      </w:pPr>
    </w:p>
    <w:p>
      <w:pPr>
        <w:spacing w:line="360" w:lineRule="auto"/>
        <w:rPr>
          <w:rFonts w:hAnsi="宋体" w:cs="宋体"/>
          <w:color w:val="auto"/>
          <w:sz w:val="21"/>
        </w:rPr>
      </w:pPr>
    </w:p>
    <w:p>
      <w:pPr>
        <w:spacing w:line="360" w:lineRule="auto"/>
        <w:rPr>
          <w:rFonts w:hAnsi="宋体" w:cs="宋体"/>
          <w:b/>
          <w:bCs/>
          <w:color w:val="auto"/>
          <w:sz w:val="21"/>
        </w:rPr>
      </w:pPr>
      <w:r>
        <w:rPr>
          <w:rFonts w:hint="eastAsia" w:hAnsi="宋体" w:cs="宋体"/>
          <w:b/>
          <w:bCs/>
          <w:color w:val="auto"/>
          <w:sz w:val="21"/>
        </w:rPr>
        <w:t>附：我方投标保证金汇款凭证复印件、（基本存款账户）开户许可证复印件（均须加盖投标人法人公章）</w:t>
      </w:r>
    </w:p>
    <w:p>
      <w:pPr>
        <w:spacing w:line="360" w:lineRule="auto"/>
        <w:jc w:val="both"/>
        <w:rPr>
          <w:rFonts w:hAnsi="宋体" w:cs="宋体"/>
          <w:b/>
          <w:bCs/>
          <w:color w:val="auto"/>
          <w:kern w:val="2"/>
        </w:rPr>
      </w:pPr>
    </w:p>
    <w:p>
      <w:pPr>
        <w:spacing w:line="360" w:lineRule="auto"/>
        <w:jc w:val="both"/>
        <w:rPr>
          <w:rFonts w:hAnsi="宋体" w:cs="宋体"/>
          <w:b/>
          <w:bCs/>
          <w:color w:val="auto"/>
          <w:kern w:val="2"/>
          <w:sz w:val="21"/>
          <w:szCs w:val="21"/>
          <w:u w:val="single"/>
          <w:lang w:val="zh-CN"/>
        </w:rPr>
      </w:pPr>
      <w:r>
        <w:rPr>
          <w:rFonts w:hint="eastAsia" w:hAnsi="宋体" w:cs="宋体"/>
          <w:b/>
          <w:bCs/>
          <w:color w:val="auto"/>
          <w:kern w:val="2"/>
          <w:sz w:val="21"/>
          <w:szCs w:val="21"/>
          <w:u w:val="single"/>
          <w:lang w:val="zh-CN"/>
        </w:rPr>
        <w:t>注：本情况说明手写无效。</w:t>
      </w:r>
    </w:p>
    <w:p>
      <w:pPr>
        <w:widowControl/>
        <w:autoSpaceDE/>
        <w:autoSpaceDN/>
        <w:adjustRightInd/>
        <w:rPr>
          <w:rFonts w:hAnsi="宋体" w:cs="宋体"/>
          <w:color w:val="auto"/>
        </w:rPr>
      </w:pPr>
      <w:bookmarkStart w:id="225" w:name="_Toc447044611"/>
      <w:bookmarkStart w:id="226" w:name="_Toc447045098"/>
      <w:bookmarkStart w:id="227" w:name="_Toc447044487"/>
    </w:p>
    <w:bookmarkEnd w:id="225"/>
    <w:bookmarkEnd w:id="226"/>
    <w:bookmarkEnd w:id="227"/>
    <w:p>
      <w:pPr>
        <w:outlineLvl w:val="9"/>
        <w:rPr>
          <w:rFonts w:hAnsi="宋体" w:cs="宋体"/>
          <w:b/>
          <w:bCs/>
          <w:color w:val="auto"/>
          <w:kern w:val="2"/>
          <w:sz w:val="32"/>
          <w:szCs w:val="32"/>
          <w:lang w:val="zh-CN"/>
        </w:rPr>
      </w:pPr>
      <w:bookmarkStart w:id="228" w:name="_Toc534983549"/>
      <w:bookmarkStart w:id="229" w:name="_Toc4743577"/>
    </w:p>
    <w:p>
      <w:pPr>
        <w:pStyle w:val="147"/>
        <w:ind w:firstLine="643"/>
        <w:rPr>
          <w:rFonts w:hAnsi="宋体" w:cs="宋体"/>
          <w:b/>
          <w:bCs/>
          <w:color w:val="auto"/>
          <w:kern w:val="2"/>
          <w:sz w:val="32"/>
          <w:szCs w:val="32"/>
        </w:rPr>
      </w:pPr>
    </w:p>
    <w:p>
      <w:pPr>
        <w:spacing w:line="360" w:lineRule="auto"/>
        <w:outlineLvl w:val="2"/>
        <w:rPr>
          <w:rFonts w:hAnsi="宋体" w:cs="宋体"/>
          <w:b/>
          <w:bCs/>
          <w:color w:val="auto"/>
          <w:kern w:val="2"/>
          <w:sz w:val="32"/>
          <w:szCs w:val="32"/>
          <w:lang w:val="zh-CN"/>
        </w:rPr>
      </w:pPr>
      <w:bookmarkStart w:id="230" w:name="_Toc13790"/>
      <w:bookmarkStart w:id="231" w:name="_Toc5341"/>
      <w:bookmarkStart w:id="232" w:name="_Toc16282"/>
      <w:r>
        <w:rPr>
          <w:rFonts w:hint="eastAsia" w:hAnsi="宋体" w:cs="宋体"/>
          <w:b/>
          <w:bCs/>
          <w:color w:val="auto"/>
          <w:kern w:val="2"/>
          <w:sz w:val="32"/>
          <w:szCs w:val="32"/>
          <w:lang w:val="zh-CN"/>
        </w:rPr>
        <w:t>十</w:t>
      </w:r>
      <w:r>
        <w:rPr>
          <w:rFonts w:hint="eastAsia" w:hAnsi="宋体" w:cs="宋体"/>
          <w:b/>
          <w:bCs/>
          <w:color w:val="auto"/>
          <w:kern w:val="2"/>
          <w:sz w:val="32"/>
          <w:szCs w:val="32"/>
          <w:lang w:val="en-US" w:eastAsia="zh-CN"/>
        </w:rPr>
        <w:t>四</w:t>
      </w:r>
      <w:r>
        <w:rPr>
          <w:rFonts w:hint="eastAsia" w:hAnsi="宋体" w:cs="宋体"/>
          <w:b/>
          <w:bCs/>
          <w:color w:val="auto"/>
          <w:kern w:val="2"/>
          <w:sz w:val="32"/>
          <w:szCs w:val="32"/>
          <w:lang w:val="zh-CN"/>
        </w:rPr>
        <w:t>、</w:t>
      </w:r>
      <w:r>
        <w:rPr>
          <w:rFonts w:hint="eastAsia" w:hAnsi="宋体" w:cs="宋体"/>
          <w:b/>
          <w:bCs/>
          <w:color w:val="auto"/>
          <w:sz w:val="32"/>
          <w:szCs w:val="32"/>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bookmarkEnd w:id="228"/>
      <w:bookmarkEnd w:id="229"/>
      <w:bookmarkEnd w:id="230"/>
      <w:bookmarkEnd w:id="231"/>
      <w:bookmarkEnd w:id="232"/>
    </w:p>
    <w:p>
      <w:pPr>
        <w:rPr>
          <w:rFonts w:hAnsi="宋体" w:cs="宋体"/>
          <w:color w:val="auto"/>
        </w:rPr>
      </w:pPr>
    </w:p>
    <w:p>
      <w:pPr>
        <w:pStyle w:val="5"/>
        <w:pageBreakBefore/>
        <w:spacing w:line="360" w:lineRule="auto"/>
        <w:rPr>
          <w:rFonts w:hAnsi="宋体" w:cs="宋体"/>
          <w:b/>
          <w:bCs/>
          <w:color w:val="auto"/>
          <w:kern w:val="2"/>
          <w:sz w:val="32"/>
          <w:szCs w:val="32"/>
          <w:lang w:val="zh-CN"/>
        </w:rPr>
      </w:pPr>
      <w:bookmarkStart w:id="233" w:name="_Toc534983550"/>
      <w:bookmarkStart w:id="234" w:name="_Toc28229"/>
      <w:bookmarkStart w:id="235" w:name="_Toc4743578"/>
      <w:bookmarkStart w:id="236" w:name="_Toc25193"/>
      <w:bookmarkStart w:id="237" w:name="_Toc2809"/>
      <w:r>
        <w:rPr>
          <w:rFonts w:hint="eastAsia" w:hAnsi="宋体" w:cs="宋体"/>
          <w:b/>
          <w:bCs/>
          <w:color w:val="auto"/>
          <w:kern w:val="2"/>
          <w:sz w:val="32"/>
          <w:szCs w:val="32"/>
          <w:lang w:val="zh-CN"/>
        </w:rPr>
        <w:t>十</w:t>
      </w:r>
      <w:r>
        <w:rPr>
          <w:rFonts w:hint="eastAsia" w:hAnsi="宋体" w:cs="宋体"/>
          <w:b/>
          <w:bCs/>
          <w:color w:val="auto"/>
          <w:kern w:val="2"/>
          <w:sz w:val="32"/>
          <w:szCs w:val="32"/>
          <w:lang w:val="en-US" w:eastAsia="zh-CN"/>
        </w:rPr>
        <w:t>五</w:t>
      </w:r>
      <w:r>
        <w:rPr>
          <w:rFonts w:hint="eastAsia" w:hAnsi="宋体" w:cs="宋体"/>
          <w:b/>
          <w:bCs/>
          <w:color w:val="auto"/>
          <w:kern w:val="2"/>
          <w:sz w:val="32"/>
          <w:szCs w:val="32"/>
          <w:lang w:val="zh-CN"/>
        </w:rPr>
        <w:t>、技术响应文件格式</w:t>
      </w:r>
      <w:bookmarkEnd w:id="233"/>
      <w:bookmarkEnd w:id="234"/>
      <w:bookmarkEnd w:id="235"/>
      <w:bookmarkEnd w:id="236"/>
      <w:bookmarkEnd w:id="237"/>
    </w:p>
    <w:p>
      <w:pPr>
        <w:pStyle w:val="29"/>
        <w:spacing w:line="360" w:lineRule="auto"/>
        <w:ind w:left="0" w:firstLine="420" w:firstLineChars="200"/>
        <w:rPr>
          <w:rFonts w:hAnsi="宋体" w:cs="宋体"/>
          <w:color w:val="auto"/>
          <w:sz w:val="21"/>
          <w:szCs w:val="21"/>
        </w:rPr>
      </w:pPr>
      <w:r>
        <w:rPr>
          <w:rFonts w:hint="eastAsia" w:hAnsi="宋体" w:cs="宋体"/>
          <w:color w:val="auto"/>
          <w:sz w:val="21"/>
          <w:szCs w:val="21"/>
        </w:rPr>
        <w:t>投标人应按照招标文件投标人须知关于投标文件组成部分的要求编制技术文件，主要包括但不限于以下内容。</w:t>
      </w:r>
    </w:p>
    <w:p>
      <w:pPr>
        <w:spacing w:line="360" w:lineRule="auto"/>
        <w:ind w:left="723" w:leftChars="170" w:hanging="315" w:hangingChars="150"/>
        <w:jc w:val="both"/>
        <w:rPr>
          <w:rFonts w:hAnsi="宋体" w:cs="宋体"/>
          <w:color w:val="auto"/>
          <w:kern w:val="2"/>
          <w:sz w:val="21"/>
          <w:szCs w:val="21"/>
          <w:lang w:val="zh-CN"/>
        </w:rPr>
      </w:pPr>
      <w:r>
        <w:rPr>
          <w:rFonts w:hint="eastAsia" w:hAnsi="宋体" w:cs="宋体"/>
          <w:color w:val="auto"/>
          <w:kern w:val="2"/>
          <w:sz w:val="21"/>
          <w:szCs w:val="21"/>
          <w:lang w:val="zh-CN"/>
        </w:rPr>
        <w:t>1、</w:t>
      </w:r>
      <w:r>
        <w:rPr>
          <w:rFonts w:hint="eastAsia" w:hAnsi="宋体" w:cs="宋体"/>
          <w:color w:val="auto"/>
          <w:sz w:val="21"/>
          <w:szCs w:val="21"/>
        </w:rPr>
        <w:t>用户需求的</w:t>
      </w:r>
      <w:r>
        <w:rPr>
          <w:rFonts w:hint="eastAsia" w:hAnsi="宋体" w:cs="宋体"/>
          <w:color w:val="auto"/>
          <w:kern w:val="2"/>
          <w:sz w:val="21"/>
          <w:szCs w:val="21"/>
          <w:lang w:val="zh-CN"/>
        </w:rPr>
        <w:t>响应程度（格式见附件</w:t>
      </w:r>
      <w:r>
        <w:rPr>
          <w:rFonts w:hint="eastAsia" w:hAnsi="宋体" w:cs="宋体"/>
          <w:color w:val="auto"/>
          <w:kern w:val="2"/>
          <w:sz w:val="21"/>
          <w:szCs w:val="21"/>
        </w:rPr>
        <w:t>1</w:t>
      </w:r>
      <w:r>
        <w:rPr>
          <w:rFonts w:hint="eastAsia" w:hAnsi="宋体" w:cs="宋体"/>
          <w:color w:val="auto"/>
          <w:kern w:val="2"/>
          <w:sz w:val="21"/>
          <w:szCs w:val="21"/>
          <w:lang w:val="en-US" w:eastAsia="zh-CN"/>
        </w:rPr>
        <w:t>5</w:t>
      </w:r>
      <w:r>
        <w:rPr>
          <w:rFonts w:hint="eastAsia" w:hAnsi="宋体" w:cs="宋体"/>
          <w:color w:val="auto"/>
          <w:kern w:val="2"/>
          <w:sz w:val="21"/>
          <w:szCs w:val="21"/>
          <w:lang w:val="zh-CN"/>
        </w:rPr>
        <w:t>-1 用户需求偏离表格式）；</w:t>
      </w:r>
    </w:p>
    <w:p>
      <w:pPr>
        <w:spacing w:line="360" w:lineRule="auto"/>
        <w:ind w:left="723" w:leftChars="170" w:hanging="315" w:hangingChars="150"/>
        <w:jc w:val="both"/>
        <w:rPr>
          <w:rFonts w:hAnsi="宋体" w:cs="宋体"/>
          <w:color w:val="auto"/>
          <w:kern w:val="2"/>
          <w:sz w:val="21"/>
          <w:szCs w:val="21"/>
          <w:lang w:val="zh-CN"/>
        </w:rPr>
      </w:pPr>
      <w:r>
        <w:rPr>
          <w:rFonts w:hint="eastAsia" w:hAnsi="宋体" w:cs="宋体"/>
          <w:color w:val="auto"/>
          <w:kern w:val="2"/>
          <w:sz w:val="21"/>
          <w:szCs w:val="21"/>
          <w:lang w:val="zh-CN"/>
        </w:rPr>
        <w:t>2、</w:t>
      </w:r>
      <w:r>
        <w:rPr>
          <w:rFonts w:hint="eastAsia" w:hAnsi="宋体" w:cs="宋体"/>
          <w:color w:val="auto"/>
          <w:sz w:val="21"/>
          <w:szCs w:val="21"/>
          <w:lang w:val="zh-CN"/>
        </w:rPr>
        <w:t>应急处理方案</w:t>
      </w:r>
      <w:r>
        <w:rPr>
          <w:rFonts w:hint="eastAsia" w:hAnsi="宋体" w:cs="宋体"/>
          <w:color w:val="auto"/>
          <w:kern w:val="2"/>
          <w:sz w:val="21"/>
          <w:szCs w:val="21"/>
        </w:rPr>
        <w:t>（</w:t>
      </w:r>
      <w:r>
        <w:rPr>
          <w:rFonts w:hint="eastAsia" w:hAnsi="宋体" w:cs="宋体"/>
          <w:color w:val="auto"/>
          <w:kern w:val="2"/>
          <w:sz w:val="21"/>
          <w:szCs w:val="21"/>
          <w:lang w:val="zh-CN"/>
        </w:rPr>
        <w:t>投标人自行编写</w:t>
      </w:r>
      <w:r>
        <w:rPr>
          <w:rFonts w:hint="eastAsia" w:hAnsi="宋体" w:cs="宋体"/>
          <w:color w:val="auto"/>
          <w:kern w:val="2"/>
          <w:sz w:val="21"/>
          <w:szCs w:val="21"/>
        </w:rPr>
        <w:t>）</w:t>
      </w:r>
      <w:r>
        <w:rPr>
          <w:rFonts w:hint="eastAsia" w:hAnsi="宋体" w:cs="宋体"/>
          <w:color w:val="auto"/>
          <w:kern w:val="2"/>
          <w:sz w:val="21"/>
          <w:szCs w:val="21"/>
          <w:lang w:val="zh-CN"/>
        </w:rPr>
        <w:t>；</w:t>
      </w:r>
    </w:p>
    <w:p>
      <w:pPr>
        <w:spacing w:line="360" w:lineRule="auto"/>
        <w:ind w:left="723" w:leftChars="170" w:hanging="315" w:hangingChars="150"/>
        <w:jc w:val="both"/>
        <w:rPr>
          <w:rFonts w:hAnsi="宋体" w:cs="宋体"/>
          <w:color w:val="auto"/>
          <w:kern w:val="2"/>
          <w:sz w:val="21"/>
          <w:szCs w:val="21"/>
          <w:lang w:val="zh-CN"/>
        </w:rPr>
      </w:pPr>
      <w:r>
        <w:rPr>
          <w:rFonts w:hint="eastAsia" w:hAnsi="宋体" w:cs="宋体"/>
          <w:color w:val="auto"/>
          <w:kern w:val="2"/>
          <w:sz w:val="21"/>
          <w:szCs w:val="21"/>
          <w:lang w:val="zh-CN"/>
        </w:rPr>
        <w:t>3、</w:t>
      </w:r>
      <w:r>
        <w:rPr>
          <w:rFonts w:hint="eastAsia" w:hAnsi="宋体" w:cs="宋体"/>
          <w:color w:val="auto"/>
          <w:kern w:val="2"/>
          <w:sz w:val="21"/>
          <w:szCs w:val="21"/>
        </w:rPr>
        <w:t>总体</w:t>
      </w:r>
      <w:r>
        <w:rPr>
          <w:rFonts w:hint="eastAsia" w:hAnsi="宋体" w:cs="宋体"/>
          <w:color w:val="auto"/>
          <w:sz w:val="21"/>
          <w:szCs w:val="21"/>
          <w:lang w:val="zh-CN"/>
        </w:rPr>
        <w:t>实施方案</w:t>
      </w:r>
      <w:r>
        <w:rPr>
          <w:rFonts w:hint="eastAsia" w:hAnsi="宋体" w:cs="宋体"/>
          <w:color w:val="auto"/>
          <w:kern w:val="2"/>
          <w:sz w:val="21"/>
          <w:szCs w:val="21"/>
        </w:rPr>
        <w:t>（</w:t>
      </w:r>
      <w:r>
        <w:rPr>
          <w:rFonts w:hint="eastAsia" w:hAnsi="宋体" w:cs="宋体"/>
          <w:color w:val="auto"/>
          <w:kern w:val="2"/>
          <w:sz w:val="21"/>
          <w:szCs w:val="21"/>
          <w:lang w:val="zh-CN"/>
        </w:rPr>
        <w:t>投标人自行编写</w:t>
      </w:r>
      <w:r>
        <w:rPr>
          <w:rFonts w:hint="eastAsia" w:hAnsi="宋体" w:cs="宋体"/>
          <w:color w:val="auto"/>
          <w:kern w:val="2"/>
          <w:sz w:val="21"/>
          <w:szCs w:val="21"/>
        </w:rPr>
        <w:t>）</w:t>
      </w:r>
      <w:r>
        <w:rPr>
          <w:rFonts w:hint="eastAsia" w:hAnsi="宋体" w:cs="宋体"/>
          <w:color w:val="auto"/>
          <w:kern w:val="2"/>
          <w:sz w:val="21"/>
          <w:szCs w:val="21"/>
          <w:lang w:val="zh-CN"/>
        </w:rPr>
        <w:t>；</w:t>
      </w:r>
    </w:p>
    <w:p>
      <w:pPr>
        <w:spacing w:line="360" w:lineRule="auto"/>
        <w:ind w:left="723" w:leftChars="170" w:hanging="315" w:hangingChars="150"/>
        <w:jc w:val="both"/>
        <w:rPr>
          <w:rFonts w:hint="eastAsia" w:hAnsi="宋体" w:cs="宋体"/>
          <w:color w:val="auto"/>
          <w:kern w:val="2"/>
          <w:sz w:val="21"/>
          <w:szCs w:val="21"/>
          <w:lang w:val="zh-CN"/>
        </w:rPr>
      </w:pPr>
      <w:r>
        <w:rPr>
          <w:rFonts w:hint="eastAsia" w:hAnsi="宋体" w:cs="宋体"/>
          <w:color w:val="auto"/>
          <w:kern w:val="2"/>
          <w:sz w:val="21"/>
          <w:szCs w:val="21"/>
        </w:rPr>
        <w:t>4</w:t>
      </w:r>
      <w:r>
        <w:rPr>
          <w:rFonts w:hint="eastAsia" w:hAnsi="宋体" w:cs="宋体"/>
          <w:color w:val="auto"/>
          <w:kern w:val="2"/>
          <w:sz w:val="21"/>
          <w:szCs w:val="21"/>
          <w:lang w:val="zh-CN"/>
        </w:rPr>
        <w:t>、</w:t>
      </w:r>
      <w:r>
        <w:rPr>
          <w:rFonts w:hint="eastAsia" w:hAnsi="宋体" w:cs="宋体"/>
          <w:color w:val="auto"/>
          <w:sz w:val="21"/>
          <w:szCs w:val="21"/>
        </w:rPr>
        <w:t>拟投入本项目的人员及车辆情况</w:t>
      </w:r>
      <w:r>
        <w:rPr>
          <w:rFonts w:hint="eastAsia" w:hAnsi="宋体" w:cs="宋体"/>
          <w:color w:val="auto"/>
          <w:kern w:val="2"/>
          <w:sz w:val="21"/>
          <w:szCs w:val="21"/>
          <w:lang w:val="zh-CN"/>
        </w:rPr>
        <w:t>（格式见附件</w:t>
      </w:r>
      <w:r>
        <w:rPr>
          <w:rFonts w:hint="eastAsia" w:hAnsi="宋体" w:cs="宋体"/>
          <w:color w:val="auto"/>
          <w:kern w:val="2"/>
          <w:sz w:val="21"/>
          <w:szCs w:val="21"/>
        </w:rPr>
        <w:t>1</w:t>
      </w:r>
      <w:r>
        <w:rPr>
          <w:rFonts w:hint="eastAsia" w:hAnsi="宋体" w:cs="宋体"/>
          <w:color w:val="auto"/>
          <w:kern w:val="2"/>
          <w:sz w:val="21"/>
          <w:szCs w:val="21"/>
          <w:lang w:val="en-US" w:eastAsia="zh-CN"/>
        </w:rPr>
        <w:t>5</w:t>
      </w:r>
      <w:r>
        <w:rPr>
          <w:rFonts w:hint="eastAsia" w:hAnsi="宋体" w:cs="宋体"/>
          <w:color w:val="auto"/>
          <w:kern w:val="2"/>
          <w:sz w:val="21"/>
          <w:szCs w:val="21"/>
          <w:lang w:val="zh-CN"/>
        </w:rPr>
        <w:t>-</w:t>
      </w:r>
      <w:r>
        <w:rPr>
          <w:rFonts w:hint="eastAsia" w:hAnsi="宋体" w:cs="宋体"/>
          <w:color w:val="auto"/>
          <w:kern w:val="2"/>
          <w:sz w:val="21"/>
          <w:szCs w:val="21"/>
          <w:lang w:val="en-US" w:eastAsia="zh-CN"/>
        </w:rPr>
        <w:t xml:space="preserve">4 </w:t>
      </w:r>
      <w:r>
        <w:rPr>
          <w:rFonts w:hint="eastAsia" w:hAnsi="宋体" w:cs="宋体"/>
          <w:b w:val="0"/>
          <w:bCs w:val="0"/>
          <w:color w:val="auto"/>
          <w:kern w:val="2"/>
          <w:sz w:val="21"/>
          <w:szCs w:val="21"/>
          <w:lang w:val="zh-CN"/>
        </w:rPr>
        <w:t>拟投入本项目的人员及车辆情况）</w:t>
      </w:r>
      <w:r>
        <w:rPr>
          <w:rFonts w:hint="eastAsia" w:hAnsi="宋体" w:cs="宋体"/>
          <w:color w:val="auto"/>
          <w:sz w:val="21"/>
          <w:szCs w:val="21"/>
        </w:rPr>
        <w:t>；</w:t>
      </w:r>
    </w:p>
    <w:p>
      <w:pPr>
        <w:spacing w:line="360" w:lineRule="auto"/>
        <w:ind w:left="723" w:leftChars="170" w:hanging="315" w:hangingChars="150"/>
        <w:jc w:val="both"/>
        <w:rPr>
          <w:rFonts w:hAnsi="宋体" w:cs="宋体"/>
          <w:color w:val="auto"/>
          <w:kern w:val="2"/>
          <w:sz w:val="21"/>
          <w:szCs w:val="21"/>
          <w:lang w:val="zh-CN"/>
        </w:rPr>
      </w:pPr>
      <w:r>
        <w:rPr>
          <w:rFonts w:hint="eastAsia" w:hAnsi="宋体" w:cs="宋体"/>
          <w:color w:val="auto"/>
          <w:kern w:val="2"/>
          <w:sz w:val="21"/>
          <w:szCs w:val="21"/>
          <w:lang w:val="en-US" w:eastAsia="zh-CN"/>
        </w:rPr>
        <w:t>5、</w:t>
      </w:r>
      <w:r>
        <w:rPr>
          <w:rFonts w:hint="eastAsia" w:hAnsi="宋体" w:cs="宋体"/>
          <w:color w:val="auto"/>
          <w:sz w:val="21"/>
          <w:szCs w:val="21"/>
          <w:lang w:val="zh-CN"/>
        </w:rPr>
        <w:t>食品安全管理</w:t>
      </w:r>
      <w:r>
        <w:rPr>
          <w:rFonts w:hint="eastAsia" w:hAnsi="宋体" w:cs="宋体"/>
          <w:color w:val="auto"/>
          <w:kern w:val="2"/>
          <w:sz w:val="21"/>
          <w:szCs w:val="21"/>
          <w:lang w:val="zh-CN"/>
        </w:rPr>
        <w:t>；</w:t>
      </w:r>
    </w:p>
    <w:p>
      <w:pPr>
        <w:spacing w:line="360" w:lineRule="auto"/>
        <w:ind w:left="723" w:leftChars="170" w:hanging="315" w:hangingChars="150"/>
        <w:jc w:val="both"/>
        <w:rPr>
          <w:rFonts w:hAnsi="宋体" w:cs="宋体"/>
          <w:color w:val="auto"/>
          <w:kern w:val="2"/>
          <w:sz w:val="21"/>
          <w:szCs w:val="21"/>
          <w:lang w:val="zh-CN"/>
        </w:rPr>
      </w:pPr>
      <w:r>
        <w:rPr>
          <w:rFonts w:hint="eastAsia" w:hAnsi="宋体" w:cs="宋体"/>
          <w:color w:val="auto"/>
          <w:kern w:val="2"/>
          <w:sz w:val="21"/>
          <w:szCs w:val="21"/>
          <w:lang w:val="zh-CN"/>
        </w:rPr>
        <w:t>（1）</w:t>
      </w:r>
      <w:r>
        <w:rPr>
          <w:rFonts w:hint="eastAsia" w:hAnsi="宋体" w:cs="宋体"/>
          <w:color w:val="auto"/>
          <w:sz w:val="21"/>
          <w:szCs w:val="21"/>
        </w:rPr>
        <w:t>检测能力</w:t>
      </w:r>
      <w:r>
        <w:rPr>
          <w:rFonts w:hint="eastAsia" w:hAnsi="宋体" w:cs="宋体"/>
          <w:color w:val="auto"/>
          <w:kern w:val="2"/>
          <w:sz w:val="21"/>
          <w:szCs w:val="21"/>
        </w:rPr>
        <w:t>（</w:t>
      </w:r>
      <w:r>
        <w:rPr>
          <w:rFonts w:hint="eastAsia" w:hAnsi="宋体" w:cs="宋体"/>
          <w:color w:val="auto"/>
          <w:kern w:val="2"/>
          <w:sz w:val="21"/>
          <w:szCs w:val="21"/>
          <w:lang w:val="zh-CN"/>
        </w:rPr>
        <w:t>投标人自行编写</w:t>
      </w:r>
      <w:r>
        <w:rPr>
          <w:rFonts w:hint="eastAsia" w:hAnsi="宋体" w:cs="宋体"/>
          <w:color w:val="auto"/>
          <w:kern w:val="2"/>
          <w:sz w:val="21"/>
          <w:szCs w:val="21"/>
        </w:rPr>
        <w:t>）</w:t>
      </w:r>
      <w:r>
        <w:rPr>
          <w:rFonts w:hint="eastAsia" w:hAnsi="宋体" w:cs="宋体"/>
          <w:color w:val="auto"/>
          <w:kern w:val="2"/>
          <w:sz w:val="21"/>
          <w:szCs w:val="21"/>
          <w:lang w:val="zh-CN"/>
        </w:rPr>
        <w:t>；</w:t>
      </w:r>
    </w:p>
    <w:p>
      <w:pPr>
        <w:spacing w:line="360" w:lineRule="auto"/>
        <w:ind w:left="723" w:leftChars="170" w:hanging="315" w:hangingChars="150"/>
        <w:jc w:val="both"/>
        <w:rPr>
          <w:rFonts w:hAnsi="宋体" w:cs="宋体"/>
          <w:color w:val="auto"/>
          <w:kern w:val="2"/>
          <w:sz w:val="21"/>
          <w:szCs w:val="21"/>
          <w:lang w:val="zh-CN"/>
        </w:rPr>
      </w:pPr>
      <w:r>
        <w:rPr>
          <w:rFonts w:hint="eastAsia" w:hAnsi="宋体" w:cs="宋体"/>
          <w:color w:val="auto"/>
          <w:kern w:val="2"/>
          <w:sz w:val="21"/>
          <w:szCs w:val="21"/>
          <w:lang w:val="zh-CN"/>
        </w:rPr>
        <w:t>（</w:t>
      </w:r>
      <w:r>
        <w:rPr>
          <w:rFonts w:hint="eastAsia" w:hAnsi="宋体" w:cs="宋体"/>
          <w:color w:val="auto"/>
          <w:kern w:val="2"/>
          <w:sz w:val="21"/>
          <w:szCs w:val="21"/>
          <w:lang w:val="en-US" w:eastAsia="zh-CN"/>
        </w:rPr>
        <w:t>2</w:t>
      </w:r>
      <w:r>
        <w:rPr>
          <w:rFonts w:hint="eastAsia" w:hAnsi="宋体" w:cs="宋体"/>
          <w:color w:val="auto"/>
          <w:kern w:val="2"/>
          <w:sz w:val="21"/>
          <w:szCs w:val="21"/>
          <w:lang w:val="zh-CN"/>
        </w:rPr>
        <w:t>）</w:t>
      </w:r>
      <w:r>
        <w:rPr>
          <w:rFonts w:hint="eastAsia" w:hAnsi="宋体" w:cs="宋体"/>
          <w:color w:val="auto"/>
          <w:sz w:val="21"/>
          <w:szCs w:val="21"/>
        </w:rPr>
        <w:t>食材合格检测报告</w:t>
      </w:r>
      <w:r>
        <w:rPr>
          <w:rFonts w:hint="eastAsia" w:hAnsi="宋体" w:cs="宋体"/>
          <w:color w:val="auto"/>
          <w:kern w:val="2"/>
          <w:sz w:val="21"/>
          <w:szCs w:val="21"/>
          <w:lang w:val="zh-CN"/>
        </w:rPr>
        <w:t>；</w:t>
      </w:r>
    </w:p>
    <w:p>
      <w:pPr>
        <w:spacing w:line="360" w:lineRule="auto"/>
        <w:ind w:left="933" w:leftChars="170" w:hanging="525" w:hangingChars="250"/>
        <w:jc w:val="both"/>
        <w:rPr>
          <w:rFonts w:hAnsi="宋体" w:cs="宋体"/>
          <w:color w:val="auto"/>
          <w:kern w:val="2"/>
          <w:sz w:val="21"/>
          <w:szCs w:val="21"/>
          <w:lang w:val="zh-CN"/>
        </w:rPr>
      </w:pPr>
      <w:r>
        <w:rPr>
          <w:rFonts w:hint="eastAsia" w:hAnsi="宋体" w:cs="宋体"/>
          <w:color w:val="auto"/>
          <w:kern w:val="2"/>
          <w:sz w:val="21"/>
          <w:szCs w:val="21"/>
          <w:lang w:val="en-US" w:eastAsia="zh-CN"/>
        </w:rPr>
        <w:t>6</w:t>
      </w:r>
      <w:r>
        <w:rPr>
          <w:rFonts w:hint="eastAsia" w:hAnsi="宋体" w:cs="宋体"/>
          <w:color w:val="auto"/>
          <w:kern w:val="2"/>
          <w:sz w:val="21"/>
          <w:szCs w:val="21"/>
        </w:rPr>
        <w:t>、</w:t>
      </w:r>
      <w:r>
        <w:rPr>
          <w:rFonts w:hint="eastAsia" w:hAnsi="宋体" w:cs="宋体"/>
          <w:color w:val="auto"/>
          <w:kern w:val="2"/>
          <w:sz w:val="21"/>
          <w:szCs w:val="21"/>
          <w:lang w:val="zh-CN"/>
        </w:rPr>
        <w:t>投标人认为有需要提供的其他文件（不做强制性要求）。</w:t>
      </w:r>
    </w:p>
    <w:p>
      <w:pPr>
        <w:spacing w:line="360" w:lineRule="auto"/>
        <w:ind w:left="933" w:leftChars="170" w:hanging="525" w:hangingChars="250"/>
        <w:jc w:val="both"/>
        <w:rPr>
          <w:rFonts w:hAnsi="宋体" w:cs="宋体"/>
          <w:color w:val="auto"/>
          <w:kern w:val="2"/>
          <w:sz w:val="21"/>
          <w:szCs w:val="21"/>
          <w:lang w:val="zh-CN"/>
        </w:rPr>
        <w:sectPr>
          <w:pgSz w:w="11907" w:h="16839"/>
          <w:pgMar w:top="1417" w:right="1276" w:bottom="1417" w:left="1417" w:header="720" w:footer="1003" w:gutter="0"/>
          <w:cols w:space="720" w:num="1"/>
          <w:titlePg/>
          <w:docGrid w:linePitch="326" w:charSpace="0"/>
        </w:sectPr>
      </w:pPr>
    </w:p>
    <w:p>
      <w:pPr>
        <w:pStyle w:val="102"/>
        <w:pageBreakBefore/>
        <w:spacing w:afterLines="50" w:line="360" w:lineRule="auto"/>
        <w:ind w:firstLine="0" w:firstLineChars="0"/>
        <w:jc w:val="both"/>
        <w:rPr>
          <w:rFonts w:hAnsi="宋体" w:cs="宋体"/>
          <w:b/>
          <w:bCs/>
          <w:color w:val="auto"/>
          <w:kern w:val="2"/>
          <w:sz w:val="32"/>
          <w:szCs w:val="32"/>
          <w:lang w:val="zh-CN"/>
        </w:rPr>
      </w:pPr>
      <w:r>
        <w:rPr>
          <w:rFonts w:hint="eastAsia" w:hAnsi="宋体" w:cs="宋体"/>
          <w:b/>
          <w:bCs/>
          <w:color w:val="auto"/>
          <w:kern w:val="2"/>
          <w:sz w:val="32"/>
          <w:szCs w:val="32"/>
          <w:lang w:val="zh-CN"/>
        </w:rPr>
        <w:t>附件1</w:t>
      </w:r>
      <w:r>
        <w:rPr>
          <w:rFonts w:hint="eastAsia" w:hAnsi="宋体" w:cs="宋体"/>
          <w:b/>
          <w:bCs/>
          <w:color w:val="auto"/>
          <w:kern w:val="2"/>
          <w:sz w:val="32"/>
          <w:szCs w:val="32"/>
          <w:lang w:val="en-US" w:eastAsia="zh-CN"/>
        </w:rPr>
        <w:t>5</w:t>
      </w:r>
      <w:r>
        <w:rPr>
          <w:rFonts w:hint="eastAsia" w:hAnsi="宋体" w:cs="宋体"/>
          <w:b/>
          <w:bCs/>
          <w:color w:val="auto"/>
          <w:kern w:val="2"/>
          <w:sz w:val="32"/>
          <w:szCs w:val="32"/>
          <w:lang w:val="zh-CN"/>
        </w:rPr>
        <w:t>-</w:t>
      </w:r>
      <w:r>
        <w:rPr>
          <w:rFonts w:hint="eastAsia" w:hAnsi="宋体" w:cs="宋体"/>
          <w:b/>
          <w:bCs/>
          <w:color w:val="auto"/>
          <w:kern w:val="2"/>
          <w:sz w:val="32"/>
          <w:szCs w:val="32"/>
        </w:rPr>
        <w:t>1</w:t>
      </w:r>
      <w:r>
        <w:rPr>
          <w:rFonts w:hint="eastAsia" w:hAnsi="宋体" w:cs="宋体"/>
          <w:b/>
          <w:bCs/>
          <w:color w:val="auto"/>
          <w:kern w:val="2"/>
          <w:sz w:val="32"/>
          <w:szCs w:val="32"/>
          <w:lang w:val="zh-CN"/>
        </w:rPr>
        <w:t xml:space="preserve"> 用户需求偏离表格式</w:t>
      </w:r>
    </w:p>
    <w:p>
      <w:pPr>
        <w:spacing w:line="360" w:lineRule="auto"/>
        <w:jc w:val="center"/>
        <w:rPr>
          <w:rFonts w:hAnsi="宋体" w:cs="宋体"/>
          <w:b/>
          <w:color w:val="auto"/>
          <w:sz w:val="30"/>
          <w:szCs w:val="30"/>
        </w:rPr>
      </w:pPr>
      <w:r>
        <w:rPr>
          <w:rFonts w:hint="eastAsia" w:hAnsi="宋体" w:cs="宋体"/>
          <w:b/>
          <w:color w:val="auto"/>
          <w:sz w:val="30"/>
          <w:szCs w:val="30"/>
          <w:lang w:val="zh-CN"/>
        </w:rPr>
        <w:t>用户需求偏离表</w:t>
      </w:r>
    </w:p>
    <w:tbl>
      <w:tblPr>
        <w:tblStyle w:val="48"/>
        <w:tblW w:w="92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115"/>
        <w:gridCol w:w="2126"/>
        <w:gridCol w:w="1462"/>
        <w:gridCol w:w="241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836" w:type="dxa"/>
            <w:vMerge w:val="restart"/>
            <w:vAlign w:val="center"/>
          </w:tcPr>
          <w:p>
            <w:pPr>
              <w:spacing w:line="400" w:lineRule="exact"/>
              <w:jc w:val="center"/>
              <w:rPr>
                <w:rFonts w:hint="eastAsia" w:hAnsi="宋体" w:cs="宋体"/>
                <w:color w:val="auto"/>
                <w:sz w:val="21"/>
                <w:szCs w:val="21"/>
              </w:rPr>
            </w:pPr>
            <w:r>
              <w:rPr>
                <w:rFonts w:hint="eastAsia" w:hAnsi="宋体" w:cs="宋体"/>
                <w:color w:val="auto"/>
                <w:sz w:val="21"/>
                <w:szCs w:val="21"/>
              </w:rPr>
              <w:t>序号</w:t>
            </w:r>
          </w:p>
        </w:tc>
        <w:tc>
          <w:tcPr>
            <w:tcW w:w="3241" w:type="dxa"/>
            <w:gridSpan w:val="2"/>
            <w:vAlign w:val="center"/>
          </w:tcPr>
          <w:p>
            <w:pPr>
              <w:spacing w:line="400" w:lineRule="exact"/>
              <w:jc w:val="center"/>
              <w:rPr>
                <w:rFonts w:hint="eastAsia" w:hAnsi="宋体" w:cs="宋体"/>
                <w:color w:val="auto"/>
                <w:sz w:val="21"/>
                <w:szCs w:val="21"/>
              </w:rPr>
            </w:pPr>
            <w:r>
              <w:rPr>
                <w:rFonts w:hint="eastAsia" w:hAnsi="宋体" w:cs="宋体"/>
                <w:color w:val="auto"/>
                <w:sz w:val="21"/>
                <w:szCs w:val="21"/>
              </w:rPr>
              <w:t>招标文件要求</w:t>
            </w:r>
          </w:p>
        </w:tc>
        <w:tc>
          <w:tcPr>
            <w:tcW w:w="5148" w:type="dxa"/>
            <w:gridSpan w:val="3"/>
            <w:vAlign w:val="center"/>
          </w:tcPr>
          <w:p>
            <w:pPr>
              <w:spacing w:line="400" w:lineRule="exact"/>
              <w:jc w:val="center"/>
              <w:rPr>
                <w:rFonts w:hint="eastAsia" w:hAnsi="宋体" w:cs="宋体"/>
                <w:color w:val="auto"/>
                <w:sz w:val="21"/>
                <w:szCs w:val="21"/>
              </w:rPr>
            </w:pPr>
            <w:r>
              <w:rPr>
                <w:rFonts w:hint="eastAsia" w:hAnsi="宋体" w:cs="宋体"/>
                <w:color w:val="auto"/>
                <w:sz w:val="21"/>
                <w:szCs w:val="21"/>
              </w:rPr>
              <w:t>投标文件内容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836" w:type="dxa"/>
            <w:vMerge w:val="continue"/>
            <w:vAlign w:val="center"/>
          </w:tcPr>
          <w:p>
            <w:pPr>
              <w:spacing w:line="400" w:lineRule="exact"/>
              <w:jc w:val="center"/>
              <w:rPr>
                <w:rFonts w:hint="eastAsia" w:hAnsi="宋体" w:cs="宋体"/>
                <w:color w:val="auto"/>
                <w:sz w:val="21"/>
                <w:szCs w:val="21"/>
              </w:rPr>
            </w:pPr>
          </w:p>
        </w:tc>
        <w:tc>
          <w:tcPr>
            <w:tcW w:w="1115" w:type="dxa"/>
            <w:vAlign w:val="center"/>
          </w:tcPr>
          <w:p>
            <w:pPr>
              <w:spacing w:line="400" w:lineRule="exact"/>
              <w:jc w:val="center"/>
              <w:rPr>
                <w:rFonts w:hint="eastAsia" w:hAnsi="宋体" w:cs="宋体"/>
                <w:color w:val="auto"/>
                <w:sz w:val="21"/>
                <w:szCs w:val="21"/>
              </w:rPr>
            </w:pPr>
            <w:r>
              <w:rPr>
                <w:rFonts w:hint="eastAsia" w:hAnsi="宋体" w:cs="宋体"/>
                <w:color w:val="auto"/>
                <w:sz w:val="21"/>
                <w:szCs w:val="21"/>
              </w:rPr>
              <w:t>条款号</w:t>
            </w:r>
          </w:p>
        </w:tc>
        <w:tc>
          <w:tcPr>
            <w:tcW w:w="2126" w:type="dxa"/>
            <w:vAlign w:val="center"/>
          </w:tcPr>
          <w:p>
            <w:pPr>
              <w:spacing w:line="400" w:lineRule="exact"/>
              <w:jc w:val="center"/>
              <w:rPr>
                <w:rFonts w:hint="eastAsia" w:hAnsi="宋体" w:cs="宋体"/>
                <w:color w:val="auto"/>
                <w:sz w:val="21"/>
                <w:szCs w:val="21"/>
              </w:rPr>
            </w:pPr>
            <w:r>
              <w:rPr>
                <w:rFonts w:hint="eastAsia" w:hAnsi="宋体" w:cs="宋体"/>
                <w:color w:val="auto"/>
                <w:sz w:val="21"/>
                <w:szCs w:val="21"/>
              </w:rPr>
              <w:t>简要内容</w:t>
            </w:r>
          </w:p>
        </w:tc>
        <w:tc>
          <w:tcPr>
            <w:tcW w:w="1462" w:type="dxa"/>
            <w:vAlign w:val="center"/>
          </w:tcPr>
          <w:p>
            <w:pPr>
              <w:spacing w:line="400" w:lineRule="exact"/>
              <w:jc w:val="center"/>
              <w:rPr>
                <w:rFonts w:hint="eastAsia" w:hAnsi="宋体" w:cs="宋体"/>
                <w:color w:val="auto"/>
                <w:sz w:val="21"/>
                <w:szCs w:val="21"/>
              </w:rPr>
            </w:pPr>
            <w:r>
              <w:rPr>
                <w:rFonts w:hint="eastAsia" w:hAnsi="宋体" w:cs="宋体"/>
                <w:color w:val="auto"/>
                <w:sz w:val="21"/>
                <w:szCs w:val="21"/>
              </w:rPr>
              <w:t>偏离情况</w:t>
            </w:r>
          </w:p>
        </w:tc>
        <w:tc>
          <w:tcPr>
            <w:tcW w:w="2410" w:type="dxa"/>
            <w:vAlign w:val="center"/>
          </w:tcPr>
          <w:p>
            <w:pPr>
              <w:spacing w:line="400" w:lineRule="exact"/>
              <w:jc w:val="center"/>
              <w:rPr>
                <w:rFonts w:hint="eastAsia" w:hAnsi="宋体" w:cs="宋体"/>
                <w:color w:val="auto"/>
                <w:sz w:val="21"/>
                <w:szCs w:val="21"/>
              </w:rPr>
            </w:pPr>
            <w:r>
              <w:rPr>
                <w:rFonts w:hint="eastAsia" w:hAnsi="宋体" w:cs="宋体"/>
                <w:color w:val="auto"/>
                <w:sz w:val="21"/>
                <w:szCs w:val="21"/>
              </w:rPr>
              <w:t>具体偏离内容</w:t>
            </w:r>
          </w:p>
        </w:tc>
        <w:tc>
          <w:tcPr>
            <w:tcW w:w="1276" w:type="dxa"/>
          </w:tcPr>
          <w:p>
            <w:pPr>
              <w:spacing w:line="400" w:lineRule="exact"/>
              <w:jc w:val="center"/>
              <w:rPr>
                <w:rFonts w:hint="eastAsia" w:hAnsi="宋体" w:cs="宋体"/>
                <w:color w:val="auto"/>
                <w:sz w:val="21"/>
                <w:szCs w:val="21"/>
              </w:rPr>
            </w:pPr>
            <w:r>
              <w:rPr>
                <w:rFonts w:hint="eastAsia" w:hAnsi="宋体" w:cs="宋体"/>
                <w:color w:val="auto"/>
                <w:sz w:val="21"/>
                <w:szCs w:val="21"/>
              </w:rPr>
              <w:t>对应证明材料页码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trPr>
        <w:tc>
          <w:tcPr>
            <w:tcW w:w="836" w:type="dxa"/>
            <w:vAlign w:val="center"/>
          </w:tcPr>
          <w:p>
            <w:pPr>
              <w:spacing w:line="360" w:lineRule="auto"/>
              <w:jc w:val="center"/>
              <w:rPr>
                <w:rFonts w:hint="eastAsia" w:hAnsi="宋体" w:cs="宋体"/>
                <w:color w:val="auto"/>
                <w:sz w:val="21"/>
                <w:szCs w:val="21"/>
              </w:rPr>
            </w:pPr>
            <w:r>
              <w:rPr>
                <w:rFonts w:hint="eastAsia" w:hAnsi="宋体" w:cs="宋体"/>
                <w:color w:val="auto"/>
                <w:sz w:val="21"/>
                <w:szCs w:val="21"/>
              </w:rPr>
              <w:t>1</w:t>
            </w:r>
          </w:p>
        </w:tc>
        <w:tc>
          <w:tcPr>
            <w:tcW w:w="1115" w:type="dxa"/>
            <w:vAlign w:val="center"/>
          </w:tcPr>
          <w:p>
            <w:pPr>
              <w:spacing w:line="360" w:lineRule="auto"/>
              <w:jc w:val="center"/>
              <w:rPr>
                <w:rFonts w:hint="eastAsia" w:hAnsi="宋体" w:cs="宋体"/>
                <w:color w:val="auto"/>
                <w:sz w:val="21"/>
                <w:szCs w:val="21"/>
              </w:rPr>
            </w:pPr>
            <w:r>
              <w:rPr>
                <w:rFonts w:hint="eastAsia" w:hAnsi="宋体" w:cs="宋体"/>
                <w:color w:val="auto"/>
                <w:sz w:val="21"/>
                <w:szCs w:val="21"/>
              </w:rPr>
              <w:t>二</w:t>
            </w:r>
          </w:p>
        </w:tc>
        <w:tc>
          <w:tcPr>
            <w:tcW w:w="2126" w:type="dxa"/>
            <w:vAlign w:val="center"/>
          </w:tcPr>
          <w:p>
            <w:pPr>
              <w:autoSpaceDE/>
              <w:autoSpaceDN/>
              <w:adjustRightInd/>
              <w:spacing w:line="400" w:lineRule="exact"/>
              <w:jc w:val="center"/>
              <w:rPr>
                <w:rFonts w:hint="eastAsia" w:hAnsi="宋体" w:cs="宋体"/>
                <w:color w:val="auto"/>
                <w:sz w:val="21"/>
                <w:szCs w:val="21"/>
              </w:rPr>
            </w:pPr>
            <w:r>
              <w:rPr>
                <w:rFonts w:hint="eastAsia" w:hAnsi="宋体" w:cs="宋体"/>
                <w:color w:val="auto"/>
                <w:sz w:val="21"/>
                <w:szCs w:val="21"/>
              </w:rPr>
              <w:t>配送情况</w:t>
            </w:r>
          </w:p>
        </w:tc>
        <w:tc>
          <w:tcPr>
            <w:tcW w:w="1462" w:type="dxa"/>
            <w:vAlign w:val="center"/>
          </w:tcPr>
          <w:p>
            <w:pPr>
              <w:spacing w:line="360" w:lineRule="auto"/>
              <w:jc w:val="center"/>
              <w:rPr>
                <w:rFonts w:hint="eastAsia" w:hAnsi="宋体" w:cs="宋体"/>
                <w:color w:val="auto"/>
                <w:sz w:val="21"/>
                <w:szCs w:val="21"/>
              </w:rPr>
            </w:pPr>
          </w:p>
        </w:tc>
        <w:tc>
          <w:tcPr>
            <w:tcW w:w="2410" w:type="dxa"/>
            <w:vAlign w:val="center"/>
          </w:tcPr>
          <w:p>
            <w:pPr>
              <w:spacing w:line="360" w:lineRule="auto"/>
              <w:jc w:val="center"/>
              <w:rPr>
                <w:rFonts w:hint="eastAsia" w:hAnsi="宋体" w:cs="宋体"/>
                <w:color w:val="auto"/>
                <w:sz w:val="21"/>
                <w:szCs w:val="21"/>
              </w:rPr>
            </w:pPr>
          </w:p>
        </w:tc>
        <w:tc>
          <w:tcPr>
            <w:tcW w:w="1276" w:type="dxa"/>
            <w:vAlign w:val="center"/>
          </w:tcPr>
          <w:p>
            <w:pPr>
              <w:spacing w:line="360" w:lineRule="auto"/>
              <w:jc w:val="center"/>
              <w:rPr>
                <w:rFonts w:hint="eastAsia"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836" w:type="dxa"/>
            <w:vAlign w:val="center"/>
          </w:tcPr>
          <w:p>
            <w:pPr>
              <w:spacing w:line="360" w:lineRule="auto"/>
              <w:jc w:val="center"/>
              <w:rPr>
                <w:rFonts w:hint="eastAsia" w:hAnsi="宋体" w:cs="宋体"/>
                <w:color w:val="auto"/>
                <w:sz w:val="21"/>
                <w:szCs w:val="21"/>
              </w:rPr>
            </w:pPr>
            <w:r>
              <w:rPr>
                <w:rFonts w:hint="eastAsia" w:hAnsi="宋体" w:cs="宋体"/>
                <w:color w:val="auto"/>
                <w:sz w:val="21"/>
                <w:szCs w:val="21"/>
              </w:rPr>
              <w:t>2</w:t>
            </w:r>
          </w:p>
        </w:tc>
        <w:tc>
          <w:tcPr>
            <w:tcW w:w="1115" w:type="dxa"/>
            <w:vAlign w:val="center"/>
          </w:tcPr>
          <w:p>
            <w:pPr>
              <w:spacing w:line="360" w:lineRule="auto"/>
              <w:jc w:val="center"/>
              <w:rPr>
                <w:rFonts w:hint="eastAsia" w:hAnsi="宋体" w:cs="宋体"/>
                <w:color w:val="auto"/>
                <w:sz w:val="21"/>
                <w:szCs w:val="21"/>
              </w:rPr>
            </w:pPr>
            <w:r>
              <w:rPr>
                <w:rFonts w:hint="eastAsia" w:hAnsi="宋体" w:cs="宋体"/>
                <w:color w:val="auto"/>
                <w:sz w:val="21"/>
                <w:szCs w:val="21"/>
              </w:rPr>
              <w:t>三</w:t>
            </w:r>
          </w:p>
        </w:tc>
        <w:tc>
          <w:tcPr>
            <w:tcW w:w="2126" w:type="dxa"/>
            <w:vAlign w:val="center"/>
          </w:tcPr>
          <w:p>
            <w:pPr>
              <w:autoSpaceDE/>
              <w:autoSpaceDN/>
              <w:adjustRightInd/>
              <w:spacing w:line="400" w:lineRule="exact"/>
              <w:jc w:val="center"/>
              <w:rPr>
                <w:rFonts w:hint="eastAsia" w:hAnsi="宋体" w:cs="宋体"/>
                <w:color w:val="auto"/>
                <w:sz w:val="21"/>
                <w:szCs w:val="21"/>
              </w:rPr>
            </w:pPr>
            <w:r>
              <w:rPr>
                <w:rFonts w:hint="eastAsia" w:hAnsi="宋体" w:cs="宋体"/>
                <w:color w:val="auto"/>
                <w:sz w:val="21"/>
                <w:szCs w:val="21"/>
              </w:rPr>
              <w:t>总体要求</w:t>
            </w:r>
          </w:p>
        </w:tc>
        <w:tc>
          <w:tcPr>
            <w:tcW w:w="1462" w:type="dxa"/>
            <w:vAlign w:val="center"/>
          </w:tcPr>
          <w:p>
            <w:pPr>
              <w:spacing w:line="360" w:lineRule="auto"/>
              <w:jc w:val="center"/>
              <w:rPr>
                <w:rFonts w:hint="eastAsia" w:hAnsi="宋体" w:cs="宋体"/>
                <w:color w:val="auto"/>
                <w:sz w:val="21"/>
                <w:szCs w:val="21"/>
              </w:rPr>
            </w:pPr>
          </w:p>
        </w:tc>
        <w:tc>
          <w:tcPr>
            <w:tcW w:w="2410" w:type="dxa"/>
            <w:vAlign w:val="center"/>
          </w:tcPr>
          <w:p>
            <w:pPr>
              <w:spacing w:line="360" w:lineRule="auto"/>
              <w:jc w:val="center"/>
              <w:rPr>
                <w:rFonts w:hint="eastAsia" w:hAnsi="宋体" w:cs="宋体"/>
                <w:color w:val="auto"/>
                <w:sz w:val="21"/>
                <w:szCs w:val="21"/>
              </w:rPr>
            </w:pPr>
          </w:p>
        </w:tc>
        <w:tc>
          <w:tcPr>
            <w:tcW w:w="1276" w:type="dxa"/>
            <w:vAlign w:val="center"/>
          </w:tcPr>
          <w:p>
            <w:pPr>
              <w:spacing w:line="360" w:lineRule="auto"/>
              <w:jc w:val="center"/>
              <w:rPr>
                <w:rFonts w:hint="eastAsia"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836" w:type="dxa"/>
            <w:vAlign w:val="center"/>
          </w:tcPr>
          <w:p>
            <w:pPr>
              <w:spacing w:line="360" w:lineRule="auto"/>
              <w:jc w:val="center"/>
              <w:rPr>
                <w:rFonts w:hint="eastAsia" w:hAnsi="宋体" w:cs="宋体"/>
                <w:color w:val="auto"/>
                <w:sz w:val="21"/>
                <w:szCs w:val="21"/>
              </w:rPr>
            </w:pPr>
            <w:r>
              <w:rPr>
                <w:rFonts w:hint="eastAsia" w:hAnsi="宋体" w:cs="宋体"/>
                <w:color w:val="auto"/>
                <w:sz w:val="21"/>
                <w:szCs w:val="21"/>
              </w:rPr>
              <w:t>3</w:t>
            </w:r>
          </w:p>
        </w:tc>
        <w:tc>
          <w:tcPr>
            <w:tcW w:w="1115" w:type="dxa"/>
            <w:vAlign w:val="center"/>
          </w:tcPr>
          <w:p>
            <w:pPr>
              <w:spacing w:line="360" w:lineRule="auto"/>
              <w:jc w:val="center"/>
              <w:rPr>
                <w:rFonts w:hint="eastAsia" w:hAnsi="宋体" w:cs="宋体"/>
                <w:color w:val="auto"/>
                <w:sz w:val="21"/>
                <w:szCs w:val="21"/>
              </w:rPr>
            </w:pPr>
            <w:r>
              <w:rPr>
                <w:rFonts w:hint="eastAsia" w:hAnsi="宋体" w:cs="宋体"/>
                <w:color w:val="auto"/>
                <w:sz w:val="21"/>
                <w:szCs w:val="21"/>
              </w:rPr>
              <w:t>四</w:t>
            </w:r>
          </w:p>
        </w:tc>
        <w:tc>
          <w:tcPr>
            <w:tcW w:w="2126" w:type="dxa"/>
            <w:vAlign w:val="center"/>
          </w:tcPr>
          <w:p>
            <w:pPr>
              <w:autoSpaceDE/>
              <w:autoSpaceDN/>
              <w:adjustRightInd/>
              <w:spacing w:line="400" w:lineRule="exact"/>
              <w:jc w:val="center"/>
              <w:rPr>
                <w:rFonts w:hint="eastAsia" w:hAnsi="宋体" w:cs="宋体"/>
                <w:color w:val="auto"/>
                <w:sz w:val="21"/>
                <w:szCs w:val="21"/>
              </w:rPr>
            </w:pPr>
            <w:r>
              <w:rPr>
                <w:rFonts w:hint="eastAsia" w:hAnsi="宋体" w:cs="宋体"/>
                <w:color w:val="auto"/>
                <w:sz w:val="21"/>
                <w:szCs w:val="21"/>
              </w:rPr>
              <w:t>具体要求</w:t>
            </w:r>
          </w:p>
        </w:tc>
        <w:tc>
          <w:tcPr>
            <w:tcW w:w="1462" w:type="dxa"/>
            <w:vAlign w:val="center"/>
          </w:tcPr>
          <w:p>
            <w:pPr>
              <w:spacing w:line="360" w:lineRule="auto"/>
              <w:jc w:val="center"/>
              <w:rPr>
                <w:rFonts w:hint="eastAsia" w:hAnsi="宋体" w:cs="宋体"/>
                <w:color w:val="auto"/>
                <w:sz w:val="21"/>
                <w:szCs w:val="21"/>
              </w:rPr>
            </w:pPr>
          </w:p>
        </w:tc>
        <w:tc>
          <w:tcPr>
            <w:tcW w:w="2410" w:type="dxa"/>
            <w:vAlign w:val="center"/>
          </w:tcPr>
          <w:p>
            <w:pPr>
              <w:spacing w:line="360" w:lineRule="auto"/>
              <w:jc w:val="center"/>
              <w:rPr>
                <w:rFonts w:hint="eastAsia" w:hAnsi="宋体" w:cs="宋体"/>
                <w:color w:val="auto"/>
                <w:sz w:val="21"/>
                <w:szCs w:val="21"/>
              </w:rPr>
            </w:pPr>
          </w:p>
        </w:tc>
        <w:tc>
          <w:tcPr>
            <w:tcW w:w="1276" w:type="dxa"/>
            <w:vAlign w:val="center"/>
          </w:tcPr>
          <w:p>
            <w:pPr>
              <w:spacing w:line="360" w:lineRule="auto"/>
              <w:jc w:val="center"/>
              <w:rPr>
                <w:rFonts w:hint="eastAsia"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836" w:type="dxa"/>
            <w:vAlign w:val="center"/>
          </w:tcPr>
          <w:p>
            <w:pPr>
              <w:spacing w:line="360" w:lineRule="auto"/>
              <w:jc w:val="center"/>
              <w:rPr>
                <w:rFonts w:hint="eastAsia" w:hAnsi="宋体" w:cs="宋体"/>
                <w:color w:val="auto"/>
                <w:sz w:val="21"/>
                <w:szCs w:val="21"/>
              </w:rPr>
            </w:pPr>
            <w:r>
              <w:rPr>
                <w:rFonts w:hint="eastAsia" w:hAnsi="宋体" w:cs="宋体"/>
                <w:color w:val="auto"/>
                <w:sz w:val="21"/>
                <w:szCs w:val="21"/>
              </w:rPr>
              <w:t>4</w:t>
            </w:r>
          </w:p>
        </w:tc>
        <w:tc>
          <w:tcPr>
            <w:tcW w:w="1115" w:type="dxa"/>
            <w:vAlign w:val="center"/>
          </w:tcPr>
          <w:p>
            <w:pPr>
              <w:spacing w:line="360" w:lineRule="auto"/>
              <w:jc w:val="center"/>
              <w:rPr>
                <w:rFonts w:hint="eastAsia" w:hAnsi="宋体" w:cs="宋体"/>
                <w:color w:val="auto"/>
                <w:sz w:val="21"/>
                <w:szCs w:val="21"/>
              </w:rPr>
            </w:pPr>
            <w:r>
              <w:rPr>
                <w:rFonts w:hint="eastAsia" w:hAnsi="宋体" w:cs="宋体"/>
                <w:color w:val="auto"/>
                <w:sz w:val="21"/>
                <w:szCs w:val="21"/>
              </w:rPr>
              <w:t>五</w:t>
            </w:r>
          </w:p>
        </w:tc>
        <w:tc>
          <w:tcPr>
            <w:tcW w:w="2126" w:type="dxa"/>
            <w:vAlign w:val="center"/>
          </w:tcPr>
          <w:p>
            <w:pPr>
              <w:autoSpaceDE/>
              <w:autoSpaceDN/>
              <w:adjustRightInd/>
              <w:spacing w:line="400" w:lineRule="exact"/>
              <w:jc w:val="center"/>
              <w:rPr>
                <w:rFonts w:hint="eastAsia" w:hAnsi="宋体" w:cs="宋体"/>
                <w:color w:val="auto"/>
                <w:sz w:val="21"/>
                <w:szCs w:val="21"/>
              </w:rPr>
            </w:pPr>
            <w:r>
              <w:rPr>
                <w:rFonts w:hint="eastAsia" w:hAnsi="宋体" w:cs="宋体"/>
                <w:color w:val="auto"/>
                <w:sz w:val="21"/>
                <w:szCs w:val="21"/>
              </w:rPr>
              <w:t>其他</w:t>
            </w:r>
          </w:p>
        </w:tc>
        <w:tc>
          <w:tcPr>
            <w:tcW w:w="1462" w:type="dxa"/>
            <w:vAlign w:val="center"/>
          </w:tcPr>
          <w:p>
            <w:pPr>
              <w:spacing w:line="360" w:lineRule="auto"/>
              <w:jc w:val="center"/>
              <w:rPr>
                <w:rFonts w:hint="eastAsia" w:hAnsi="宋体" w:cs="宋体"/>
                <w:color w:val="auto"/>
                <w:sz w:val="21"/>
                <w:szCs w:val="21"/>
              </w:rPr>
            </w:pPr>
          </w:p>
        </w:tc>
        <w:tc>
          <w:tcPr>
            <w:tcW w:w="2410" w:type="dxa"/>
            <w:vAlign w:val="center"/>
          </w:tcPr>
          <w:p>
            <w:pPr>
              <w:spacing w:line="360" w:lineRule="auto"/>
              <w:jc w:val="center"/>
              <w:rPr>
                <w:rFonts w:hint="eastAsia" w:hAnsi="宋体" w:cs="宋体"/>
                <w:color w:val="auto"/>
                <w:sz w:val="21"/>
                <w:szCs w:val="21"/>
              </w:rPr>
            </w:pPr>
          </w:p>
        </w:tc>
        <w:tc>
          <w:tcPr>
            <w:tcW w:w="1276" w:type="dxa"/>
            <w:vAlign w:val="center"/>
          </w:tcPr>
          <w:p>
            <w:pPr>
              <w:spacing w:line="360" w:lineRule="auto"/>
              <w:jc w:val="center"/>
              <w:rPr>
                <w:rFonts w:hint="eastAsia" w:hAnsi="宋体" w:cs="宋体"/>
                <w:color w:val="auto"/>
                <w:sz w:val="21"/>
                <w:szCs w:val="21"/>
              </w:rPr>
            </w:pPr>
          </w:p>
        </w:tc>
      </w:tr>
    </w:tbl>
    <w:p>
      <w:pPr>
        <w:snapToGrid w:val="0"/>
        <w:spacing w:line="360" w:lineRule="auto"/>
        <w:ind w:left="379" w:leftChars="-58" w:hanging="518" w:hangingChars="247"/>
        <w:rPr>
          <w:rFonts w:hAnsi="宋体" w:cs="宋体"/>
          <w:color w:val="auto"/>
          <w:sz w:val="21"/>
          <w:szCs w:val="21"/>
        </w:rPr>
      </w:pPr>
    </w:p>
    <w:p>
      <w:pPr>
        <w:snapToGrid w:val="0"/>
        <w:spacing w:line="360" w:lineRule="auto"/>
        <w:ind w:left="379" w:leftChars="-58" w:hanging="518" w:hangingChars="247"/>
        <w:rPr>
          <w:rFonts w:hAnsi="宋体" w:cs="宋体"/>
          <w:color w:val="auto"/>
          <w:sz w:val="21"/>
          <w:szCs w:val="21"/>
        </w:rPr>
      </w:pPr>
      <w:r>
        <w:rPr>
          <w:rFonts w:hint="eastAsia" w:hAnsi="宋体" w:cs="宋体"/>
          <w:color w:val="auto"/>
          <w:sz w:val="21"/>
          <w:szCs w:val="21"/>
        </w:rPr>
        <w:t>备注：</w:t>
      </w:r>
    </w:p>
    <w:p>
      <w:pPr>
        <w:snapToGrid w:val="0"/>
        <w:spacing w:line="360" w:lineRule="auto"/>
        <w:ind w:left="382" w:leftChars="-58" w:hanging="521" w:hangingChars="247"/>
        <w:rPr>
          <w:rFonts w:hAnsi="宋体" w:cs="宋体"/>
          <w:b/>
          <w:color w:val="auto"/>
          <w:sz w:val="21"/>
          <w:szCs w:val="21"/>
          <w:u w:val="single"/>
        </w:rPr>
      </w:pPr>
      <w:r>
        <w:rPr>
          <w:rFonts w:hint="eastAsia" w:hAnsi="宋体" w:cs="宋体"/>
          <w:b/>
          <w:color w:val="auto"/>
          <w:sz w:val="21"/>
          <w:szCs w:val="21"/>
        </w:rPr>
        <w:t>（1）</w:t>
      </w:r>
      <w:r>
        <w:rPr>
          <w:rFonts w:hint="eastAsia" w:hAnsi="宋体" w:cs="宋体"/>
          <w:b/>
          <w:color w:val="auto"/>
          <w:sz w:val="21"/>
          <w:szCs w:val="21"/>
          <w:u w:val="single"/>
        </w:rPr>
        <w:t>投标人应对照招标文件用户需求书（其中“1.项目概况”除外）的响应，逐条</w:t>
      </w:r>
      <w:r>
        <w:rPr>
          <w:rFonts w:hint="eastAsia" w:hAnsi="宋体" w:cs="宋体"/>
          <w:b/>
          <w:color w:val="auto"/>
          <w:kern w:val="2"/>
          <w:sz w:val="21"/>
          <w:szCs w:val="21"/>
          <w:u w:val="single"/>
        </w:rPr>
        <w:t>逐项</w:t>
      </w:r>
      <w:r>
        <w:rPr>
          <w:rFonts w:hint="eastAsia" w:hAnsi="宋体" w:cs="宋体"/>
          <w:b/>
          <w:color w:val="auto"/>
          <w:sz w:val="21"/>
          <w:szCs w:val="21"/>
          <w:u w:val="single"/>
        </w:rPr>
        <w:t>、如实地填写“偏离情况”，若发现未填写本表，或虚假填写本表，或伪造、变造证明材料的，按无效投标文件处理</w:t>
      </w:r>
      <w:r>
        <w:rPr>
          <w:rFonts w:hint="eastAsia" w:hAnsi="宋体" w:cs="宋体"/>
          <w:b/>
          <w:color w:val="auto"/>
          <w:sz w:val="21"/>
          <w:szCs w:val="21"/>
        </w:rPr>
        <w:t>。</w:t>
      </w:r>
    </w:p>
    <w:p>
      <w:pPr>
        <w:snapToGrid w:val="0"/>
        <w:spacing w:line="360" w:lineRule="auto"/>
        <w:ind w:left="382" w:leftChars="-58" w:hanging="521" w:hangingChars="247"/>
        <w:rPr>
          <w:rFonts w:hAnsi="宋体" w:cs="宋体"/>
          <w:b/>
          <w:bCs/>
          <w:color w:val="auto"/>
          <w:sz w:val="21"/>
          <w:szCs w:val="21"/>
        </w:rPr>
      </w:pPr>
      <w:r>
        <w:rPr>
          <w:rFonts w:hint="eastAsia" w:hAnsi="宋体" w:cs="宋体"/>
          <w:b/>
          <w:color w:val="auto"/>
          <w:sz w:val="21"/>
          <w:szCs w:val="21"/>
        </w:rPr>
        <w:t>（</w:t>
      </w:r>
      <w:r>
        <w:rPr>
          <w:rFonts w:hint="eastAsia" w:hAnsi="宋体" w:cs="宋体"/>
          <w:b/>
          <w:bCs/>
          <w:color w:val="auto"/>
          <w:sz w:val="21"/>
          <w:szCs w:val="21"/>
        </w:rPr>
        <w:t>2）偏离情况分为：正偏离、负偏离、无偏离。正偏离是指投标人提供的服务优于招标文件的要求；负偏离是指投标人提供服务不满足或不完全满足招标文件的要求；无偏离是指投标人提供的服务完全符合招标文件的要求。</w:t>
      </w:r>
    </w:p>
    <w:p>
      <w:pPr>
        <w:autoSpaceDE/>
        <w:autoSpaceDN/>
        <w:adjustRightInd/>
        <w:spacing w:line="360" w:lineRule="auto"/>
        <w:ind w:left="425" w:leftChars="-60" w:hanging="569" w:hangingChars="270"/>
        <w:jc w:val="both"/>
        <w:rPr>
          <w:rFonts w:hAnsi="宋体" w:cs="宋体"/>
          <w:b/>
          <w:color w:val="auto"/>
          <w:sz w:val="21"/>
          <w:szCs w:val="21"/>
          <w:u w:val="single"/>
        </w:rPr>
      </w:pPr>
      <w:r>
        <w:rPr>
          <w:rFonts w:hint="eastAsia" w:hAnsi="宋体" w:cs="宋体"/>
          <w:b/>
          <w:color w:val="auto"/>
          <w:kern w:val="2"/>
          <w:sz w:val="21"/>
          <w:szCs w:val="21"/>
        </w:rPr>
        <w:t>（3）</w:t>
      </w:r>
      <w:r>
        <w:rPr>
          <w:rFonts w:hint="eastAsia" w:hAnsi="宋体" w:cs="宋体"/>
          <w:b/>
          <w:color w:val="auto"/>
          <w:sz w:val="21"/>
          <w:szCs w:val="21"/>
          <w:u w:val="single"/>
        </w:rPr>
        <w:t>应逐条</w:t>
      </w:r>
      <w:r>
        <w:rPr>
          <w:rFonts w:hint="eastAsia" w:hAnsi="宋体" w:cs="宋体"/>
          <w:b/>
          <w:color w:val="auto"/>
          <w:kern w:val="2"/>
          <w:sz w:val="21"/>
          <w:szCs w:val="21"/>
          <w:u w:val="single"/>
        </w:rPr>
        <w:t>逐项</w:t>
      </w:r>
      <w:r>
        <w:rPr>
          <w:rFonts w:hint="eastAsia" w:hAnsi="宋体" w:cs="宋体"/>
          <w:b/>
          <w:color w:val="auto"/>
          <w:sz w:val="21"/>
          <w:szCs w:val="21"/>
          <w:u w:val="single"/>
        </w:rPr>
        <w:t>、如实地填写“偏离情况”。“偏离情况”项为正偏离（或负偏离）的，必须在“实际响应的具体内容”项内详细说明与招标文件的偏离内容，“偏离情况”项为无偏离的，在“实际响应的具体内容”项内填“完全响应招标文件要求”即可，也可进一步说明投标响应的具体内容。</w:t>
      </w:r>
    </w:p>
    <w:p>
      <w:pPr>
        <w:autoSpaceDE/>
        <w:autoSpaceDN/>
        <w:adjustRightInd/>
        <w:spacing w:line="360" w:lineRule="auto"/>
        <w:ind w:left="425" w:leftChars="-60" w:hanging="569" w:hangingChars="270"/>
        <w:jc w:val="both"/>
        <w:rPr>
          <w:rFonts w:hAnsi="宋体" w:cs="宋体"/>
          <w:b/>
          <w:color w:val="auto"/>
          <w:sz w:val="21"/>
          <w:szCs w:val="21"/>
          <w:u w:val="single"/>
        </w:rPr>
      </w:pPr>
      <w:r>
        <w:rPr>
          <w:rFonts w:hint="eastAsia" w:hAnsi="宋体" w:cs="宋体"/>
          <w:b/>
          <w:color w:val="auto"/>
          <w:kern w:val="2"/>
          <w:sz w:val="21"/>
          <w:szCs w:val="21"/>
        </w:rPr>
        <w:t>（4）</w:t>
      </w:r>
      <w:r>
        <w:rPr>
          <w:rFonts w:hint="eastAsia" w:hAnsi="宋体" w:cs="宋体"/>
          <w:b/>
          <w:color w:val="auto"/>
          <w:sz w:val="21"/>
          <w:szCs w:val="21"/>
          <w:u w:val="single"/>
        </w:rPr>
        <w:t>凡标有“★”的地方均被视为重要的技术指标要求或性能要求。投标人要特别加以注意，必须对此回答并完全满足这些要求，否则若有一项带“★”的指标未响应或不满足，将按无效投标处理</w:t>
      </w:r>
      <w:r>
        <w:rPr>
          <w:rFonts w:hint="eastAsia" w:hAnsi="宋体" w:cs="宋体"/>
          <w:b/>
          <w:color w:val="auto"/>
          <w:szCs w:val="21"/>
          <w:lang w:val="zh-CN"/>
        </w:rPr>
        <w:t>。</w:t>
      </w:r>
    </w:p>
    <w:p>
      <w:pPr>
        <w:spacing w:line="360" w:lineRule="auto"/>
        <w:ind w:firstLine="5040" w:firstLineChars="2400"/>
        <w:rPr>
          <w:rFonts w:hAnsi="宋体" w:cs="宋体"/>
          <w:color w:val="auto"/>
          <w:kern w:val="2"/>
          <w:sz w:val="21"/>
          <w:szCs w:val="21"/>
        </w:rPr>
      </w:pPr>
    </w:p>
    <w:p>
      <w:pPr>
        <w:spacing w:line="360" w:lineRule="auto"/>
        <w:ind w:firstLine="5040" w:firstLineChars="2400"/>
        <w:rPr>
          <w:rFonts w:hAnsi="宋体" w:cs="宋体"/>
          <w:color w:val="auto"/>
          <w:kern w:val="2"/>
          <w:sz w:val="21"/>
          <w:szCs w:val="21"/>
          <w:lang w:val="zh-CN"/>
        </w:rPr>
      </w:pPr>
    </w:p>
    <w:p>
      <w:pPr>
        <w:spacing w:line="360" w:lineRule="auto"/>
        <w:ind w:firstLine="5355" w:firstLineChars="2550"/>
        <w:rPr>
          <w:rFonts w:hAnsi="宋体" w:cs="宋体"/>
          <w:color w:val="auto"/>
          <w:kern w:val="2"/>
          <w:sz w:val="21"/>
          <w:szCs w:val="21"/>
          <w:lang w:val="zh-CN"/>
        </w:rPr>
      </w:pPr>
      <w:r>
        <w:rPr>
          <w:rFonts w:hint="eastAsia" w:hAnsi="宋体" w:cs="宋体"/>
          <w:color w:val="auto"/>
          <w:kern w:val="2"/>
          <w:sz w:val="21"/>
          <w:szCs w:val="21"/>
          <w:lang w:val="zh-CN"/>
        </w:rPr>
        <w:t>投标人：（加盖投标人法人公章）</w:t>
      </w:r>
    </w:p>
    <w:p>
      <w:pPr>
        <w:spacing w:line="360" w:lineRule="auto"/>
        <w:ind w:firstLine="5250" w:firstLineChars="2500"/>
        <w:rPr>
          <w:rFonts w:hAnsi="宋体" w:cs="宋体"/>
          <w:color w:val="auto"/>
          <w:kern w:val="2"/>
          <w:sz w:val="21"/>
          <w:szCs w:val="21"/>
          <w:lang w:val="zh-CN"/>
        </w:rPr>
      </w:pPr>
      <w:r>
        <w:rPr>
          <w:rFonts w:hint="eastAsia" w:hAnsi="宋体" w:cs="宋体"/>
          <w:color w:val="auto"/>
          <w:kern w:val="2"/>
          <w:sz w:val="21"/>
          <w:szCs w:val="21"/>
          <w:lang w:val="zh-CN"/>
        </w:rPr>
        <w:t>日期：   年   月   日</w:t>
      </w:r>
    </w:p>
    <w:p>
      <w:pPr>
        <w:spacing w:line="360" w:lineRule="auto"/>
        <w:ind w:firstLine="5250" w:firstLineChars="2500"/>
        <w:rPr>
          <w:rFonts w:hAnsi="宋体" w:cs="宋体"/>
          <w:color w:val="auto"/>
          <w:kern w:val="2"/>
          <w:sz w:val="21"/>
          <w:szCs w:val="21"/>
          <w:lang w:val="zh-CN"/>
        </w:rPr>
        <w:sectPr>
          <w:pgSz w:w="11907" w:h="16839"/>
          <w:pgMar w:top="1417" w:right="1276" w:bottom="1417" w:left="1417" w:header="720" w:footer="1003" w:gutter="0"/>
          <w:cols w:space="720" w:num="1"/>
          <w:titlePg/>
          <w:docGrid w:linePitch="326" w:charSpace="0"/>
        </w:sectPr>
      </w:pPr>
    </w:p>
    <w:p>
      <w:pPr>
        <w:widowControl/>
        <w:autoSpaceDE/>
        <w:autoSpaceDN/>
        <w:adjustRightInd/>
        <w:rPr>
          <w:rFonts w:hAnsi="宋体" w:cs="宋体"/>
          <w:b/>
          <w:color w:val="auto"/>
          <w:sz w:val="32"/>
          <w:szCs w:val="32"/>
        </w:rPr>
      </w:pPr>
      <w:bookmarkStart w:id="238" w:name="_Toc13184"/>
      <w:bookmarkStart w:id="239" w:name="_Toc4743579"/>
      <w:bookmarkStart w:id="240" w:name="_Toc534983551"/>
      <w:r>
        <w:rPr>
          <w:rFonts w:hint="eastAsia" w:hAnsi="宋体" w:cs="宋体"/>
          <w:b/>
          <w:color w:val="auto"/>
          <w:sz w:val="32"/>
          <w:szCs w:val="32"/>
        </w:rPr>
        <w:t>1</w:t>
      </w:r>
      <w:r>
        <w:rPr>
          <w:rFonts w:hint="eastAsia" w:hAnsi="宋体" w:cs="宋体"/>
          <w:b/>
          <w:color w:val="auto"/>
          <w:sz w:val="32"/>
          <w:szCs w:val="32"/>
          <w:lang w:val="en-US" w:eastAsia="zh-CN"/>
        </w:rPr>
        <w:t>5</w:t>
      </w:r>
      <w:r>
        <w:rPr>
          <w:rFonts w:hint="eastAsia" w:hAnsi="宋体" w:cs="宋体"/>
          <w:b/>
          <w:color w:val="auto"/>
          <w:sz w:val="32"/>
          <w:szCs w:val="32"/>
        </w:rPr>
        <w:t>-2 应急处理方案（投标人自行编写）</w:t>
      </w:r>
    </w:p>
    <w:p>
      <w:pPr>
        <w:widowControl/>
        <w:autoSpaceDE/>
        <w:autoSpaceDN/>
        <w:adjustRightInd/>
        <w:rPr>
          <w:rFonts w:hAnsi="宋体" w:cs="宋体"/>
          <w:b/>
          <w:color w:val="auto"/>
          <w:sz w:val="32"/>
          <w:szCs w:val="32"/>
        </w:rPr>
      </w:pPr>
      <w:r>
        <w:rPr>
          <w:rFonts w:hint="eastAsia" w:hAnsi="宋体" w:cs="宋体"/>
          <w:b/>
          <w:color w:val="auto"/>
          <w:sz w:val="32"/>
          <w:szCs w:val="32"/>
        </w:rPr>
        <w:br w:type="page"/>
      </w:r>
      <w:r>
        <w:rPr>
          <w:rFonts w:hint="eastAsia" w:hAnsi="宋体" w:cs="宋体"/>
          <w:b/>
          <w:color w:val="auto"/>
          <w:sz w:val="32"/>
          <w:szCs w:val="32"/>
        </w:rPr>
        <w:t>1</w:t>
      </w:r>
      <w:r>
        <w:rPr>
          <w:rFonts w:hint="eastAsia" w:hAnsi="宋体" w:cs="宋体"/>
          <w:b/>
          <w:color w:val="auto"/>
          <w:sz w:val="32"/>
          <w:szCs w:val="32"/>
          <w:lang w:val="en-US" w:eastAsia="zh-CN"/>
        </w:rPr>
        <w:t>5</w:t>
      </w:r>
      <w:r>
        <w:rPr>
          <w:rFonts w:hint="eastAsia" w:hAnsi="宋体" w:cs="宋体"/>
          <w:b/>
          <w:color w:val="auto"/>
          <w:sz w:val="32"/>
          <w:szCs w:val="32"/>
        </w:rPr>
        <w:t>-3 总体实施方案（投标人自行编写）</w:t>
      </w:r>
    </w:p>
    <w:p>
      <w:pPr>
        <w:tabs>
          <w:tab w:val="left" w:pos="567"/>
        </w:tabs>
        <w:spacing w:line="360" w:lineRule="auto"/>
        <w:ind w:left="567" w:hanging="567"/>
        <w:outlineLvl w:val="2"/>
        <w:rPr>
          <w:rFonts w:hAnsi="宋体" w:cs="宋体"/>
          <w:b/>
          <w:bCs/>
          <w:color w:val="auto"/>
          <w:kern w:val="2"/>
          <w:sz w:val="32"/>
          <w:szCs w:val="32"/>
        </w:rPr>
      </w:pPr>
      <w:r>
        <w:rPr>
          <w:rFonts w:hint="eastAsia" w:hAnsi="宋体" w:cs="宋体"/>
          <w:b/>
          <w:color w:val="auto"/>
          <w:sz w:val="32"/>
          <w:szCs w:val="32"/>
        </w:rPr>
        <w:br w:type="page"/>
      </w:r>
      <w:r>
        <w:rPr>
          <w:rFonts w:hint="eastAsia" w:hAnsi="宋体" w:cs="宋体"/>
          <w:b/>
          <w:color w:val="auto"/>
          <w:sz w:val="32"/>
          <w:szCs w:val="32"/>
        </w:rPr>
        <w:t>1</w:t>
      </w:r>
      <w:r>
        <w:rPr>
          <w:rFonts w:hint="eastAsia" w:hAnsi="宋体" w:cs="宋体"/>
          <w:b/>
          <w:color w:val="auto"/>
          <w:sz w:val="32"/>
          <w:szCs w:val="32"/>
          <w:lang w:val="en-US" w:eastAsia="zh-CN"/>
        </w:rPr>
        <w:t>5</w:t>
      </w:r>
      <w:r>
        <w:rPr>
          <w:rFonts w:hint="eastAsia" w:hAnsi="宋体" w:cs="宋体"/>
          <w:b/>
          <w:color w:val="auto"/>
          <w:sz w:val="32"/>
          <w:szCs w:val="32"/>
        </w:rPr>
        <w:t xml:space="preserve">-4 </w:t>
      </w:r>
      <w:r>
        <w:rPr>
          <w:rFonts w:hint="eastAsia" w:hAnsi="宋体" w:cs="宋体"/>
          <w:b/>
          <w:bCs/>
          <w:color w:val="auto"/>
          <w:kern w:val="2"/>
          <w:sz w:val="32"/>
          <w:szCs w:val="32"/>
        </w:rPr>
        <w:t>拟投入本项目的人员及车辆情况</w:t>
      </w:r>
    </w:p>
    <w:p>
      <w:pPr>
        <w:pStyle w:val="88"/>
        <w:spacing w:line="360" w:lineRule="auto"/>
        <w:ind w:firstLine="0" w:firstLineChars="0"/>
        <w:jc w:val="center"/>
        <w:rPr>
          <w:rFonts w:hint="eastAsia" w:ascii="宋体" w:eastAsia="宋体" w:cs="宋体"/>
          <w:b/>
          <w:color w:val="auto"/>
          <w:sz w:val="30"/>
          <w:szCs w:val="30"/>
        </w:rPr>
      </w:pPr>
      <w:r>
        <w:rPr>
          <w:rFonts w:hint="eastAsia" w:ascii="宋体" w:eastAsia="宋体" w:cs="宋体"/>
          <w:b/>
          <w:color w:val="auto"/>
          <w:sz w:val="30"/>
          <w:szCs w:val="30"/>
        </w:rPr>
        <w:t>人员配置情况表</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445"/>
        <w:gridCol w:w="677"/>
        <w:gridCol w:w="677"/>
        <w:gridCol w:w="804"/>
        <w:gridCol w:w="1134"/>
        <w:gridCol w:w="702"/>
        <w:gridCol w:w="1083"/>
        <w:gridCol w:w="1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vAlign w:val="center"/>
          </w:tcPr>
          <w:p>
            <w:pPr>
              <w:spacing w:line="360" w:lineRule="auto"/>
              <w:jc w:val="center"/>
              <w:rPr>
                <w:rFonts w:hint="eastAsia" w:hAnsi="宋体" w:cs="宋体"/>
                <w:color w:val="auto"/>
                <w:sz w:val="21"/>
                <w:szCs w:val="21"/>
              </w:rPr>
            </w:pPr>
            <w:r>
              <w:rPr>
                <w:rFonts w:hint="eastAsia" w:hAnsi="宋体" w:cs="宋体"/>
                <w:color w:val="auto"/>
                <w:sz w:val="21"/>
                <w:szCs w:val="21"/>
              </w:rPr>
              <w:t>序号</w:t>
            </w:r>
          </w:p>
        </w:tc>
        <w:tc>
          <w:tcPr>
            <w:tcW w:w="1445" w:type="dxa"/>
            <w:vAlign w:val="center"/>
          </w:tcPr>
          <w:p>
            <w:pPr>
              <w:spacing w:line="360" w:lineRule="auto"/>
              <w:jc w:val="center"/>
              <w:rPr>
                <w:rFonts w:hint="eastAsia" w:hAnsi="宋体" w:cs="宋体"/>
                <w:color w:val="auto"/>
                <w:sz w:val="21"/>
                <w:szCs w:val="21"/>
              </w:rPr>
            </w:pPr>
            <w:r>
              <w:rPr>
                <w:rFonts w:hint="eastAsia" w:hAnsi="宋体" w:cs="宋体"/>
                <w:color w:val="auto"/>
                <w:sz w:val="21"/>
                <w:szCs w:val="21"/>
              </w:rPr>
              <w:t>姓名</w:t>
            </w:r>
          </w:p>
        </w:tc>
        <w:tc>
          <w:tcPr>
            <w:tcW w:w="677" w:type="dxa"/>
            <w:vAlign w:val="center"/>
          </w:tcPr>
          <w:p>
            <w:pPr>
              <w:spacing w:line="360" w:lineRule="auto"/>
              <w:jc w:val="center"/>
              <w:rPr>
                <w:rFonts w:hint="eastAsia" w:hAnsi="宋体" w:cs="宋体"/>
                <w:color w:val="auto"/>
                <w:sz w:val="21"/>
                <w:szCs w:val="21"/>
              </w:rPr>
            </w:pPr>
            <w:r>
              <w:rPr>
                <w:rFonts w:hint="eastAsia" w:hAnsi="宋体" w:cs="宋体"/>
                <w:color w:val="auto"/>
                <w:sz w:val="21"/>
                <w:szCs w:val="21"/>
              </w:rPr>
              <w:t>性别</w:t>
            </w:r>
          </w:p>
        </w:tc>
        <w:tc>
          <w:tcPr>
            <w:tcW w:w="677" w:type="dxa"/>
            <w:vAlign w:val="center"/>
          </w:tcPr>
          <w:p>
            <w:pPr>
              <w:spacing w:line="360" w:lineRule="auto"/>
              <w:jc w:val="center"/>
              <w:rPr>
                <w:rFonts w:hint="eastAsia" w:hAnsi="宋体" w:cs="宋体"/>
                <w:color w:val="auto"/>
                <w:sz w:val="21"/>
                <w:szCs w:val="21"/>
              </w:rPr>
            </w:pPr>
            <w:r>
              <w:rPr>
                <w:rFonts w:hint="eastAsia" w:hAnsi="宋体" w:cs="宋体"/>
                <w:color w:val="auto"/>
                <w:sz w:val="21"/>
                <w:szCs w:val="21"/>
              </w:rPr>
              <w:t>年龄</w:t>
            </w:r>
          </w:p>
        </w:tc>
        <w:tc>
          <w:tcPr>
            <w:tcW w:w="804" w:type="dxa"/>
            <w:vAlign w:val="center"/>
          </w:tcPr>
          <w:p>
            <w:pPr>
              <w:spacing w:line="360" w:lineRule="auto"/>
              <w:jc w:val="center"/>
              <w:rPr>
                <w:rFonts w:hint="eastAsia" w:hAnsi="宋体" w:cs="宋体"/>
                <w:color w:val="auto"/>
                <w:sz w:val="21"/>
                <w:szCs w:val="21"/>
              </w:rPr>
            </w:pPr>
            <w:r>
              <w:rPr>
                <w:rFonts w:hint="eastAsia" w:hAnsi="宋体" w:cs="宋体"/>
                <w:color w:val="auto"/>
                <w:sz w:val="21"/>
                <w:szCs w:val="21"/>
              </w:rPr>
              <w:t>学历</w:t>
            </w:r>
          </w:p>
        </w:tc>
        <w:tc>
          <w:tcPr>
            <w:tcW w:w="1134" w:type="dxa"/>
            <w:vAlign w:val="center"/>
          </w:tcPr>
          <w:p>
            <w:pPr>
              <w:spacing w:line="360" w:lineRule="auto"/>
              <w:jc w:val="center"/>
              <w:rPr>
                <w:rFonts w:hint="eastAsia" w:hAnsi="宋体" w:cs="宋体"/>
                <w:color w:val="auto"/>
                <w:sz w:val="21"/>
                <w:szCs w:val="21"/>
              </w:rPr>
            </w:pPr>
            <w:r>
              <w:rPr>
                <w:rFonts w:hint="eastAsia" w:hAnsi="宋体" w:cs="宋体"/>
                <w:color w:val="auto"/>
                <w:sz w:val="21"/>
                <w:szCs w:val="21"/>
              </w:rPr>
              <w:t>资格证书</w:t>
            </w:r>
          </w:p>
        </w:tc>
        <w:tc>
          <w:tcPr>
            <w:tcW w:w="702" w:type="dxa"/>
            <w:vAlign w:val="center"/>
          </w:tcPr>
          <w:p>
            <w:pPr>
              <w:spacing w:line="360" w:lineRule="auto"/>
              <w:jc w:val="center"/>
              <w:rPr>
                <w:rFonts w:hint="eastAsia" w:hAnsi="宋体" w:cs="宋体"/>
                <w:color w:val="auto"/>
                <w:sz w:val="21"/>
                <w:szCs w:val="21"/>
              </w:rPr>
            </w:pPr>
            <w:r>
              <w:rPr>
                <w:rFonts w:hint="eastAsia" w:hAnsi="宋体" w:cs="宋体"/>
                <w:color w:val="auto"/>
                <w:sz w:val="21"/>
                <w:szCs w:val="21"/>
              </w:rPr>
              <w:t>拟任职务</w:t>
            </w:r>
          </w:p>
        </w:tc>
        <w:tc>
          <w:tcPr>
            <w:tcW w:w="1083" w:type="dxa"/>
            <w:vAlign w:val="center"/>
          </w:tcPr>
          <w:p>
            <w:pPr>
              <w:spacing w:line="360" w:lineRule="auto"/>
              <w:jc w:val="center"/>
              <w:rPr>
                <w:rFonts w:hint="eastAsia" w:hAnsi="宋体" w:cs="宋体"/>
                <w:color w:val="auto"/>
                <w:sz w:val="21"/>
                <w:szCs w:val="21"/>
              </w:rPr>
            </w:pPr>
            <w:r>
              <w:rPr>
                <w:rFonts w:hint="eastAsia" w:hAnsi="宋体" w:cs="宋体"/>
                <w:color w:val="auto"/>
                <w:sz w:val="21"/>
                <w:szCs w:val="21"/>
              </w:rPr>
              <w:t>从事本行业年限</w:t>
            </w:r>
          </w:p>
        </w:tc>
        <w:tc>
          <w:tcPr>
            <w:tcW w:w="1900" w:type="dxa"/>
            <w:vAlign w:val="center"/>
          </w:tcPr>
          <w:p>
            <w:pPr>
              <w:spacing w:line="360" w:lineRule="auto"/>
              <w:jc w:val="center"/>
              <w:rPr>
                <w:rFonts w:hint="eastAsia" w:hAnsi="宋体" w:cs="宋体"/>
                <w:color w:val="auto"/>
                <w:sz w:val="21"/>
                <w:szCs w:val="21"/>
              </w:rPr>
            </w:pPr>
            <w:r>
              <w:rPr>
                <w:rFonts w:hint="eastAsia" w:hAnsi="宋体" w:cs="宋体"/>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48" w:type="dxa"/>
            <w:vAlign w:val="center"/>
          </w:tcPr>
          <w:p>
            <w:pPr>
              <w:spacing w:line="360" w:lineRule="auto"/>
              <w:jc w:val="center"/>
              <w:rPr>
                <w:rFonts w:hint="eastAsia" w:hAnsi="宋体" w:cs="宋体"/>
                <w:color w:val="auto"/>
                <w:sz w:val="21"/>
                <w:szCs w:val="21"/>
              </w:rPr>
            </w:pPr>
          </w:p>
        </w:tc>
        <w:tc>
          <w:tcPr>
            <w:tcW w:w="1445" w:type="dxa"/>
            <w:vAlign w:val="center"/>
          </w:tcPr>
          <w:p>
            <w:pPr>
              <w:spacing w:line="360" w:lineRule="auto"/>
              <w:jc w:val="center"/>
              <w:rPr>
                <w:rFonts w:hint="eastAsia" w:hAnsi="宋体" w:cs="宋体"/>
                <w:color w:val="auto"/>
                <w:sz w:val="21"/>
                <w:szCs w:val="21"/>
              </w:rPr>
            </w:pPr>
          </w:p>
        </w:tc>
        <w:tc>
          <w:tcPr>
            <w:tcW w:w="677" w:type="dxa"/>
            <w:vAlign w:val="center"/>
          </w:tcPr>
          <w:p>
            <w:pPr>
              <w:spacing w:line="360" w:lineRule="auto"/>
              <w:jc w:val="center"/>
              <w:rPr>
                <w:rFonts w:hint="eastAsia" w:hAnsi="宋体" w:cs="宋体"/>
                <w:color w:val="auto"/>
                <w:sz w:val="21"/>
                <w:szCs w:val="21"/>
              </w:rPr>
            </w:pPr>
          </w:p>
        </w:tc>
        <w:tc>
          <w:tcPr>
            <w:tcW w:w="677" w:type="dxa"/>
            <w:vAlign w:val="center"/>
          </w:tcPr>
          <w:p>
            <w:pPr>
              <w:spacing w:line="360" w:lineRule="auto"/>
              <w:jc w:val="center"/>
              <w:rPr>
                <w:rFonts w:hint="eastAsia" w:hAnsi="宋体" w:cs="宋体"/>
                <w:color w:val="auto"/>
                <w:sz w:val="21"/>
                <w:szCs w:val="21"/>
              </w:rPr>
            </w:pPr>
          </w:p>
        </w:tc>
        <w:tc>
          <w:tcPr>
            <w:tcW w:w="804" w:type="dxa"/>
            <w:vAlign w:val="center"/>
          </w:tcPr>
          <w:p>
            <w:pPr>
              <w:spacing w:line="360" w:lineRule="auto"/>
              <w:jc w:val="center"/>
              <w:rPr>
                <w:rFonts w:hint="eastAsia" w:hAnsi="宋体" w:cs="宋体"/>
                <w:color w:val="auto"/>
                <w:sz w:val="21"/>
                <w:szCs w:val="21"/>
              </w:rPr>
            </w:pPr>
          </w:p>
        </w:tc>
        <w:tc>
          <w:tcPr>
            <w:tcW w:w="1134" w:type="dxa"/>
            <w:vAlign w:val="center"/>
          </w:tcPr>
          <w:p>
            <w:pPr>
              <w:spacing w:line="360" w:lineRule="auto"/>
              <w:jc w:val="center"/>
              <w:rPr>
                <w:rFonts w:hint="eastAsia" w:hAnsi="宋体" w:cs="宋体"/>
                <w:color w:val="auto"/>
                <w:sz w:val="21"/>
                <w:szCs w:val="21"/>
              </w:rPr>
            </w:pPr>
          </w:p>
        </w:tc>
        <w:tc>
          <w:tcPr>
            <w:tcW w:w="702" w:type="dxa"/>
            <w:vAlign w:val="center"/>
          </w:tcPr>
          <w:p>
            <w:pPr>
              <w:spacing w:line="360" w:lineRule="auto"/>
              <w:jc w:val="center"/>
              <w:rPr>
                <w:rFonts w:hint="eastAsia" w:hAnsi="宋体" w:cs="宋体"/>
                <w:color w:val="auto"/>
                <w:sz w:val="21"/>
                <w:szCs w:val="21"/>
              </w:rPr>
            </w:pPr>
          </w:p>
        </w:tc>
        <w:tc>
          <w:tcPr>
            <w:tcW w:w="1083" w:type="dxa"/>
            <w:vAlign w:val="center"/>
          </w:tcPr>
          <w:p>
            <w:pPr>
              <w:spacing w:line="360" w:lineRule="auto"/>
              <w:jc w:val="center"/>
              <w:rPr>
                <w:rFonts w:hint="eastAsia" w:hAnsi="宋体" w:cs="宋体"/>
                <w:color w:val="auto"/>
                <w:sz w:val="21"/>
                <w:szCs w:val="21"/>
              </w:rPr>
            </w:pPr>
          </w:p>
        </w:tc>
        <w:tc>
          <w:tcPr>
            <w:tcW w:w="1900" w:type="dxa"/>
            <w:vAlign w:val="center"/>
          </w:tcPr>
          <w:p>
            <w:pPr>
              <w:spacing w:line="360" w:lineRule="auto"/>
              <w:jc w:val="center"/>
              <w:rPr>
                <w:rFonts w:hint="eastAsia"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48" w:type="dxa"/>
            <w:vAlign w:val="center"/>
          </w:tcPr>
          <w:p>
            <w:pPr>
              <w:spacing w:line="360" w:lineRule="auto"/>
              <w:jc w:val="center"/>
              <w:rPr>
                <w:rFonts w:hint="eastAsia" w:hAnsi="宋体" w:cs="宋体"/>
                <w:color w:val="auto"/>
                <w:sz w:val="21"/>
                <w:szCs w:val="21"/>
              </w:rPr>
            </w:pPr>
          </w:p>
        </w:tc>
        <w:tc>
          <w:tcPr>
            <w:tcW w:w="1445" w:type="dxa"/>
            <w:vAlign w:val="center"/>
          </w:tcPr>
          <w:p>
            <w:pPr>
              <w:spacing w:line="360" w:lineRule="auto"/>
              <w:jc w:val="center"/>
              <w:rPr>
                <w:rFonts w:hint="eastAsia" w:hAnsi="宋体" w:cs="宋体"/>
                <w:color w:val="auto"/>
                <w:sz w:val="21"/>
                <w:szCs w:val="21"/>
              </w:rPr>
            </w:pPr>
          </w:p>
        </w:tc>
        <w:tc>
          <w:tcPr>
            <w:tcW w:w="677" w:type="dxa"/>
            <w:vAlign w:val="center"/>
          </w:tcPr>
          <w:p>
            <w:pPr>
              <w:spacing w:line="360" w:lineRule="auto"/>
              <w:jc w:val="center"/>
              <w:rPr>
                <w:rFonts w:hint="eastAsia" w:hAnsi="宋体" w:cs="宋体"/>
                <w:color w:val="auto"/>
                <w:sz w:val="21"/>
                <w:szCs w:val="21"/>
              </w:rPr>
            </w:pPr>
          </w:p>
        </w:tc>
        <w:tc>
          <w:tcPr>
            <w:tcW w:w="677" w:type="dxa"/>
            <w:vAlign w:val="center"/>
          </w:tcPr>
          <w:p>
            <w:pPr>
              <w:spacing w:line="360" w:lineRule="auto"/>
              <w:jc w:val="center"/>
              <w:rPr>
                <w:rFonts w:hint="eastAsia" w:hAnsi="宋体" w:cs="宋体"/>
                <w:color w:val="auto"/>
                <w:sz w:val="21"/>
                <w:szCs w:val="21"/>
              </w:rPr>
            </w:pPr>
          </w:p>
        </w:tc>
        <w:tc>
          <w:tcPr>
            <w:tcW w:w="804" w:type="dxa"/>
            <w:vAlign w:val="center"/>
          </w:tcPr>
          <w:p>
            <w:pPr>
              <w:spacing w:line="360" w:lineRule="auto"/>
              <w:jc w:val="center"/>
              <w:rPr>
                <w:rFonts w:hint="eastAsia" w:hAnsi="宋体" w:cs="宋体"/>
                <w:color w:val="auto"/>
                <w:sz w:val="21"/>
                <w:szCs w:val="21"/>
              </w:rPr>
            </w:pPr>
          </w:p>
        </w:tc>
        <w:tc>
          <w:tcPr>
            <w:tcW w:w="1134" w:type="dxa"/>
            <w:vAlign w:val="center"/>
          </w:tcPr>
          <w:p>
            <w:pPr>
              <w:spacing w:line="360" w:lineRule="auto"/>
              <w:jc w:val="center"/>
              <w:rPr>
                <w:rFonts w:hint="eastAsia" w:hAnsi="宋体" w:cs="宋体"/>
                <w:color w:val="auto"/>
                <w:sz w:val="21"/>
                <w:szCs w:val="21"/>
              </w:rPr>
            </w:pPr>
          </w:p>
        </w:tc>
        <w:tc>
          <w:tcPr>
            <w:tcW w:w="702" w:type="dxa"/>
            <w:vAlign w:val="center"/>
          </w:tcPr>
          <w:p>
            <w:pPr>
              <w:spacing w:line="360" w:lineRule="auto"/>
              <w:jc w:val="center"/>
              <w:rPr>
                <w:rFonts w:hint="eastAsia" w:hAnsi="宋体" w:cs="宋体"/>
                <w:color w:val="auto"/>
                <w:sz w:val="21"/>
                <w:szCs w:val="21"/>
              </w:rPr>
            </w:pPr>
          </w:p>
        </w:tc>
        <w:tc>
          <w:tcPr>
            <w:tcW w:w="1083" w:type="dxa"/>
            <w:vAlign w:val="center"/>
          </w:tcPr>
          <w:p>
            <w:pPr>
              <w:spacing w:line="360" w:lineRule="auto"/>
              <w:jc w:val="center"/>
              <w:rPr>
                <w:rFonts w:hint="eastAsia" w:hAnsi="宋体" w:cs="宋体"/>
                <w:color w:val="auto"/>
                <w:sz w:val="21"/>
                <w:szCs w:val="21"/>
              </w:rPr>
            </w:pPr>
          </w:p>
        </w:tc>
        <w:tc>
          <w:tcPr>
            <w:tcW w:w="1900" w:type="dxa"/>
            <w:vAlign w:val="center"/>
          </w:tcPr>
          <w:p>
            <w:pPr>
              <w:spacing w:line="360" w:lineRule="auto"/>
              <w:jc w:val="center"/>
              <w:rPr>
                <w:rFonts w:hint="eastAsia"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vAlign w:val="center"/>
          </w:tcPr>
          <w:p>
            <w:pPr>
              <w:spacing w:line="360" w:lineRule="auto"/>
              <w:jc w:val="center"/>
              <w:rPr>
                <w:rFonts w:hint="eastAsia" w:hAnsi="宋体" w:cs="宋体"/>
                <w:color w:val="auto"/>
                <w:sz w:val="21"/>
                <w:szCs w:val="21"/>
              </w:rPr>
            </w:pPr>
          </w:p>
        </w:tc>
        <w:tc>
          <w:tcPr>
            <w:tcW w:w="1445" w:type="dxa"/>
            <w:vAlign w:val="center"/>
          </w:tcPr>
          <w:p>
            <w:pPr>
              <w:spacing w:line="360" w:lineRule="auto"/>
              <w:jc w:val="center"/>
              <w:rPr>
                <w:rFonts w:hint="eastAsia" w:hAnsi="宋体" w:cs="宋体"/>
                <w:color w:val="auto"/>
                <w:sz w:val="21"/>
                <w:szCs w:val="21"/>
              </w:rPr>
            </w:pPr>
          </w:p>
        </w:tc>
        <w:tc>
          <w:tcPr>
            <w:tcW w:w="677" w:type="dxa"/>
            <w:vAlign w:val="center"/>
          </w:tcPr>
          <w:p>
            <w:pPr>
              <w:spacing w:line="360" w:lineRule="auto"/>
              <w:jc w:val="center"/>
              <w:rPr>
                <w:rFonts w:hint="eastAsia" w:hAnsi="宋体" w:cs="宋体"/>
                <w:color w:val="auto"/>
                <w:sz w:val="21"/>
                <w:szCs w:val="21"/>
              </w:rPr>
            </w:pPr>
          </w:p>
        </w:tc>
        <w:tc>
          <w:tcPr>
            <w:tcW w:w="677" w:type="dxa"/>
            <w:vAlign w:val="center"/>
          </w:tcPr>
          <w:p>
            <w:pPr>
              <w:spacing w:line="360" w:lineRule="auto"/>
              <w:jc w:val="center"/>
              <w:rPr>
                <w:rFonts w:hint="eastAsia" w:hAnsi="宋体" w:cs="宋体"/>
                <w:color w:val="auto"/>
                <w:sz w:val="21"/>
                <w:szCs w:val="21"/>
              </w:rPr>
            </w:pPr>
          </w:p>
        </w:tc>
        <w:tc>
          <w:tcPr>
            <w:tcW w:w="804" w:type="dxa"/>
            <w:vAlign w:val="center"/>
          </w:tcPr>
          <w:p>
            <w:pPr>
              <w:spacing w:line="360" w:lineRule="auto"/>
              <w:jc w:val="center"/>
              <w:rPr>
                <w:rFonts w:hint="eastAsia" w:hAnsi="宋体" w:cs="宋体"/>
                <w:color w:val="auto"/>
                <w:sz w:val="21"/>
                <w:szCs w:val="21"/>
              </w:rPr>
            </w:pPr>
          </w:p>
        </w:tc>
        <w:tc>
          <w:tcPr>
            <w:tcW w:w="1134" w:type="dxa"/>
            <w:vAlign w:val="center"/>
          </w:tcPr>
          <w:p>
            <w:pPr>
              <w:spacing w:line="360" w:lineRule="auto"/>
              <w:jc w:val="center"/>
              <w:rPr>
                <w:rFonts w:hint="eastAsia" w:hAnsi="宋体" w:cs="宋体"/>
                <w:color w:val="auto"/>
                <w:sz w:val="21"/>
                <w:szCs w:val="21"/>
              </w:rPr>
            </w:pPr>
          </w:p>
        </w:tc>
        <w:tc>
          <w:tcPr>
            <w:tcW w:w="702" w:type="dxa"/>
            <w:vAlign w:val="center"/>
          </w:tcPr>
          <w:p>
            <w:pPr>
              <w:spacing w:line="360" w:lineRule="auto"/>
              <w:jc w:val="center"/>
              <w:rPr>
                <w:rFonts w:hint="eastAsia" w:hAnsi="宋体" w:cs="宋体"/>
                <w:color w:val="auto"/>
                <w:sz w:val="21"/>
                <w:szCs w:val="21"/>
              </w:rPr>
            </w:pPr>
          </w:p>
        </w:tc>
        <w:tc>
          <w:tcPr>
            <w:tcW w:w="1083" w:type="dxa"/>
            <w:vAlign w:val="center"/>
          </w:tcPr>
          <w:p>
            <w:pPr>
              <w:spacing w:line="360" w:lineRule="auto"/>
              <w:jc w:val="center"/>
              <w:rPr>
                <w:rFonts w:hint="eastAsia" w:hAnsi="宋体" w:cs="宋体"/>
                <w:color w:val="auto"/>
                <w:sz w:val="21"/>
                <w:szCs w:val="21"/>
              </w:rPr>
            </w:pPr>
          </w:p>
        </w:tc>
        <w:tc>
          <w:tcPr>
            <w:tcW w:w="1900" w:type="dxa"/>
            <w:vAlign w:val="center"/>
          </w:tcPr>
          <w:p>
            <w:pPr>
              <w:spacing w:line="360" w:lineRule="auto"/>
              <w:jc w:val="center"/>
              <w:rPr>
                <w:rFonts w:hint="eastAsia"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vAlign w:val="center"/>
          </w:tcPr>
          <w:p>
            <w:pPr>
              <w:spacing w:line="360" w:lineRule="auto"/>
              <w:jc w:val="center"/>
              <w:rPr>
                <w:rFonts w:hint="eastAsia" w:hAnsi="宋体" w:cs="宋体"/>
                <w:color w:val="auto"/>
                <w:sz w:val="21"/>
                <w:szCs w:val="21"/>
              </w:rPr>
            </w:pPr>
          </w:p>
        </w:tc>
        <w:tc>
          <w:tcPr>
            <w:tcW w:w="1445" w:type="dxa"/>
            <w:vAlign w:val="center"/>
          </w:tcPr>
          <w:p>
            <w:pPr>
              <w:spacing w:line="360" w:lineRule="auto"/>
              <w:jc w:val="center"/>
              <w:rPr>
                <w:rFonts w:hint="eastAsia" w:hAnsi="宋体" w:cs="宋体"/>
                <w:color w:val="auto"/>
                <w:sz w:val="21"/>
                <w:szCs w:val="21"/>
              </w:rPr>
            </w:pPr>
          </w:p>
        </w:tc>
        <w:tc>
          <w:tcPr>
            <w:tcW w:w="677" w:type="dxa"/>
            <w:vAlign w:val="center"/>
          </w:tcPr>
          <w:p>
            <w:pPr>
              <w:spacing w:line="360" w:lineRule="auto"/>
              <w:jc w:val="center"/>
              <w:rPr>
                <w:rFonts w:hint="eastAsia" w:hAnsi="宋体" w:cs="宋体"/>
                <w:color w:val="auto"/>
                <w:sz w:val="21"/>
                <w:szCs w:val="21"/>
              </w:rPr>
            </w:pPr>
          </w:p>
        </w:tc>
        <w:tc>
          <w:tcPr>
            <w:tcW w:w="677" w:type="dxa"/>
            <w:vAlign w:val="center"/>
          </w:tcPr>
          <w:p>
            <w:pPr>
              <w:spacing w:line="360" w:lineRule="auto"/>
              <w:jc w:val="center"/>
              <w:rPr>
                <w:rFonts w:hint="eastAsia" w:hAnsi="宋体" w:cs="宋体"/>
                <w:color w:val="auto"/>
                <w:sz w:val="21"/>
                <w:szCs w:val="21"/>
              </w:rPr>
            </w:pPr>
          </w:p>
        </w:tc>
        <w:tc>
          <w:tcPr>
            <w:tcW w:w="804" w:type="dxa"/>
            <w:vAlign w:val="center"/>
          </w:tcPr>
          <w:p>
            <w:pPr>
              <w:spacing w:line="360" w:lineRule="auto"/>
              <w:jc w:val="center"/>
              <w:rPr>
                <w:rFonts w:hint="eastAsia" w:hAnsi="宋体" w:cs="宋体"/>
                <w:color w:val="auto"/>
                <w:sz w:val="21"/>
                <w:szCs w:val="21"/>
              </w:rPr>
            </w:pPr>
          </w:p>
        </w:tc>
        <w:tc>
          <w:tcPr>
            <w:tcW w:w="1134" w:type="dxa"/>
            <w:vAlign w:val="center"/>
          </w:tcPr>
          <w:p>
            <w:pPr>
              <w:spacing w:line="360" w:lineRule="auto"/>
              <w:jc w:val="center"/>
              <w:rPr>
                <w:rFonts w:hint="eastAsia" w:hAnsi="宋体" w:cs="宋体"/>
                <w:color w:val="auto"/>
                <w:sz w:val="21"/>
                <w:szCs w:val="21"/>
              </w:rPr>
            </w:pPr>
          </w:p>
        </w:tc>
        <w:tc>
          <w:tcPr>
            <w:tcW w:w="702" w:type="dxa"/>
            <w:vAlign w:val="center"/>
          </w:tcPr>
          <w:p>
            <w:pPr>
              <w:spacing w:line="360" w:lineRule="auto"/>
              <w:jc w:val="center"/>
              <w:rPr>
                <w:rFonts w:hint="eastAsia" w:hAnsi="宋体" w:cs="宋体"/>
                <w:color w:val="auto"/>
                <w:sz w:val="21"/>
                <w:szCs w:val="21"/>
              </w:rPr>
            </w:pPr>
          </w:p>
        </w:tc>
        <w:tc>
          <w:tcPr>
            <w:tcW w:w="1083" w:type="dxa"/>
            <w:vAlign w:val="center"/>
          </w:tcPr>
          <w:p>
            <w:pPr>
              <w:spacing w:line="360" w:lineRule="auto"/>
              <w:jc w:val="center"/>
              <w:rPr>
                <w:rFonts w:hint="eastAsia" w:hAnsi="宋体" w:cs="宋体"/>
                <w:color w:val="auto"/>
                <w:sz w:val="21"/>
                <w:szCs w:val="21"/>
              </w:rPr>
            </w:pPr>
          </w:p>
        </w:tc>
        <w:tc>
          <w:tcPr>
            <w:tcW w:w="1900" w:type="dxa"/>
            <w:vAlign w:val="center"/>
          </w:tcPr>
          <w:p>
            <w:pPr>
              <w:spacing w:line="360" w:lineRule="auto"/>
              <w:jc w:val="center"/>
              <w:rPr>
                <w:rFonts w:hint="eastAsia"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vAlign w:val="center"/>
          </w:tcPr>
          <w:p>
            <w:pPr>
              <w:spacing w:line="360" w:lineRule="auto"/>
              <w:jc w:val="center"/>
              <w:rPr>
                <w:rFonts w:hint="eastAsia" w:hAnsi="宋体" w:cs="宋体"/>
                <w:color w:val="auto"/>
                <w:sz w:val="21"/>
                <w:szCs w:val="21"/>
              </w:rPr>
            </w:pPr>
          </w:p>
        </w:tc>
        <w:tc>
          <w:tcPr>
            <w:tcW w:w="1445" w:type="dxa"/>
            <w:vAlign w:val="center"/>
          </w:tcPr>
          <w:p>
            <w:pPr>
              <w:spacing w:line="360" w:lineRule="auto"/>
              <w:jc w:val="center"/>
              <w:rPr>
                <w:rFonts w:hint="eastAsia" w:hAnsi="宋体" w:cs="宋体"/>
                <w:color w:val="auto"/>
                <w:sz w:val="21"/>
                <w:szCs w:val="21"/>
              </w:rPr>
            </w:pPr>
          </w:p>
        </w:tc>
        <w:tc>
          <w:tcPr>
            <w:tcW w:w="677" w:type="dxa"/>
            <w:vAlign w:val="center"/>
          </w:tcPr>
          <w:p>
            <w:pPr>
              <w:spacing w:line="360" w:lineRule="auto"/>
              <w:jc w:val="center"/>
              <w:rPr>
                <w:rFonts w:hint="eastAsia" w:hAnsi="宋体" w:cs="宋体"/>
                <w:color w:val="auto"/>
                <w:sz w:val="21"/>
                <w:szCs w:val="21"/>
              </w:rPr>
            </w:pPr>
          </w:p>
        </w:tc>
        <w:tc>
          <w:tcPr>
            <w:tcW w:w="677" w:type="dxa"/>
            <w:vAlign w:val="center"/>
          </w:tcPr>
          <w:p>
            <w:pPr>
              <w:spacing w:line="360" w:lineRule="auto"/>
              <w:jc w:val="center"/>
              <w:rPr>
                <w:rFonts w:hint="eastAsia" w:hAnsi="宋体" w:cs="宋体"/>
                <w:color w:val="auto"/>
                <w:sz w:val="21"/>
                <w:szCs w:val="21"/>
              </w:rPr>
            </w:pPr>
          </w:p>
        </w:tc>
        <w:tc>
          <w:tcPr>
            <w:tcW w:w="804" w:type="dxa"/>
            <w:vAlign w:val="center"/>
          </w:tcPr>
          <w:p>
            <w:pPr>
              <w:spacing w:line="360" w:lineRule="auto"/>
              <w:jc w:val="center"/>
              <w:rPr>
                <w:rFonts w:hint="eastAsia" w:hAnsi="宋体" w:cs="宋体"/>
                <w:color w:val="auto"/>
                <w:sz w:val="21"/>
                <w:szCs w:val="21"/>
              </w:rPr>
            </w:pPr>
          </w:p>
        </w:tc>
        <w:tc>
          <w:tcPr>
            <w:tcW w:w="1134" w:type="dxa"/>
            <w:vAlign w:val="center"/>
          </w:tcPr>
          <w:p>
            <w:pPr>
              <w:spacing w:line="360" w:lineRule="auto"/>
              <w:jc w:val="center"/>
              <w:rPr>
                <w:rFonts w:hint="eastAsia" w:hAnsi="宋体" w:cs="宋体"/>
                <w:color w:val="auto"/>
                <w:sz w:val="21"/>
                <w:szCs w:val="21"/>
              </w:rPr>
            </w:pPr>
          </w:p>
        </w:tc>
        <w:tc>
          <w:tcPr>
            <w:tcW w:w="702" w:type="dxa"/>
            <w:vAlign w:val="center"/>
          </w:tcPr>
          <w:p>
            <w:pPr>
              <w:spacing w:line="360" w:lineRule="auto"/>
              <w:jc w:val="center"/>
              <w:rPr>
                <w:rFonts w:hint="eastAsia" w:hAnsi="宋体" w:cs="宋体"/>
                <w:color w:val="auto"/>
                <w:sz w:val="21"/>
                <w:szCs w:val="21"/>
              </w:rPr>
            </w:pPr>
          </w:p>
        </w:tc>
        <w:tc>
          <w:tcPr>
            <w:tcW w:w="1083" w:type="dxa"/>
            <w:vAlign w:val="center"/>
          </w:tcPr>
          <w:p>
            <w:pPr>
              <w:spacing w:line="360" w:lineRule="auto"/>
              <w:jc w:val="center"/>
              <w:rPr>
                <w:rFonts w:hint="eastAsia" w:hAnsi="宋体" w:cs="宋体"/>
                <w:color w:val="auto"/>
                <w:sz w:val="21"/>
                <w:szCs w:val="21"/>
              </w:rPr>
            </w:pPr>
          </w:p>
        </w:tc>
        <w:tc>
          <w:tcPr>
            <w:tcW w:w="1900" w:type="dxa"/>
            <w:vAlign w:val="center"/>
          </w:tcPr>
          <w:p>
            <w:pPr>
              <w:spacing w:line="360" w:lineRule="auto"/>
              <w:jc w:val="center"/>
              <w:rPr>
                <w:rFonts w:hint="eastAsia"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vAlign w:val="center"/>
          </w:tcPr>
          <w:p>
            <w:pPr>
              <w:spacing w:line="360" w:lineRule="auto"/>
              <w:jc w:val="center"/>
              <w:rPr>
                <w:rFonts w:hint="eastAsia" w:hAnsi="宋体" w:cs="宋体"/>
                <w:color w:val="auto"/>
                <w:sz w:val="21"/>
                <w:szCs w:val="21"/>
              </w:rPr>
            </w:pPr>
          </w:p>
        </w:tc>
        <w:tc>
          <w:tcPr>
            <w:tcW w:w="1445" w:type="dxa"/>
            <w:vAlign w:val="center"/>
          </w:tcPr>
          <w:p>
            <w:pPr>
              <w:spacing w:line="360" w:lineRule="auto"/>
              <w:jc w:val="center"/>
              <w:rPr>
                <w:rFonts w:hint="eastAsia" w:hAnsi="宋体" w:cs="宋体"/>
                <w:color w:val="auto"/>
                <w:sz w:val="21"/>
                <w:szCs w:val="21"/>
              </w:rPr>
            </w:pPr>
          </w:p>
        </w:tc>
        <w:tc>
          <w:tcPr>
            <w:tcW w:w="677" w:type="dxa"/>
            <w:vAlign w:val="center"/>
          </w:tcPr>
          <w:p>
            <w:pPr>
              <w:spacing w:line="360" w:lineRule="auto"/>
              <w:jc w:val="center"/>
              <w:rPr>
                <w:rFonts w:hint="eastAsia" w:hAnsi="宋体" w:cs="宋体"/>
                <w:color w:val="auto"/>
                <w:sz w:val="21"/>
                <w:szCs w:val="21"/>
              </w:rPr>
            </w:pPr>
          </w:p>
        </w:tc>
        <w:tc>
          <w:tcPr>
            <w:tcW w:w="677" w:type="dxa"/>
            <w:vAlign w:val="center"/>
          </w:tcPr>
          <w:p>
            <w:pPr>
              <w:spacing w:line="360" w:lineRule="auto"/>
              <w:jc w:val="center"/>
              <w:rPr>
                <w:rFonts w:hint="eastAsia" w:hAnsi="宋体" w:cs="宋体"/>
                <w:color w:val="auto"/>
                <w:sz w:val="21"/>
                <w:szCs w:val="21"/>
              </w:rPr>
            </w:pPr>
          </w:p>
        </w:tc>
        <w:tc>
          <w:tcPr>
            <w:tcW w:w="804" w:type="dxa"/>
            <w:vAlign w:val="center"/>
          </w:tcPr>
          <w:p>
            <w:pPr>
              <w:spacing w:line="360" w:lineRule="auto"/>
              <w:jc w:val="center"/>
              <w:rPr>
                <w:rFonts w:hint="eastAsia" w:hAnsi="宋体" w:cs="宋体"/>
                <w:color w:val="auto"/>
                <w:sz w:val="21"/>
                <w:szCs w:val="21"/>
              </w:rPr>
            </w:pPr>
          </w:p>
        </w:tc>
        <w:tc>
          <w:tcPr>
            <w:tcW w:w="1134" w:type="dxa"/>
            <w:vAlign w:val="center"/>
          </w:tcPr>
          <w:p>
            <w:pPr>
              <w:spacing w:line="360" w:lineRule="auto"/>
              <w:jc w:val="center"/>
              <w:rPr>
                <w:rFonts w:hint="eastAsia" w:hAnsi="宋体" w:cs="宋体"/>
                <w:color w:val="auto"/>
                <w:sz w:val="21"/>
                <w:szCs w:val="21"/>
              </w:rPr>
            </w:pPr>
          </w:p>
        </w:tc>
        <w:tc>
          <w:tcPr>
            <w:tcW w:w="702" w:type="dxa"/>
            <w:vAlign w:val="center"/>
          </w:tcPr>
          <w:p>
            <w:pPr>
              <w:spacing w:line="360" w:lineRule="auto"/>
              <w:jc w:val="center"/>
              <w:rPr>
                <w:rFonts w:hint="eastAsia" w:hAnsi="宋体" w:cs="宋体"/>
                <w:color w:val="auto"/>
                <w:sz w:val="21"/>
                <w:szCs w:val="21"/>
              </w:rPr>
            </w:pPr>
          </w:p>
        </w:tc>
        <w:tc>
          <w:tcPr>
            <w:tcW w:w="1083" w:type="dxa"/>
            <w:vAlign w:val="center"/>
          </w:tcPr>
          <w:p>
            <w:pPr>
              <w:spacing w:line="360" w:lineRule="auto"/>
              <w:jc w:val="center"/>
              <w:rPr>
                <w:rFonts w:hint="eastAsia" w:hAnsi="宋体" w:cs="宋体"/>
                <w:color w:val="auto"/>
                <w:sz w:val="21"/>
                <w:szCs w:val="21"/>
              </w:rPr>
            </w:pPr>
          </w:p>
        </w:tc>
        <w:tc>
          <w:tcPr>
            <w:tcW w:w="1900" w:type="dxa"/>
            <w:vAlign w:val="center"/>
          </w:tcPr>
          <w:p>
            <w:pPr>
              <w:spacing w:line="360" w:lineRule="auto"/>
              <w:jc w:val="center"/>
              <w:rPr>
                <w:rFonts w:hint="eastAsia"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vAlign w:val="center"/>
          </w:tcPr>
          <w:p>
            <w:pPr>
              <w:spacing w:line="360" w:lineRule="auto"/>
              <w:jc w:val="center"/>
              <w:rPr>
                <w:rFonts w:hint="eastAsia" w:hAnsi="宋体" w:cs="宋体"/>
                <w:color w:val="auto"/>
                <w:sz w:val="21"/>
                <w:szCs w:val="21"/>
              </w:rPr>
            </w:pPr>
          </w:p>
        </w:tc>
        <w:tc>
          <w:tcPr>
            <w:tcW w:w="1445" w:type="dxa"/>
            <w:vAlign w:val="center"/>
          </w:tcPr>
          <w:p>
            <w:pPr>
              <w:spacing w:line="360" w:lineRule="auto"/>
              <w:jc w:val="center"/>
              <w:rPr>
                <w:rFonts w:hint="eastAsia" w:hAnsi="宋体" w:cs="宋体"/>
                <w:color w:val="auto"/>
                <w:sz w:val="21"/>
                <w:szCs w:val="21"/>
              </w:rPr>
            </w:pPr>
          </w:p>
        </w:tc>
        <w:tc>
          <w:tcPr>
            <w:tcW w:w="677" w:type="dxa"/>
            <w:vAlign w:val="center"/>
          </w:tcPr>
          <w:p>
            <w:pPr>
              <w:spacing w:line="360" w:lineRule="auto"/>
              <w:jc w:val="center"/>
              <w:rPr>
                <w:rFonts w:hint="eastAsia" w:hAnsi="宋体" w:cs="宋体"/>
                <w:color w:val="auto"/>
                <w:sz w:val="21"/>
                <w:szCs w:val="21"/>
              </w:rPr>
            </w:pPr>
          </w:p>
        </w:tc>
        <w:tc>
          <w:tcPr>
            <w:tcW w:w="677" w:type="dxa"/>
            <w:vAlign w:val="center"/>
          </w:tcPr>
          <w:p>
            <w:pPr>
              <w:spacing w:line="360" w:lineRule="auto"/>
              <w:jc w:val="center"/>
              <w:rPr>
                <w:rFonts w:hint="eastAsia" w:hAnsi="宋体" w:cs="宋体"/>
                <w:color w:val="auto"/>
                <w:sz w:val="21"/>
                <w:szCs w:val="21"/>
              </w:rPr>
            </w:pPr>
          </w:p>
        </w:tc>
        <w:tc>
          <w:tcPr>
            <w:tcW w:w="804" w:type="dxa"/>
            <w:vAlign w:val="center"/>
          </w:tcPr>
          <w:p>
            <w:pPr>
              <w:spacing w:line="360" w:lineRule="auto"/>
              <w:jc w:val="center"/>
              <w:rPr>
                <w:rFonts w:hint="eastAsia" w:hAnsi="宋体" w:cs="宋体"/>
                <w:color w:val="auto"/>
                <w:sz w:val="21"/>
                <w:szCs w:val="21"/>
              </w:rPr>
            </w:pPr>
          </w:p>
        </w:tc>
        <w:tc>
          <w:tcPr>
            <w:tcW w:w="1134" w:type="dxa"/>
            <w:vAlign w:val="center"/>
          </w:tcPr>
          <w:p>
            <w:pPr>
              <w:spacing w:line="360" w:lineRule="auto"/>
              <w:jc w:val="center"/>
              <w:rPr>
                <w:rFonts w:hint="eastAsia" w:hAnsi="宋体" w:cs="宋体"/>
                <w:color w:val="auto"/>
                <w:sz w:val="21"/>
                <w:szCs w:val="21"/>
              </w:rPr>
            </w:pPr>
          </w:p>
        </w:tc>
        <w:tc>
          <w:tcPr>
            <w:tcW w:w="702" w:type="dxa"/>
            <w:vAlign w:val="center"/>
          </w:tcPr>
          <w:p>
            <w:pPr>
              <w:spacing w:line="360" w:lineRule="auto"/>
              <w:jc w:val="center"/>
              <w:rPr>
                <w:rFonts w:hint="eastAsia" w:hAnsi="宋体" w:cs="宋体"/>
                <w:color w:val="auto"/>
                <w:sz w:val="21"/>
                <w:szCs w:val="21"/>
              </w:rPr>
            </w:pPr>
          </w:p>
        </w:tc>
        <w:tc>
          <w:tcPr>
            <w:tcW w:w="1083" w:type="dxa"/>
            <w:vAlign w:val="center"/>
          </w:tcPr>
          <w:p>
            <w:pPr>
              <w:spacing w:line="360" w:lineRule="auto"/>
              <w:jc w:val="center"/>
              <w:rPr>
                <w:rFonts w:hint="eastAsia" w:hAnsi="宋体" w:cs="宋体"/>
                <w:color w:val="auto"/>
                <w:sz w:val="21"/>
                <w:szCs w:val="21"/>
              </w:rPr>
            </w:pPr>
          </w:p>
        </w:tc>
        <w:tc>
          <w:tcPr>
            <w:tcW w:w="1900" w:type="dxa"/>
            <w:vAlign w:val="center"/>
          </w:tcPr>
          <w:p>
            <w:pPr>
              <w:spacing w:line="360" w:lineRule="auto"/>
              <w:jc w:val="center"/>
              <w:rPr>
                <w:rFonts w:hint="eastAsia"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48" w:type="dxa"/>
            <w:vAlign w:val="center"/>
          </w:tcPr>
          <w:p>
            <w:pPr>
              <w:spacing w:line="360" w:lineRule="auto"/>
              <w:jc w:val="center"/>
              <w:rPr>
                <w:rFonts w:hint="eastAsia" w:hAnsi="宋体" w:cs="宋体"/>
                <w:color w:val="auto"/>
                <w:sz w:val="21"/>
                <w:szCs w:val="21"/>
              </w:rPr>
            </w:pPr>
          </w:p>
        </w:tc>
        <w:tc>
          <w:tcPr>
            <w:tcW w:w="1445" w:type="dxa"/>
            <w:vAlign w:val="center"/>
          </w:tcPr>
          <w:p>
            <w:pPr>
              <w:spacing w:line="360" w:lineRule="auto"/>
              <w:jc w:val="center"/>
              <w:rPr>
                <w:rFonts w:hint="eastAsia" w:hAnsi="宋体" w:cs="宋体"/>
                <w:color w:val="auto"/>
                <w:sz w:val="21"/>
                <w:szCs w:val="21"/>
              </w:rPr>
            </w:pPr>
          </w:p>
        </w:tc>
        <w:tc>
          <w:tcPr>
            <w:tcW w:w="677" w:type="dxa"/>
            <w:vAlign w:val="center"/>
          </w:tcPr>
          <w:p>
            <w:pPr>
              <w:spacing w:line="360" w:lineRule="auto"/>
              <w:jc w:val="center"/>
              <w:rPr>
                <w:rFonts w:hint="eastAsia" w:hAnsi="宋体" w:cs="宋体"/>
                <w:color w:val="auto"/>
                <w:sz w:val="21"/>
                <w:szCs w:val="21"/>
              </w:rPr>
            </w:pPr>
          </w:p>
        </w:tc>
        <w:tc>
          <w:tcPr>
            <w:tcW w:w="677" w:type="dxa"/>
            <w:vAlign w:val="center"/>
          </w:tcPr>
          <w:p>
            <w:pPr>
              <w:spacing w:line="360" w:lineRule="auto"/>
              <w:jc w:val="center"/>
              <w:rPr>
                <w:rFonts w:hint="eastAsia" w:hAnsi="宋体" w:cs="宋体"/>
                <w:color w:val="auto"/>
                <w:sz w:val="21"/>
                <w:szCs w:val="21"/>
              </w:rPr>
            </w:pPr>
          </w:p>
        </w:tc>
        <w:tc>
          <w:tcPr>
            <w:tcW w:w="804" w:type="dxa"/>
            <w:vAlign w:val="center"/>
          </w:tcPr>
          <w:p>
            <w:pPr>
              <w:spacing w:line="360" w:lineRule="auto"/>
              <w:jc w:val="center"/>
              <w:rPr>
                <w:rFonts w:hint="eastAsia" w:hAnsi="宋体" w:cs="宋体"/>
                <w:color w:val="auto"/>
                <w:sz w:val="21"/>
                <w:szCs w:val="21"/>
              </w:rPr>
            </w:pPr>
          </w:p>
        </w:tc>
        <w:tc>
          <w:tcPr>
            <w:tcW w:w="1134" w:type="dxa"/>
            <w:vAlign w:val="center"/>
          </w:tcPr>
          <w:p>
            <w:pPr>
              <w:spacing w:line="360" w:lineRule="auto"/>
              <w:jc w:val="center"/>
              <w:rPr>
                <w:rFonts w:hint="eastAsia" w:hAnsi="宋体" w:cs="宋体"/>
                <w:color w:val="auto"/>
                <w:sz w:val="21"/>
                <w:szCs w:val="21"/>
              </w:rPr>
            </w:pPr>
          </w:p>
        </w:tc>
        <w:tc>
          <w:tcPr>
            <w:tcW w:w="702" w:type="dxa"/>
            <w:vAlign w:val="center"/>
          </w:tcPr>
          <w:p>
            <w:pPr>
              <w:spacing w:line="360" w:lineRule="auto"/>
              <w:jc w:val="center"/>
              <w:rPr>
                <w:rFonts w:hint="eastAsia" w:hAnsi="宋体" w:cs="宋体"/>
                <w:color w:val="auto"/>
                <w:sz w:val="21"/>
                <w:szCs w:val="21"/>
              </w:rPr>
            </w:pPr>
          </w:p>
        </w:tc>
        <w:tc>
          <w:tcPr>
            <w:tcW w:w="1083" w:type="dxa"/>
            <w:vAlign w:val="center"/>
          </w:tcPr>
          <w:p>
            <w:pPr>
              <w:spacing w:line="360" w:lineRule="auto"/>
              <w:jc w:val="center"/>
              <w:rPr>
                <w:rFonts w:hint="eastAsia" w:hAnsi="宋体" w:cs="宋体"/>
                <w:color w:val="auto"/>
                <w:sz w:val="21"/>
                <w:szCs w:val="21"/>
              </w:rPr>
            </w:pPr>
          </w:p>
        </w:tc>
        <w:tc>
          <w:tcPr>
            <w:tcW w:w="1900" w:type="dxa"/>
            <w:vAlign w:val="center"/>
          </w:tcPr>
          <w:p>
            <w:pPr>
              <w:spacing w:line="360" w:lineRule="auto"/>
              <w:jc w:val="center"/>
              <w:rPr>
                <w:rFonts w:hint="eastAsia" w:hAnsi="宋体" w:cs="宋体"/>
                <w:color w:val="auto"/>
                <w:sz w:val="21"/>
                <w:szCs w:val="21"/>
              </w:rPr>
            </w:pPr>
          </w:p>
        </w:tc>
      </w:tr>
    </w:tbl>
    <w:p>
      <w:pPr>
        <w:spacing w:line="360" w:lineRule="auto"/>
        <w:rPr>
          <w:rFonts w:hint="eastAsia" w:hAnsi="宋体" w:cs="宋体"/>
          <w:color w:val="auto"/>
          <w:sz w:val="21"/>
          <w:szCs w:val="21"/>
        </w:rPr>
      </w:pPr>
      <w:r>
        <w:rPr>
          <w:rFonts w:hint="eastAsia" w:hAnsi="宋体" w:cs="宋体"/>
          <w:color w:val="auto"/>
          <w:sz w:val="21"/>
          <w:szCs w:val="21"/>
        </w:rPr>
        <w:t>备注：</w:t>
      </w:r>
    </w:p>
    <w:p>
      <w:pPr>
        <w:spacing w:line="360" w:lineRule="auto"/>
        <w:rPr>
          <w:rFonts w:hint="eastAsia" w:hAnsi="宋体" w:cs="宋体"/>
          <w:color w:val="auto"/>
          <w:sz w:val="21"/>
          <w:szCs w:val="21"/>
        </w:rPr>
      </w:pPr>
      <w:r>
        <w:rPr>
          <w:rFonts w:hint="eastAsia" w:hAnsi="宋体" w:cs="宋体"/>
          <w:color w:val="auto"/>
          <w:sz w:val="21"/>
          <w:szCs w:val="21"/>
        </w:rPr>
        <w:t>（1）此表格式供参照，投标人可以根据本表格式内容自行划表填写。</w:t>
      </w:r>
    </w:p>
    <w:p>
      <w:pPr>
        <w:spacing w:line="360" w:lineRule="auto"/>
        <w:ind w:left="425" w:leftChars="2" w:hanging="420" w:hangingChars="200"/>
        <w:rPr>
          <w:rFonts w:hint="eastAsia" w:hAnsi="宋体" w:cs="宋体"/>
          <w:color w:val="auto"/>
          <w:sz w:val="21"/>
          <w:szCs w:val="21"/>
          <w:lang w:val="zh-CN"/>
        </w:rPr>
      </w:pPr>
      <w:r>
        <w:rPr>
          <w:rFonts w:hint="eastAsia" w:hAnsi="宋体" w:cs="宋体"/>
          <w:color w:val="auto"/>
          <w:sz w:val="21"/>
          <w:szCs w:val="21"/>
        </w:rPr>
        <w:t>（2）应附有资格证书（或注册/执业/岗位证书/技术职称）、以及</w:t>
      </w:r>
      <w:r>
        <w:rPr>
          <w:rFonts w:hint="eastAsia" w:hAnsi="宋体" w:cs="宋体"/>
          <w:color w:val="auto"/>
          <w:kern w:val="2"/>
          <w:sz w:val="21"/>
          <w:szCs w:val="21"/>
        </w:rPr>
        <w:t>社会保障部门（或税务部门）出具的</w:t>
      </w:r>
      <w:r>
        <w:rPr>
          <w:rFonts w:hint="eastAsia" w:hAnsi="宋体" w:cs="宋体"/>
          <w:color w:val="auto"/>
          <w:sz w:val="21"/>
          <w:szCs w:val="21"/>
          <w:lang w:val="zh-CN"/>
        </w:rPr>
        <w:t>投标人投标前</w:t>
      </w:r>
      <w:r>
        <w:rPr>
          <w:rFonts w:hint="eastAsia" w:hAnsi="宋体" w:cs="宋体"/>
          <w:color w:val="auto"/>
          <w:sz w:val="21"/>
          <w:szCs w:val="21"/>
          <w:lang w:val="en-US" w:eastAsia="zh-CN"/>
        </w:rPr>
        <w:t>三</w:t>
      </w:r>
      <w:r>
        <w:rPr>
          <w:rFonts w:hint="eastAsia" w:hAnsi="宋体" w:cs="宋体"/>
          <w:color w:val="auto"/>
          <w:sz w:val="21"/>
          <w:szCs w:val="21"/>
          <w:lang w:val="zh-CN"/>
        </w:rPr>
        <w:t>个月为其缴纳的社会养老保险证明复印件。</w:t>
      </w:r>
    </w:p>
    <w:p>
      <w:pPr>
        <w:spacing w:line="360" w:lineRule="auto"/>
        <w:ind w:left="420" w:hanging="420" w:hangingChars="200"/>
        <w:rPr>
          <w:rFonts w:hint="eastAsia" w:hAnsi="宋体" w:cs="宋体"/>
          <w:color w:val="auto"/>
          <w:sz w:val="21"/>
          <w:szCs w:val="21"/>
        </w:rPr>
      </w:pPr>
      <w:r>
        <w:rPr>
          <w:rFonts w:hint="eastAsia" w:hAnsi="宋体" w:cs="宋体"/>
          <w:color w:val="auto"/>
          <w:sz w:val="21"/>
          <w:szCs w:val="21"/>
          <w:lang w:val="zh-CN"/>
        </w:rPr>
        <w:t>（3）</w:t>
      </w:r>
      <w:r>
        <w:rPr>
          <w:rFonts w:hint="eastAsia" w:hAnsi="宋体" w:cs="宋体"/>
          <w:color w:val="auto"/>
          <w:sz w:val="21"/>
          <w:szCs w:val="21"/>
        </w:rPr>
        <w:t>拟投入本项目的项目负责人、专业技术人员还需提供简历表，上述第2项的证明材料按简历表格式附件要求放置。</w:t>
      </w:r>
    </w:p>
    <w:p>
      <w:pPr>
        <w:spacing w:line="360" w:lineRule="auto"/>
        <w:rPr>
          <w:rFonts w:hint="eastAsia" w:hAnsi="宋体" w:cs="宋体"/>
          <w:color w:val="auto"/>
          <w:sz w:val="21"/>
          <w:szCs w:val="21"/>
        </w:rPr>
      </w:pPr>
    </w:p>
    <w:p>
      <w:pPr>
        <w:spacing w:line="360" w:lineRule="auto"/>
        <w:ind w:firstLine="3780" w:firstLineChars="1800"/>
        <w:jc w:val="both"/>
        <w:rPr>
          <w:rFonts w:hint="eastAsia" w:hAnsi="宋体" w:cs="宋体"/>
          <w:color w:val="auto"/>
          <w:kern w:val="2"/>
          <w:sz w:val="21"/>
          <w:szCs w:val="21"/>
          <w:lang w:val="zh-CN"/>
        </w:rPr>
      </w:pPr>
      <w:r>
        <w:rPr>
          <w:rFonts w:hint="eastAsia" w:hAnsi="宋体" w:cs="宋体"/>
          <w:color w:val="auto"/>
          <w:kern w:val="2"/>
          <w:sz w:val="21"/>
          <w:szCs w:val="21"/>
          <w:lang w:val="zh-CN"/>
        </w:rPr>
        <w:t>投标人名称（并加盖法人公章）：</w:t>
      </w:r>
    </w:p>
    <w:p>
      <w:pPr>
        <w:spacing w:line="360" w:lineRule="auto"/>
        <w:ind w:right="17" w:firstLine="3780" w:firstLineChars="1800"/>
        <w:jc w:val="both"/>
        <w:rPr>
          <w:rFonts w:hint="eastAsia" w:hAnsi="宋体" w:cs="宋体"/>
          <w:color w:val="auto"/>
          <w:kern w:val="2"/>
          <w:sz w:val="21"/>
          <w:szCs w:val="21"/>
          <w:lang w:val="zh-CN"/>
        </w:rPr>
      </w:pPr>
      <w:r>
        <w:rPr>
          <w:rFonts w:hint="eastAsia" w:hAnsi="宋体" w:cs="宋体"/>
          <w:color w:val="auto"/>
          <w:kern w:val="2"/>
          <w:sz w:val="21"/>
          <w:szCs w:val="21"/>
          <w:lang w:val="zh-CN"/>
        </w:rPr>
        <w:t>日　　　期：</w:t>
      </w:r>
    </w:p>
    <w:p>
      <w:pPr>
        <w:rPr>
          <w:rFonts w:hint="eastAsia" w:hAnsi="宋体" w:cs="宋体"/>
          <w:color w:val="auto"/>
          <w:kern w:val="2"/>
          <w:sz w:val="21"/>
          <w:szCs w:val="21"/>
          <w:lang w:val="zh-CN"/>
        </w:rPr>
      </w:pPr>
      <w:r>
        <w:rPr>
          <w:rFonts w:hint="eastAsia" w:hAnsi="宋体" w:cs="宋体"/>
          <w:color w:val="auto"/>
          <w:kern w:val="2"/>
          <w:sz w:val="21"/>
          <w:szCs w:val="21"/>
          <w:lang w:val="zh-CN"/>
        </w:rPr>
        <w:br w:type="page"/>
      </w:r>
    </w:p>
    <w:p>
      <w:pPr>
        <w:spacing w:line="360" w:lineRule="auto"/>
        <w:jc w:val="center"/>
        <w:rPr>
          <w:rFonts w:hint="eastAsia" w:hAnsi="宋体" w:cs="宋体"/>
          <w:b/>
          <w:bCs/>
          <w:color w:val="auto"/>
          <w:sz w:val="30"/>
          <w:szCs w:val="30"/>
        </w:rPr>
      </w:pPr>
      <w:r>
        <w:rPr>
          <w:rFonts w:hint="eastAsia" w:hAnsi="宋体" w:cs="宋体"/>
          <w:b/>
          <w:bCs/>
          <w:color w:val="auto"/>
          <w:sz w:val="30"/>
          <w:szCs w:val="30"/>
        </w:rPr>
        <w:t>车辆配置情况表</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354"/>
        <w:gridCol w:w="2365"/>
        <w:gridCol w:w="652"/>
        <w:gridCol w:w="1276"/>
        <w:gridCol w:w="850"/>
        <w:gridCol w:w="1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vAlign w:val="center"/>
          </w:tcPr>
          <w:p>
            <w:pPr>
              <w:spacing w:line="360" w:lineRule="auto"/>
              <w:jc w:val="center"/>
              <w:rPr>
                <w:rFonts w:hint="eastAsia" w:hAnsi="宋体" w:cs="宋体"/>
                <w:color w:val="auto"/>
                <w:sz w:val="21"/>
                <w:szCs w:val="21"/>
              </w:rPr>
            </w:pPr>
            <w:r>
              <w:rPr>
                <w:rFonts w:hint="eastAsia" w:hAnsi="宋体" w:cs="宋体"/>
                <w:color w:val="auto"/>
                <w:sz w:val="21"/>
                <w:szCs w:val="21"/>
              </w:rPr>
              <w:t>序号</w:t>
            </w:r>
          </w:p>
        </w:tc>
        <w:tc>
          <w:tcPr>
            <w:tcW w:w="1354" w:type="dxa"/>
            <w:vAlign w:val="center"/>
          </w:tcPr>
          <w:p>
            <w:pPr>
              <w:spacing w:line="360" w:lineRule="auto"/>
              <w:jc w:val="center"/>
              <w:rPr>
                <w:rFonts w:hint="eastAsia" w:hAnsi="宋体" w:cs="宋体"/>
                <w:color w:val="auto"/>
                <w:sz w:val="21"/>
                <w:szCs w:val="21"/>
              </w:rPr>
            </w:pPr>
            <w:r>
              <w:rPr>
                <w:rFonts w:hint="eastAsia" w:hAnsi="宋体" w:cs="宋体"/>
                <w:color w:val="auto"/>
                <w:sz w:val="21"/>
                <w:szCs w:val="21"/>
              </w:rPr>
              <w:t>名称</w:t>
            </w:r>
          </w:p>
        </w:tc>
        <w:tc>
          <w:tcPr>
            <w:tcW w:w="2365" w:type="dxa"/>
            <w:vAlign w:val="center"/>
          </w:tcPr>
          <w:p>
            <w:pPr>
              <w:spacing w:line="360" w:lineRule="auto"/>
              <w:jc w:val="center"/>
              <w:rPr>
                <w:rFonts w:hint="eastAsia" w:hAnsi="宋体" w:cs="宋体"/>
                <w:color w:val="auto"/>
                <w:sz w:val="21"/>
                <w:szCs w:val="21"/>
              </w:rPr>
            </w:pPr>
            <w:r>
              <w:rPr>
                <w:rFonts w:hint="eastAsia" w:hAnsi="宋体" w:cs="宋体"/>
                <w:color w:val="auto"/>
                <w:sz w:val="21"/>
                <w:szCs w:val="21"/>
              </w:rPr>
              <w:t>规格型号</w:t>
            </w:r>
          </w:p>
        </w:tc>
        <w:tc>
          <w:tcPr>
            <w:tcW w:w="652" w:type="dxa"/>
            <w:vAlign w:val="center"/>
          </w:tcPr>
          <w:p>
            <w:pPr>
              <w:spacing w:line="360" w:lineRule="auto"/>
              <w:jc w:val="center"/>
              <w:rPr>
                <w:rFonts w:hint="eastAsia" w:hAnsi="宋体" w:cs="宋体"/>
                <w:color w:val="auto"/>
                <w:sz w:val="21"/>
                <w:szCs w:val="21"/>
              </w:rPr>
            </w:pPr>
            <w:r>
              <w:rPr>
                <w:rFonts w:hint="eastAsia" w:hAnsi="宋体" w:cs="宋体"/>
                <w:color w:val="auto"/>
                <w:sz w:val="21"/>
                <w:szCs w:val="21"/>
              </w:rPr>
              <w:t>数量</w:t>
            </w:r>
          </w:p>
        </w:tc>
        <w:tc>
          <w:tcPr>
            <w:tcW w:w="1276" w:type="dxa"/>
            <w:vAlign w:val="center"/>
          </w:tcPr>
          <w:p>
            <w:pPr>
              <w:spacing w:line="360" w:lineRule="auto"/>
              <w:jc w:val="center"/>
              <w:rPr>
                <w:rFonts w:hint="eastAsia" w:hAnsi="宋体" w:cs="宋体"/>
                <w:color w:val="auto"/>
                <w:sz w:val="21"/>
                <w:szCs w:val="21"/>
              </w:rPr>
            </w:pPr>
            <w:r>
              <w:rPr>
                <w:rFonts w:hint="eastAsia" w:hAnsi="宋体" w:cs="宋体"/>
                <w:color w:val="auto"/>
                <w:sz w:val="21"/>
                <w:szCs w:val="21"/>
              </w:rPr>
              <w:t>使用年限</w:t>
            </w:r>
          </w:p>
        </w:tc>
        <w:tc>
          <w:tcPr>
            <w:tcW w:w="850" w:type="dxa"/>
            <w:vAlign w:val="center"/>
          </w:tcPr>
          <w:p>
            <w:pPr>
              <w:spacing w:line="360" w:lineRule="auto"/>
              <w:jc w:val="center"/>
              <w:rPr>
                <w:rFonts w:hint="eastAsia" w:hAnsi="宋体" w:cs="宋体"/>
                <w:color w:val="auto"/>
                <w:sz w:val="21"/>
                <w:szCs w:val="21"/>
              </w:rPr>
            </w:pPr>
            <w:r>
              <w:rPr>
                <w:rFonts w:hint="eastAsia" w:hAnsi="宋体" w:cs="宋体"/>
                <w:color w:val="auto"/>
                <w:sz w:val="21"/>
                <w:szCs w:val="21"/>
              </w:rPr>
              <w:t>自有/租赁</w:t>
            </w:r>
          </w:p>
        </w:tc>
        <w:tc>
          <w:tcPr>
            <w:tcW w:w="1189" w:type="dxa"/>
            <w:vAlign w:val="center"/>
          </w:tcPr>
          <w:p>
            <w:pPr>
              <w:spacing w:line="360" w:lineRule="auto"/>
              <w:jc w:val="center"/>
              <w:rPr>
                <w:rFonts w:hint="eastAsia" w:hAnsi="宋体" w:cs="宋体"/>
                <w:color w:val="auto"/>
                <w:sz w:val="21"/>
                <w:szCs w:val="21"/>
              </w:rPr>
            </w:pPr>
            <w:r>
              <w:rPr>
                <w:rFonts w:hint="eastAsia" w:hAnsi="宋体" w:cs="宋体"/>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48" w:type="dxa"/>
            <w:vAlign w:val="center"/>
          </w:tcPr>
          <w:p>
            <w:pPr>
              <w:spacing w:line="360" w:lineRule="auto"/>
              <w:jc w:val="center"/>
              <w:rPr>
                <w:rFonts w:hint="eastAsia" w:hAnsi="宋体" w:cs="宋体"/>
                <w:color w:val="auto"/>
                <w:sz w:val="21"/>
                <w:szCs w:val="21"/>
              </w:rPr>
            </w:pPr>
          </w:p>
        </w:tc>
        <w:tc>
          <w:tcPr>
            <w:tcW w:w="1354" w:type="dxa"/>
            <w:vAlign w:val="center"/>
          </w:tcPr>
          <w:p>
            <w:pPr>
              <w:spacing w:line="360" w:lineRule="auto"/>
              <w:jc w:val="center"/>
              <w:rPr>
                <w:rFonts w:hint="eastAsia" w:hAnsi="宋体" w:cs="宋体"/>
                <w:color w:val="auto"/>
                <w:sz w:val="21"/>
                <w:szCs w:val="21"/>
              </w:rPr>
            </w:pPr>
          </w:p>
        </w:tc>
        <w:tc>
          <w:tcPr>
            <w:tcW w:w="2365" w:type="dxa"/>
            <w:vAlign w:val="center"/>
          </w:tcPr>
          <w:p>
            <w:pPr>
              <w:spacing w:line="360" w:lineRule="auto"/>
              <w:jc w:val="center"/>
              <w:rPr>
                <w:rFonts w:hint="eastAsia" w:hAnsi="宋体" w:cs="宋体"/>
                <w:color w:val="auto"/>
                <w:sz w:val="21"/>
                <w:szCs w:val="21"/>
              </w:rPr>
            </w:pPr>
          </w:p>
        </w:tc>
        <w:tc>
          <w:tcPr>
            <w:tcW w:w="652" w:type="dxa"/>
          </w:tcPr>
          <w:p>
            <w:pPr>
              <w:spacing w:line="360" w:lineRule="auto"/>
              <w:jc w:val="center"/>
              <w:rPr>
                <w:rFonts w:hint="eastAsia" w:hAnsi="宋体" w:cs="宋体"/>
                <w:color w:val="auto"/>
                <w:sz w:val="21"/>
                <w:szCs w:val="21"/>
              </w:rPr>
            </w:pPr>
          </w:p>
        </w:tc>
        <w:tc>
          <w:tcPr>
            <w:tcW w:w="1276" w:type="dxa"/>
            <w:vAlign w:val="center"/>
          </w:tcPr>
          <w:p>
            <w:pPr>
              <w:spacing w:line="360" w:lineRule="auto"/>
              <w:jc w:val="center"/>
              <w:rPr>
                <w:rFonts w:hint="eastAsia" w:hAnsi="宋体" w:cs="宋体"/>
                <w:color w:val="auto"/>
                <w:sz w:val="21"/>
                <w:szCs w:val="21"/>
              </w:rPr>
            </w:pPr>
          </w:p>
        </w:tc>
        <w:tc>
          <w:tcPr>
            <w:tcW w:w="850" w:type="dxa"/>
            <w:vAlign w:val="center"/>
          </w:tcPr>
          <w:p>
            <w:pPr>
              <w:spacing w:line="360" w:lineRule="auto"/>
              <w:jc w:val="center"/>
              <w:rPr>
                <w:rFonts w:hint="eastAsia" w:hAnsi="宋体" w:cs="宋体"/>
                <w:color w:val="auto"/>
                <w:sz w:val="21"/>
                <w:szCs w:val="21"/>
              </w:rPr>
            </w:pPr>
          </w:p>
        </w:tc>
        <w:tc>
          <w:tcPr>
            <w:tcW w:w="1189" w:type="dxa"/>
            <w:vAlign w:val="center"/>
          </w:tcPr>
          <w:p>
            <w:pPr>
              <w:spacing w:line="360" w:lineRule="auto"/>
              <w:jc w:val="center"/>
              <w:rPr>
                <w:rFonts w:hint="eastAsia"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48" w:type="dxa"/>
            <w:vAlign w:val="center"/>
          </w:tcPr>
          <w:p>
            <w:pPr>
              <w:spacing w:line="360" w:lineRule="auto"/>
              <w:jc w:val="center"/>
              <w:rPr>
                <w:rFonts w:hint="eastAsia" w:hAnsi="宋体" w:cs="宋体"/>
                <w:color w:val="auto"/>
                <w:sz w:val="21"/>
                <w:szCs w:val="21"/>
              </w:rPr>
            </w:pPr>
          </w:p>
        </w:tc>
        <w:tc>
          <w:tcPr>
            <w:tcW w:w="1354" w:type="dxa"/>
            <w:vAlign w:val="center"/>
          </w:tcPr>
          <w:p>
            <w:pPr>
              <w:spacing w:line="360" w:lineRule="auto"/>
              <w:jc w:val="center"/>
              <w:rPr>
                <w:rFonts w:hint="eastAsia" w:hAnsi="宋体" w:cs="宋体"/>
                <w:color w:val="auto"/>
                <w:sz w:val="21"/>
                <w:szCs w:val="21"/>
              </w:rPr>
            </w:pPr>
          </w:p>
        </w:tc>
        <w:tc>
          <w:tcPr>
            <w:tcW w:w="2365" w:type="dxa"/>
            <w:vAlign w:val="center"/>
          </w:tcPr>
          <w:p>
            <w:pPr>
              <w:spacing w:line="360" w:lineRule="auto"/>
              <w:jc w:val="center"/>
              <w:rPr>
                <w:rFonts w:hint="eastAsia" w:hAnsi="宋体" w:cs="宋体"/>
                <w:color w:val="auto"/>
                <w:sz w:val="21"/>
                <w:szCs w:val="21"/>
              </w:rPr>
            </w:pPr>
          </w:p>
        </w:tc>
        <w:tc>
          <w:tcPr>
            <w:tcW w:w="652" w:type="dxa"/>
          </w:tcPr>
          <w:p>
            <w:pPr>
              <w:spacing w:line="360" w:lineRule="auto"/>
              <w:jc w:val="center"/>
              <w:rPr>
                <w:rFonts w:hint="eastAsia" w:hAnsi="宋体" w:cs="宋体"/>
                <w:color w:val="auto"/>
                <w:sz w:val="21"/>
                <w:szCs w:val="21"/>
              </w:rPr>
            </w:pPr>
          </w:p>
        </w:tc>
        <w:tc>
          <w:tcPr>
            <w:tcW w:w="1276" w:type="dxa"/>
            <w:vAlign w:val="center"/>
          </w:tcPr>
          <w:p>
            <w:pPr>
              <w:spacing w:line="360" w:lineRule="auto"/>
              <w:jc w:val="center"/>
              <w:rPr>
                <w:rFonts w:hint="eastAsia" w:hAnsi="宋体" w:cs="宋体"/>
                <w:color w:val="auto"/>
                <w:sz w:val="21"/>
                <w:szCs w:val="21"/>
              </w:rPr>
            </w:pPr>
          </w:p>
        </w:tc>
        <w:tc>
          <w:tcPr>
            <w:tcW w:w="850" w:type="dxa"/>
            <w:vAlign w:val="center"/>
          </w:tcPr>
          <w:p>
            <w:pPr>
              <w:spacing w:line="360" w:lineRule="auto"/>
              <w:jc w:val="center"/>
              <w:rPr>
                <w:rFonts w:hint="eastAsia" w:hAnsi="宋体" w:cs="宋体"/>
                <w:color w:val="auto"/>
                <w:sz w:val="21"/>
                <w:szCs w:val="21"/>
              </w:rPr>
            </w:pPr>
          </w:p>
        </w:tc>
        <w:tc>
          <w:tcPr>
            <w:tcW w:w="1189" w:type="dxa"/>
            <w:vAlign w:val="center"/>
          </w:tcPr>
          <w:p>
            <w:pPr>
              <w:spacing w:line="360" w:lineRule="auto"/>
              <w:jc w:val="center"/>
              <w:rPr>
                <w:rFonts w:hint="eastAsia"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vAlign w:val="center"/>
          </w:tcPr>
          <w:p>
            <w:pPr>
              <w:spacing w:line="360" w:lineRule="auto"/>
              <w:jc w:val="center"/>
              <w:rPr>
                <w:rFonts w:hint="eastAsia" w:hAnsi="宋体" w:cs="宋体"/>
                <w:color w:val="auto"/>
                <w:sz w:val="21"/>
                <w:szCs w:val="21"/>
              </w:rPr>
            </w:pPr>
          </w:p>
        </w:tc>
        <w:tc>
          <w:tcPr>
            <w:tcW w:w="1354" w:type="dxa"/>
            <w:vAlign w:val="center"/>
          </w:tcPr>
          <w:p>
            <w:pPr>
              <w:spacing w:line="360" w:lineRule="auto"/>
              <w:jc w:val="center"/>
              <w:rPr>
                <w:rFonts w:hint="eastAsia" w:hAnsi="宋体" w:cs="宋体"/>
                <w:color w:val="auto"/>
                <w:sz w:val="21"/>
                <w:szCs w:val="21"/>
              </w:rPr>
            </w:pPr>
          </w:p>
        </w:tc>
        <w:tc>
          <w:tcPr>
            <w:tcW w:w="2365" w:type="dxa"/>
            <w:vAlign w:val="center"/>
          </w:tcPr>
          <w:p>
            <w:pPr>
              <w:spacing w:line="360" w:lineRule="auto"/>
              <w:jc w:val="center"/>
              <w:rPr>
                <w:rFonts w:hint="eastAsia" w:hAnsi="宋体" w:cs="宋体"/>
                <w:color w:val="auto"/>
                <w:sz w:val="21"/>
                <w:szCs w:val="21"/>
              </w:rPr>
            </w:pPr>
          </w:p>
        </w:tc>
        <w:tc>
          <w:tcPr>
            <w:tcW w:w="652" w:type="dxa"/>
          </w:tcPr>
          <w:p>
            <w:pPr>
              <w:spacing w:line="360" w:lineRule="auto"/>
              <w:jc w:val="center"/>
              <w:rPr>
                <w:rFonts w:hint="eastAsia" w:hAnsi="宋体" w:cs="宋体"/>
                <w:color w:val="auto"/>
                <w:sz w:val="21"/>
                <w:szCs w:val="21"/>
              </w:rPr>
            </w:pPr>
          </w:p>
        </w:tc>
        <w:tc>
          <w:tcPr>
            <w:tcW w:w="1276" w:type="dxa"/>
            <w:vAlign w:val="center"/>
          </w:tcPr>
          <w:p>
            <w:pPr>
              <w:spacing w:line="360" w:lineRule="auto"/>
              <w:jc w:val="center"/>
              <w:rPr>
                <w:rFonts w:hint="eastAsia" w:hAnsi="宋体" w:cs="宋体"/>
                <w:color w:val="auto"/>
                <w:sz w:val="21"/>
                <w:szCs w:val="21"/>
              </w:rPr>
            </w:pPr>
          </w:p>
        </w:tc>
        <w:tc>
          <w:tcPr>
            <w:tcW w:w="850" w:type="dxa"/>
            <w:vAlign w:val="center"/>
          </w:tcPr>
          <w:p>
            <w:pPr>
              <w:spacing w:line="360" w:lineRule="auto"/>
              <w:jc w:val="center"/>
              <w:rPr>
                <w:rFonts w:hint="eastAsia" w:hAnsi="宋体" w:cs="宋体"/>
                <w:color w:val="auto"/>
                <w:sz w:val="21"/>
                <w:szCs w:val="21"/>
              </w:rPr>
            </w:pPr>
          </w:p>
        </w:tc>
        <w:tc>
          <w:tcPr>
            <w:tcW w:w="1189" w:type="dxa"/>
            <w:vAlign w:val="center"/>
          </w:tcPr>
          <w:p>
            <w:pPr>
              <w:spacing w:line="360" w:lineRule="auto"/>
              <w:jc w:val="center"/>
              <w:rPr>
                <w:rFonts w:hint="eastAsia"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vAlign w:val="center"/>
          </w:tcPr>
          <w:p>
            <w:pPr>
              <w:spacing w:line="360" w:lineRule="auto"/>
              <w:jc w:val="center"/>
              <w:rPr>
                <w:rFonts w:hint="eastAsia" w:hAnsi="宋体" w:cs="宋体"/>
                <w:color w:val="auto"/>
                <w:sz w:val="21"/>
                <w:szCs w:val="21"/>
              </w:rPr>
            </w:pPr>
          </w:p>
        </w:tc>
        <w:tc>
          <w:tcPr>
            <w:tcW w:w="1354" w:type="dxa"/>
            <w:vAlign w:val="center"/>
          </w:tcPr>
          <w:p>
            <w:pPr>
              <w:spacing w:line="360" w:lineRule="auto"/>
              <w:jc w:val="center"/>
              <w:rPr>
                <w:rFonts w:hint="eastAsia" w:hAnsi="宋体" w:cs="宋体"/>
                <w:color w:val="auto"/>
                <w:sz w:val="21"/>
                <w:szCs w:val="21"/>
              </w:rPr>
            </w:pPr>
          </w:p>
        </w:tc>
        <w:tc>
          <w:tcPr>
            <w:tcW w:w="2365" w:type="dxa"/>
            <w:vAlign w:val="center"/>
          </w:tcPr>
          <w:p>
            <w:pPr>
              <w:spacing w:line="360" w:lineRule="auto"/>
              <w:jc w:val="center"/>
              <w:rPr>
                <w:rFonts w:hint="eastAsia" w:hAnsi="宋体" w:cs="宋体"/>
                <w:color w:val="auto"/>
                <w:sz w:val="21"/>
                <w:szCs w:val="21"/>
              </w:rPr>
            </w:pPr>
          </w:p>
        </w:tc>
        <w:tc>
          <w:tcPr>
            <w:tcW w:w="652" w:type="dxa"/>
          </w:tcPr>
          <w:p>
            <w:pPr>
              <w:spacing w:line="360" w:lineRule="auto"/>
              <w:jc w:val="center"/>
              <w:rPr>
                <w:rFonts w:hint="eastAsia" w:hAnsi="宋体" w:cs="宋体"/>
                <w:color w:val="auto"/>
                <w:sz w:val="21"/>
                <w:szCs w:val="21"/>
              </w:rPr>
            </w:pPr>
          </w:p>
        </w:tc>
        <w:tc>
          <w:tcPr>
            <w:tcW w:w="1276" w:type="dxa"/>
            <w:vAlign w:val="center"/>
          </w:tcPr>
          <w:p>
            <w:pPr>
              <w:spacing w:line="360" w:lineRule="auto"/>
              <w:jc w:val="center"/>
              <w:rPr>
                <w:rFonts w:hint="eastAsia" w:hAnsi="宋体" w:cs="宋体"/>
                <w:color w:val="auto"/>
                <w:sz w:val="21"/>
                <w:szCs w:val="21"/>
              </w:rPr>
            </w:pPr>
          </w:p>
        </w:tc>
        <w:tc>
          <w:tcPr>
            <w:tcW w:w="850" w:type="dxa"/>
            <w:vAlign w:val="center"/>
          </w:tcPr>
          <w:p>
            <w:pPr>
              <w:spacing w:line="360" w:lineRule="auto"/>
              <w:jc w:val="center"/>
              <w:rPr>
                <w:rFonts w:hint="eastAsia" w:hAnsi="宋体" w:cs="宋体"/>
                <w:color w:val="auto"/>
                <w:sz w:val="21"/>
                <w:szCs w:val="21"/>
              </w:rPr>
            </w:pPr>
          </w:p>
        </w:tc>
        <w:tc>
          <w:tcPr>
            <w:tcW w:w="1189" w:type="dxa"/>
            <w:vAlign w:val="center"/>
          </w:tcPr>
          <w:p>
            <w:pPr>
              <w:spacing w:line="360" w:lineRule="auto"/>
              <w:jc w:val="center"/>
              <w:rPr>
                <w:rFonts w:hint="eastAsia"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vAlign w:val="center"/>
          </w:tcPr>
          <w:p>
            <w:pPr>
              <w:spacing w:line="360" w:lineRule="auto"/>
              <w:jc w:val="center"/>
              <w:rPr>
                <w:rFonts w:hint="eastAsia" w:hAnsi="宋体" w:cs="宋体"/>
                <w:color w:val="auto"/>
                <w:sz w:val="21"/>
                <w:szCs w:val="21"/>
              </w:rPr>
            </w:pPr>
          </w:p>
        </w:tc>
        <w:tc>
          <w:tcPr>
            <w:tcW w:w="1354" w:type="dxa"/>
            <w:vAlign w:val="center"/>
          </w:tcPr>
          <w:p>
            <w:pPr>
              <w:spacing w:line="360" w:lineRule="auto"/>
              <w:jc w:val="center"/>
              <w:rPr>
                <w:rFonts w:hint="eastAsia" w:hAnsi="宋体" w:cs="宋体"/>
                <w:color w:val="auto"/>
                <w:sz w:val="21"/>
                <w:szCs w:val="21"/>
              </w:rPr>
            </w:pPr>
          </w:p>
        </w:tc>
        <w:tc>
          <w:tcPr>
            <w:tcW w:w="2365" w:type="dxa"/>
            <w:vAlign w:val="center"/>
          </w:tcPr>
          <w:p>
            <w:pPr>
              <w:spacing w:line="360" w:lineRule="auto"/>
              <w:jc w:val="center"/>
              <w:rPr>
                <w:rFonts w:hint="eastAsia" w:hAnsi="宋体" w:cs="宋体"/>
                <w:color w:val="auto"/>
                <w:sz w:val="21"/>
                <w:szCs w:val="21"/>
              </w:rPr>
            </w:pPr>
          </w:p>
        </w:tc>
        <w:tc>
          <w:tcPr>
            <w:tcW w:w="652" w:type="dxa"/>
          </w:tcPr>
          <w:p>
            <w:pPr>
              <w:spacing w:line="360" w:lineRule="auto"/>
              <w:jc w:val="center"/>
              <w:rPr>
                <w:rFonts w:hint="eastAsia" w:hAnsi="宋体" w:cs="宋体"/>
                <w:color w:val="auto"/>
                <w:sz w:val="21"/>
                <w:szCs w:val="21"/>
              </w:rPr>
            </w:pPr>
          </w:p>
        </w:tc>
        <w:tc>
          <w:tcPr>
            <w:tcW w:w="1276" w:type="dxa"/>
            <w:vAlign w:val="center"/>
          </w:tcPr>
          <w:p>
            <w:pPr>
              <w:spacing w:line="360" w:lineRule="auto"/>
              <w:jc w:val="center"/>
              <w:rPr>
                <w:rFonts w:hint="eastAsia" w:hAnsi="宋体" w:cs="宋体"/>
                <w:color w:val="auto"/>
                <w:sz w:val="21"/>
                <w:szCs w:val="21"/>
              </w:rPr>
            </w:pPr>
          </w:p>
        </w:tc>
        <w:tc>
          <w:tcPr>
            <w:tcW w:w="850" w:type="dxa"/>
            <w:vAlign w:val="center"/>
          </w:tcPr>
          <w:p>
            <w:pPr>
              <w:spacing w:line="360" w:lineRule="auto"/>
              <w:jc w:val="center"/>
              <w:rPr>
                <w:rFonts w:hint="eastAsia" w:hAnsi="宋体" w:cs="宋体"/>
                <w:color w:val="auto"/>
                <w:sz w:val="21"/>
                <w:szCs w:val="21"/>
              </w:rPr>
            </w:pPr>
          </w:p>
        </w:tc>
        <w:tc>
          <w:tcPr>
            <w:tcW w:w="1189" w:type="dxa"/>
            <w:vAlign w:val="center"/>
          </w:tcPr>
          <w:p>
            <w:pPr>
              <w:spacing w:line="360" w:lineRule="auto"/>
              <w:jc w:val="center"/>
              <w:rPr>
                <w:rFonts w:hint="eastAsia"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vAlign w:val="center"/>
          </w:tcPr>
          <w:p>
            <w:pPr>
              <w:spacing w:line="360" w:lineRule="auto"/>
              <w:jc w:val="center"/>
              <w:rPr>
                <w:rFonts w:hint="eastAsia" w:hAnsi="宋体" w:cs="宋体"/>
                <w:color w:val="auto"/>
                <w:sz w:val="21"/>
                <w:szCs w:val="21"/>
              </w:rPr>
            </w:pPr>
          </w:p>
        </w:tc>
        <w:tc>
          <w:tcPr>
            <w:tcW w:w="1354" w:type="dxa"/>
            <w:vAlign w:val="center"/>
          </w:tcPr>
          <w:p>
            <w:pPr>
              <w:spacing w:line="360" w:lineRule="auto"/>
              <w:jc w:val="center"/>
              <w:rPr>
                <w:rFonts w:hint="eastAsia" w:hAnsi="宋体" w:cs="宋体"/>
                <w:color w:val="auto"/>
                <w:sz w:val="21"/>
                <w:szCs w:val="21"/>
              </w:rPr>
            </w:pPr>
          </w:p>
        </w:tc>
        <w:tc>
          <w:tcPr>
            <w:tcW w:w="2365" w:type="dxa"/>
            <w:vAlign w:val="center"/>
          </w:tcPr>
          <w:p>
            <w:pPr>
              <w:spacing w:line="360" w:lineRule="auto"/>
              <w:jc w:val="center"/>
              <w:rPr>
                <w:rFonts w:hint="eastAsia" w:hAnsi="宋体" w:cs="宋体"/>
                <w:color w:val="auto"/>
                <w:sz w:val="21"/>
                <w:szCs w:val="21"/>
              </w:rPr>
            </w:pPr>
          </w:p>
        </w:tc>
        <w:tc>
          <w:tcPr>
            <w:tcW w:w="652" w:type="dxa"/>
          </w:tcPr>
          <w:p>
            <w:pPr>
              <w:spacing w:line="360" w:lineRule="auto"/>
              <w:jc w:val="center"/>
              <w:rPr>
                <w:rFonts w:hint="eastAsia" w:hAnsi="宋体" w:cs="宋体"/>
                <w:color w:val="auto"/>
                <w:sz w:val="21"/>
                <w:szCs w:val="21"/>
              </w:rPr>
            </w:pPr>
          </w:p>
        </w:tc>
        <w:tc>
          <w:tcPr>
            <w:tcW w:w="1276" w:type="dxa"/>
            <w:vAlign w:val="center"/>
          </w:tcPr>
          <w:p>
            <w:pPr>
              <w:spacing w:line="360" w:lineRule="auto"/>
              <w:jc w:val="center"/>
              <w:rPr>
                <w:rFonts w:hint="eastAsia" w:hAnsi="宋体" w:cs="宋体"/>
                <w:color w:val="auto"/>
                <w:sz w:val="21"/>
                <w:szCs w:val="21"/>
              </w:rPr>
            </w:pPr>
          </w:p>
        </w:tc>
        <w:tc>
          <w:tcPr>
            <w:tcW w:w="850" w:type="dxa"/>
            <w:vAlign w:val="center"/>
          </w:tcPr>
          <w:p>
            <w:pPr>
              <w:spacing w:line="360" w:lineRule="auto"/>
              <w:jc w:val="center"/>
              <w:rPr>
                <w:rFonts w:hint="eastAsia" w:hAnsi="宋体" w:cs="宋体"/>
                <w:color w:val="auto"/>
                <w:sz w:val="21"/>
                <w:szCs w:val="21"/>
              </w:rPr>
            </w:pPr>
          </w:p>
        </w:tc>
        <w:tc>
          <w:tcPr>
            <w:tcW w:w="1189" w:type="dxa"/>
            <w:vAlign w:val="center"/>
          </w:tcPr>
          <w:p>
            <w:pPr>
              <w:spacing w:line="360" w:lineRule="auto"/>
              <w:jc w:val="center"/>
              <w:rPr>
                <w:rFonts w:hint="eastAsia"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vAlign w:val="center"/>
          </w:tcPr>
          <w:p>
            <w:pPr>
              <w:spacing w:line="360" w:lineRule="auto"/>
              <w:jc w:val="center"/>
              <w:rPr>
                <w:rFonts w:hint="eastAsia" w:hAnsi="宋体" w:cs="宋体"/>
                <w:color w:val="auto"/>
                <w:sz w:val="21"/>
                <w:szCs w:val="21"/>
              </w:rPr>
            </w:pPr>
          </w:p>
        </w:tc>
        <w:tc>
          <w:tcPr>
            <w:tcW w:w="1354" w:type="dxa"/>
            <w:vAlign w:val="center"/>
          </w:tcPr>
          <w:p>
            <w:pPr>
              <w:spacing w:line="360" w:lineRule="auto"/>
              <w:jc w:val="center"/>
              <w:rPr>
                <w:rFonts w:hint="eastAsia" w:hAnsi="宋体" w:cs="宋体"/>
                <w:color w:val="auto"/>
                <w:sz w:val="21"/>
                <w:szCs w:val="21"/>
              </w:rPr>
            </w:pPr>
          </w:p>
        </w:tc>
        <w:tc>
          <w:tcPr>
            <w:tcW w:w="2365" w:type="dxa"/>
            <w:vAlign w:val="center"/>
          </w:tcPr>
          <w:p>
            <w:pPr>
              <w:spacing w:line="360" w:lineRule="auto"/>
              <w:jc w:val="center"/>
              <w:rPr>
                <w:rFonts w:hint="eastAsia" w:hAnsi="宋体" w:cs="宋体"/>
                <w:color w:val="auto"/>
                <w:sz w:val="21"/>
                <w:szCs w:val="21"/>
              </w:rPr>
            </w:pPr>
          </w:p>
        </w:tc>
        <w:tc>
          <w:tcPr>
            <w:tcW w:w="652" w:type="dxa"/>
          </w:tcPr>
          <w:p>
            <w:pPr>
              <w:spacing w:line="360" w:lineRule="auto"/>
              <w:jc w:val="center"/>
              <w:rPr>
                <w:rFonts w:hint="eastAsia" w:hAnsi="宋体" w:cs="宋体"/>
                <w:color w:val="auto"/>
                <w:sz w:val="21"/>
                <w:szCs w:val="21"/>
              </w:rPr>
            </w:pPr>
          </w:p>
        </w:tc>
        <w:tc>
          <w:tcPr>
            <w:tcW w:w="1276" w:type="dxa"/>
            <w:vAlign w:val="center"/>
          </w:tcPr>
          <w:p>
            <w:pPr>
              <w:spacing w:line="360" w:lineRule="auto"/>
              <w:jc w:val="center"/>
              <w:rPr>
                <w:rFonts w:hint="eastAsia" w:hAnsi="宋体" w:cs="宋体"/>
                <w:color w:val="auto"/>
                <w:sz w:val="21"/>
                <w:szCs w:val="21"/>
              </w:rPr>
            </w:pPr>
          </w:p>
        </w:tc>
        <w:tc>
          <w:tcPr>
            <w:tcW w:w="850" w:type="dxa"/>
            <w:vAlign w:val="center"/>
          </w:tcPr>
          <w:p>
            <w:pPr>
              <w:spacing w:line="360" w:lineRule="auto"/>
              <w:jc w:val="center"/>
              <w:rPr>
                <w:rFonts w:hint="eastAsia" w:hAnsi="宋体" w:cs="宋体"/>
                <w:color w:val="auto"/>
                <w:sz w:val="21"/>
                <w:szCs w:val="21"/>
              </w:rPr>
            </w:pPr>
          </w:p>
        </w:tc>
        <w:tc>
          <w:tcPr>
            <w:tcW w:w="1189" w:type="dxa"/>
            <w:vAlign w:val="center"/>
          </w:tcPr>
          <w:p>
            <w:pPr>
              <w:spacing w:line="360" w:lineRule="auto"/>
              <w:jc w:val="center"/>
              <w:rPr>
                <w:rFonts w:hint="eastAsia"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48" w:type="dxa"/>
            <w:vAlign w:val="center"/>
          </w:tcPr>
          <w:p>
            <w:pPr>
              <w:spacing w:line="360" w:lineRule="auto"/>
              <w:jc w:val="center"/>
              <w:rPr>
                <w:rFonts w:hint="eastAsia" w:hAnsi="宋体" w:cs="宋体"/>
                <w:color w:val="auto"/>
                <w:sz w:val="21"/>
                <w:szCs w:val="21"/>
              </w:rPr>
            </w:pPr>
          </w:p>
        </w:tc>
        <w:tc>
          <w:tcPr>
            <w:tcW w:w="1354" w:type="dxa"/>
            <w:vAlign w:val="center"/>
          </w:tcPr>
          <w:p>
            <w:pPr>
              <w:spacing w:line="360" w:lineRule="auto"/>
              <w:jc w:val="center"/>
              <w:rPr>
                <w:rFonts w:hint="eastAsia" w:hAnsi="宋体" w:cs="宋体"/>
                <w:color w:val="auto"/>
                <w:sz w:val="21"/>
                <w:szCs w:val="21"/>
              </w:rPr>
            </w:pPr>
          </w:p>
        </w:tc>
        <w:tc>
          <w:tcPr>
            <w:tcW w:w="2365" w:type="dxa"/>
            <w:vAlign w:val="center"/>
          </w:tcPr>
          <w:p>
            <w:pPr>
              <w:spacing w:line="360" w:lineRule="auto"/>
              <w:jc w:val="center"/>
              <w:rPr>
                <w:rFonts w:hint="eastAsia" w:hAnsi="宋体" w:cs="宋体"/>
                <w:color w:val="auto"/>
                <w:sz w:val="21"/>
                <w:szCs w:val="21"/>
              </w:rPr>
            </w:pPr>
          </w:p>
        </w:tc>
        <w:tc>
          <w:tcPr>
            <w:tcW w:w="652" w:type="dxa"/>
          </w:tcPr>
          <w:p>
            <w:pPr>
              <w:spacing w:line="360" w:lineRule="auto"/>
              <w:jc w:val="center"/>
              <w:rPr>
                <w:rFonts w:hint="eastAsia" w:hAnsi="宋体" w:cs="宋体"/>
                <w:color w:val="auto"/>
                <w:sz w:val="21"/>
                <w:szCs w:val="21"/>
              </w:rPr>
            </w:pPr>
          </w:p>
        </w:tc>
        <w:tc>
          <w:tcPr>
            <w:tcW w:w="1276" w:type="dxa"/>
            <w:vAlign w:val="center"/>
          </w:tcPr>
          <w:p>
            <w:pPr>
              <w:spacing w:line="360" w:lineRule="auto"/>
              <w:jc w:val="center"/>
              <w:rPr>
                <w:rFonts w:hint="eastAsia" w:hAnsi="宋体" w:cs="宋体"/>
                <w:color w:val="auto"/>
                <w:sz w:val="21"/>
                <w:szCs w:val="21"/>
              </w:rPr>
            </w:pPr>
          </w:p>
        </w:tc>
        <w:tc>
          <w:tcPr>
            <w:tcW w:w="850" w:type="dxa"/>
            <w:vAlign w:val="center"/>
          </w:tcPr>
          <w:p>
            <w:pPr>
              <w:spacing w:line="360" w:lineRule="auto"/>
              <w:jc w:val="center"/>
              <w:rPr>
                <w:rFonts w:hint="eastAsia" w:hAnsi="宋体" w:cs="宋体"/>
                <w:color w:val="auto"/>
                <w:sz w:val="21"/>
                <w:szCs w:val="21"/>
              </w:rPr>
            </w:pPr>
          </w:p>
        </w:tc>
        <w:tc>
          <w:tcPr>
            <w:tcW w:w="1189" w:type="dxa"/>
            <w:vAlign w:val="center"/>
          </w:tcPr>
          <w:p>
            <w:pPr>
              <w:spacing w:line="360" w:lineRule="auto"/>
              <w:jc w:val="center"/>
              <w:rPr>
                <w:rFonts w:hint="eastAsia"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648" w:type="dxa"/>
            <w:vAlign w:val="center"/>
          </w:tcPr>
          <w:p>
            <w:pPr>
              <w:spacing w:line="360" w:lineRule="auto"/>
              <w:jc w:val="center"/>
              <w:rPr>
                <w:rFonts w:hint="eastAsia" w:hAnsi="宋体" w:cs="宋体"/>
                <w:color w:val="auto"/>
                <w:sz w:val="21"/>
                <w:szCs w:val="21"/>
              </w:rPr>
            </w:pPr>
          </w:p>
        </w:tc>
        <w:tc>
          <w:tcPr>
            <w:tcW w:w="1354" w:type="dxa"/>
            <w:vAlign w:val="center"/>
          </w:tcPr>
          <w:p>
            <w:pPr>
              <w:spacing w:line="360" w:lineRule="auto"/>
              <w:jc w:val="center"/>
              <w:rPr>
                <w:rFonts w:hint="eastAsia" w:hAnsi="宋体" w:cs="宋体"/>
                <w:color w:val="auto"/>
                <w:sz w:val="21"/>
                <w:szCs w:val="21"/>
              </w:rPr>
            </w:pPr>
          </w:p>
        </w:tc>
        <w:tc>
          <w:tcPr>
            <w:tcW w:w="2365" w:type="dxa"/>
            <w:vAlign w:val="center"/>
          </w:tcPr>
          <w:p>
            <w:pPr>
              <w:spacing w:line="360" w:lineRule="auto"/>
              <w:jc w:val="center"/>
              <w:rPr>
                <w:rFonts w:hint="eastAsia" w:hAnsi="宋体" w:cs="宋体"/>
                <w:color w:val="auto"/>
                <w:sz w:val="21"/>
                <w:szCs w:val="21"/>
              </w:rPr>
            </w:pPr>
          </w:p>
        </w:tc>
        <w:tc>
          <w:tcPr>
            <w:tcW w:w="652" w:type="dxa"/>
          </w:tcPr>
          <w:p>
            <w:pPr>
              <w:spacing w:line="360" w:lineRule="auto"/>
              <w:jc w:val="center"/>
              <w:rPr>
                <w:rFonts w:hint="eastAsia" w:hAnsi="宋体" w:cs="宋体"/>
                <w:color w:val="auto"/>
                <w:sz w:val="21"/>
                <w:szCs w:val="21"/>
              </w:rPr>
            </w:pPr>
          </w:p>
        </w:tc>
        <w:tc>
          <w:tcPr>
            <w:tcW w:w="1276" w:type="dxa"/>
            <w:vAlign w:val="center"/>
          </w:tcPr>
          <w:p>
            <w:pPr>
              <w:spacing w:line="360" w:lineRule="auto"/>
              <w:jc w:val="center"/>
              <w:rPr>
                <w:rFonts w:hint="eastAsia" w:hAnsi="宋体" w:cs="宋体"/>
                <w:color w:val="auto"/>
                <w:sz w:val="21"/>
                <w:szCs w:val="21"/>
              </w:rPr>
            </w:pPr>
          </w:p>
        </w:tc>
        <w:tc>
          <w:tcPr>
            <w:tcW w:w="850" w:type="dxa"/>
            <w:vAlign w:val="center"/>
          </w:tcPr>
          <w:p>
            <w:pPr>
              <w:spacing w:line="360" w:lineRule="auto"/>
              <w:jc w:val="center"/>
              <w:rPr>
                <w:rFonts w:hint="eastAsia" w:hAnsi="宋体" w:cs="宋体"/>
                <w:color w:val="auto"/>
                <w:sz w:val="21"/>
                <w:szCs w:val="21"/>
              </w:rPr>
            </w:pPr>
          </w:p>
        </w:tc>
        <w:tc>
          <w:tcPr>
            <w:tcW w:w="1189" w:type="dxa"/>
            <w:vAlign w:val="center"/>
          </w:tcPr>
          <w:p>
            <w:pPr>
              <w:spacing w:line="360" w:lineRule="auto"/>
              <w:jc w:val="center"/>
              <w:rPr>
                <w:rFonts w:hint="eastAsia"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48" w:type="dxa"/>
            <w:vAlign w:val="center"/>
          </w:tcPr>
          <w:p>
            <w:pPr>
              <w:spacing w:line="360" w:lineRule="auto"/>
              <w:jc w:val="center"/>
              <w:rPr>
                <w:rFonts w:hint="eastAsia" w:hAnsi="宋体" w:cs="宋体"/>
                <w:color w:val="auto"/>
                <w:sz w:val="21"/>
                <w:szCs w:val="21"/>
              </w:rPr>
            </w:pPr>
          </w:p>
        </w:tc>
        <w:tc>
          <w:tcPr>
            <w:tcW w:w="1354" w:type="dxa"/>
            <w:vAlign w:val="center"/>
          </w:tcPr>
          <w:p>
            <w:pPr>
              <w:spacing w:line="360" w:lineRule="auto"/>
              <w:jc w:val="center"/>
              <w:rPr>
                <w:rFonts w:hint="eastAsia" w:hAnsi="宋体" w:cs="宋体"/>
                <w:color w:val="auto"/>
                <w:sz w:val="21"/>
                <w:szCs w:val="21"/>
              </w:rPr>
            </w:pPr>
          </w:p>
        </w:tc>
        <w:tc>
          <w:tcPr>
            <w:tcW w:w="2365" w:type="dxa"/>
            <w:vAlign w:val="center"/>
          </w:tcPr>
          <w:p>
            <w:pPr>
              <w:spacing w:line="360" w:lineRule="auto"/>
              <w:jc w:val="center"/>
              <w:rPr>
                <w:rFonts w:hint="eastAsia" w:hAnsi="宋体" w:cs="宋体"/>
                <w:color w:val="auto"/>
                <w:sz w:val="21"/>
                <w:szCs w:val="21"/>
              </w:rPr>
            </w:pPr>
          </w:p>
        </w:tc>
        <w:tc>
          <w:tcPr>
            <w:tcW w:w="652" w:type="dxa"/>
          </w:tcPr>
          <w:p>
            <w:pPr>
              <w:spacing w:line="360" w:lineRule="auto"/>
              <w:jc w:val="center"/>
              <w:rPr>
                <w:rFonts w:hint="eastAsia" w:hAnsi="宋体" w:cs="宋体"/>
                <w:color w:val="auto"/>
                <w:sz w:val="21"/>
                <w:szCs w:val="21"/>
              </w:rPr>
            </w:pPr>
          </w:p>
        </w:tc>
        <w:tc>
          <w:tcPr>
            <w:tcW w:w="1276" w:type="dxa"/>
            <w:vAlign w:val="center"/>
          </w:tcPr>
          <w:p>
            <w:pPr>
              <w:spacing w:line="360" w:lineRule="auto"/>
              <w:jc w:val="center"/>
              <w:rPr>
                <w:rFonts w:hint="eastAsia" w:hAnsi="宋体" w:cs="宋体"/>
                <w:color w:val="auto"/>
                <w:sz w:val="21"/>
                <w:szCs w:val="21"/>
              </w:rPr>
            </w:pPr>
          </w:p>
        </w:tc>
        <w:tc>
          <w:tcPr>
            <w:tcW w:w="850" w:type="dxa"/>
            <w:vAlign w:val="center"/>
          </w:tcPr>
          <w:p>
            <w:pPr>
              <w:spacing w:line="360" w:lineRule="auto"/>
              <w:jc w:val="center"/>
              <w:rPr>
                <w:rFonts w:hint="eastAsia" w:hAnsi="宋体" w:cs="宋体"/>
                <w:color w:val="auto"/>
                <w:sz w:val="21"/>
                <w:szCs w:val="21"/>
              </w:rPr>
            </w:pPr>
          </w:p>
        </w:tc>
        <w:tc>
          <w:tcPr>
            <w:tcW w:w="1189" w:type="dxa"/>
            <w:vAlign w:val="center"/>
          </w:tcPr>
          <w:p>
            <w:pPr>
              <w:spacing w:line="360" w:lineRule="auto"/>
              <w:jc w:val="center"/>
              <w:rPr>
                <w:rFonts w:hint="eastAsia" w:hAnsi="宋体" w:cs="宋体"/>
                <w:color w:val="auto"/>
                <w:sz w:val="21"/>
                <w:szCs w:val="21"/>
              </w:rPr>
            </w:pPr>
          </w:p>
        </w:tc>
      </w:tr>
    </w:tbl>
    <w:p>
      <w:pPr>
        <w:spacing w:line="360" w:lineRule="auto"/>
        <w:rPr>
          <w:rFonts w:hint="eastAsia" w:hAnsi="宋体" w:cs="宋体"/>
          <w:color w:val="auto"/>
          <w:sz w:val="21"/>
          <w:szCs w:val="21"/>
        </w:rPr>
      </w:pPr>
      <w:r>
        <w:rPr>
          <w:rFonts w:hint="eastAsia" w:hAnsi="宋体" w:cs="宋体"/>
          <w:color w:val="auto"/>
          <w:sz w:val="21"/>
          <w:szCs w:val="21"/>
        </w:rPr>
        <w:t>备注：</w:t>
      </w:r>
    </w:p>
    <w:p>
      <w:pPr>
        <w:spacing w:line="360" w:lineRule="auto"/>
        <w:rPr>
          <w:rFonts w:hint="eastAsia" w:hAnsi="宋体" w:cs="宋体"/>
          <w:color w:val="auto"/>
          <w:sz w:val="21"/>
          <w:szCs w:val="21"/>
        </w:rPr>
      </w:pPr>
      <w:r>
        <w:rPr>
          <w:rFonts w:hint="eastAsia" w:hAnsi="宋体" w:cs="宋体"/>
          <w:color w:val="auto"/>
          <w:sz w:val="21"/>
          <w:szCs w:val="21"/>
        </w:rPr>
        <w:t>（1）此表格式供参照，投标人可以根据本表格式内容自行划表填写。</w:t>
      </w:r>
    </w:p>
    <w:p>
      <w:pPr>
        <w:spacing w:line="360" w:lineRule="auto"/>
        <w:rPr>
          <w:rFonts w:hint="eastAsia" w:hAnsi="宋体" w:cs="宋体"/>
          <w:color w:val="auto"/>
        </w:rPr>
      </w:pPr>
      <w:r>
        <w:rPr>
          <w:rFonts w:hint="eastAsia" w:hAnsi="宋体" w:cs="宋体"/>
          <w:color w:val="auto"/>
        </w:rPr>
        <w:t>（2）</w:t>
      </w:r>
      <w:r>
        <w:rPr>
          <w:rFonts w:hint="eastAsia" w:hAnsi="宋体" w:cs="宋体"/>
          <w:color w:val="auto"/>
          <w:sz w:val="21"/>
          <w:szCs w:val="21"/>
        </w:rPr>
        <w:t>如果是自有车辆，需提供车辆行驶证复印件并加盖投标人公章；如果是租赁车辆，需提供租赁合同复印件及车辆行驶证复印件并加盖投标人公章，合同于本项目投标截止时间须处于有效期内。</w:t>
      </w:r>
    </w:p>
    <w:p>
      <w:pPr>
        <w:spacing w:line="360" w:lineRule="auto"/>
        <w:ind w:right="840" w:firstLine="3780" w:firstLineChars="1800"/>
        <w:rPr>
          <w:rFonts w:hint="eastAsia" w:hAnsi="宋体" w:cs="宋体"/>
          <w:color w:val="auto"/>
          <w:kern w:val="2"/>
          <w:sz w:val="21"/>
          <w:szCs w:val="21"/>
          <w:lang w:val="zh-CN"/>
        </w:rPr>
      </w:pPr>
      <w:r>
        <w:rPr>
          <w:rFonts w:hint="eastAsia" w:hAnsi="宋体" w:cs="宋体"/>
          <w:color w:val="auto"/>
          <w:kern w:val="2"/>
          <w:sz w:val="21"/>
          <w:szCs w:val="21"/>
          <w:lang w:val="zh-CN"/>
        </w:rPr>
        <w:t>投标人名称（并加盖法人公章）：</w:t>
      </w:r>
    </w:p>
    <w:p>
      <w:pPr>
        <w:spacing w:line="360" w:lineRule="auto"/>
        <w:ind w:right="840" w:firstLine="5670" w:firstLineChars="2700"/>
        <w:rPr>
          <w:rFonts w:hint="eastAsia" w:hAnsi="宋体" w:cs="宋体"/>
          <w:color w:val="auto"/>
        </w:rPr>
      </w:pPr>
      <w:r>
        <w:rPr>
          <w:rFonts w:hint="eastAsia" w:hAnsi="宋体" w:cs="宋体"/>
          <w:color w:val="auto"/>
          <w:kern w:val="2"/>
          <w:sz w:val="21"/>
          <w:szCs w:val="21"/>
          <w:lang w:val="zh-CN"/>
        </w:rPr>
        <w:t>日　　　期：</w:t>
      </w:r>
    </w:p>
    <w:p>
      <w:pPr>
        <w:spacing w:line="360" w:lineRule="auto"/>
        <w:ind w:firstLine="4320" w:firstLineChars="1800"/>
        <w:rPr>
          <w:rFonts w:hint="eastAsia" w:hAnsi="宋体" w:cs="宋体"/>
          <w:color w:val="auto"/>
        </w:rPr>
      </w:pPr>
    </w:p>
    <w:p>
      <w:pPr>
        <w:spacing w:line="360" w:lineRule="auto"/>
        <w:jc w:val="center"/>
        <w:rPr>
          <w:rFonts w:hint="eastAsia" w:hAnsi="宋体" w:cs="宋体"/>
          <w:b/>
          <w:color w:val="auto"/>
          <w:sz w:val="30"/>
          <w:szCs w:val="30"/>
        </w:rPr>
      </w:pPr>
      <w:r>
        <w:rPr>
          <w:rFonts w:hint="eastAsia" w:hAnsi="宋体" w:cs="宋体"/>
          <w:b/>
          <w:color w:val="auto"/>
          <w:sz w:val="30"/>
          <w:szCs w:val="30"/>
        </w:rPr>
        <w:br w:type="page"/>
      </w:r>
      <w:r>
        <w:rPr>
          <w:rFonts w:hint="eastAsia" w:hAnsi="宋体" w:cs="宋体"/>
          <w:b/>
          <w:color w:val="auto"/>
          <w:sz w:val="30"/>
          <w:szCs w:val="30"/>
        </w:rPr>
        <w:t>拟担任本项目负责人（专业技术人员）简历表</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45"/>
        <w:gridCol w:w="1355"/>
        <w:gridCol w:w="325"/>
        <w:gridCol w:w="185"/>
        <w:gridCol w:w="840"/>
        <w:gridCol w:w="540"/>
        <w:gridCol w:w="15"/>
        <w:gridCol w:w="1050"/>
        <w:gridCol w:w="75"/>
        <w:gridCol w:w="435"/>
        <w:gridCol w:w="645"/>
        <w:gridCol w:w="43"/>
        <w:gridCol w:w="1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35" w:type="dxa"/>
            <w:vAlign w:val="center"/>
          </w:tcPr>
          <w:p>
            <w:pPr>
              <w:spacing w:line="360" w:lineRule="auto"/>
              <w:jc w:val="center"/>
              <w:rPr>
                <w:rFonts w:hint="eastAsia" w:hAnsi="宋体" w:cs="宋体"/>
                <w:color w:val="auto"/>
                <w:sz w:val="21"/>
                <w:szCs w:val="21"/>
              </w:rPr>
            </w:pPr>
            <w:r>
              <w:rPr>
                <w:rFonts w:hint="eastAsia" w:hAnsi="宋体" w:cs="宋体"/>
                <w:color w:val="auto"/>
                <w:sz w:val="21"/>
                <w:szCs w:val="21"/>
              </w:rPr>
              <w:t>姓名</w:t>
            </w:r>
          </w:p>
        </w:tc>
        <w:tc>
          <w:tcPr>
            <w:tcW w:w="2610" w:type="dxa"/>
            <w:gridSpan w:val="4"/>
            <w:vAlign w:val="center"/>
          </w:tcPr>
          <w:p>
            <w:pPr>
              <w:spacing w:line="360" w:lineRule="auto"/>
              <w:jc w:val="center"/>
              <w:rPr>
                <w:rFonts w:hint="eastAsia" w:hAnsi="宋体" w:cs="宋体"/>
                <w:color w:val="auto"/>
                <w:sz w:val="21"/>
                <w:szCs w:val="21"/>
              </w:rPr>
            </w:pPr>
          </w:p>
        </w:tc>
        <w:tc>
          <w:tcPr>
            <w:tcW w:w="840" w:type="dxa"/>
            <w:vAlign w:val="center"/>
          </w:tcPr>
          <w:p>
            <w:pPr>
              <w:spacing w:line="360" w:lineRule="auto"/>
              <w:jc w:val="center"/>
              <w:rPr>
                <w:rFonts w:hint="eastAsia" w:hAnsi="宋体" w:cs="宋体"/>
                <w:color w:val="auto"/>
                <w:sz w:val="21"/>
                <w:szCs w:val="21"/>
              </w:rPr>
            </w:pPr>
            <w:r>
              <w:rPr>
                <w:rFonts w:hint="eastAsia" w:hAnsi="宋体" w:cs="宋体"/>
                <w:color w:val="auto"/>
                <w:sz w:val="21"/>
                <w:szCs w:val="21"/>
              </w:rPr>
              <w:t>性别</w:t>
            </w:r>
          </w:p>
        </w:tc>
        <w:tc>
          <w:tcPr>
            <w:tcW w:w="1680" w:type="dxa"/>
            <w:gridSpan w:val="4"/>
            <w:vAlign w:val="center"/>
          </w:tcPr>
          <w:p>
            <w:pPr>
              <w:spacing w:line="360" w:lineRule="auto"/>
              <w:jc w:val="center"/>
              <w:rPr>
                <w:rFonts w:hint="eastAsia" w:hAnsi="宋体" w:cs="宋体"/>
                <w:color w:val="auto"/>
                <w:sz w:val="21"/>
                <w:szCs w:val="21"/>
              </w:rPr>
            </w:pPr>
          </w:p>
        </w:tc>
        <w:tc>
          <w:tcPr>
            <w:tcW w:w="1080" w:type="dxa"/>
            <w:gridSpan w:val="2"/>
            <w:vAlign w:val="center"/>
          </w:tcPr>
          <w:p>
            <w:pPr>
              <w:spacing w:line="360" w:lineRule="auto"/>
              <w:jc w:val="center"/>
              <w:rPr>
                <w:rFonts w:hint="eastAsia" w:hAnsi="宋体" w:cs="宋体"/>
                <w:color w:val="auto"/>
                <w:sz w:val="21"/>
                <w:szCs w:val="21"/>
              </w:rPr>
            </w:pPr>
            <w:r>
              <w:rPr>
                <w:rFonts w:hint="eastAsia" w:hAnsi="宋体" w:cs="宋体"/>
                <w:color w:val="auto"/>
                <w:sz w:val="21"/>
                <w:szCs w:val="21"/>
              </w:rPr>
              <w:t>年龄</w:t>
            </w:r>
          </w:p>
        </w:tc>
        <w:tc>
          <w:tcPr>
            <w:tcW w:w="1800" w:type="dxa"/>
            <w:gridSpan w:val="2"/>
            <w:vAlign w:val="center"/>
          </w:tcPr>
          <w:p>
            <w:pPr>
              <w:spacing w:line="360" w:lineRule="auto"/>
              <w:jc w:val="center"/>
              <w:rPr>
                <w:rFonts w:hint="eastAsia"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35" w:type="dxa"/>
            <w:vAlign w:val="center"/>
          </w:tcPr>
          <w:p>
            <w:pPr>
              <w:spacing w:line="360" w:lineRule="auto"/>
              <w:jc w:val="center"/>
              <w:rPr>
                <w:rFonts w:hint="eastAsia" w:hAnsi="宋体" w:cs="宋体"/>
                <w:color w:val="auto"/>
                <w:sz w:val="21"/>
                <w:szCs w:val="21"/>
              </w:rPr>
            </w:pPr>
            <w:r>
              <w:rPr>
                <w:rFonts w:hint="eastAsia" w:hAnsi="宋体" w:cs="宋体"/>
                <w:color w:val="auto"/>
                <w:sz w:val="21"/>
                <w:szCs w:val="21"/>
              </w:rPr>
              <w:t>职务</w:t>
            </w:r>
          </w:p>
        </w:tc>
        <w:tc>
          <w:tcPr>
            <w:tcW w:w="2610" w:type="dxa"/>
            <w:gridSpan w:val="4"/>
            <w:vAlign w:val="center"/>
          </w:tcPr>
          <w:p>
            <w:pPr>
              <w:spacing w:line="360" w:lineRule="auto"/>
              <w:jc w:val="center"/>
              <w:rPr>
                <w:rFonts w:hint="eastAsia" w:hAnsi="宋体" w:cs="宋体"/>
                <w:color w:val="auto"/>
                <w:sz w:val="21"/>
                <w:szCs w:val="21"/>
              </w:rPr>
            </w:pPr>
          </w:p>
        </w:tc>
        <w:tc>
          <w:tcPr>
            <w:tcW w:w="840" w:type="dxa"/>
            <w:vAlign w:val="center"/>
          </w:tcPr>
          <w:p>
            <w:pPr>
              <w:spacing w:line="360" w:lineRule="auto"/>
              <w:jc w:val="center"/>
              <w:rPr>
                <w:rFonts w:hint="eastAsia" w:hAnsi="宋体" w:cs="宋体"/>
                <w:color w:val="auto"/>
                <w:sz w:val="21"/>
                <w:szCs w:val="21"/>
              </w:rPr>
            </w:pPr>
            <w:r>
              <w:rPr>
                <w:rFonts w:hint="eastAsia" w:hAnsi="宋体" w:cs="宋体"/>
                <w:color w:val="auto"/>
                <w:sz w:val="21"/>
                <w:szCs w:val="21"/>
              </w:rPr>
              <w:t>资格或职称</w:t>
            </w:r>
          </w:p>
        </w:tc>
        <w:tc>
          <w:tcPr>
            <w:tcW w:w="1680" w:type="dxa"/>
            <w:gridSpan w:val="4"/>
            <w:vAlign w:val="center"/>
          </w:tcPr>
          <w:p>
            <w:pPr>
              <w:spacing w:line="360" w:lineRule="auto"/>
              <w:jc w:val="center"/>
              <w:rPr>
                <w:rFonts w:hint="eastAsia" w:hAnsi="宋体" w:cs="宋体"/>
                <w:color w:val="auto"/>
                <w:sz w:val="21"/>
                <w:szCs w:val="21"/>
              </w:rPr>
            </w:pPr>
          </w:p>
        </w:tc>
        <w:tc>
          <w:tcPr>
            <w:tcW w:w="1080" w:type="dxa"/>
            <w:gridSpan w:val="2"/>
            <w:vAlign w:val="center"/>
          </w:tcPr>
          <w:p>
            <w:pPr>
              <w:spacing w:line="360" w:lineRule="auto"/>
              <w:jc w:val="center"/>
              <w:rPr>
                <w:rFonts w:hint="eastAsia" w:hAnsi="宋体" w:cs="宋体"/>
                <w:color w:val="auto"/>
                <w:sz w:val="21"/>
                <w:szCs w:val="21"/>
              </w:rPr>
            </w:pPr>
            <w:r>
              <w:rPr>
                <w:rFonts w:hint="eastAsia" w:hAnsi="宋体" w:cs="宋体"/>
                <w:color w:val="auto"/>
                <w:sz w:val="21"/>
                <w:szCs w:val="21"/>
              </w:rPr>
              <w:t>学历</w:t>
            </w:r>
          </w:p>
        </w:tc>
        <w:tc>
          <w:tcPr>
            <w:tcW w:w="1800" w:type="dxa"/>
            <w:gridSpan w:val="2"/>
            <w:vAlign w:val="center"/>
          </w:tcPr>
          <w:p>
            <w:pPr>
              <w:spacing w:line="360" w:lineRule="auto"/>
              <w:rPr>
                <w:rFonts w:hint="eastAsia" w:hAnsi="宋体" w:cs="宋体"/>
                <w:color w:val="auto"/>
                <w:sz w:val="21"/>
                <w:szCs w:val="21"/>
              </w:rPr>
            </w:pPr>
          </w:p>
          <w:p>
            <w:pPr>
              <w:spacing w:line="360" w:lineRule="auto"/>
              <w:jc w:val="center"/>
              <w:rPr>
                <w:rFonts w:hint="eastAsia"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835" w:type="dxa"/>
            <w:gridSpan w:val="3"/>
            <w:vAlign w:val="center"/>
          </w:tcPr>
          <w:p>
            <w:pPr>
              <w:spacing w:line="360" w:lineRule="auto"/>
              <w:jc w:val="center"/>
              <w:rPr>
                <w:rFonts w:hint="eastAsia" w:hAnsi="宋体" w:cs="宋体"/>
                <w:color w:val="auto"/>
                <w:sz w:val="21"/>
                <w:szCs w:val="21"/>
              </w:rPr>
            </w:pPr>
            <w:r>
              <w:rPr>
                <w:rFonts w:hint="eastAsia" w:hAnsi="宋体" w:cs="宋体"/>
                <w:color w:val="auto"/>
                <w:sz w:val="21"/>
                <w:szCs w:val="21"/>
              </w:rPr>
              <w:t>参加工作时间</w:t>
            </w:r>
          </w:p>
        </w:tc>
        <w:tc>
          <w:tcPr>
            <w:tcW w:w="1890" w:type="dxa"/>
            <w:gridSpan w:val="4"/>
            <w:vAlign w:val="center"/>
          </w:tcPr>
          <w:p>
            <w:pPr>
              <w:spacing w:line="360" w:lineRule="auto"/>
              <w:jc w:val="center"/>
              <w:rPr>
                <w:rFonts w:hint="eastAsia" w:hAnsi="宋体" w:cs="宋体"/>
                <w:color w:val="auto"/>
                <w:sz w:val="21"/>
                <w:szCs w:val="21"/>
              </w:rPr>
            </w:pPr>
          </w:p>
        </w:tc>
        <w:tc>
          <w:tcPr>
            <w:tcW w:w="2263" w:type="dxa"/>
            <w:gridSpan w:val="6"/>
            <w:vAlign w:val="center"/>
          </w:tcPr>
          <w:p>
            <w:pPr>
              <w:spacing w:line="360" w:lineRule="auto"/>
              <w:jc w:val="center"/>
              <w:rPr>
                <w:rFonts w:hint="eastAsia" w:hAnsi="宋体" w:cs="宋体"/>
                <w:color w:val="auto"/>
                <w:sz w:val="21"/>
                <w:szCs w:val="21"/>
              </w:rPr>
            </w:pPr>
            <w:r>
              <w:rPr>
                <w:rFonts w:hint="eastAsia" w:hAnsi="宋体" w:cs="宋体"/>
                <w:color w:val="auto"/>
                <w:sz w:val="21"/>
                <w:szCs w:val="21"/>
              </w:rPr>
              <w:t>担任</w:t>
            </w:r>
            <w:r>
              <w:rPr>
                <w:rFonts w:hint="eastAsia" w:hAnsi="宋体" w:cs="宋体"/>
                <w:b/>
                <w:color w:val="auto"/>
                <w:sz w:val="21"/>
                <w:szCs w:val="21"/>
                <w:u w:val="single"/>
              </w:rPr>
              <w:t xml:space="preserve"> </w:t>
            </w:r>
            <w:r>
              <w:rPr>
                <w:rFonts w:hint="eastAsia" w:hAnsi="宋体" w:cs="宋体"/>
                <w:color w:val="auto"/>
                <w:sz w:val="21"/>
                <w:szCs w:val="21"/>
                <w:u w:val="single"/>
              </w:rPr>
              <w:t xml:space="preserve">    （职位名称）</w:t>
            </w:r>
            <w:r>
              <w:rPr>
                <w:rFonts w:hint="eastAsia" w:hAnsi="宋体" w:cs="宋体"/>
                <w:color w:val="auto"/>
                <w:sz w:val="21"/>
                <w:szCs w:val="21"/>
              </w:rPr>
              <w:t>年限</w:t>
            </w:r>
          </w:p>
        </w:tc>
        <w:tc>
          <w:tcPr>
            <w:tcW w:w="1757" w:type="dxa"/>
            <w:vAlign w:val="center"/>
          </w:tcPr>
          <w:p>
            <w:pPr>
              <w:spacing w:line="360" w:lineRule="auto"/>
              <w:jc w:val="center"/>
              <w:rPr>
                <w:rFonts w:hint="eastAsia"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2835" w:type="dxa"/>
            <w:gridSpan w:val="3"/>
            <w:vAlign w:val="center"/>
          </w:tcPr>
          <w:p>
            <w:pPr>
              <w:spacing w:line="360" w:lineRule="auto"/>
              <w:jc w:val="center"/>
              <w:rPr>
                <w:rFonts w:hint="eastAsia" w:hAnsi="宋体" w:cs="宋体"/>
                <w:color w:val="auto"/>
                <w:sz w:val="21"/>
                <w:szCs w:val="21"/>
              </w:rPr>
            </w:pPr>
            <w:r>
              <w:rPr>
                <w:rFonts w:hint="eastAsia" w:hAnsi="宋体" w:cs="宋体"/>
                <w:color w:val="auto"/>
                <w:sz w:val="21"/>
                <w:szCs w:val="21"/>
              </w:rPr>
              <w:t>资格证书编号</w:t>
            </w:r>
          </w:p>
        </w:tc>
        <w:tc>
          <w:tcPr>
            <w:tcW w:w="2955" w:type="dxa"/>
            <w:gridSpan w:val="6"/>
            <w:vAlign w:val="center"/>
          </w:tcPr>
          <w:p>
            <w:pPr>
              <w:spacing w:line="360" w:lineRule="auto"/>
              <w:jc w:val="center"/>
              <w:rPr>
                <w:rFonts w:hint="eastAsia" w:hAnsi="宋体" w:cs="宋体"/>
                <w:color w:val="auto"/>
                <w:sz w:val="21"/>
                <w:szCs w:val="21"/>
              </w:rPr>
            </w:pPr>
          </w:p>
        </w:tc>
        <w:tc>
          <w:tcPr>
            <w:tcW w:w="1198" w:type="dxa"/>
            <w:gridSpan w:val="4"/>
            <w:vAlign w:val="center"/>
          </w:tcPr>
          <w:p>
            <w:pPr>
              <w:spacing w:line="360" w:lineRule="auto"/>
              <w:jc w:val="center"/>
              <w:rPr>
                <w:rFonts w:hint="eastAsia" w:hAnsi="宋体" w:cs="宋体"/>
                <w:color w:val="auto"/>
                <w:sz w:val="21"/>
                <w:szCs w:val="21"/>
              </w:rPr>
            </w:pPr>
            <w:r>
              <w:rPr>
                <w:rFonts w:hint="eastAsia" w:hAnsi="宋体" w:cs="宋体"/>
                <w:color w:val="auto"/>
                <w:sz w:val="21"/>
                <w:szCs w:val="21"/>
              </w:rPr>
              <w:t>联系电话</w:t>
            </w:r>
          </w:p>
        </w:tc>
        <w:tc>
          <w:tcPr>
            <w:tcW w:w="1757" w:type="dxa"/>
            <w:vAlign w:val="center"/>
          </w:tcPr>
          <w:p>
            <w:pPr>
              <w:spacing w:line="360" w:lineRule="auto"/>
              <w:jc w:val="center"/>
              <w:rPr>
                <w:rFonts w:hint="eastAsia"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45" w:type="dxa"/>
            <w:gridSpan w:val="14"/>
            <w:vAlign w:val="center"/>
          </w:tcPr>
          <w:p>
            <w:pPr>
              <w:spacing w:line="360" w:lineRule="auto"/>
              <w:jc w:val="center"/>
              <w:rPr>
                <w:rFonts w:hint="eastAsia" w:hAnsi="宋体" w:cs="宋体"/>
                <w:color w:val="auto"/>
                <w:sz w:val="21"/>
                <w:szCs w:val="21"/>
              </w:rPr>
            </w:pPr>
            <w:r>
              <w:rPr>
                <w:rFonts w:hint="eastAsia" w:hAnsi="宋体" w:cs="宋体"/>
                <w:color w:val="auto"/>
                <w:sz w:val="21"/>
                <w:szCs w:val="21"/>
              </w:rPr>
              <w:t>目前在任及以往服务项目情况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80" w:type="dxa"/>
            <w:gridSpan w:val="2"/>
            <w:vAlign w:val="center"/>
          </w:tcPr>
          <w:p>
            <w:pPr>
              <w:spacing w:line="360" w:lineRule="auto"/>
              <w:jc w:val="center"/>
              <w:rPr>
                <w:rFonts w:hint="eastAsia" w:hAnsi="宋体" w:cs="宋体"/>
                <w:color w:val="auto"/>
                <w:sz w:val="21"/>
                <w:szCs w:val="21"/>
              </w:rPr>
            </w:pPr>
            <w:r>
              <w:rPr>
                <w:rFonts w:hint="eastAsia" w:hAnsi="宋体" w:cs="宋体"/>
                <w:color w:val="auto"/>
                <w:sz w:val="21"/>
                <w:szCs w:val="21"/>
              </w:rPr>
              <w:t>招标人</w:t>
            </w:r>
          </w:p>
        </w:tc>
        <w:tc>
          <w:tcPr>
            <w:tcW w:w="1680" w:type="dxa"/>
            <w:gridSpan w:val="2"/>
            <w:vAlign w:val="center"/>
          </w:tcPr>
          <w:p>
            <w:pPr>
              <w:spacing w:line="360" w:lineRule="auto"/>
              <w:jc w:val="center"/>
              <w:rPr>
                <w:rFonts w:hint="eastAsia" w:hAnsi="宋体" w:cs="宋体"/>
                <w:color w:val="auto"/>
                <w:sz w:val="21"/>
                <w:szCs w:val="21"/>
              </w:rPr>
            </w:pPr>
            <w:r>
              <w:rPr>
                <w:rFonts w:hint="eastAsia" w:hAnsi="宋体" w:cs="宋体"/>
                <w:color w:val="auto"/>
                <w:sz w:val="21"/>
                <w:szCs w:val="21"/>
              </w:rPr>
              <w:t>项目名称</w:t>
            </w:r>
          </w:p>
        </w:tc>
        <w:tc>
          <w:tcPr>
            <w:tcW w:w="1580" w:type="dxa"/>
            <w:gridSpan w:val="4"/>
            <w:vAlign w:val="center"/>
          </w:tcPr>
          <w:p>
            <w:pPr>
              <w:spacing w:line="360" w:lineRule="auto"/>
              <w:jc w:val="center"/>
              <w:rPr>
                <w:rFonts w:hint="eastAsia" w:hAnsi="宋体" w:cs="宋体"/>
                <w:color w:val="auto"/>
                <w:sz w:val="21"/>
                <w:szCs w:val="21"/>
              </w:rPr>
            </w:pPr>
            <w:r>
              <w:rPr>
                <w:rFonts w:hint="eastAsia" w:hAnsi="宋体" w:cs="宋体"/>
                <w:color w:val="auto"/>
                <w:sz w:val="21"/>
                <w:szCs w:val="21"/>
              </w:rPr>
              <w:t>项目规模</w:t>
            </w:r>
          </w:p>
        </w:tc>
        <w:tc>
          <w:tcPr>
            <w:tcW w:w="1560" w:type="dxa"/>
            <w:gridSpan w:val="3"/>
            <w:vAlign w:val="center"/>
          </w:tcPr>
          <w:p>
            <w:pPr>
              <w:spacing w:line="360" w:lineRule="auto"/>
              <w:jc w:val="center"/>
              <w:rPr>
                <w:rFonts w:hint="eastAsia" w:hAnsi="宋体" w:cs="宋体"/>
                <w:color w:val="auto"/>
                <w:sz w:val="21"/>
                <w:szCs w:val="21"/>
              </w:rPr>
            </w:pPr>
            <w:r>
              <w:rPr>
                <w:rFonts w:hint="eastAsia" w:hAnsi="宋体" w:cs="宋体"/>
                <w:color w:val="auto"/>
                <w:sz w:val="21"/>
                <w:szCs w:val="21"/>
              </w:rPr>
              <w:t>所任职务</w:t>
            </w:r>
          </w:p>
        </w:tc>
        <w:tc>
          <w:tcPr>
            <w:tcW w:w="2445" w:type="dxa"/>
            <w:gridSpan w:val="3"/>
            <w:vAlign w:val="center"/>
          </w:tcPr>
          <w:p>
            <w:pPr>
              <w:spacing w:line="360" w:lineRule="auto"/>
              <w:jc w:val="center"/>
              <w:rPr>
                <w:rFonts w:hint="eastAsia" w:hAnsi="宋体" w:cs="宋体"/>
                <w:color w:val="auto"/>
                <w:sz w:val="21"/>
                <w:szCs w:val="21"/>
              </w:rPr>
            </w:pPr>
            <w:r>
              <w:rPr>
                <w:rFonts w:hint="eastAsia" w:hAnsi="宋体" w:cs="宋体"/>
                <w:color w:val="auto"/>
                <w:sz w:val="21"/>
                <w:szCs w:val="21"/>
              </w:rPr>
              <w:t>起止时间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spacing w:line="360" w:lineRule="auto"/>
              <w:jc w:val="center"/>
              <w:rPr>
                <w:rFonts w:hint="eastAsia" w:hAnsi="宋体" w:cs="宋体"/>
                <w:color w:val="auto"/>
                <w:sz w:val="21"/>
                <w:szCs w:val="21"/>
              </w:rPr>
            </w:pPr>
          </w:p>
        </w:tc>
        <w:tc>
          <w:tcPr>
            <w:tcW w:w="1680" w:type="dxa"/>
            <w:gridSpan w:val="2"/>
            <w:vAlign w:val="center"/>
          </w:tcPr>
          <w:p>
            <w:pPr>
              <w:spacing w:line="360" w:lineRule="auto"/>
              <w:jc w:val="center"/>
              <w:rPr>
                <w:rFonts w:hint="eastAsia" w:hAnsi="宋体" w:cs="宋体"/>
                <w:color w:val="auto"/>
                <w:sz w:val="21"/>
                <w:szCs w:val="21"/>
              </w:rPr>
            </w:pPr>
          </w:p>
        </w:tc>
        <w:tc>
          <w:tcPr>
            <w:tcW w:w="1580" w:type="dxa"/>
            <w:gridSpan w:val="4"/>
            <w:vAlign w:val="center"/>
          </w:tcPr>
          <w:p>
            <w:pPr>
              <w:spacing w:line="360" w:lineRule="auto"/>
              <w:jc w:val="center"/>
              <w:rPr>
                <w:rFonts w:hint="eastAsia" w:hAnsi="宋体" w:cs="宋体"/>
                <w:color w:val="auto"/>
                <w:sz w:val="21"/>
                <w:szCs w:val="21"/>
              </w:rPr>
            </w:pPr>
          </w:p>
        </w:tc>
        <w:tc>
          <w:tcPr>
            <w:tcW w:w="1560" w:type="dxa"/>
            <w:gridSpan w:val="3"/>
            <w:vAlign w:val="center"/>
          </w:tcPr>
          <w:p>
            <w:pPr>
              <w:spacing w:line="360" w:lineRule="auto"/>
              <w:jc w:val="center"/>
              <w:rPr>
                <w:rFonts w:hint="eastAsia" w:hAnsi="宋体" w:cs="宋体"/>
                <w:color w:val="auto"/>
                <w:sz w:val="21"/>
                <w:szCs w:val="21"/>
              </w:rPr>
            </w:pPr>
          </w:p>
        </w:tc>
        <w:tc>
          <w:tcPr>
            <w:tcW w:w="2445" w:type="dxa"/>
            <w:gridSpan w:val="3"/>
            <w:vAlign w:val="center"/>
          </w:tcPr>
          <w:p>
            <w:pPr>
              <w:spacing w:line="360" w:lineRule="auto"/>
              <w:jc w:val="center"/>
              <w:rPr>
                <w:rFonts w:hint="eastAsia"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spacing w:line="360" w:lineRule="auto"/>
              <w:jc w:val="center"/>
              <w:rPr>
                <w:rFonts w:hint="eastAsia" w:hAnsi="宋体" w:cs="宋体"/>
                <w:color w:val="auto"/>
                <w:sz w:val="21"/>
                <w:szCs w:val="21"/>
              </w:rPr>
            </w:pPr>
          </w:p>
        </w:tc>
        <w:tc>
          <w:tcPr>
            <w:tcW w:w="1680" w:type="dxa"/>
            <w:gridSpan w:val="2"/>
            <w:vAlign w:val="center"/>
          </w:tcPr>
          <w:p>
            <w:pPr>
              <w:spacing w:line="360" w:lineRule="auto"/>
              <w:jc w:val="center"/>
              <w:rPr>
                <w:rFonts w:hint="eastAsia" w:hAnsi="宋体" w:cs="宋体"/>
                <w:color w:val="auto"/>
                <w:sz w:val="21"/>
                <w:szCs w:val="21"/>
              </w:rPr>
            </w:pPr>
          </w:p>
        </w:tc>
        <w:tc>
          <w:tcPr>
            <w:tcW w:w="1580" w:type="dxa"/>
            <w:gridSpan w:val="4"/>
            <w:vAlign w:val="center"/>
          </w:tcPr>
          <w:p>
            <w:pPr>
              <w:spacing w:line="360" w:lineRule="auto"/>
              <w:jc w:val="center"/>
              <w:rPr>
                <w:rFonts w:hint="eastAsia" w:hAnsi="宋体" w:cs="宋体"/>
                <w:color w:val="auto"/>
                <w:sz w:val="21"/>
                <w:szCs w:val="21"/>
              </w:rPr>
            </w:pPr>
          </w:p>
        </w:tc>
        <w:tc>
          <w:tcPr>
            <w:tcW w:w="1560" w:type="dxa"/>
            <w:gridSpan w:val="3"/>
            <w:vAlign w:val="center"/>
          </w:tcPr>
          <w:p>
            <w:pPr>
              <w:spacing w:line="360" w:lineRule="auto"/>
              <w:jc w:val="center"/>
              <w:rPr>
                <w:rFonts w:hint="eastAsia" w:hAnsi="宋体" w:cs="宋体"/>
                <w:color w:val="auto"/>
                <w:sz w:val="21"/>
                <w:szCs w:val="21"/>
              </w:rPr>
            </w:pPr>
          </w:p>
        </w:tc>
        <w:tc>
          <w:tcPr>
            <w:tcW w:w="2445" w:type="dxa"/>
            <w:gridSpan w:val="3"/>
            <w:vAlign w:val="center"/>
          </w:tcPr>
          <w:p>
            <w:pPr>
              <w:spacing w:line="360" w:lineRule="auto"/>
              <w:jc w:val="center"/>
              <w:rPr>
                <w:rFonts w:hint="eastAsia"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spacing w:line="360" w:lineRule="auto"/>
              <w:jc w:val="center"/>
              <w:rPr>
                <w:rFonts w:hint="eastAsia" w:hAnsi="宋体" w:cs="宋体"/>
                <w:color w:val="auto"/>
                <w:sz w:val="21"/>
                <w:szCs w:val="21"/>
              </w:rPr>
            </w:pPr>
          </w:p>
        </w:tc>
        <w:tc>
          <w:tcPr>
            <w:tcW w:w="1680" w:type="dxa"/>
            <w:gridSpan w:val="2"/>
            <w:vAlign w:val="center"/>
          </w:tcPr>
          <w:p>
            <w:pPr>
              <w:spacing w:line="360" w:lineRule="auto"/>
              <w:jc w:val="center"/>
              <w:rPr>
                <w:rFonts w:hint="eastAsia" w:hAnsi="宋体" w:cs="宋体"/>
                <w:color w:val="auto"/>
                <w:sz w:val="21"/>
                <w:szCs w:val="21"/>
              </w:rPr>
            </w:pPr>
          </w:p>
        </w:tc>
        <w:tc>
          <w:tcPr>
            <w:tcW w:w="1580" w:type="dxa"/>
            <w:gridSpan w:val="4"/>
            <w:vAlign w:val="center"/>
          </w:tcPr>
          <w:p>
            <w:pPr>
              <w:spacing w:line="360" w:lineRule="auto"/>
              <w:jc w:val="center"/>
              <w:rPr>
                <w:rFonts w:hint="eastAsia" w:hAnsi="宋体" w:cs="宋体"/>
                <w:color w:val="auto"/>
                <w:sz w:val="21"/>
                <w:szCs w:val="21"/>
              </w:rPr>
            </w:pPr>
          </w:p>
        </w:tc>
        <w:tc>
          <w:tcPr>
            <w:tcW w:w="1560" w:type="dxa"/>
            <w:gridSpan w:val="3"/>
            <w:vAlign w:val="center"/>
          </w:tcPr>
          <w:p>
            <w:pPr>
              <w:spacing w:line="360" w:lineRule="auto"/>
              <w:jc w:val="center"/>
              <w:rPr>
                <w:rFonts w:hint="eastAsia" w:hAnsi="宋体" w:cs="宋体"/>
                <w:color w:val="auto"/>
                <w:sz w:val="21"/>
                <w:szCs w:val="21"/>
              </w:rPr>
            </w:pPr>
          </w:p>
        </w:tc>
        <w:tc>
          <w:tcPr>
            <w:tcW w:w="2445" w:type="dxa"/>
            <w:gridSpan w:val="3"/>
            <w:vAlign w:val="center"/>
          </w:tcPr>
          <w:p>
            <w:pPr>
              <w:spacing w:line="360" w:lineRule="auto"/>
              <w:jc w:val="center"/>
              <w:rPr>
                <w:rFonts w:hint="eastAsia"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spacing w:line="360" w:lineRule="auto"/>
              <w:jc w:val="center"/>
              <w:rPr>
                <w:rFonts w:hint="eastAsia" w:hAnsi="宋体" w:cs="宋体"/>
                <w:color w:val="auto"/>
                <w:sz w:val="21"/>
                <w:szCs w:val="21"/>
              </w:rPr>
            </w:pPr>
          </w:p>
        </w:tc>
        <w:tc>
          <w:tcPr>
            <w:tcW w:w="1680" w:type="dxa"/>
            <w:gridSpan w:val="2"/>
            <w:vAlign w:val="center"/>
          </w:tcPr>
          <w:p>
            <w:pPr>
              <w:spacing w:line="360" w:lineRule="auto"/>
              <w:jc w:val="center"/>
              <w:rPr>
                <w:rFonts w:hint="eastAsia" w:hAnsi="宋体" w:cs="宋体"/>
                <w:color w:val="auto"/>
                <w:sz w:val="21"/>
                <w:szCs w:val="21"/>
              </w:rPr>
            </w:pPr>
          </w:p>
        </w:tc>
        <w:tc>
          <w:tcPr>
            <w:tcW w:w="1580" w:type="dxa"/>
            <w:gridSpan w:val="4"/>
            <w:vAlign w:val="center"/>
          </w:tcPr>
          <w:p>
            <w:pPr>
              <w:spacing w:line="360" w:lineRule="auto"/>
              <w:jc w:val="center"/>
              <w:rPr>
                <w:rFonts w:hint="eastAsia" w:hAnsi="宋体" w:cs="宋体"/>
                <w:color w:val="auto"/>
                <w:sz w:val="21"/>
                <w:szCs w:val="21"/>
              </w:rPr>
            </w:pPr>
          </w:p>
        </w:tc>
        <w:tc>
          <w:tcPr>
            <w:tcW w:w="1560" w:type="dxa"/>
            <w:gridSpan w:val="3"/>
            <w:vAlign w:val="center"/>
          </w:tcPr>
          <w:p>
            <w:pPr>
              <w:spacing w:line="360" w:lineRule="auto"/>
              <w:jc w:val="center"/>
              <w:rPr>
                <w:rFonts w:hint="eastAsia" w:hAnsi="宋体" w:cs="宋体"/>
                <w:color w:val="auto"/>
                <w:sz w:val="21"/>
                <w:szCs w:val="21"/>
              </w:rPr>
            </w:pPr>
          </w:p>
        </w:tc>
        <w:tc>
          <w:tcPr>
            <w:tcW w:w="2445" w:type="dxa"/>
            <w:gridSpan w:val="3"/>
            <w:vAlign w:val="center"/>
          </w:tcPr>
          <w:p>
            <w:pPr>
              <w:spacing w:line="360" w:lineRule="auto"/>
              <w:jc w:val="center"/>
              <w:rPr>
                <w:rFonts w:hint="eastAsia"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spacing w:line="360" w:lineRule="auto"/>
              <w:jc w:val="center"/>
              <w:rPr>
                <w:rFonts w:hint="eastAsia" w:hAnsi="宋体" w:cs="宋体"/>
                <w:color w:val="auto"/>
                <w:sz w:val="21"/>
                <w:szCs w:val="21"/>
              </w:rPr>
            </w:pPr>
          </w:p>
        </w:tc>
        <w:tc>
          <w:tcPr>
            <w:tcW w:w="1680" w:type="dxa"/>
            <w:gridSpan w:val="2"/>
            <w:vAlign w:val="center"/>
          </w:tcPr>
          <w:p>
            <w:pPr>
              <w:spacing w:line="360" w:lineRule="auto"/>
              <w:jc w:val="center"/>
              <w:rPr>
                <w:rFonts w:hint="eastAsia" w:hAnsi="宋体" w:cs="宋体"/>
                <w:color w:val="auto"/>
                <w:sz w:val="21"/>
                <w:szCs w:val="21"/>
              </w:rPr>
            </w:pPr>
          </w:p>
        </w:tc>
        <w:tc>
          <w:tcPr>
            <w:tcW w:w="1580" w:type="dxa"/>
            <w:gridSpan w:val="4"/>
            <w:vAlign w:val="center"/>
          </w:tcPr>
          <w:p>
            <w:pPr>
              <w:spacing w:line="360" w:lineRule="auto"/>
              <w:jc w:val="center"/>
              <w:rPr>
                <w:rFonts w:hint="eastAsia" w:hAnsi="宋体" w:cs="宋体"/>
                <w:color w:val="auto"/>
                <w:sz w:val="21"/>
                <w:szCs w:val="21"/>
              </w:rPr>
            </w:pPr>
          </w:p>
        </w:tc>
        <w:tc>
          <w:tcPr>
            <w:tcW w:w="1560" w:type="dxa"/>
            <w:gridSpan w:val="3"/>
            <w:vAlign w:val="center"/>
          </w:tcPr>
          <w:p>
            <w:pPr>
              <w:spacing w:line="360" w:lineRule="auto"/>
              <w:jc w:val="center"/>
              <w:rPr>
                <w:rFonts w:hint="eastAsia" w:hAnsi="宋体" w:cs="宋体"/>
                <w:color w:val="auto"/>
                <w:sz w:val="21"/>
                <w:szCs w:val="21"/>
              </w:rPr>
            </w:pPr>
          </w:p>
        </w:tc>
        <w:tc>
          <w:tcPr>
            <w:tcW w:w="2445" w:type="dxa"/>
            <w:gridSpan w:val="3"/>
            <w:vAlign w:val="center"/>
          </w:tcPr>
          <w:p>
            <w:pPr>
              <w:spacing w:line="360" w:lineRule="auto"/>
              <w:jc w:val="center"/>
              <w:rPr>
                <w:rFonts w:hint="eastAsia" w:hAnsi="宋体" w:cs="宋体"/>
                <w:color w:val="auto"/>
                <w:sz w:val="21"/>
                <w:szCs w:val="21"/>
              </w:rPr>
            </w:pPr>
          </w:p>
        </w:tc>
      </w:tr>
    </w:tbl>
    <w:p>
      <w:pPr>
        <w:pStyle w:val="19"/>
        <w:overflowPunct w:val="0"/>
        <w:spacing w:line="360" w:lineRule="auto"/>
        <w:ind w:firstLine="420" w:firstLineChars="200"/>
        <w:jc w:val="left"/>
        <w:rPr>
          <w:rFonts w:hint="eastAsia" w:hAnsi="宋体" w:cs="宋体"/>
          <w:b w:val="0"/>
          <w:color w:val="auto"/>
          <w:sz w:val="21"/>
          <w:szCs w:val="21"/>
        </w:rPr>
      </w:pPr>
      <w:r>
        <w:rPr>
          <w:rFonts w:hint="eastAsia" w:hAnsi="宋体" w:cs="宋体"/>
          <w:b w:val="0"/>
          <w:color w:val="auto"/>
          <w:sz w:val="21"/>
          <w:szCs w:val="21"/>
        </w:rPr>
        <w:t>备注：</w:t>
      </w:r>
    </w:p>
    <w:p>
      <w:pPr>
        <w:spacing w:line="360" w:lineRule="auto"/>
        <w:ind w:firstLine="210" w:firstLineChars="100"/>
        <w:jc w:val="both"/>
        <w:rPr>
          <w:rFonts w:hint="eastAsia" w:hAnsi="宋体" w:cs="宋体"/>
          <w:color w:val="auto"/>
          <w:sz w:val="21"/>
          <w:szCs w:val="21"/>
        </w:rPr>
      </w:pPr>
      <w:r>
        <w:rPr>
          <w:rFonts w:hint="eastAsia" w:hAnsi="宋体" w:cs="宋体"/>
          <w:color w:val="auto"/>
          <w:sz w:val="21"/>
          <w:szCs w:val="21"/>
        </w:rPr>
        <w:t>（1）拟投入本项目的项目负责人（专业技术人员）需提供简历表。</w:t>
      </w:r>
    </w:p>
    <w:p>
      <w:pPr>
        <w:spacing w:line="360" w:lineRule="auto"/>
        <w:ind w:left="870" w:leftChars="100" w:hanging="630" w:hangingChars="300"/>
        <w:jc w:val="both"/>
        <w:rPr>
          <w:rFonts w:hint="eastAsia" w:hAnsi="宋体" w:cs="宋体"/>
          <w:color w:val="auto"/>
          <w:sz w:val="21"/>
          <w:szCs w:val="21"/>
        </w:rPr>
      </w:pPr>
      <w:r>
        <w:rPr>
          <w:rFonts w:hint="eastAsia" w:hAnsi="宋体" w:cs="宋体"/>
          <w:color w:val="auto"/>
          <w:sz w:val="21"/>
          <w:szCs w:val="21"/>
        </w:rPr>
        <w:t>（2）应附有资格证书（或注册/执业/岗位证书/技术职称）、以及</w:t>
      </w:r>
      <w:r>
        <w:rPr>
          <w:rFonts w:hint="eastAsia" w:hAnsi="宋体" w:cs="宋体"/>
          <w:color w:val="auto"/>
          <w:kern w:val="2"/>
          <w:sz w:val="21"/>
          <w:szCs w:val="21"/>
        </w:rPr>
        <w:t>社会保障部门（或税务部门）出具的</w:t>
      </w:r>
      <w:r>
        <w:rPr>
          <w:rFonts w:hint="eastAsia" w:hAnsi="宋体" w:cs="宋体"/>
          <w:color w:val="auto"/>
          <w:sz w:val="21"/>
          <w:szCs w:val="21"/>
          <w:lang w:val="zh-CN"/>
        </w:rPr>
        <w:t>投标人投标前</w:t>
      </w:r>
      <w:r>
        <w:rPr>
          <w:rFonts w:hint="eastAsia" w:hAnsi="宋体" w:cs="宋体"/>
          <w:color w:val="auto"/>
          <w:sz w:val="21"/>
          <w:szCs w:val="21"/>
          <w:lang w:val="en-US" w:eastAsia="zh-CN"/>
        </w:rPr>
        <w:t>三</w:t>
      </w:r>
      <w:r>
        <w:rPr>
          <w:rFonts w:hint="eastAsia" w:hAnsi="宋体" w:cs="宋体"/>
          <w:color w:val="auto"/>
          <w:sz w:val="21"/>
          <w:szCs w:val="21"/>
          <w:lang w:val="zh-CN"/>
        </w:rPr>
        <w:t>个月为其缴纳的社会养老保险证明复印件）。</w:t>
      </w:r>
    </w:p>
    <w:p>
      <w:pPr>
        <w:spacing w:line="360" w:lineRule="auto"/>
        <w:ind w:firstLine="3780" w:firstLineChars="1800"/>
        <w:jc w:val="both"/>
        <w:rPr>
          <w:rFonts w:hint="eastAsia" w:hAnsi="宋体" w:cs="宋体"/>
          <w:color w:val="auto"/>
          <w:kern w:val="2"/>
          <w:sz w:val="21"/>
          <w:szCs w:val="21"/>
          <w:lang w:val="zh-CN"/>
        </w:rPr>
      </w:pPr>
    </w:p>
    <w:p>
      <w:pPr>
        <w:spacing w:line="360" w:lineRule="auto"/>
        <w:ind w:firstLine="3780" w:firstLineChars="1800"/>
        <w:jc w:val="right"/>
        <w:rPr>
          <w:rFonts w:hint="eastAsia" w:hAnsi="宋体" w:cs="宋体"/>
          <w:color w:val="auto"/>
          <w:kern w:val="2"/>
          <w:sz w:val="21"/>
          <w:szCs w:val="21"/>
          <w:lang w:val="zh-CN"/>
        </w:rPr>
      </w:pPr>
      <w:r>
        <w:rPr>
          <w:rFonts w:hint="eastAsia" w:hAnsi="宋体" w:cs="宋体"/>
          <w:color w:val="auto"/>
          <w:kern w:val="2"/>
          <w:sz w:val="21"/>
          <w:szCs w:val="21"/>
          <w:lang w:val="zh-CN"/>
        </w:rPr>
        <w:t>投标人名称（并加盖法人公章）：</w:t>
      </w:r>
    </w:p>
    <w:p>
      <w:pPr>
        <w:ind w:firstLine="3255" w:firstLineChars="1550"/>
        <w:jc w:val="right"/>
        <w:rPr>
          <w:rFonts w:hint="eastAsia" w:hAnsi="宋体" w:cs="宋体"/>
          <w:b/>
          <w:bCs/>
          <w:color w:val="auto"/>
          <w:kern w:val="2"/>
          <w:sz w:val="32"/>
          <w:szCs w:val="32"/>
          <w:lang w:val="zh-CN"/>
        </w:rPr>
      </w:pPr>
      <w:r>
        <w:rPr>
          <w:rFonts w:hint="eastAsia" w:hAnsi="宋体" w:cs="宋体"/>
          <w:color w:val="auto"/>
          <w:kern w:val="2"/>
          <w:sz w:val="21"/>
          <w:szCs w:val="21"/>
          <w:lang w:val="zh-CN"/>
        </w:rPr>
        <w:t xml:space="preserve">      日　　　期：</w:t>
      </w:r>
    </w:p>
    <w:p>
      <w:pPr>
        <w:widowControl/>
        <w:autoSpaceDE/>
        <w:autoSpaceDN/>
        <w:adjustRightInd/>
        <w:rPr>
          <w:rFonts w:hint="eastAsia" w:hAnsi="宋体" w:cs="宋体"/>
          <w:b/>
          <w:color w:val="auto"/>
          <w:sz w:val="32"/>
          <w:szCs w:val="32"/>
        </w:rPr>
      </w:pPr>
      <w:r>
        <w:rPr>
          <w:rFonts w:hint="eastAsia" w:hAnsi="宋体" w:cs="宋体"/>
          <w:b/>
          <w:color w:val="auto"/>
          <w:sz w:val="32"/>
          <w:szCs w:val="32"/>
        </w:rPr>
        <w:br w:type="page"/>
      </w:r>
    </w:p>
    <w:p>
      <w:pPr>
        <w:widowControl/>
        <w:autoSpaceDE/>
        <w:autoSpaceDN/>
        <w:adjustRightInd/>
        <w:rPr>
          <w:rFonts w:hAnsi="宋体" w:cs="宋体"/>
          <w:b/>
          <w:color w:val="auto"/>
          <w:sz w:val="32"/>
          <w:szCs w:val="32"/>
        </w:rPr>
      </w:pPr>
      <w:r>
        <w:rPr>
          <w:rFonts w:hint="eastAsia" w:hAnsi="宋体" w:cs="宋体"/>
          <w:b/>
          <w:color w:val="auto"/>
          <w:sz w:val="32"/>
          <w:szCs w:val="32"/>
        </w:rPr>
        <w:t>1</w:t>
      </w:r>
      <w:r>
        <w:rPr>
          <w:rFonts w:hint="eastAsia" w:hAnsi="宋体" w:cs="宋体"/>
          <w:b/>
          <w:color w:val="auto"/>
          <w:sz w:val="32"/>
          <w:szCs w:val="32"/>
          <w:lang w:val="en-US" w:eastAsia="zh-CN"/>
        </w:rPr>
        <w:t>5</w:t>
      </w:r>
      <w:r>
        <w:rPr>
          <w:rFonts w:hint="eastAsia" w:hAnsi="宋体" w:cs="宋体"/>
          <w:b/>
          <w:color w:val="auto"/>
          <w:sz w:val="32"/>
          <w:szCs w:val="32"/>
        </w:rPr>
        <w:t>-</w:t>
      </w:r>
      <w:r>
        <w:rPr>
          <w:rFonts w:hint="eastAsia" w:hAnsi="宋体" w:cs="宋体"/>
          <w:b/>
          <w:color w:val="auto"/>
          <w:sz w:val="32"/>
          <w:szCs w:val="32"/>
          <w:lang w:val="en-US" w:eastAsia="zh-CN"/>
        </w:rPr>
        <w:t>5</w:t>
      </w:r>
      <w:r>
        <w:rPr>
          <w:rFonts w:hint="eastAsia" w:hAnsi="宋体" w:cs="宋体"/>
          <w:b/>
          <w:color w:val="auto"/>
          <w:sz w:val="32"/>
          <w:szCs w:val="32"/>
        </w:rPr>
        <w:t xml:space="preserve"> 食品安全管理</w:t>
      </w:r>
    </w:p>
    <w:p>
      <w:pPr>
        <w:spacing w:line="360" w:lineRule="auto"/>
        <w:ind w:firstLine="210" w:firstLineChars="100"/>
        <w:jc w:val="both"/>
        <w:rPr>
          <w:rFonts w:hAnsi="宋体" w:cs="宋体"/>
          <w:color w:val="auto"/>
          <w:kern w:val="2"/>
          <w:sz w:val="21"/>
          <w:szCs w:val="21"/>
          <w:lang w:val="zh-CN"/>
        </w:rPr>
      </w:pPr>
      <w:r>
        <w:rPr>
          <w:rFonts w:hint="eastAsia" w:hAnsi="宋体" w:cs="宋体"/>
          <w:color w:val="auto"/>
          <w:kern w:val="2"/>
          <w:sz w:val="21"/>
          <w:szCs w:val="21"/>
          <w:lang w:val="zh-CN"/>
        </w:rPr>
        <w:t>（1）检测能力（投标人自行编写）；</w:t>
      </w:r>
    </w:p>
    <w:p>
      <w:pPr>
        <w:spacing w:line="360" w:lineRule="auto"/>
        <w:ind w:firstLine="210" w:firstLineChars="100"/>
        <w:jc w:val="both"/>
        <w:rPr>
          <w:rFonts w:hAnsi="宋体" w:cs="宋体"/>
          <w:color w:val="auto"/>
          <w:kern w:val="2"/>
          <w:sz w:val="21"/>
          <w:szCs w:val="21"/>
          <w:lang w:val="zh-CN"/>
        </w:rPr>
      </w:pPr>
      <w:r>
        <w:rPr>
          <w:rFonts w:hint="eastAsia" w:hAnsi="宋体" w:cs="宋体"/>
          <w:color w:val="auto"/>
          <w:kern w:val="2"/>
          <w:sz w:val="21"/>
          <w:szCs w:val="21"/>
          <w:lang w:val="zh-CN"/>
        </w:rPr>
        <w:t>（</w:t>
      </w:r>
      <w:r>
        <w:rPr>
          <w:rFonts w:hint="eastAsia" w:hAnsi="宋体" w:cs="宋体"/>
          <w:color w:val="auto"/>
          <w:kern w:val="2"/>
          <w:sz w:val="21"/>
          <w:szCs w:val="21"/>
          <w:lang w:val="en-US" w:eastAsia="zh-CN"/>
        </w:rPr>
        <w:t>2</w:t>
      </w:r>
      <w:r>
        <w:rPr>
          <w:rFonts w:hint="eastAsia" w:hAnsi="宋体" w:cs="宋体"/>
          <w:color w:val="auto"/>
          <w:kern w:val="2"/>
          <w:sz w:val="21"/>
          <w:szCs w:val="21"/>
          <w:lang w:val="zh-CN"/>
        </w:rPr>
        <w:t>）食材合格检测报告；</w:t>
      </w:r>
    </w:p>
    <w:p>
      <w:pPr>
        <w:widowControl/>
        <w:autoSpaceDE/>
        <w:autoSpaceDN/>
        <w:adjustRightInd/>
        <w:rPr>
          <w:rFonts w:hAnsi="宋体" w:cs="宋体"/>
          <w:b/>
          <w:color w:val="auto"/>
          <w:sz w:val="32"/>
          <w:szCs w:val="32"/>
        </w:rPr>
      </w:pPr>
      <w:r>
        <w:rPr>
          <w:rFonts w:hint="eastAsia" w:hAnsi="宋体" w:cs="宋体"/>
          <w:b/>
          <w:color w:val="auto"/>
          <w:sz w:val="32"/>
          <w:szCs w:val="32"/>
        </w:rPr>
        <w:br w:type="page"/>
      </w:r>
      <w:r>
        <w:rPr>
          <w:rFonts w:hint="eastAsia" w:hAnsi="宋体" w:cs="宋体"/>
          <w:b/>
          <w:color w:val="auto"/>
          <w:sz w:val="32"/>
          <w:szCs w:val="32"/>
        </w:rPr>
        <w:t>1</w:t>
      </w:r>
      <w:r>
        <w:rPr>
          <w:rFonts w:hint="eastAsia" w:hAnsi="宋体" w:cs="宋体"/>
          <w:b/>
          <w:color w:val="auto"/>
          <w:sz w:val="32"/>
          <w:szCs w:val="32"/>
          <w:lang w:val="en-US" w:eastAsia="zh-CN"/>
        </w:rPr>
        <w:t>5-6</w:t>
      </w:r>
      <w:r>
        <w:rPr>
          <w:rFonts w:hint="eastAsia" w:hAnsi="宋体" w:cs="宋体"/>
          <w:b/>
          <w:color w:val="auto"/>
          <w:sz w:val="32"/>
          <w:szCs w:val="32"/>
        </w:rPr>
        <w:t xml:space="preserve"> 投标人认为有需要提供的其它文件（不做强制性要求）</w:t>
      </w:r>
      <w:bookmarkEnd w:id="238"/>
      <w:bookmarkEnd w:id="239"/>
      <w:bookmarkEnd w:id="240"/>
    </w:p>
    <w:p>
      <w:pPr>
        <w:pStyle w:val="3"/>
        <w:pageBreakBefore/>
        <w:autoSpaceDE/>
        <w:autoSpaceDN/>
        <w:adjustRightInd/>
        <w:spacing w:before="340" w:after="330" w:line="360" w:lineRule="auto"/>
        <w:jc w:val="both"/>
        <w:rPr>
          <w:rFonts w:hAnsi="宋体" w:cs="宋体"/>
          <w:b/>
          <w:bCs/>
          <w:color w:val="auto"/>
          <w:kern w:val="2"/>
          <w:sz w:val="32"/>
          <w:szCs w:val="32"/>
          <w:lang w:val="zh-CN"/>
        </w:rPr>
      </w:pPr>
      <w:bookmarkStart w:id="241" w:name="_Toc30294"/>
      <w:bookmarkStart w:id="242" w:name="_Toc18158"/>
      <w:r>
        <w:rPr>
          <w:rFonts w:hint="eastAsia" w:hAnsi="宋体" w:cs="宋体"/>
          <w:b/>
          <w:bCs/>
          <w:color w:val="auto"/>
          <w:kern w:val="2"/>
          <w:sz w:val="32"/>
          <w:szCs w:val="32"/>
          <w:lang w:val="zh-CN"/>
        </w:rPr>
        <w:t>附件一：评标工作大纲</w:t>
      </w:r>
      <w:bookmarkEnd w:id="241"/>
      <w:bookmarkEnd w:id="242"/>
    </w:p>
    <w:p>
      <w:pPr>
        <w:spacing w:line="400" w:lineRule="atLeast"/>
        <w:jc w:val="center"/>
        <w:rPr>
          <w:rFonts w:hAnsi="宋体" w:cs="宋体"/>
          <w:color w:val="auto"/>
          <w:kern w:val="2"/>
          <w:sz w:val="21"/>
          <w:szCs w:val="21"/>
        </w:rPr>
      </w:pPr>
    </w:p>
    <w:p>
      <w:pPr>
        <w:spacing w:line="400" w:lineRule="atLeast"/>
        <w:jc w:val="center"/>
        <w:rPr>
          <w:rFonts w:hAnsi="宋体" w:cs="宋体"/>
          <w:b/>
          <w:bCs/>
          <w:color w:val="auto"/>
          <w:kern w:val="2"/>
          <w:sz w:val="21"/>
          <w:szCs w:val="21"/>
        </w:rPr>
      </w:pPr>
    </w:p>
    <w:p>
      <w:pPr>
        <w:spacing w:line="400" w:lineRule="atLeast"/>
        <w:jc w:val="center"/>
        <w:rPr>
          <w:rFonts w:hAnsi="宋体" w:cs="宋体"/>
          <w:b/>
          <w:bCs/>
          <w:color w:val="auto"/>
          <w:kern w:val="2"/>
          <w:sz w:val="21"/>
          <w:szCs w:val="21"/>
        </w:rPr>
      </w:pPr>
    </w:p>
    <w:p>
      <w:pPr>
        <w:spacing w:line="360" w:lineRule="auto"/>
        <w:jc w:val="center"/>
        <w:rPr>
          <w:rFonts w:hAnsi="宋体" w:cs="宋体"/>
          <w:b/>
          <w:bCs/>
          <w:color w:val="auto"/>
          <w:kern w:val="2"/>
          <w:sz w:val="44"/>
          <w:szCs w:val="44"/>
        </w:rPr>
      </w:pPr>
      <w:r>
        <w:rPr>
          <w:rFonts w:hint="eastAsia" w:hAnsi="宋体" w:cs="宋体"/>
          <w:b/>
          <w:bCs/>
          <w:color w:val="auto"/>
          <w:kern w:val="2"/>
          <w:sz w:val="44"/>
          <w:szCs w:val="44"/>
        </w:rPr>
        <w:t>东莞市水务集团管网有限公司2022年食堂食材配送服务采购项目</w:t>
      </w:r>
    </w:p>
    <w:p>
      <w:pPr>
        <w:spacing w:line="360" w:lineRule="auto"/>
        <w:jc w:val="center"/>
        <w:rPr>
          <w:rFonts w:hAnsi="宋体" w:cs="宋体"/>
          <w:b/>
          <w:bCs/>
          <w:color w:val="auto"/>
          <w:kern w:val="2"/>
          <w:sz w:val="44"/>
          <w:szCs w:val="44"/>
        </w:rPr>
      </w:pPr>
    </w:p>
    <w:p>
      <w:pPr>
        <w:spacing w:line="360" w:lineRule="auto"/>
        <w:jc w:val="center"/>
        <w:rPr>
          <w:rFonts w:hAnsi="宋体" w:cs="宋体"/>
          <w:b/>
          <w:bCs/>
          <w:color w:val="auto"/>
          <w:kern w:val="2"/>
          <w:sz w:val="36"/>
          <w:szCs w:val="36"/>
        </w:rPr>
      </w:pPr>
      <w:r>
        <w:rPr>
          <w:rFonts w:hint="eastAsia" w:hAnsi="宋体" w:cs="宋体"/>
          <w:b/>
          <w:bCs/>
          <w:color w:val="auto"/>
          <w:kern w:val="2"/>
          <w:sz w:val="36"/>
          <w:szCs w:val="36"/>
          <w:lang w:val="zh-CN"/>
        </w:rPr>
        <w:t>（招标编号：GDHD-ST-2021-14）</w:t>
      </w:r>
    </w:p>
    <w:p>
      <w:pPr>
        <w:spacing w:line="400" w:lineRule="atLeast"/>
        <w:jc w:val="center"/>
        <w:rPr>
          <w:rFonts w:hAnsi="宋体" w:cs="宋体"/>
          <w:b/>
          <w:bCs/>
          <w:color w:val="auto"/>
          <w:kern w:val="2"/>
          <w:sz w:val="36"/>
          <w:szCs w:val="36"/>
        </w:rPr>
      </w:pPr>
    </w:p>
    <w:p>
      <w:pPr>
        <w:spacing w:line="400" w:lineRule="atLeast"/>
        <w:jc w:val="center"/>
        <w:rPr>
          <w:rFonts w:hAnsi="宋体" w:cs="宋体"/>
          <w:b/>
          <w:bCs/>
          <w:color w:val="auto"/>
          <w:kern w:val="2"/>
          <w:sz w:val="36"/>
          <w:szCs w:val="36"/>
        </w:rPr>
      </w:pPr>
    </w:p>
    <w:p>
      <w:pPr>
        <w:spacing w:line="400" w:lineRule="atLeast"/>
        <w:jc w:val="center"/>
        <w:rPr>
          <w:rFonts w:hAnsi="宋体" w:cs="宋体"/>
          <w:b/>
          <w:bCs/>
          <w:color w:val="auto"/>
          <w:kern w:val="2"/>
          <w:sz w:val="36"/>
          <w:szCs w:val="36"/>
        </w:rPr>
      </w:pPr>
    </w:p>
    <w:p>
      <w:pPr>
        <w:spacing w:line="400" w:lineRule="atLeast"/>
        <w:jc w:val="center"/>
        <w:rPr>
          <w:rFonts w:hAnsi="宋体" w:cs="宋体"/>
          <w:b/>
          <w:bCs/>
          <w:color w:val="auto"/>
          <w:kern w:val="2"/>
          <w:sz w:val="72"/>
          <w:szCs w:val="72"/>
          <w:lang w:val="zh-CN"/>
        </w:rPr>
      </w:pPr>
      <w:r>
        <w:rPr>
          <w:rFonts w:hint="eastAsia" w:hAnsi="宋体" w:cs="宋体"/>
          <w:b/>
          <w:bCs/>
          <w:color w:val="auto"/>
          <w:kern w:val="2"/>
          <w:sz w:val="72"/>
          <w:szCs w:val="72"/>
          <w:lang w:val="zh-CN"/>
        </w:rPr>
        <w:t>评标工作大纲</w:t>
      </w:r>
    </w:p>
    <w:p>
      <w:pPr>
        <w:spacing w:line="400" w:lineRule="atLeast"/>
        <w:jc w:val="center"/>
        <w:rPr>
          <w:rFonts w:hAnsi="宋体" w:cs="宋体"/>
          <w:b/>
          <w:bCs/>
          <w:color w:val="auto"/>
          <w:kern w:val="2"/>
          <w:sz w:val="36"/>
          <w:szCs w:val="36"/>
        </w:rPr>
      </w:pPr>
    </w:p>
    <w:p>
      <w:pPr>
        <w:spacing w:line="400" w:lineRule="atLeast"/>
        <w:jc w:val="center"/>
        <w:rPr>
          <w:rFonts w:hAnsi="宋体" w:cs="宋体"/>
          <w:b/>
          <w:bCs/>
          <w:color w:val="auto"/>
          <w:kern w:val="2"/>
          <w:sz w:val="36"/>
          <w:szCs w:val="36"/>
        </w:rPr>
      </w:pPr>
    </w:p>
    <w:p>
      <w:pPr>
        <w:spacing w:line="400" w:lineRule="atLeast"/>
        <w:jc w:val="center"/>
        <w:rPr>
          <w:rFonts w:hAnsi="宋体" w:cs="宋体"/>
          <w:b/>
          <w:bCs/>
          <w:color w:val="auto"/>
          <w:kern w:val="2"/>
          <w:sz w:val="36"/>
          <w:szCs w:val="36"/>
        </w:rPr>
      </w:pPr>
    </w:p>
    <w:p>
      <w:pPr>
        <w:spacing w:line="400" w:lineRule="atLeast"/>
        <w:jc w:val="center"/>
        <w:rPr>
          <w:rFonts w:hAnsi="宋体" w:cs="宋体"/>
          <w:b/>
          <w:bCs/>
          <w:color w:val="auto"/>
          <w:kern w:val="2"/>
          <w:sz w:val="36"/>
          <w:szCs w:val="36"/>
        </w:rPr>
      </w:pPr>
    </w:p>
    <w:p>
      <w:pPr>
        <w:spacing w:line="400" w:lineRule="atLeast"/>
        <w:jc w:val="center"/>
        <w:rPr>
          <w:rFonts w:hAnsi="宋体" w:cs="宋体"/>
          <w:b/>
          <w:bCs/>
          <w:color w:val="auto"/>
          <w:kern w:val="2"/>
          <w:sz w:val="36"/>
          <w:szCs w:val="36"/>
        </w:rPr>
      </w:pPr>
    </w:p>
    <w:p>
      <w:pPr>
        <w:spacing w:line="400" w:lineRule="atLeast"/>
        <w:jc w:val="center"/>
        <w:rPr>
          <w:rFonts w:hAnsi="宋体" w:cs="宋体"/>
          <w:b/>
          <w:bCs/>
          <w:color w:val="auto"/>
          <w:kern w:val="2"/>
          <w:sz w:val="36"/>
          <w:szCs w:val="36"/>
        </w:rPr>
      </w:pPr>
    </w:p>
    <w:p>
      <w:pPr>
        <w:spacing w:line="400" w:lineRule="atLeast"/>
        <w:jc w:val="center"/>
        <w:rPr>
          <w:rFonts w:hAnsi="宋体" w:cs="宋体"/>
          <w:b/>
          <w:bCs/>
          <w:color w:val="auto"/>
          <w:kern w:val="2"/>
          <w:sz w:val="36"/>
          <w:szCs w:val="36"/>
        </w:rPr>
      </w:pPr>
    </w:p>
    <w:p>
      <w:pPr>
        <w:spacing w:line="400" w:lineRule="atLeast"/>
        <w:jc w:val="center"/>
        <w:rPr>
          <w:rFonts w:hAnsi="宋体" w:cs="宋体"/>
          <w:b/>
          <w:bCs/>
          <w:color w:val="auto"/>
          <w:kern w:val="2"/>
          <w:sz w:val="36"/>
          <w:szCs w:val="36"/>
        </w:rPr>
      </w:pPr>
      <w:r>
        <w:rPr>
          <w:rFonts w:hint="eastAsia" w:hAnsi="宋体" w:cs="宋体"/>
          <w:b/>
          <w:bCs/>
          <w:color w:val="auto"/>
          <w:kern w:val="2"/>
          <w:sz w:val="36"/>
          <w:szCs w:val="36"/>
          <w:lang w:val="zh-CN"/>
        </w:rPr>
        <w:t>广东华迪工程管理有限公司</w:t>
      </w:r>
    </w:p>
    <w:p>
      <w:pPr>
        <w:spacing w:line="400" w:lineRule="atLeast"/>
        <w:jc w:val="center"/>
        <w:rPr>
          <w:rFonts w:hAnsi="宋体" w:cs="宋体"/>
          <w:b/>
          <w:bCs/>
          <w:color w:val="auto"/>
          <w:kern w:val="2"/>
          <w:sz w:val="36"/>
          <w:szCs w:val="36"/>
        </w:rPr>
      </w:pPr>
    </w:p>
    <w:p>
      <w:pPr>
        <w:spacing w:line="400" w:lineRule="atLeast"/>
        <w:jc w:val="center"/>
        <w:rPr>
          <w:rFonts w:hAnsi="宋体" w:cs="宋体"/>
          <w:b/>
          <w:bCs/>
          <w:color w:val="auto"/>
          <w:kern w:val="2"/>
          <w:sz w:val="36"/>
          <w:szCs w:val="36"/>
        </w:rPr>
      </w:pPr>
      <w:r>
        <w:rPr>
          <w:rFonts w:hint="eastAsia" w:hAnsi="宋体" w:cs="宋体"/>
          <w:color w:val="auto"/>
          <w:kern w:val="2"/>
          <w:sz w:val="44"/>
          <w:szCs w:val="44"/>
        </w:rPr>
        <w:br w:type="page"/>
      </w:r>
      <w:r>
        <w:rPr>
          <w:rFonts w:hint="eastAsia" w:hAnsi="宋体" w:cs="宋体"/>
          <w:b/>
          <w:bCs/>
          <w:color w:val="auto"/>
          <w:kern w:val="2"/>
          <w:sz w:val="36"/>
          <w:szCs w:val="36"/>
          <w:lang w:val="zh-CN"/>
        </w:rPr>
        <w:t>目录</w:t>
      </w:r>
    </w:p>
    <w:p>
      <w:pPr>
        <w:spacing w:line="360" w:lineRule="auto"/>
        <w:rPr>
          <w:rFonts w:hAnsi="宋体" w:cs="宋体"/>
          <w:color w:val="auto"/>
          <w:kern w:val="2"/>
          <w:sz w:val="44"/>
          <w:szCs w:val="44"/>
        </w:rPr>
      </w:pPr>
    </w:p>
    <w:p>
      <w:pPr>
        <w:tabs>
          <w:tab w:val="left" w:pos="720"/>
        </w:tabs>
        <w:spacing w:line="360" w:lineRule="auto"/>
        <w:ind w:left="720" w:hanging="720"/>
        <w:jc w:val="both"/>
        <w:rPr>
          <w:rFonts w:hAnsi="宋体" w:cs="宋体"/>
          <w:color w:val="auto"/>
          <w:kern w:val="2"/>
          <w:sz w:val="21"/>
          <w:szCs w:val="30"/>
        </w:rPr>
      </w:pPr>
      <w:r>
        <w:rPr>
          <w:rFonts w:hint="eastAsia" w:hAnsi="宋体" w:cs="宋体"/>
          <w:color w:val="auto"/>
          <w:kern w:val="2"/>
          <w:sz w:val="21"/>
          <w:szCs w:val="30"/>
          <w:lang w:val="zh-CN"/>
        </w:rPr>
        <w:t>一、</w:t>
      </w:r>
      <w:r>
        <w:rPr>
          <w:rFonts w:hint="eastAsia" w:hAnsi="宋体" w:cs="宋体"/>
          <w:color w:val="auto"/>
          <w:kern w:val="2"/>
          <w:sz w:val="21"/>
          <w:szCs w:val="30"/>
          <w:lang w:val="zh-CN"/>
        </w:rPr>
        <w:tab/>
      </w:r>
      <w:r>
        <w:rPr>
          <w:rFonts w:hint="eastAsia" w:hAnsi="宋体" w:cs="宋体"/>
          <w:color w:val="auto"/>
          <w:kern w:val="2"/>
          <w:sz w:val="21"/>
          <w:szCs w:val="30"/>
          <w:lang w:val="zh-CN"/>
        </w:rPr>
        <w:t>总则</w:t>
      </w:r>
    </w:p>
    <w:p>
      <w:pPr>
        <w:spacing w:line="360" w:lineRule="auto"/>
        <w:jc w:val="both"/>
        <w:rPr>
          <w:rFonts w:hAnsi="宋体" w:cs="宋体"/>
          <w:color w:val="auto"/>
          <w:kern w:val="2"/>
          <w:sz w:val="21"/>
          <w:szCs w:val="30"/>
        </w:rPr>
      </w:pPr>
    </w:p>
    <w:p>
      <w:pPr>
        <w:tabs>
          <w:tab w:val="left" w:pos="720"/>
        </w:tabs>
        <w:spacing w:line="360" w:lineRule="auto"/>
        <w:ind w:left="720" w:hanging="720"/>
        <w:jc w:val="both"/>
        <w:rPr>
          <w:rFonts w:hAnsi="宋体" w:cs="宋体"/>
          <w:color w:val="auto"/>
          <w:kern w:val="2"/>
          <w:sz w:val="21"/>
          <w:szCs w:val="30"/>
        </w:rPr>
      </w:pPr>
      <w:r>
        <w:rPr>
          <w:rFonts w:hint="eastAsia" w:hAnsi="宋体" w:cs="宋体"/>
          <w:color w:val="auto"/>
          <w:kern w:val="2"/>
          <w:sz w:val="21"/>
          <w:szCs w:val="30"/>
          <w:lang w:val="zh-CN"/>
        </w:rPr>
        <w:t>二、</w:t>
      </w:r>
      <w:r>
        <w:rPr>
          <w:rFonts w:hint="eastAsia" w:hAnsi="宋体" w:cs="宋体"/>
          <w:color w:val="auto"/>
          <w:kern w:val="2"/>
          <w:sz w:val="21"/>
          <w:szCs w:val="30"/>
          <w:lang w:val="zh-CN"/>
        </w:rPr>
        <w:tab/>
      </w:r>
      <w:r>
        <w:rPr>
          <w:rFonts w:hint="eastAsia" w:hAnsi="宋体" w:cs="宋体"/>
          <w:color w:val="auto"/>
          <w:kern w:val="2"/>
          <w:sz w:val="21"/>
          <w:szCs w:val="30"/>
          <w:lang w:val="zh-CN"/>
        </w:rPr>
        <w:t>投标文件的初审</w:t>
      </w:r>
    </w:p>
    <w:p>
      <w:pPr>
        <w:spacing w:line="360" w:lineRule="auto"/>
        <w:jc w:val="both"/>
        <w:rPr>
          <w:rFonts w:hAnsi="宋体" w:cs="宋体"/>
          <w:color w:val="auto"/>
          <w:kern w:val="2"/>
          <w:sz w:val="21"/>
          <w:szCs w:val="30"/>
        </w:rPr>
      </w:pPr>
    </w:p>
    <w:p>
      <w:pPr>
        <w:tabs>
          <w:tab w:val="left" w:pos="720"/>
        </w:tabs>
        <w:spacing w:line="360" w:lineRule="auto"/>
        <w:ind w:left="720" w:hanging="720"/>
        <w:jc w:val="both"/>
        <w:rPr>
          <w:rFonts w:hAnsi="宋体" w:cs="宋体"/>
          <w:color w:val="auto"/>
          <w:kern w:val="2"/>
          <w:sz w:val="21"/>
          <w:szCs w:val="30"/>
        </w:rPr>
      </w:pPr>
      <w:r>
        <w:rPr>
          <w:rFonts w:hint="eastAsia" w:hAnsi="宋体" w:cs="宋体"/>
          <w:color w:val="auto"/>
          <w:kern w:val="2"/>
          <w:sz w:val="21"/>
          <w:szCs w:val="30"/>
          <w:lang w:val="zh-CN"/>
        </w:rPr>
        <w:t>三、</w:t>
      </w:r>
      <w:r>
        <w:rPr>
          <w:rFonts w:hint="eastAsia" w:hAnsi="宋体" w:cs="宋体"/>
          <w:color w:val="auto"/>
          <w:kern w:val="2"/>
          <w:sz w:val="21"/>
          <w:szCs w:val="30"/>
          <w:lang w:val="zh-CN"/>
        </w:rPr>
        <w:tab/>
      </w:r>
      <w:r>
        <w:rPr>
          <w:rFonts w:hint="eastAsia" w:hAnsi="宋体" w:cs="宋体"/>
          <w:color w:val="auto"/>
          <w:kern w:val="2"/>
          <w:sz w:val="21"/>
          <w:szCs w:val="30"/>
          <w:lang w:val="zh-CN"/>
        </w:rPr>
        <w:t>澄清有关问题</w:t>
      </w:r>
    </w:p>
    <w:p>
      <w:pPr>
        <w:tabs>
          <w:tab w:val="left" w:pos="720"/>
        </w:tabs>
        <w:spacing w:line="360" w:lineRule="auto"/>
        <w:ind w:left="720" w:hanging="720"/>
        <w:jc w:val="both"/>
        <w:rPr>
          <w:rFonts w:hAnsi="宋体" w:cs="宋体"/>
          <w:color w:val="auto"/>
          <w:kern w:val="2"/>
          <w:sz w:val="21"/>
          <w:szCs w:val="30"/>
        </w:rPr>
      </w:pPr>
    </w:p>
    <w:p>
      <w:pPr>
        <w:tabs>
          <w:tab w:val="left" w:pos="720"/>
        </w:tabs>
        <w:spacing w:line="360" w:lineRule="auto"/>
        <w:ind w:left="720" w:hanging="720"/>
        <w:jc w:val="both"/>
        <w:rPr>
          <w:rFonts w:hAnsi="宋体" w:cs="宋体"/>
          <w:color w:val="auto"/>
          <w:kern w:val="2"/>
          <w:sz w:val="21"/>
          <w:szCs w:val="30"/>
        </w:rPr>
      </w:pPr>
      <w:r>
        <w:rPr>
          <w:rFonts w:hint="eastAsia" w:hAnsi="宋体" w:cs="宋体"/>
          <w:color w:val="auto"/>
          <w:kern w:val="2"/>
          <w:sz w:val="21"/>
          <w:szCs w:val="30"/>
        </w:rPr>
        <w:t>四、   比较和评价</w:t>
      </w:r>
    </w:p>
    <w:p>
      <w:pPr>
        <w:spacing w:line="360" w:lineRule="auto"/>
        <w:jc w:val="both"/>
        <w:rPr>
          <w:rFonts w:hAnsi="宋体" w:cs="宋体"/>
          <w:color w:val="auto"/>
          <w:kern w:val="2"/>
          <w:sz w:val="21"/>
          <w:szCs w:val="30"/>
        </w:rPr>
      </w:pPr>
    </w:p>
    <w:p>
      <w:pPr>
        <w:tabs>
          <w:tab w:val="left" w:pos="720"/>
        </w:tabs>
        <w:spacing w:line="360" w:lineRule="auto"/>
        <w:ind w:left="720" w:hanging="720"/>
        <w:jc w:val="both"/>
        <w:rPr>
          <w:rFonts w:hAnsi="宋体" w:cs="宋体"/>
          <w:color w:val="auto"/>
          <w:kern w:val="2"/>
          <w:sz w:val="21"/>
          <w:szCs w:val="30"/>
        </w:rPr>
      </w:pPr>
      <w:r>
        <w:rPr>
          <w:rFonts w:hint="eastAsia" w:hAnsi="宋体" w:cs="宋体"/>
          <w:color w:val="auto"/>
          <w:kern w:val="2"/>
          <w:sz w:val="21"/>
          <w:szCs w:val="30"/>
          <w:lang w:val="zh-CN"/>
        </w:rPr>
        <w:t>五、</w:t>
      </w:r>
      <w:r>
        <w:rPr>
          <w:rFonts w:hint="eastAsia" w:hAnsi="宋体" w:cs="宋体"/>
          <w:color w:val="auto"/>
          <w:kern w:val="2"/>
          <w:sz w:val="21"/>
          <w:szCs w:val="30"/>
          <w:lang w:val="zh-CN"/>
        </w:rPr>
        <w:tab/>
      </w:r>
      <w:r>
        <w:rPr>
          <w:rFonts w:hint="eastAsia" w:hAnsi="宋体" w:cs="宋体"/>
          <w:color w:val="auto"/>
          <w:kern w:val="2"/>
          <w:sz w:val="21"/>
          <w:szCs w:val="30"/>
          <w:lang w:val="zh-CN"/>
        </w:rPr>
        <w:t>推荐中标候选人名单</w:t>
      </w:r>
    </w:p>
    <w:p>
      <w:pPr>
        <w:spacing w:line="360" w:lineRule="auto"/>
        <w:jc w:val="both"/>
        <w:rPr>
          <w:rFonts w:hAnsi="宋体" w:cs="宋体"/>
          <w:color w:val="auto"/>
          <w:kern w:val="2"/>
          <w:sz w:val="21"/>
          <w:szCs w:val="30"/>
        </w:rPr>
      </w:pPr>
    </w:p>
    <w:p>
      <w:pPr>
        <w:tabs>
          <w:tab w:val="left" w:pos="720"/>
        </w:tabs>
        <w:spacing w:line="360" w:lineRule="auto"/>
        <w:ind w:left="720" w:hanging="720"/>
        <w:jc w:val="both"/>
        <w:rPr>
          <w:rFonts w:hAnsi="宋体" w:cs="宋体"/>
          <w:color w:val="auto"/>
          <w:kern w:val="2"/>
          <w:sz w:val="21"/>
          <w:szCs w:val="30"/>
        </w:rPr>
      </w:pPr>
      <w:r>
        <w:rPr>
          <w:rFonts w:hint="eastAsia" w:hAnsi="宋体" w:cs="宋体"/>
          <w:color w:val="auto"/>
          <w:kern w:val="2"/>
          <w:sz w:val="21"/>
          <w:szCs w:val="30"/>
          <w:lang w:val="zh-CN"/>
        </w:rPr>
        <w:t>六、</w:t>
      </w:r>
      <w:r>
        <w:rPr>
          <w:rFonts w:hint="eastAsia" w:hAnsi="宋体" w:cs="宋体"/>
          <w:color w:val="auto"/>
          <w:kern w:val="2"/>
          <w:sz w:val="21"/>
          <w:szCs w:val="30"/>
          <w:lang w:val="zh-CN"/>
        </w:rPr>
        <w:tab/>
      </w:r>
      <w:r>
        <w:rPr>
          <w:rFonts w:hint="eastAsia" w:hAnsi="宋体" w:cs="宋体"/>
          <w:color w:val="auto"/>
          <w:kern w:val="2"/>
          <w:sz w:val="21"/>
          <w:szCs w:val="30"/>
          <w:lang w:val="zh-CN"/>
        </w:rPr>
        <w:t>编写评标报告</w:t>
      </w:r>
    </w:p>
    <w:p>
      <w:pPr>
        <w:spacing w:line="360" w:lineRule="auto"/>
        <w:jc w:val="both"/>
        <w:rPr>
          <w:rFonts w:hAnsi="宋体" w:cs="宋体"/>
          <w:color w:val="auto"/>
          <w:kern w:val="2"/>
          <w:sz w:val="21"/>
          <w:szCs w:val="30"/>
        </w:rPr>
      </w:pPr>
    </w:p>
    <w:p>
      <w:pPr>
        <w:tabs>
          <w:tab w:val="left" w:pos="720"/>
        </w:tabs>
        <w:spacing w:line="360" w:lineRule="auto"/>
        <w:ind w:left="720" w:hanging="720"/>
        <w:jc w:val="both"/>
        <w:rPr>
          <w:rFonts w:hAnsi="宋体" w:cs="宋体"/>
          <w:color w:val="auto"/>
          <w:kern w:val="2"/>
          <w:sz w:val="21"/>
          <w:szCs w:val="30"/>
        </w:rPr>
      </w:pPr>
      <w:r>
        <w:rPr>
          <w:rFonts w:hint="eastAsia" w:hAnsi="宋体" w:cs="宋体"/>
          <w:color w:val="auto"/>
          <w:kern w:val="2"/>
          <w:sz w:val="21"/>
          <w:szCs w:val="30"/>
          <w:lang w:val="zh-CN"/>
        </w:rPr>
        <w:t>七、</w:t>
      </w:r>
      <w:r>
        <w:rPr>
          <w:rFonts w:hint="eastAsia" w:hAnsi="宋体" w:cs="宋体"/>
          <w:color w:val="auto"/>
          <w:kern w:val="2"/>
          <w:sz w:val="21"/>
          <w:szCs w:val="30"/>
          <w:lang w:val="zh-CN"/>
        </w:rPr>
        <w:tab/>
      </w:r>
      <w:r>
        <w:rPr>
          <w:rFonts w:hint="eastAsia" w:hAnsi="宋体" w:cs="宋体"/>
          <w:color w:val="auto"/>
          <w:kern w:val="2"/>
          <w:sz w:val="21"/>
          <w:szCs w:val="30"/>
          <w:lang w:val="zh-CN"/>
        </w:rPr>
        <w:t>注意事项</w:t>
      </w:r>
    </w:p>
    <w:p>
      <w:pPr>
        <w:tabs>
          <w:tab w:val="right" w:pos="7320"/>
        </w:tabs>
        <w:spacing w:line="360" w:lineRule="auto"/>
        <w:ind w:left="720" w:hanging="720"/>
        <w:jc w:val="both"/>
        <w:rPr>
          <w:rFonts w:hAnsi="宋体" w:cs="宋体"/>
          <w:color w:val="auto"/>
          <w:kern w:val="2"/>
          <w:sz w:val="21"/>
          <w:szCs w:val="30"/>
        </w:rPr>
      </w:pPr>
    </w:p>
    <w:p>
      <w:pPr>
        <w:tabs>
          <w:tab w:val="right" w:pos="7320"/>
        </w:tabs>
        <w:spacing w:line="360" w:lineRule="auto"/>
        <w:ind w:left="720" w:hanging="720"/>
        <w:jc w:val="both"/>
        <w:rPr>
          <w:rFonts w:hAnsi="宋体" w:cs="宋体"/>
          <w:color w:val="auto"/>
          <w:kern w:val="2"/>
          <w:sz w:val="21"/>
          <w:szCs w:val="30"/>
        </w:rPr>
      </w:pPr>
    </w:p>
    <w:p>
      <w:pPr>
        <w:pageBreakBefore/>
        <w:tabs>
          <w:tab w:val="left" w:pos="1140"/>
        </w:tabs>
        <w:spacing w:line="360" w:lineRule="auto"/>
        <w:jc w:val="center"/>
        <w:rPr>
          <w:rFonts w:hAnsi="宋体" w:cs="宋体"/>
          <w:b/>
          <w:bCs/>
          <w:color w:val="auto"/>
          <w:kern w:val="2"/>
          <w:sz w:val="28"/>
          <w:szCs w:val="28"/>
        </w:rPr>
      </w:pPr>
      <w:r>
        <w:rPr>
          <w:rFonts w:hint="eastAsia" w:hAnsi="宋体" w:cs="宋体"/>
          <w:color w:val="auto"/>
          <w:kern w:val="2"/>
          <w:sz w:val="28"/>
          <w:szCs w:val="28"/>
          <w:lang w:val="zh-CN"/>
        </w:rPr>
        <w:t>一、</w:t>
      </w:r>
      <w:r>
        <w:rPr>
          <w:rFonts w:hint="eastAsia" w:hAnsi="宋体" w:cs="宋体"/>
          <w:b/>
          <w:bCs/>
          <w:color w:val="auto"/>
          <w:kern w:val="2"/>
          <w:sz w:val="28"/>
          <w:szCs w:val="28"/>
          <w:lang w:val="zh-CN"/>
        </w:rPr>
        <w:t>总则</w:t>
      </w:r>
    </w:p>
    <w:p>
      <w:pPr>
        <w:tabs>
          <w:tab w:val="left" w:pos="567"/>
          <w:tab w:val="left" w:pos="600"/>
        </w:tabs>
        <w:spacing w:line="360" w:lineRule="auto"/>
        <w:ind w:left="600" w:hanging="600"/>
        <w:jc w:val="both"/>
        <w:rPr>
          <w:rFonts w:hAnsi="宋体" w:cs="宋体"/>
          <w:b/>
          <w:bCs/>
          <w:color w:val="auto"/>
          <w:kern w:val="2"/>
          <w:sz w:val="21"/>
          <w:lang w:val="zh-CN"/>
        </w:rPr>
      </w:pPr>
      <w:r>
        <w:rPr>
          <w:rFonts w:hint="eastAsia" w:hAnsi="宋体" w:cs="宋体"/>
          <w:b/>
          <w:bCs/>
          <w:color w:val="auto"/>
          <w:kern w:val="2"/>
          <w:sz w:val="21"/>
          <w:lang w:val="zh-CN"/>
        </w:rPr>
        <w:t>1、一般规定</w:t>
      </w:r>
    </w:p>
    <w:p>
      <w:pPr>
        <w:tabs>
          <w:tab w:val="left" w:pos="567"/>
        </w:tabs>
        <w:spacing w:line="360" w:lineRule="auto"/>
        <w:ind w:left="567" w:hanging="567"/>
        <w:jc w:val="both"/>
        <w:rPr>
          <w:rFonts w:hAnsi="宋体" w:cs="宋体"/>
          <w:color w:val="auto"/>
          <w:kern w:val="2"/>
          <w:sz w:val="21"/>
          <w:lang w:val="zh-CN"/>
        </w:rPr>
      </w:pPr>
      <w:r>
        <w:rPr>
          <w:rFonts w:hint="eastAsia" w:hAnsi="宋体" w:cs="宋体"/>
          <w:color w:val="auto"/>
          <w:kern w:val="2"/>
          <w:sz w:val="21"/>
          <w:szCs w:val="21"/>
          <w:lang w:val="zh-CN"/>
        </w:rPr>
        <w:t>1.1</w:t>
      </w:r>
      <w:r>
        <w:rPr>
          <w:rFonts w:hint="eastAsia" w:hAnsi="宋体" w:cs="宋体"/>
          <w:color w:val="auto"/>
          <w:kern w:val="2"/>
          <w:sz w:val="21"/>
          <w:lang w:val="zh-CN"/>
        </w:rPr>
        <w:tab/>
      </w:r>
      <w:r>
        <w:rPr>
          <w:rFonts w:hint="eastAsia" w:hAnsi="宋体" w:cs="宋体"/>
          <w:color w:val="auto"/>
          <w:sz w:val="21"/>
          <w:szCs w:val="32"/>
        </w:rPr>
        <w:t>东莞市水务集团管网有限公司2022年食堂食材配送服务采购项目</w:t>
      </w:r>
      <w:r>
        <w:rPr>
          <w:rFonts w:hint="eastAsia" w:hAnsi="宋体" w:cs="宋体"/>
          <w:color w:val="auto"/>
          <w:kern w:val="2"/>
          <w:sz w:val="21"/>
          <w:szCs w:val="21"/>
          <w:lang w:val="zh-CN"/>
        </w:rPr>
        <w:t>(招标编号：GDHD-ST-2021-14)</w:t>
      </w:r>
      <w:r>
        <w:rPr>
          <w:rFonts w:hint="eastAsia" w:hAnsi="宋体" w:cs="宋体"/>
          <w:color w:val="auto"/>
          <w:kern w:val="2"/>
          <w:sz w:val="21"/>
          <w:lang w:val="zh-CN"/>
        </w:rPr>
        <w:t>的采购按照《中华人民共和国招标投标法》等有关规定进行。</w:t>
      </w:r>
    </w:p>
    <w:p>
      <w:pPr>
        <w:tabs>
          <w:tab w:val="left" w:pos="567"/>
        </w:tabs>
        <w:spacing w:line="360" w:lineRule="auto"/>
        <w:ind w:left="567" w:hanging="567"/>
        <w:jc w:val="both"/>
        <w:rPr>
          <w:rFonts w:hAnsi="宋体" w:cs="宋体"/>
          <w:color w:val="auto"/>
          <w:kern w:val="2"/>
          <w:sz w:val="21"/>
          <w:lang w:val="zh-CN"/>
        </w:rPr>
      </w:pPr>
      <w:r>
        <w:rPr>
          <w:rFonts w:hint="eastAsia" w:hAnsi="宋体" w:cs="宋体"/>
          <w:color w:val="auto"/>
          <w:kern w:val="2"/>
          <w:sz w:val="21"/>
          <w:lang w:val="zh-CN"/>
        </w:rPr>
        <w:t>1.2</w:t>
      </w:r>
      <w:r>
        <w:rPr>
          <w:rFonts w:hint="eastAsia" w:hAnsi="宋体" w:cs="宋体"/>
          <w:color w:val="auto"/>
          <w:kern w:val="2"/>
          <w:sz w:val="21"/>
          <w:lang w:val="zh-CN"/>
        </w:rPr>
        <w:tab/>
      </w:r>
      <w:r>
        <w:rPr>
          <w:rFonts w:hint="eastAsia" w:hAnsi="宋体" w:cs="宋体"/>
          <w:color w:val="auto"/>
          <w:kern w:val="2"/>
          <w:sz w:val="21"/>
          <w:lang w:val="zh-CN"/>
        </w:rPr>
        <w:t>评标必须遵循公开、公平、公正、诚实信用的原则。</w:t>
      </w:r>
    </w:p>
    <w:p>
      <w:pPr>
        <w:tabs>
          <w:tab w:val="left" w:pos="567"/>
        </w:tabs>
        <w:spacing w:line="360" w:lineRule="auto"/>
        <w:ind w:left="567" w:hanging="567"/>
        <w:jc w:val="both"/>
        <w:rPr>
          <w:rFonts w:hAnsi="宋体" w:cs="宋体"/>
          <w:color w:val="auto"/>
          <w:kern w:val="2"/>
          <w:sz w:val="21"/>
          <w:lang w:val="zh-CN"/>
        </w:rPr>
      </w:pPr>
      <w:r>
        <w:rPr>
          <w:rFonts w:hint="eastAsia" w:hAnsi="宋体" w:cs="宋体"/>
          <w:color w:val="auto"/>
          <w:kern w:val="2"/>
          <w:sz w:val="21"/>
          <w:lang w:val="zh-CN"/>
        </w:rPr>
        <w:t>1.3</w:t>
      </w:r>
      <w:r>
        <w:rPr>
          <w:rFonts w:hint="eastAsia" w:hAnsi="宋体" w:cs="宋体"/>
          <w:color w:val="auto"/>
          <w:kern w:val="2"/>
          <w:sz w:val="21"/>
          <w:lang w:val="zh-CN"/>
        </w:rPr>
        <w:tab/>
      </w:r>
      <w:r>
        <w:rPr>
          <w:rFonts w:hint="eastAsia" w:hAnsi="宋体" w:cs="宋体"/>
          <w:color w:val="auto"/>
          <w:kern w:val="2"/>
          <w:sz w:val="21"/>
          <w:lang w:val="zh-CN"/>
        </w:rPr>
        <w:t>招标代理机构（广东华迪工程管理有限公司）组织评标工作，全过程接受招标人、主管部门的监督、管理和指导。</w:t>
      </w:r>
    </w:p>
    <w:p>
      <w:pPr>
        <w:spacing w:line="360" w:lineRule="auto"/>
        <w:ind w:left="567" w:hanging="567"/>
        <w:jc w:val="both"/>
        <w:rPr>
          <w:rFonts w:hAnsi="宋体" w:cs="宋体"/>
          <w:color w:val="auto"/>
          <w:kern w:val="2"/>
          <w:sz w:val="21"/>
          <w:lang w:val="zh-CN"/>
        </w:rPr>
      </w:pPr>
      <w:r>
        <w:rPr>
          <w:rFonts w:hint="eastAsia" w:hAnsi="宋体" w:cs="宋体"/>
          <w:color w:val="auto"/>
          <w:kern w:val="2"/>
          <w:sz w:val="21"/>
          <w:lang w:val="zh-CN"/>
        </w:rPr>
        <w:t>1.4</w:t>
      </w:r>
      <w:r>
        <w:rPr>
          <w:rFonts w:hint="eastAsia" w:hAnsi="宋体" w:cs="宋体"/>
          <w:color w:val="auto"/>
          <w:kern w:val="2"/>
          <w:sz w:val="21"/>
          <w:lang w:val="zh-CN"/>
        </w:rPr>
        <w:tab/>
      </w:r>
      <w:r>
        <w:rPr>
          <w:rFonts w:hint="eastAsia" w:hAnsi="宋体" w:cs="宋体"/>
          <w:color w:val="auto"/>
          <w:kern w:val="2"/>
          <w:sz w:val="21"/>
          <w:lang w:val="zh-CN"/>
        </w:rPr>
        <w:t>评标按照招标文件规定的内容进行，采取综合评分法进行评审。</w:t>
      </w:r>
    </w:p>
    <w:p>
      <w:pPr>
        <w:spacing w:line="360" w:lineRule="auto"/>
        <w:ind w:left="567" w:hanging="567"/>
        <w:jc w:val="both"/>
        <w:rPr>
          <w:rFonts w:hAnsi="宋体" w:cs="宋体"/>
          <w:color w:val="auto"/>
          <w:kern w:val="2"/>
          <w:sz w:val="21"/>
          <w:lang w:val="zh-CN"/>
        </w:rPr>
      </w:pPr>
      <w:r>
        <w:rPr>
          <w:rFonts w:hint="eastAsia" w:hAnsi="宋体" w:cs="宋体"/>
          <w:color w:val="auto"/>
          <w:kern w:val="2"/>
          <w:sz w:val="21"/>
          <w:lang w:val="zh-CN"/>
        </w:rPr>
        <w:t>1.5</w:t>
      </w:r>
      <w:r>
        <w:rPr>
          <w:rFonts w:hint="eastAsia" w:hAnsi="宋体" w:cs="宋体"/>
          <w:color w:val="auto"/>
          <w:kern w:val="2"/>
          <w:sz w:val="21"/>
          <w:lang w:val="zh-CN"/>
        </w:rPr>
        <w:tab/>
      </w:r>
      <w:r>
        <w:rPr>
          <w:rFonts w:hint="eastAsia" w:hAnsi="宋体" w:cs="宋体"/>
          <w:color w:val="auto"/>
          <w:kern w:val="2"/>
          <w:sz w:val="21"/>
          <w:lang w:val="zh-CN"/>
        </w:rPr>
        <w:t>本办法的评审对象是指投标人按照招标文件要求提供的有效投标文件，包括投标人应评标委员会要求对原投标文件作出的正式书面澄清文件。</w:t>
      </w:r>
    </w:p>
    <w:p>
      <w:pPr>
        <w:spacing w:line="360" w:lineRule="auto"/>
        <w:jc w:val="both"/>
        <w:rPr>
          <w:rFonts w:hAnsi="宋体" w:cs="宋体"/>
          <w:color w:val="auto"/>
          <w:kern w:val="2"/>
          <w:lang w:val="zh-CN"/>
        </w:rPr>
      </w:pPr>
    </w:p>
    <w:p>
      <w:pPr>
        <w:tabs>
          <w:tab w:val="left" w:pos="360"/>
          <w:tab w:val="left" w:pos="600"/>
        </w:tabs>
        <w:spacing w:line="360" w:lineRule="auto"/>
        <w:ind w:left="600" w:hanging="600"/>
        <w:jc w:val="both"/>
        <w:rPr>
          <w:rFonts w:hAnsi="宋体" w:cs="宋体"/>
          <w:b/>
          <w:bCs/>
          <w:color w:val="auto"/>
          <w:kern w:val="2"/>
          <w:sz w:val="21"/>
          <w:lang w:val="zh-CN"/>
        </w:rPr>
      </w:pPr>
      <w:r>
        <w:rPr>
          <w:rFonts w:hint="eastAsia" w:hAnsi="宋体" w:cs="宋体"/>
          <w:b/>
          <w:bCs/>
          <w:color w:val="auto"/>
          <w:kern w:val="2"/>
          <w:sz w:val="21"/>
          <w:lang w:val="zh-CN"/>
        </w:rPr>
        <w:t>2、</w:t>
      </w:r>
      <w:r>
        <w:rPr>
          <w:rFonts w:hint="eastAsia" w:hAnsi="宋体" w:cs="宋体"/>
          <w:b/>
          <w:bCs/>
          <w:color w:val="auto"/>
          <w:kern w:val="2"/>
          <w:sz w:val="21"/>
          <w:lang w:val="zh-CN"/>
        </w:rPr>
        <w:tab/>
      </w:r>
      <w:r>
        <w:rPr>
          <w:rFonts w:hint="eastAsia" w:hAnsi="宋体" w:cs="宋体"/>
          <w:b/>
          <w:bCs/>
          <w:color w:val="auto"/>
          <w:kern w:val="2"/>
          <w:sz w:val="21"/>
          <w:lang w:val="zh-CN"/>
        </w:rPr>
        <w:t>评标组织机构的组成</w:t>
      </w:r>
    </w:p>
    <w:p>
      <w:pPr>
        <w:spacing w:line="360" w:lineRule="auto"/>
        <w:ind w:left="567" w:hanging="567"/>
        <w:jc w:val="both"/>
        <w:rPr>
          <w:rFonts w:hAnsi="宋体" w:cs="宋体"/>
          <w:color w:val="auto"/>
          <w:kern w:val="2"/>
          <w:sz w:val="21"/>
          <w:lang w:val="zh-CN"/>
        </w:rPr>
      </w:pPr>
      <w:r>
        <w:rPr>
          <w:rFonts w:hint="eastAsia" w:hAnsi="宋体" w:cs="宋体"/>
          <w:color w:val="auto"/>
          <w:kern w:val="2"/>
          <w:sz w:val="21"/>
          <w:lang w:val="zh-CN"/>
        </w:rPr>
        <w:t>2.1</w:t>
      </w:r>
      <w:r>
        <w:rPr>
          <w:rFonts w:hint="eastAsia" w:hAnsi="宋体" w:cs="宋体"/>
          <w:color w:val="auto"/>
          <w:kern w:val="2"/>
          <w:sz w:val="21"/>
          <w:lang w:val="zh-CN"/>
        </w:rPr>
        <w:tab/>
      </w:r>
      <w:r>
        <w:rPr>
          <w:rFonts w:hint="eastAsia" w:hAnsi="宋体" w:cs="宋体"/>
          <w:color w:val="auto"/>
          <w:kern w:val="2"/>
          <w:sz w:val="21"/>
          <w:lang w:val="zh-CN"/>
        </w:rPr>
        <w:t>评标委员会</w:t>
      </w:r>
      <w:r>
        <w:rPr>
          <w:rFonts w:hint="eastAsia" w:hAnsi="宋体" w:cs="宋体"/>
          <w:color w:val="auto"/>
          <w:sz w:val="21"/>
        </w:rPr>
        <w:t>由招标人的代表和技术、经济等方面的专家组成，成员为5人以上（含5人）单数，其中技术、经济等方面的专家不少于成员总数的三分之二。</w:t>
      </w:r>
      <w:r>
        <w:rPr>
          <w:rFonts w:hint="eastAsia" w:hAnsi="宋体" w:cs="宋体"/>
          <w:color w:val="auto"/>
          <w:kern w:val="2"/>
          <w:sz w:val="21"/>
          <w:lang w:val="zh-CN"/>
        </w:rPr>
        <w:t>专家依法从</w:t>
      </w:r>
      <w:r>
        <w:rPr>
          <w:rFonts w:hint="eastAsia" w:hAnsi="宋体" w:cs="宋体"/>
          <w:color w:val="auto"/>
          <w:sz w:val="21"/>
        </w:rPr>
        <w:t>专家库中随机抽取产生。</w:t>
      </w:r>
    </w:p>
    <w:p>
      <w:pPr>
        <w:tabs>
          <w:tab w:val="left" w:pos="567"/>
          <w:tab w:val="left" w:pos="1145"/>
        </w:tabs>
        <w:spacing w:line="360" w:lineRule="auto"/>
        <w:ind w:left="600" w:hanging="600"/>
        <w:jc w:val="both"/>
        <w:rPr>
          <w:rFonts w:hAnsi="宋体" w:cs="宋体"/>
          <w:color w:val="auto"/>
          <w:kern w:val="2"/>
          <w:sz w:val="21"/>
          <w:lang w:val="zh-CN"/>
        </w:rPr>
      </w:pPr>
      <w:r>
        <w:rPr>
          <w:rFonts w:hint="eastAsia" w:hAnsi="宋体" w:cs="宋体"/>
          <w:color w:val="auto"/>
          <w:kern w:val="2"/>
          <w:sz w:val="21"/>
          <w:lang w:val="zh-CN"/>
        </w:rPr>
        <w:t>2.2</w:t>
      </w:r>
      <w:r>
        <w:rPr>
          <w:rFonts w:hint="eastAsia" w:hAnsi="宋体" w:cs="宋体"/>
          <w:color w:val="auto"/>
          <w:kern w:val="2"/>
          <w:sz w:val="21"/>
          <w:lang w:val="zh-CN"/>
        </w:rPr>
        <w:tab/>
      </w:r>
      <w:r>
        <w:rPr>
          <w:rFonts w:hint="eastAsia" w:hAnsi="宋体" w:cs="宋体"/>
          <w:color w:val="auto"/>
          <w:kern w:val="2"/>
          <w:sz w:val="21"/>
          <w:lang w:val="zh-CN"/>
        </w:rPr>
        <w:t>评标工作组由招标人、招标代理机构及有关专家组成，由评标委员会确认，并接受其领导。</w:t>
      </w:r>
    </w:p>
    <w:p>
      <w:pPr>
        <w:spacing w:line="360" w:lineRule="auto"/>
        <w:ind w:left="567" w:hanging="567"/>
        <w:jc w:val="both"/>
        <w:rPr>
          <w:rFonts w:hAnsi="宋体" w:cs="宋体"/>
          <w:color w:val="auto"/>
          <w:kern w:val="2"/>
          <w:sz w:val="21"/>
          <w:lang w:val="zh-CN"/>
        </w:rPr>
      </w:pPr>
      <w:r>
        <w:rPr>
          <w:rFonts w:hint="eastAsia" w:hAnsi="宋体" w:cs="宋体"/>
          <w:color w:val="auto"/>
          <w:kern w:val="2"/>
          <w:sz w:val="21"/>
          <w:lang w:val="zh-CN"/>
        </w:rPr>
        <w:t>2.3</w:t>
      </w:r>
      <w:r>
        <w:rPr>
          <w:rFonts w:hint="eastAsia" w:hAnsi="宋体" w:cs="宋体"/>
          <w:color w:val="auto"/>
          <w:kern w:val="2"/>
          <w:sz w:val="21"/>
          <w:lang w:val="zh-CN"/>
        </w:rPr>
        <w:tab/>
      </w:r>
      <w:r>
        <w:rPr>
          <w:rFonts w:hint="eastAsia" w:hAnsi="宋体" w:cs="宋体"/>
          <w:color w:val="auto"/>
          <w:kern w:val="2"/>
          <w:sz w:val="21"/>
          <w:lang w:val="zh-CN"/>
        </w:rPr>
        <w:t>评标工作组分成评标委员会、招标代理机构秘书组。</w:t>
      </w:r>
    </w:p>
    <w:p>
      <w:pPr>
        <w:spacing w:line="360" w:lineRule="auto"/>
        <w:ind w:left="567" w:hanging="567"/>
        <w:jc w:val="both"/>
        <w:rPr>
          <w:rFonts w:hAnsi="宋体" w:cs="宋体"/>
          <w:color w:val="auto"/>
          <w:kern w:val="2"/>
          <w:sz w:val="21"/>
          <w:lang w:val="zh-CN"/>
        </w:rPr>
      </w:pPr>
      <w:r>
        <w:rPr>
          <w:rFonts w:hint="eastAsia" w:hAnsi="宋体" w:cs="宋体"/>
          <w:color w:val="auto"/>
          <w:kern w:val="2"/>
          <w:sz w:val="21"/>
          <w:lang w:val="zh-CN"/>
        </w:rPr>
        <w:t>2.4</w:t>
      </w:r>
      <w:r>
        <w:rPr>
          <w:rFonts w:hint="eastAsia" w:hAnsi="宋体" w:cs="宋体"/>
          <w:color w:val="auto"/>
          <w:kern w:val="2"/>
          <w:sz w:val="21"/>
          <w:lang w:val="zh-CN"/>
        </w:rPr>
        <w:tab/>
      </w:r>
      <w:r>
        <w:rPr>
          <w:rFonts w:hint="eastAsia" w:hAnsi="宋体" w:cs="宋体"/>
          <w:color w:val="auto"/>
          <w:kern w:val="2"/>
          <w:sz w:val="21"/>
          <w:lang w:val="zh-CN"/>
        </w:rPr>
        <w:t>评标委员会应相对独立工作，负责评审、撰写评标报告。招标代理机构秘书组负责评标过程中资料的保管、发放、回收，协调技术和评标委员会评标工作的进展和整理、汇总评标资料及复核。</w:t>
      </w:r>
    </w:p>
    <w:p>
      <w:pPr>
        <w:spacing w:line="360" w:lineRule="auto"/>
        <w:jc w:val="both"/>
        <w:rPr>
          <w:rFonts w:hAnsi="宋体" w:cs="宋体"/>
          <w:color w:val="auto"/>
          <w:kern w:val="2"/>
          <w:lang w:val="zh-CN"/>
        </w:rPr>
      </w:pPr>
    </w:p>
    <w:p>
      <w:pPr>
        <w:spacing w:line="360" w:lineRule="auto"/>
        <w:jc w:val="both"/>
        <w:rPr>
          <w:rFonts w:hAnsi="宋体" w:cs="宋体"/>
          <w:color w:val="auto"/>
          <w:kern w:val="2"/>
          <w:lang w:val="zh-CN"/>
        </w:rPr>
      </w:pPr>
      <w:r>
        <w:rPr>
          <w:rFonts w:hint="eastAsia" w:hAnsi="宋体" w:cs="宋体"/>
          <w:b/>
          <w:color w:val="auto"/>
          <w:kern w:val="2"/>
          <w:sz w:val="21"/>
          <w:szCs w:val="21"/>
          <w:lang w:val="zh-CN"/>
        </w:rPr>
        <w:t>3、</w:t>
      </w:r>
      <w:r>
        <w:rPr>
          <w:rFonts w:hint="eastAsia" w:hAnsi="宋体" w:cs="宋体"/>
          <w:b/>
          <w:bCs/>
          <w:color w:val="auto"/>
          <w:kern w:val="2"/>
          <w:sz w:val="21"/>
          <w:szCs w:val="21"/>
          <w:lang w:val="zh-CN"/>
        </w:rPr>
        <w:t>评标</w:t>
      </w:r>
      <w:r>
        <w:rPr>
          <w:rFonts w:hint="eastAsia" w:hAnsi="宋体" w:cs="宋体"/>
          <w:b/>
          <w:bCs/>
          <w:color w:val="auto"/>
          <w:kern w:val="2"/>
          <w:sz w:val="21"/>
          <w:lang w:val="zh-CN"/>
        </w:rPr>
        <w:t>委员会职责</w:t>
      </w:r>
    </w:p>
    <w:p>
      <w:pPr>
        <w:spacing w:line="360" w:lineRule="auto"/>
        <w:ind w:left="567" w:hanging="567"/>
        <w:jc w:val="both"/>
        <w:rPr>
          <w:rFonts w:hAnsi="宋体" w:cs="宋体"/>
          <w:color w:val="auto"/>
          <w:sz w:val="21"/>
          <w:lang w:val="zh-CN"/>
        </w:rPr>
      </w:pPr>
      <w:r>
        <w:rPr>
          <w:rFonts w:hint="eastAsia" w:hAnsi="宋体" w:cs="宋体"/>
          <w:color w:val="auto"/>
          <w:sz w:val="21"/>
          <w:lang w:val="zh-CN"/>
        </w:rPr>
        <w:t>3.1</w:t>
      </w:r>
      <w:r>
        <w:rPr>
          <w:rFonts w:hint="eastAsia" w:hAnsi="宋体" w:cs="宋体"/>
          <w:color w:val="auto"/>
          <w:kern w:val="2"/>
          <w:sz w:val="21"/>
          <w:lang w:val="zh-CN"/>
        </w:rPr>
        <w:tab/>
      </w:r>
      <w:r>
        <w:rPr>
          <w:rFonts w:hint="eastAsia" w:hAnsi="宋体" w:cs="宋体"/>
          <w:color w:val="auto"/>
          <w:sz w:val="21"/>
          <w:lang w:val="zh-CN"/>
        </w:rPr>
        <w:t>审查投标文件是否符合招标文件要求，并作出评价；</w:t>
      </w:r>
    </w:p>
    <w:p>
      <w:pPr>
        <w:spacing w:line="360" w:lineRule="auto"/>
        <w:ind w:left="567" w:hanging="567"/>
        <w:jc w:val="both"/>
        <w:rPr>
          <w:rFonts w:hAnsi="宋体" w:cs="宋体"/>
          <w:color w:val="auto"/>
          <w:sz w:val="21"/>
          <w:lang w:val="zh-CN"/>
        </w:rPr>
      </w:pPr>
      <w:r>
        <w:rPr>
          <w:rFonts w:hint="eastAsia" w:hAnsi="宋体" w:cs="宋体"/>
          <w:color w:val="auto"/>
          <w:sz w:val="21"/>
          <w:lang w:val="zh-CN"/>
        </w:rPr>
        <w:t>3.2</w:t>
      </w:r>
      <w:r>
        <w:rPr>
          <w:rFonts w:hint="eastAsia" w:hAnsi="宋体" w:cs="宋体"/>
          <w:color w:val="auto"/>
          <w:kern w:val="2"/>
          <w:sz w:val="21"/>
          <w:lang w:val="zh-CN"/>
        </w:rPr>
        <w:tab/>
      </w:r>
      <w:r>
        <w:rPr>
          <w:rFonts w:hint="eastAsia" w:hAnsi="宋体" w:cs="宋体"/>
          <w:color w:val="auto"/>
          <w:sz w:val="21"/>
          <w:lang w:val="zh-CN"/>
        </w:rPr>
        <w:t>要求投标人对投标文件有关事项作出解释或者澄清；</w:t>
      </w:r>
    </w:p>
    <w:p>
      <w:pPr>
        <w:spacing w:line="360" w:lineRule="auto"/>
        <w:ind w:left="567" w:hanging="567"/>
        <w:jc w:val="both"/>
        <w:rPr>
          <w:rFonts w:hAnsi="宋体" w:cs="宋体"/>
          <w:color w:val="auto"/>
          <w:sz w:val="21"/>
          <w:lang w:val="zh-CN"/>
        </w:rPr>
      </w:pPr>
      <w:r>
        <w:rPr>
          <w:rFonts w:hint="eastAsia" w:hAnsi="宋体" w:cs="宋体"/>
          <w:color w:val="auto"/>
          <w:sz w:val="21"/>
          <w:lang w:val="zh-CN"/>
        </w:rPr>
        <w:t>3.3</w:t>
      </w:r>
      <w:r>
        <w:rPr>
          <w:rFonts w:hint="eastAsia" w:hAnsi="宋体" w:cs="宋体"/>
          <w:color w:val="auto"/>
          <w:kern w:val="2"/>
          <w:sz w:val="21"/>
          <w:lang w:val="zh-CN"/>
        </w:rPr>
        <w:tab/>
      </w:r>
      <w:r>
        <w:rPr>
          <w:rFonts w:hint="eastAsia" w:hAnsi="宋体" w:cs="宋体"/>
          <w:color w:val="auto"/>
          <w:sz w:val="21"/>
          <w:lang w:val="zh-CN"/>
        </w:rPr>
        <w:t>推荐中标候选人名单及排序；</w:t>
      </w:r>
    </w:p>
    <w:p>
      <w:pPr>
        <w:spacing w:line="360" w:lineRule="auto"/>
        <w:ind w:left="567" w:hanging="567"/>
        <w:jc w:val="both"/>
        <w:rPr>
          <w:rFonts w:hAnsi="宋体" w:cs="宋体"/>
          <w:color w:val="auto"/>
          <w:lang w:val="zh-CN"/>
        </w:rPr>
      </w:pPr>
      <w:r>
        <w:rPr>
          <w:rFonts w:hint="eastAsia" w:hAnsi="宋体" w:cs="宋体"/>
          <w:color w:val="auto"/>
          <w:sz w:val="21"/>
          <w:lang w:val="zh-CN"/>
        </w:rPr>
        <w:t>3.4</w:t>
      </w:r>
      <w:r>
        <w:rPr>
          <w:rFonts w:hint="eastAsia" w:hAnsi="宋体" w:cs="宋体"/>
          <w:color w:val="auto"/>
          <w:kern w:val="2"/>
          <w:sz w:val="21"/>
          <w:lang w:val="zh-CN"/>
        </w:rPr>
        <w:tab/>
      </w:r>
      <w:r>
        <w:rPr>
          <w:rFonts w:hint="eastAsia" w:hAnsi="宋体" w:cs="宋体"/>
          <w:color w:val="auto"/>
          <w:sz w:val="21"/>
          <w:lang w:val="zh-CN"/>
        </w:rPr>
        <w:t>向招标人、招标代理机</w:t>
      </w:r>
      <w:r>
        <w:rPr>
          <w:rFonts w:hint="eastAsia" w:hAnsi="宋体" w:cs="宋体"/>
          <w:color w:val="auto"/>
          <w:sz w:val="21"/>
          <w:szCs w:val="21"/>
          <w:lang w:val="zh-CN"/>
        </w:rPr>
        <w:t>构或者有关部门报告非法干预评标工作的行为。</w:t>
      </w:r>
    </w:p>
    <w:p>
      <w:pPr>
        <w:spacing w:line="360" w:lineRule="auto"/>
        <w:rPr>
          <w:rFonts w:hAnsi="宋体" w:cs="宋体"/>
          <w:color w:val="auto"/>
          <w:lang w:val="zh-CN"/>
        </w:rPr>
      </w:pPr>
    </w:p>
    <w:p>
      <w:pPr>
        <w:tabs>
          <w:tab w:val="left" w:pos="720"/>
        </w:tabs>
        <w:spacing w:line="360" w:lineRule="auto"/>
        <w:jc w:val="both"/>
        <w:rPr>
          <w:rFonts w:hAnsi="宋体" w:cs="宋体"/>
          <w:b/>
          <w:bCs/>
          <w:color w:val="auto"/>
          <w:kern w:val="2"/>
          <w:sz w:val="21"/>
          <w:szCs w:val="21"/>
          <w:lang w:val="zh-CN"/>
        </w:rPr>
      </w:pPr>
      <w:r>
        <w:rPr>
          <w:rFonts w:hint="eastAsia" w:hAnsi="宋体" w:cs="宋体"/>
          <w:b/>
          <w:bCs/>
          <w:color w:val="auto"/>
          <w:kern w:val="2"/>
          <w:sz w:val="21"/>
          <w:szCs w:val="21"/>
          <w:lang w:val="zh-CN"/>
        </w:rPr>
        <w:t>4、评标委员会义务</w:t>
      </w:r>
    </w:p>
    <w:p>
      <w:pPr>
        <w:spacing w:line="360" w:lineRule="auto"/>
        <w:ind w:left="567" w:hanging="567"/>
        <w:jc w:val="both"/>
        <w:rPr>
          <w:rFonts w:hAnsi="宋体" w:cs="宋体"/>
          <w:color w:val="auto"/>
          <w:sz w:val="21"/>
          <w:lang w:val="zh-CN"/>
        </w:rPr>
      </w:pPr>
      <w:r>
        <w:rPr>
          <w:rFonts w:hint="eastAsia" w:hAnsi="宋体" w:cs="宋体"/>
          <w:color w:val="auto"/>
          <w:sz w:val="21"/>
          <w:lang w:val="zh-CN"/>
        </w:rPr>
        <w:t>4.1</w:t>
      </w:r>
      <w:r>
        <w:rPr>
          <w:rFonts w:hint="eastAsia" w:hAnsi="宋体" w:cs="宋体"/>
          <w:color w:val="auto"/>
          <w:kern w:val="2"/>
          <w:sz w:val="21"/>
          <w:lang w:val="zh-CN"/>
        </w:rPr>
        <w:tab/>
      </w:r>
      <w:r>
        <w:rPr>
          <w:rFonts w:hint="eastAsia" w:hAnsi="宋体" w:cs="宋体"/>
          <w:color w:val="auto"/>
          <w:sz w:val="21"/>
          <w:lang w:val="zh-CN"/>
        </w:rPr>
        <w:t>遵纪守法，客观、公正、廉洁地履行职责；</w:t>
      </w:r>
    </w:p>
    <w:p>
      <w:pPr>
        <w:spacing w:line="360" w:lineRule="auto"/>
        <w:ind w:left="567" w:hanging="567"/>
        <w:jc w:val="both"/>
        <w:rPr>
          <w:rFonts w:hAnsi="宋体" w:cs="宋体"/>
          <w:color w:val="auto"/>
          <w:sz w:val="21"/>
          <w:lang w:val="zh-CN"/>
        </w:rPr>
      </w:pPr>
      <w:r>
        <w:rPr>
          <w:rFonts w:hint="eastAsia" w:hAnsi="宋体" w:cs="宋体"/>
          <w:color w:val="auto"/>
          <w:sz w:val="21"/>
          <w:lang w:val="zh-CN"/>
        </w:rPr>
        <w:t>4.2</w:t>
      </w:r>
      <w:r>
        <w:rPr>
          <w:rFonts w:hint="eastAsia" w:hAnsi="宋体" w:cs="宋体"/>
          <w:color w:val="auto"/>
          <w:kern w:val="2"/>
          <w:sz w:val="21"/>
          <w:lang w:val="zh-CN"/>
        </w:rPr>
        <w:tab/>
      </w:r>
      <w:r>
        <w:rPr>
          <w:rFonts w:hint="eastAsia" w:hAnsi="宋体" w:cs="宋体"/>
          <w:color w:val="auto"/>
          <w:sz w:val="21"/>
          <w:lang w:val="zh-CN"/>
        </w:rPr>
        <w:t>按照招标文件规定的评标方法和评标标准进行评审，对评审意见承担个人责任；</w:t>
      </w:r>
    </w:p>
    <w:p>
      <w:pPr>
        <w:spacing w:line="360" w:lineRule="auto"/>
        <w:ind w:left="567" w:hanging="567"/>
        <w:jc w:val="both"/>
        <w:rPr>
          <w:rFonts w:hAnsi="宋体" w:cs="宋体"/>
          <w:color w:val="auto"/>
          <w:sz w:val="21"/>
          <w:lang w:val="zh-CN"/>
        </w:rPr>
      </w:pPr>
      <w:r>
        <w:rPr>
          <w:rFonts w:hint="eastAsia" w:hAnsi="宋体" w:cs="宋体"/>
          <w:color w:val="auto"/>
          <w:sz w:val="21"/>
          <w:lang w:val="zh-CN"/>
        </w:rPr>
        <w:t>4.3</w:t>
      </w:r>
      <w:r>
        <w:rPr>
          <w:rFonts w:hint="eastAsia" w:hAnsi="宋体" w:cs="宋体"/>
          <w:color w:val="auto"/>
          <w:kern w:val="2"/>
          <w:sz w:val="21"/>
          <w:lang w:val="zh-CN"/>
        </w:rPr>
        <w:tab/>
      </w:r>
      <w:r>
        <w:rPr>
          <w:rFonts w:hint="eastAsia" w:hAnsi="宋体" w:cs="宋体"/>
          <w:color w:val="auto"/>
          <w:sz w:val="21"/>
          <w:lang w:val="zh-CN"/>
        </w:rPr>
        <w:t>对评标过程和结果，以及投标人的商业秘密保密；</w:t>
      </w:r>
    </w:p>
    <w:p>
      <w:pPr>
        <w:spacing w:line="360" w:lineRule="auto"/>
        <w:ind w:left="567" w:hanging="567"/>
        <w:jc w:val="both"/>
        <w:rPr>
          <w:rFonts w:hAnsi="宋体" w:cs="宋体"/>
          <w:color w:val="auto"/>
          <w:sz w:val="21"/>
          <w:lang w:val="zh-CN"/>
        </w:rPr>
      </w:pPr>
      <w:r>
        <w:rPr>
          <w:rFonts w:hint="eastAsia" w:hAnsi="宋体" w:cs="宋体"/>
          <w:color w:val="auto"/>
          <w:sz w:val="21"/>
          <w:lang w:val="zh-CN"/>
        </w:rPr>
        <w:t>4.4</w:t>
      </w:r>
      <w:r>
        <w:rPr>
          <w:rFonts w:hint="eastAsia" w:hAnsi="宋体" w:cs="宋体"/>
          <w:color w:val="auto"/>
          <w:kern w:val="2"/>
          <w:sz w:val="21"/>
          <w:lang w:val="zh-CN"/>
        </w:rPr>
        <w:tab/>
      </w:r>
      <w:r>
        <w:rPr>
          <w:rFonts w:hint="eastAsia" w:hAnsi="宋体" w:cs="宋体"/>
          <w:color w:val="auto"/>
          <w:sz w:val="21"/>
          <w:lang w:val="zh-CN"/>
        </w:rPr>
        <w:t>参与评标报告的起草；</w:t>
      </w:r>
    </w:p>
    <w:p>
      <w:pPr>
        <w:spacing w:line="360" w:lineRule="auto"/>
        <w:ind w:left="567" w:hanging="567"/>
        <w:jc w:val="both"/>
        <w:rPr>
          <w:rFonts w:hAnsi="宋体" w:cs="宋体"/>
          <w:color w:val="auto"/>
          <w:sz w:val="21"/>
          <w:lang w:val="zh-CN"/>
        </w:rPr>
      </w:pPr>
      <w:r>
        <w:rPr>
          <w:rFonts w:hint="eastAsia" w:hAnsi="宋体" w:cs="宋体"/>
          <w:color w:val="auto"/>
          <w:sz w:val="21"/>
          <w:lang w:val="zh-CN"/>
        </w:rPr>
        <w:t>4.5</w:t>
      </w:r>
      <w:r>
        <w:rPr>
          <w:rFonts w:hint="eastAsia" w:hAnsi="宋体" w:cs="宋体"/>
          <w:color w:val="auto"/>
          <w:kern w:val="2"/>
          <w:sz w:val="21"/>
          <w:lang w:val="zh-CN"/>
        </w:rPr>
        <w:tab/>
      </w:r>
      <w:r>
        <w:rPr>
          <w:rFonts w:hint="eastAsia" w:hAnsi="宋体" w:cs="宋体"/>
          <w:color w:val="auto"/>
          <w:sz w:val="21"/>
          <w:lang w:val="zh-CN"/>
        </w:rPr>
        <w:t>配合有关部门的投诉处理工作；</w:t>
      </w:r>
    </w:p>
    <w:p>
      <w:pPr>
        <w:spacing w:line="360" w:lineRule="auto"/>
        <w:ind w:left="567" w:hanging="567"/>
        <w:jc w:val="both"/>
        <w:rPr>
          <w:rFonts w:hAnsi="宋体" w:cs="宋体"/>
          <w:color w:val="auto"/>
          <w:lang w:val="zh-CN"/>
        </w:rPr>
      </w:pPr>
      <w:r>
        <w:rPr>
          <w:rFonts w:hint="eastAsia" w:hAnsi="宋体" w:cs="宋体"/>
          <w:color w:val="auto"/>
          <w:sz w:val="21"/>
          <w:lang w:val="zh-CN"/>
        </w:rPr>
        <w:t>4.6</w:t>
      </w:r>
      <w:r>
        <w:rPr>
          <w:rFonts w:hint="eastAsia" w:hAnsi="宋体" w:cs="宋体"/>
          <w:color w:val="auto"/>
          <w:kern w:val="2"/>
          <w:sz w:val="21"/>
          <w:lang w:val="zh-CN"/>
        </w:rPr>
        <w:tab/>
      </w:r>
      <w:r>
        <w:rPr>
          <w:rFonts w:hint="eastAsia" w:hAnsi="宋体" w:cs="宋体"/>
          <w:color w:val="auto"/>
          <w:sz w:val="21"/>
          <w:lang w:val="zh-CN"/>
        </w:rPr>
        <w:t>配合招标人、招标代理机构答复投标人提出的质疑、异议。</w:t>
      </w:r>
    </w:p>
    <w:p>
      <w:pPr>
        <w:tabs>
          <w:tab w:val="left" w:pos="1547"/>
        </w:tabs>
        <w:spacing w:line="360" w:lineRule="auto"/>
        <w:jc w:val="both"/>
        <w:rPr>
          <w:rFonts w:hAnsi="宋体" w:cs="宋体"/>
          <w:b/>
          <w:bCs/>
          <w:color w:val="auto"/>
          <w:kern w:val="2"/>
          <w:sz w:val="21"/>
          <w:szCs w:val="21"/>
          <w:lang w:val="zh-CN"/>
        </w:rPr>
      </w:pPr>
      <w:r>
        <w:rPr>
          <w:rFonts w:hint="eastAsia" w:hAnsi="宋体" w:cs="宋体"/>
          <w:b/>
          <w:bCs/>
          <w:color w:val="auto"/>
          <w:kern w:val="2"/>
          <w:sz w:val="21"/>
          <w:szCs w:val="21"/>
          <w:lang w:val="zh-CN"/>
        </w:rPr>
        <w:t>5、评审程序</w:t>
      </w:r>
    </w:p>
    <w:p>
      <w:pPr>
        <w:spacing w:line="360" w:lineRule="auto"/>
        <w:ind w:left="567" w:hanging="567"/>
        <w:jc w:val="both"/>
        <w:rPr>
          <w:rFonts w:hAnsi="宋体" w:cs="宋体"/>
          <w:bCs/>
          <w:color w:val="auto"/>
          <w:kern w:val="2"/>
          <w:sz w:val="21"/>
          <w:lang w:val="zh-CN"/>
        </w:rPr>
      </w:pPr>
      <w:r>
        <w:rPr>
          <w:rFonts w:hint="eastAsia" w:hAnsi="宋体" w:cs="宋体"/>
          <w:color w:val="auto"/>
          <w:kern w:val="2"/>
          <w:sz w:val="21"/>
          <w:lang w:val="zh-CN"/>
        </w:rPr>
        <w:t>5.1</w:t>
      </w:r>
      <w:r>
        <w:rPr>
          <w:rFonts w:hint="eastAsia" w:hAnsi="宋体" w:cs="宋体"/>
          <w:color w:val="auto"/>
          <w:kern w:val="2"/>
          <w:sz w:val="21"/>
          <w:lang w:val="zh-CN"/>
        </w:rPr>
        <w:tab/>
      </w:r>
      <w:r>
        <w:rPr>
          <w:rFonts w:hint="eastAsia" w:hAnsi="宋体" w:cs="宋体"/>
          <w:bCs/>
          <w:color w:val="auto"/>
          <w:kern w:val="2"/>
          <w:sz w:val="21"/>
          <w:lang w:val="zh-CN"/>
        </w:rPr>
        <w:t>评审首先由评标委员会对投标人的</w:t>
      </w:r>
      <w:r>
        <w:rPr>
          <w:rFonts w:hint="eastAsia" w:hAnsi="宋体" w:cs="宋体"/>
          <w:color w:val="auto"/>
          <w:kern w:val="2"/>
          <w:sz w:val="21"/>
          <w:lang w:val="zh-CN"/>
        </w:rPr>
        <w:t>投标</w:t>
      </w:r>
      <w:r>
        <w:rPr>
          <w:rFonts w:hint="eastAsia" w:hAnsi="宋体" w:cs="宋体"/>
          <w:bCs/>
          <w:color w:val="auto"/>
          <w:kern w:val="2"/>
          <w:sz w:val="21"/>
          <w:lang w:val="zh-CN"/>
        </w:rPr>
        <w:t>文件做初审，对未能通过初审的投标文件不再进入下一阶段评审。</w:t>
      </w:r>
    </w:p>
    <w:p>
      <w:pPr>
        <w:spacing w:line="360" w:lineRule="auto"/>
        <w:ind w:left="567" w:hanging="567"/>
        <w:jc w:val="both"/>
        <w:rPr>
          <w:rFonts w:hAnsi="宋体" w:cs="宋体"/>
          <w:bCs/>
          <w:color w:val="auto"/>
          <w:kern w:val="2"/>
          <w:sz w:val="21"/>
          <w:lang w:val="zh-CN"/>
        </w:rPr>
      </w:pPr>
      <w:r>
        <w:rPr>
          <w:rFonts w:hint="eastAsia" w:hAnsi="宋体" w:cs="宋体"/>
          <w:bCs/>
          <w:color w:val="auto"/>
          <w:kern w:val="2"/>
          <w:sz w:val="21"/>
          <w:lang w:val="zh-CN"/>
        </w:rPr>
        <w:t>5.2</w:t>
      </w:r>
      <w:r>
        <w:rPr>
          <w:rFonts w:hint="eastAsia" w:hAnsi="宋体" w:cs="宋体"/>
          <w:bCs/>
          <w:color w:val="auto"/>
          <w:kern w:val="2"/>
          <w:sz w:val="21"/>
          <w:lang w:val="zh-CN"/>
        </w:rPr>
        <w:tab/>
      </w:r>
      <w:r>
        <w:rPr>
          <w:rFonts w:hint="eastAsia" w:hAnsi="宋体" w:cs="宋体"/>
          <w:bCs/>
          <w:color w:val="auto"/>
          <w:kern w:val="2"/>
          <w:sz w:val="21"/>
          <w:lang w:val="zh-CN"/>
        </w:rPr>
        <w:t>评标委员会对通过初审的投标人的投标文件进行详细的比较和评价。如需要，进行必要的澄清工作。</w:t>
      </w:r>
    </w:p>
    <w:p>
      <w:pPr>
        <w:spacing w:line="360" w:lineRule="auto"/>
        <w:ind w:left="567" w:hanging="567"/>
        <w:jc w:val="both"/>
        <w:rPr>
          <w:rFonts w:hAnsi="宋体" w:cs="宋体"/>
          <w:bCs/>
          <w:color w:val="auto"/>
          <w:kern w:val="2"/>
          <w:sz w:val="21"/>
          <w:lang w:val="zh-CN"/>
        </w:rPr>
      </w:pPr>
      <w:r>
        <w:rPr>
          <w:rFonts w:hint="eastAsia" w:hAnsi="宋体" w:cs="宋体"/>
          <w:bCs/>
          <w:color w:val="auto"/>
          <w:kern w:val="2"/>
          <w:sz w:val="21"/>
          <w:lang w:val="zh-CN"/>
        </w:rPr>
        <w:t>5.3  依据评分标准以及各项权重，各位评标委员会成员单独就每个投标人的商务状况、技术状况进行比较和评价，分别评出其商务得分和技术得分。</w:t>
      </w:r>
    </w:p>
    <w:p>
      <w:pPr>
        <w:spacing w:line="360" w:lineRule="auto"/>
        <w:ind w:left="567" w:hanging="567"/>
        <w:jc w:val="both"/>
        <w:rPr>
          <w:rFonts w:hAnsi="宋体" w:cs="宋体"/>
          <w:bCs/>
          <w:color w:val="auto"/>
          <w:kern w:val="2"/>
          <w:sz w:val="21"/>
          <w:lang w:val="zh-CN"/>
        </w:rPr>
      </w:pPr>
      <w:r>
        <w:rPr>
          <w:rFonts w:hint="eastAsia" w:hAnsi="宋体" w:cs="宋体"/>
          <w:bCs/>
          <w:color w:val="auto"/>
          <w:kern w:val="2"/>
          <w:sz w:val="21"/>
          <w:lang w:val="zh-CN"/>
        </w:rPr>
        <w:t>5.</w:t>
      </w:r>
      <w:r>
        <w:rPr>
          <w:rFonts w:hint="eastAsia" w:hAnsi="宋体" w:cs="宋体"/>
          <w:bCs/>
          <w:color w:val="auto"/>
          <w:kern w:val="2"/>
          <w:sz w:val="21"/>
        </w:rPr>
        <w:t>4</w:t>
      </w:r>
      <w:r>
        <w:rPr>
          <w:rFonts w:hint="eastAsia" w:hAnsi="宋体" w:cs="宋体"/>
          <w:bCs/>
          <w:color w:val="auto"/>
          <w:kern w:val="2"/>
          <w:sz w:val="21"/>
          <w:lang w:val="zh-CN"/>
        </w:rPr>
        <w:t xml:space="preserve">  将各评委对投标人的技术打分的算术平均值、商务打分的算术平均值相加得出投标人的总分。</w:t>
      </w:r>
    </w:p>
    <w:p>
      <w:pPr>
        <w:spacing w:line="360" w:lineRule="auto"/>
        <w:ind w:left="567" w:hanging="567"/>
        <w:jc w:val="both"/>
        <w:rPr>
          <w:rFonts w:hAnsi="宋体" w:cs="宋体"/>
          <w:bCs/>
          <w:color w:val="auto"/>
          <w:kern w:val="2"/>
          <w:sz w:val="21"/>
          <w:lang w:val="zh-CN"/>
        </w:rPr>
      </w:pPr>
      <w:r>
        <w:rPr>
          <w:rFonts w:hint="eastAsia" w:hAnsi="宋体" w:cs="宋体"/>
          <w:bCs/>
          <w:color w:val="auto"/>
          <w:kern w:val="2"/>
          <w:sz w:val="21"/>
          <w:lang w:val="zh-CN"/>
        </w:rPr>
        <w:t>5.</w:t>
      </w:r>
      <w:r>
        <w:rPr>
          <w:rFonts w:hint="eastAsia" w:hAnsi="宋体" w:cs="宋体"/>
          <w:bCs/>
          <w:color w:val="auto"/>
          <w:kern w:val="2"/>
          <w:sz w:val="21"/>
        </w:rPr>
        <w:t>5</w:t>
      </w:r>
      <w:r>
        <w:rPr>
          <w:rFonts w:hint="eastAsia" w:hAnsi="宋体" w:cs="宋体"/>
          <w:bCs/>
          <w:color w:val="auto"/>
          <w:kern w:val="2"/>
          <w:sz w:val="21"/>
          <w:lang w:val="zh-CN"/>
        </w:rPr>
        <w:t xml:space="preserve">  评标委员会将向招标人推荐评标最后综合得分最高的前三名投标人为中标候选人，并标明排列顺序。</w:t>
      </w:r>
    </w:p>
    <w:p>
      <w:pPr>
        <w:spacing w:line="360" w:lineRule="auto"/>
        <w:ind w:left="567" w:hanging="567"/>
        <w:jc w:val="both"/>
        <w:rPr>
          <w:rFonts w:hAnsi="宋体" w:cs="宋体"/>
          <w:bCs/>
          <w:color w:val="auto"/>
          <w:kern w:val="2"/>
          <w:sz w:val="21"/>
          <w:lang w:val="zh-CN"/>
        </w:rPr>
      </w:pPr>
      <w:r>
        <w:rPr>
          <w:rFonts w:hint="eastAsia" w:hAnsi="宋体" w:cs="宋体"/>
          <w:bCs/>
          <w:color w:val="auto"/>
          <w:kern w:val="2"/>
          <w:sz w:val="21"/>
          <w:lang w:val="zh-CN"/>
        </w:rPr>
        <w:t>5.</w:t>
      </w:r>
      <w:r>
        <w:rPr>
          <w:rFonts w:hint="eastAsia" w:hAnsi="宋体" w:cs="宋体"/>
          <w:bCs/>
          <w:color w:val="auto"/>
          <w:kern w:val="2"/>
          <w:sz w:val="21"/>
        </w:rPr>
        <w:t>6</w:t>
      </w:r>
      <w:r>
        <w:rPr>
          <w:rFonts w:hint="eastAsia" w:hAnsi="宋体" w:cs="宋体"/>
          <w:bCs/>
          <w:color w:val="auto"/>
          <w:kern w:val="2"/>
          <w:sz w:val="21"/>
          <w:lang w:val="zh-CN"/>
        </w:rPr>
        <w:t xml:space="preserve">  评标委员会根据评审结果编写评标报告。</w:t>
      </w:r>
    </w:p>
    <w:p>
      <w:pPr>
        <w:tabs>
          <w:tab w:val="left" w:pos="1140"/>
        </w:tabs>
        <w:spacing w:line="360" w:lineRule="auto"/>
        <w:rPr>
          <w:rFonts w:hAnsi="宋体" w:cs="宋体"/>
          <w:b/>
          <w:bCs/>
          <w:color w:val="auto"/>
          <w:kern w:val="2"/>
        </w:rPr>
      </w:pPr>
    </w:p>
    <w:p>
      <w:pPr>
        <w:tabs>
          <w:tab w:val="left" w:pos="1140"/>
        </w:tabs>
        <w:spacing w:line="360" w:lineRule="auto"/>
        <w:jc w:val="center"/>
        <w:rPr>
          <w:rFonts w:hAnsi="宋体" w:cs="宋体"/>
          <w:b/>
          <w:bCs/>
          <w:color w:val="auto"/>
          <w:kern w:val="2"/>
          <w:sz w:val="28"/>
          <w:szCs w:val="28"/>
        </w:rPr>
      </w:pPr>
      <w:r>
        <w:rPr>
          <w:rFonts w:hint="eastAsia" w:hAnsi="宋体" w:cs="宋体"/>
          <w:b/>
          <w:bCs/>
          <w:color w:val="auto"/>
          <w:kern w:val="2"/>
          <w:sz w:val="28"/>
          <w:szCs w:val="28"/>
          <w:lang w:val="zh-CN"/>
        </w:rPr>
        <w:t>二、投标文件的初审</w:t>
      </w:r>
    </w:p>
    <w:p>
      <w:pPr>
        <w:spacing w:line="360" w:lineRule="auto"/>
        <w:jc w:val="both"/>
        <w:rPr>
          <w:rFonts w:hAnsi="宋体" w:cs="宋体"/>
          <w:b/>
          <w:color w:val="auto"/>
          <w:kern w:val="2"/>
          <w:sz w:val="21"/>
          <w:lang w:val="zh-CN"/>
        </w:rPr>
      </w:pPr>
      <w:r>
        <w:rPr>
          <w:rFonts w:hint="eastAsia" w:hAnsi="宋体" w:cs="宋体"/>
          <w:b/>
          <w:color w:val="auto"/>
          <w:kern w:val="2"/>
          <w:sz w:val="21"/>
        </w:rPr>
        <w:t>6</w:t>
      </w:r>
      <w:r>
        <w:rPr>
          <w:rFonts w:hint="eastAsia" w:hAnsi="宋体" w:cs="宋体"/>
          <w:b/>
          <w:color w:val="auto"/>
          <w:kern w:val="2"/>
          <w:sz w:val="21"/>
          <w:lang w:val="zh-CN"/>
        </w:rPr>
        <w:t>、投标文件的初审分为资格性检查和符合性检查。</w:t>
      </w:r>
    </w:p>
    <w:p>
      <w:pPr>
        <w:spacing w:line="360" w:lineRule="auto"/>
        <w:ind w:left="424" w:hanging="424" w:hangingChars="202"/>
        <w:jc w:val="both"/>
        <w:rPr>
          <w:rFonts w:hAnsi="宋体" w:cs="宋体"/>
          <w:color w:val="auto"/>
          <w:kern w:val="2"/>
          <w:sz w:val="21"/>
          <w:lang w:val="zh-CN"/>
        </w:rPr>
      </w:pPr>
      <w:r>
        <w:rPr>
          <w:rFonts w:hint="eastAsia" w:hAnsi="宋体" w:cs="宋体"/>
          <w:color w:val="auto"/>
          <w:kern w:val="2"/>
          <w:sz w:val="21"/>
        </w:rPr>
        <w:t>6</w:t>
      </w:r>
      <w:r>
        <w:rPr>
          <w:rFonts w:hint="eastAsia" w:hAnsi="宋体" w:cs="宋体"/>
          <w:color w:val="auto"/>
          <w:kern w:val="2"/>
          <w:sz w:val="21"/>
          <w:lang w:val="zh-CN"/>
        </w:rPr>
        <w:t>.1 资格性检查是指评标委员会依据法律法规和招标文件的规定，对投标文件中的资格证明、投标保证金</w:t>
      </w:r>
      <w:r>
        <w:rPr>
          <w:rFonts w:hint="eastAsia" w:hAnsi="宋体" w:cs="宋体"/>
          <w:color w:val="auto"/>
          <w:sz w:val="21"/>
          <w:szCs w:val="21"/>
          <w:lang w:val="zh-CN"/>
        </w:rPr>
        <w:t>、投</w:t>
      </w:r>
      <w:r>
        <w:rPr>
          <w:rFonts w:hint="eastAsia" w:hAnsi="宋体" w:cs="宋体"/>
          <w:color w:val="auto"/>
          <w:kern w:val="2"/>
          <w:sz w:val="21"/>
          <w:lang w:val="zh-CN"/>
        </w:rPr>
        <w:t>标人（含其不具有独立法人资格的分支机构）信用（评标委员会在评标期间通过“信用中国”网站对投标人信用进行查询，并对查询记录签名确认）等进行审查，以确定投标人是否具备投标资格。</w:t>
      </w:r>
    </w:p>
    <w:p>
      <w:pPr>
        <w:spacing w:line="360" w:lineRule="auto"/>
        <w:ind w:left="424" w:hanging="424" w:hangingChars="202"/>
        <w:jc w:val="both"/>
        <w:rPr>
          <w:rFonts w:hAnsi="宋体" w:cs="宋体"/>
          <w:color w:val="auto"/>
          <w:kern w:val="2"/>
          <w:sz w:val="21"/>
          <w:lang w:val="zh-CN"/>
        </w:rPr>
      </w:pPr>
      <w:r>
        <w:rPr>
          <w:rFonts w:hint="eastAsia" w:hAnsi="宋体" w:cs="宋体"/>
          <w:color w:val="auto"/>
          <w:kern w:val="2"/>
          <w:sz w:val="21"/>
        </w:rPr>
        <w:t>6</w:t>
      </w:r>
      <w:r>
        <w:rPr>
          <w:rFonts w:hint="eastAsia" w:hAnsi="宋体" w:cs="宋体"/>
          <w:color w:val="auto"/>
          <w:kern w:val="2"/>
          <w:sz w:val="21"/>
          <w:lang w:val="zh-CN"/>
        </w:rPr>
        <w:t>.2 符合性检查是指评标委员会依据招标文件规定，从投标文件的有效性、完整性和对招标文件的响应程度进行审查，以确定是否对招标文件的实质性要求作出响应。</w:t>
      </w:r>
    </w:p>
    <w:p>
      <w:pPr>
        <w:spacing w:line="360" w:lineRule="auto"/>
        <w:ind w:left="425" w:leftChars="177" w:firstLine="420" w:firstLineChars="200"/>
        <w:jc w:val="both"/>
        <w:rPr>
          <w:rFonts w:hAnsi="宋体" w:cs="宋体"/>
          <w:color w:val="auto"/>
          <w:kern w:val="2"/>
          <w:sz w:val="21"/>
          <w:lang w:val="zh-CN"/>
        </w:rPr>
      </w:pPr>
      <w:r>
        <w:rPr>
          <w:rFonts w:hint="eastAsia" w:hAnsi="宋体" w:cs="宋体"/>
          <w:color w:val="auto"/>
          <w:kern w:val="2"/>
          <w:sz w:val="21"/>
          <w:lang w:val="zh-CN"/>
        </w:rPr>
        <w:t>实质性响应的投标指的是符合招标文件要求的全部“★”条款和验收标准而无任何重大偏离或保留。重大偏离或保留系指实质上影响到合同项下的服务范围、质量和性能，或指与招标文件有实质不一致，限制了合同项下委托人的权利和承包人的义务，或对该重大偏离的修改对提交实质性响应投标的其他投标人将不公平。</w:t>
      </w:r>
    </w:p>
    <w:p>
      <w:pPr>
        <w:spacing w:line="360" w:lineRule="auto"/>
        <w:ind w:left="425" w:leftChars="177" w:firstLine="420" w:firstLineChars="200"/>
        <w:jc w:val="both"/>
        <w:rPr>
          <w:rFonts w:hAnsi="宋体" w:cs="宋体"/>
          <w:color w:val="auto"/>
          <w:kern w:val="2"/>
          <w:sz w:val="21"/>
          <w:lang w:val="zh-CN"/>
        </w:rPr>
      </w:pPr>
      <w:r>
        <w:rPr>
          <w:rFonts w:hint="eastAsia" w:hAnsi="宋体" w:cs="宋体"/>
          <w:color w:val="auto"/>
          <w:kern w:val="2"/>
          <w:sz w:val="21"/>
          <w:lang w:val="zh-CN"/>
        </w:rPr>
        <w:t>评标委员会决定投标文件的响应性是基于投标文件的内容本身而不靠外部的证据。</w:t>
      </w:r>
    </w:p>
    <w:p>
      <w:pPr>
        <w:spacing w:line="360" w:lineRule="auto"/>
        <w:ind w:left="425" w:leftChars="177" w:firstLine="422" w:firstLineChars="200"/>
        <w:jc w:val="both"/>
        <w:rPr>
          <w:rFonts w:hAnsi="宋体" w:cs="宋体"/>
          <w:b/>
          <w:color w:val="auto"/>
          <w:kern w:val="2"/>
          <w:sz w:val="21"/>
          <w:lang w:val="zh-CN"/>
        </w:rPr>
      </w:pPr>
      <w:r>
        <w:rPr>
          <w:rFonts w:hint="eastAsia" w:hAnsi="宋体" w:cs="宋体"/>
          <w:b/>
          <w:color w:val="auto"/>
          <w:kern w:val="2"/>
          <w:sz w:val="21"/>
          <w:lang w:val="zh-CN"/>
        </w:rPr>
        <w:t>对是否符合实质性响应招标文件有争议的投标文件，评标委员会成员将以记名方式表决，得票超过半数的投标人才有资格进入下一阶段的评审，否则将被认定为无效投标文件。</w:t>
      </w:r>
    </w:p>
    <w:p>
      <w:pPr>
        <w:spacing w:line="360" w:lineRule="auto"/>
        <w:jc w:val="both"/>
        <w:rPr>
          <w:rFonts w:hAnsi="宋体" w:cs="宋体"/>
          <w:b/>
          <w:color w:val="auto"/>
          <w:kern w:val="2"/>
          <w:sz w:val="21"/>
          <w:lang w:val="zh-CN"/>
        </w:rPr>
      </w:pPr>
      <w:r>
        <w:rPr>
          <w:rFonts w:hint="eastAsia" w:hAnsi="宋体" w:cs="宋体"/>
          <w:b/>
          <w:color w:val="auto"/>
          <w:kern w:val="2"/>
          <w:sz w:val="21"/>
        </w:rPr>
        <w:t>7</w:t>
      </w:r>
      <w:r>
        <w:rPr>
          <w:rFonts w:hint="eastAsia" w:hAnsi="宋体" w:cs="宋体"/>
          <w:b/>
          <w:color w:val="auto"/>
          <w:kern w:val="2"/>
          <w:sz w:val="21"/>
          <w:lang w:val="zh-CN"/>
        </w:rPr>
        <w:t>、投标文件出现下列情况之一的，被认定为无效投标：</w:t>
      </w:r>
    </w:p>
    <w:p>
      <w:pPr>
        <w:pStyle w:val="88"/>
        <w:spacing w:line="360" w:lineRule="auto"/>
        <w:ind w:firstLine="0" w:firstLineChars="0"/>
        <w:rPr>
          <w:rFonts w:ascii="宋体" w:eastAsia="宋体" w:cs="宋体"/>
          <w:color w:val="auto"/>
          <w:sz w:val="21"/>
          <w:szCs w:val="21"/>
        </w:rPr>
      </w:pPr>
      <w:r>
        <w:rPr>
          <w:rFonts w:hint="eastAsia" w:ascii="宋体" w:eastAsia="宋体" w:cs="宋体"/>
          <w:b/>
          <w:color w:val="auto"/>
          <w:sz w:val="21"/>
          <w:szCs w:val="21"/>
        </w:rPr>
        <w:t>7.1 投标人未按招标文件要求交纳投标保证金的；</w:t>
      </w:r>
    </w:p>
    <w:p>
      <w:pPr>
        <w:pStyle w:val="88"/>
        <w:spacing w:line="360" w:lineRule="auto"/>
        <w:ind w:left="424" w:hanging="424" w:hangingChars="201"/>
        <w:rPr>
          <w:rFonts w:ascii="宋体" w:eastAsia="宋体" w:cs="宋体"/>
          <w:b/>
          <w:color w:val="auto"/>
          <w:sz w:val="21"/>
          <w:szCs w:val="21"/>
        </w:rPr>
      </w:pPr>
      <w:r>
        <w:rPr>
          <w:rFonts w:hint="eastAsia" w:ascii="宋体" w:eastAsia="宋体" w:cs="宋体"/>
          <w:b/>
          <w:color w:val="auto"/>
          <w:sz w:val="21"/>
          <w:szCs w:val="21"/>
        </w:rPr>
        <w:t>7.2 投标人递交两份或多份内容不同的投标文件；</w:t>
      </w:r>
    </w:p>
    <w:p>
      <w:pPr>
        <w:pStyle w:val="88"/>
        <w:spacing w:line="360" w:lineRule="auto"/>
        <w:ind w:left="413" w:hanging="413" w:hangingChars="196"/>
        <w:rPr>
          <w:rFonts w:ascii="宋体" w:eastAsia="宋体" w:cs="宋体"/>
          <w:b/>
          <w:color w:val="auto"/>
          <w:sz w:val="21"/>
          <w:szCs w:val="21"/>
        </w:rPr>
      </w:pPr>
      <w:r>
        <w:rPr>
          <w:rFonts w:hint="eastAsia" w:ascii="宋体" w:eastAsia="宋体" w:cs="宋体"/>
          <w:b/>
          <w:color w:val="auto"/>
          <w:sz w:val="21"/>
          <w:szCs w:val="21"/>
        </w:rPr>
        <w:t>7.3 投标人不符合合格投标人的基本条件[含未提供资格证明文件，或投标人（含其不具有独立法人资格的分支机构）被列入“信用中国”网站（www.creditchina.gov.cn）失信被执行人、重大税收违法案件当事人名单、严重违法失信行为记录名单]（处罚期限届满的除外）；</w:t>
      </w:r>
    </w:p>
    <w:p>
      <w:pPr>
        <w:pStyle w:val="88"/>
        <w:spacing w:line="360" w:lineRule="auto"/>
        <w:ind w:left="413" w:hanging="413" w:hangingChars="196"/>
        <w:rPr>
          <w:rFonts w:ascii="宋体" w:eastAsia="宋体" w:cs="宋体"/>
          <w:b/>
          <w:color w:val="auto"/>
          <w:sz w:val="21"/>
          <w:szCs w:val="21"/>
        </w:rPr>
      </w:pPr>
      <w:r>
        <w:rPr>
          <w:rFonts w:hint="eastAsia" w:ascii="宋体" w:eastAsia="宋体" w:cs="宋体"/>
          <w:b/>
          <w:color w:val="auto"/>
          <w:sz w:val="21"/>
          <w:szCs w:val="21"/>
        </w:rPr>
        <w:t>7.4投标文件未按照招标文件规定要求密封；投标文件无法定代表人或其授权代表签字（或盖私章），或签字人无法定代表人有效授权的；签字盖章不符合招标文件要求的；</w:t>
      </w:r>
    </w:p>
    <w:p>
      <w:pPr>
        <w:pStyle w:val="88"/>
        <w:spacing w:line="360" w:lineRule="auto"/>
        <w:ind w:left="413" w:hanging="413" w:hangingChars="196"/>
        <w:rPr>
          <w:rFonts w:hint="eastAsia" w:ascii="宋体" w:eastAsia="宋体" w:cs="宋体"/>
          <w:b/>
          <w:color w:val="auto"/>
          <w:sz w:val="21"/>
          <w:szCs w:val="21"/>
        </w:rPr>
      </w:pPr>
      <w:r>
        <w:rPr>
          <w:rFonts w:hint="eastAsia" w:ascii="宋体" w:eastAsia="宋体" w:cs="宋体"/>
          <w:b/>
          <w:color w:val="auto"/>
          <w:sz w:val="21"/>
          <w:szCs w:val="21"/>
        </w:rPr>
        <w:t xml:space="preserve">7.5 </w:t>
      </w:r>
      <w:bookmarkStart w:id="243" w:name="_Hlk68166656"/>
      <w:r>
        <w:rPr>
          <w:rFonts w:hint="eastAsia" w:ascii="宋体" w:eastAsia="宋体" w:cs="宋体"/>
          <w:b/>
          <w:color w:val="auto"/>
          <w:sz w:val="21"/>
          <w:szCs w:val="21"/>
        </w:rPr>
        <w:t>投标人存在投标人或其关联公司曾与东莞市水务集团有限公司及其下属企业签订合同，且在履约过程中因投标人或其关联公司严重违约而导致合同变更、中止、解除情形的；</w:t>
      </w:r>
      <w:bookmarkEnd w:id="243"/>
    </w:p>
    <w:p>
      <w:pPr>
        <w:pStyle w:val="88"/>
        <w:spacing w:line="360" w:lineRule="auto"/>
        <w:ind w:firstLine="0" w:firstLineChars="0"/>
        <w:rPr>
          <w:rFonts w:ascii="宋体" w:eastAsia="宋体" w:cs="宋体"/>
          <w:b/>
          <w:color w:val="auto"/>
          <w:sz w:val="21"/>
          <w:szCs w:val="21"/>
        </w:rPr>
      </w:pPr>
      <w:r>
        <w:rPr>
          <w:rFonts w:hint="eastAsia" w:ascii="宋体" w:eastAsia="宋体" w:cs="宋体"/>
          <w:b/>
          <w:color w:val="auto"/>
          <w:sz w:val="21"/>
          <w:szCs w:val="21"/>
        </w:rPr>
        <w:t>7.6投标有效期限不符合要求；</w:t>
      </w:r>
    </w:p>
    <w:p>
      <w:pPr>
        <w:pStyle w:val="88"/>
        <w:spacing w:line="360" w:lineRule="auto"/>
        <w:ind w:left="413" w:hanging="413" w:hangingChars="196"/>
        <w:rPr>
          <w:rFonts w:ascii="宋体" w:eastAsia="宋体" w:cs="宋体"/>
          <w:b/>
          <w:color w:val="auto"/>
          <w:sz w:val="21"/>
          <w:szCs w:val="21"/>
        </w:rPr>
      </w:pPr>
      <w:r>
        <w:rPr>
          <w:rFonts w:hint="eastAsia" w:ascii="宋体" w:eastAsia="宋体" w:cs="宋体"/>
          <w:b/>
          <w:color w:val="auto"/>
          <w:sz w:val="21"/>
          <w:szCs w:val="21"/>
        </w:rPr>
        <w:t>7.7投标文件未对招标范围内的全部内容进行投标响应或投标方案不是唯一；</w:t>
      </w:r>
    </w:p>
    <w:p>
      <w:pPr>
        <w:pStyle w:val="88"/>
        <w:spacing w:line="360" w:lineRule="auto"/>
        <w:ind w:left="413" w:hanging="413" w:hangingChars="196"/>
        <w:rPr>
          <w:rFonts w:ascii="宋体" w:eastAsia="宋体" w:cs="宋体"/>
          <w:b/>
          <w:color w:val="auto"/>
          <w:sz w:val="21"/>
          <w:szCs w:val="21"/>
        </w:rPr>
      </w:pPr>
      <w:r>
        <w:rPr>
          <w:rFonts w:hint="eastAsia" w:ascii="宋体" w:eastAsia="宋体" w:cs="宋体"/>
          <w:b/>
          <w:color w:val="auto"/>
          <w:sz w:val="21"/>
          <w:szCs w:val="21"/>
        </w:rPr>
        <w:t>7.8未提供或虚假填写《合同条款偏离表》，或对《合同条款偏离表》有负偏离的；</w:t>
      </w:r>
    </w:p>
    <w:p>
      <w:pPr>
        <w:pStyle w:val="88"/>
        <w:spacing w:line="360" w:lineRule="auto"/>
        <w:ind w:left="413" w:hanging="413" w:hangingChars="196"/>
        <w:rPr>
          <w:rFonts w:ascii="宋体" w:eastAsia="宋体" w:cs="宋体"/>
          <w:b/>
          <w:color w:val="auto"/>
          <w:sz w:val="21"/>
          <w:szCs w:val="21"/>
        </w:rPr>
      </w:pPr>
      <w:r>
        <w:rPr>
          <w:rFonts w:hint="eastAsia" w:ascii="宋体" w:eastAsia="宋体" w:cs="宋体"/>
          <w:b/>
          <w:color w:val="auto"/>
          <w:sz w:val="21"/>
          <w:szCs w:val="21"/>
        </w:rPr>
        <w:t>7.9未填写或虚假填写《用户需求偏离表》的；</w:t>
      </w:r>
    </w:p>
    <w:p>
      <w:pPr>
        <w:pStyle w:val="88"/>
        <w:spacing w:line="360" w:lineRule="auto"/>
        <w:ind w:firstLine="0" w:firstLineChars="0"/>
        <w:rPr>
          <w:rFonts w:ascii="宋体" w:eastAsia="宋体" w:cs="宋体"/>
          <w:b/>
          <w:color w:val="auto"/>
          <w:sz w:val="21"/>
          <w:szCs w:val="21"/>
        </w:rPr>
      </w:pPr>
      <w:r>
        <w:rPr>
          <w:rFonts w:hint="eastAsia" w:ascii="宋体" w:eastAsia="宋体" w:cs="宋体"/>
          <w:b/>
          <w:color w:val="auto"/>
          <w:sz w:val="21"/>
          <w:szCs w:val="21"/>
        </w:rPr>
        <w:t>7.10未响应招标文件提出的实质性要求和条件（标注★的条款）。</w:t>
      </w:r>
    </w:p>
    <w:p>
      <w:pPr>
        <w:spacing w:line="360" w:lineRule="auto"/>
        <w:ind w:left="315" w:hanging="315" w:hangingChars="150"/>
        <w:jc w:val="both"/>
        <w:rPr>
          <w:rFonts w:hAnsi="宋体" w:cs="宋体"/>
          <w:color w:val="auto"/>
          <w:sz w:val="21"/>
          <w:lang w:val="zh-CN"/>
        </w:rPr>
      </w:pPr>
      <w:r>
        <w:rPr>
          <w:rFonts w:hint="eastAsia" w:hAnsi="宋体" w:cs="宋体"/>
          <w:color w:val="auto"/>
          <w:sz w:val="21"/>
        </w:rPr>
        <w:t>8</w:t>
      </w:r>
      <w:r>
        <w:rPr>
          <w:rFonts w:hint="eastAsia" w:hAnsi="宋体" w:cs="宋体"/>
          <w:color w:val="auto"/>
          <w:sz w:val="21"/>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pPr>
        <w:pStyle w:val="88"/>
        <w:spacing w:line="360" w:lineRule="auto"/>
        <w:ind w:firstLine="0" w:firstLineChars="0"/>
        <w:rPr>
          <w:rFonts w:ascii="宋体" w:eastAsia="宋体" w:cs="宋体"/>
          <w:b/>
          <w:color w:val="auto"/>
          <w:sz w:val="21"/>
          <w:szCs w:val="21"/>
        </w:rPr>
      </w:pPr>
    </w:p>
    <w:p>
      <w:pPr>
        <w:tabs>
          <w:tab w:val="left" w:pos="1140"/>
        </w:tabs>
        <w:spacing w:line="360" w:lineRule="auto"/>
        <w:jc w:val="center"/>
        <w:rPr>
          <w:rFonts w:hAnsi="宋体" w:cs="宋体"/>
          <w:b/>
          <w:bCs/>
          <w:color w:val="auto"/>
          <w:kern w:val="2"/>
          <w:sz w:val="28"/>
          <w:szCs w:val="28"/>
        </w:rPr>
      </w:pPr>
      <w:r>
        <w:rPr>
          <w:rFonts w:hint="eastAsia" w:hAnsi="宋体" w:cs="宋体"/>
          <w:b/>
          <w:bCs/>
          <w:color w:val="auto"/>
          <w:kern w:val="2"/>
          <w:sz w:val="28"/>
          <w:szCs w:val="28"/>
          <w:lang w:val="zh-CN"/>
        </w:rPr>
        <w:t>三、澄清有关问题</w:t>
      </w:r>
    </w:p>
    <w:p>
      <w:pPr>
        <w:spacing w:line="360" w:lineRule="auto"/>
        <w:ind w:left="424" w:hanging="424" w:hangingChars="202"/>
        <w:jc w:val="both"/>
        <w:rPr>
          <w:rFonts w:hAnsi="宋体" w:cs="宋体"/>
          <w:color w:val="auto"/>
          <w:kern w:val="2"/>
          <w:sz w:val="21"/>
          <w:lang w:val="zh-CN"/>
        </w:rPr>
      </w:pPr>
      <w:r>
        <w:rPr>
          <w:rFonts w:hint="eastAsia" w:hAnsi="宋体" w:cs="宋体"/>
          <w:color w:val="auto"/>
          <w:kern w:val="2"/>
          <w:sz w:val="21"/>
          <w:lang w:val="zh-CN"/>
        </w:rPr>
        <w:t>9、 在</w:t>
      </w:r>
      <w:r>
        <w:rPr>
          <w:rFonts w:hint="eastAsia" w:hAnsi="宋体" w:cs="宋体"/>
          <w:color w:val="auto"/>
          <w:sz w:val="21"/>
          <w:lang w:val="zh-CN"/>
        </w:rPr>
        <w:t>投标文件</w:t>
      </w:r>
      <w:r>
        <w:rPr>
          <w:rFonts w:hint="eastAsia" w:hAnsi="宋体" w:cs="宋体"/>
          <w:color w:val="auto"/>
          <w:kern w:val="2"/>
          <w:sz w:val="21"/>
          <w:lang w:val="zh-CN"/>
        </w:rPr>
        <w:t>的商务、技术资格性检查及符合性检查过程中，</w:t>
      </w:r>
      <w:r>
        <w:rPr>
          <w:rFonts w:hint="eastAsia" w:hAnsi="宋体" w:cs="宋体"/>
          <w:color w:val="auto"/>
          <w:sz w:val="21"/>
          <w:lang w:val="zh-CN"/>
        </w:rPr>
        <w:t>投标人</w:t>
      </w:r>
      <w:r>
        <w:rPr>
          <w:rFonts w:hint="eastAsia" w:hAnsi="宋体" w:cs="宋体"/>
          <w:color w:val="auto"/>
          <w:kern w:val="2"/>
          <w:sz w:val="21"/>
          <w:lang w:val="zh-CN"/>
        </w:rPr>
        <w:t>可应评标委员会要求对</w:t>
      </w:r>
      <w:r>
        <w:rPr>
          <w:rFonts w:hint="eastAsia" w:hAnsi="宋体" w:cs="宋体"/>
          <w:color w:val="auto"/>
          <w:sz w:val="21"/>
          <w:lang w:val="zh-CN"/>
        </w:rPr>
        <w:t>投标文件</w:t>
      </w:r>
      <w:r>
        <w:rPr>
          <w:rFonts w:hint="eastAsia" w:hAnsi="宋体" w:cs="宋体"/>
          <w:color w:val="auto"/>
          <w:kern w:val="2"/>
          <w:sz w:val="21"/>
          <w:lang w:val="zh-CN"/>
        </w:rPr>
        <w:t>中有关问题进行书面澄清。该书面澄清作为其</w:t>
      </w:r>
      <w:r>
        <w:rPr>
          <w:rFonts w:hint="eastAsia" w:hAnsi="宋体" w:cs="宋体"/>
          <w:color w:val="auto"/>
          <w:sz w:val="21"/>
          <w:lang w:val="zh-CN"/>
        </w:rPr>
        <w:t>投标文件</w:t>
      </w:r>
      <w:r>
        <w:rPr>
          <w:rFonts w:hint="eastAsia" w:hAnsi="宋体" w:cs="宋体"/>
          <w:color w:val="auto"/>
          <w:kern w:val="2"/>
          <w:sz w:val="21"/>
          <w:lang w:val="zh-CN"/>
        </w:rPr>
        <w:t>的一部分。</w:t>
      </w:r>
    </w:p>
    <w:p>
      <w:pPr>
        <w:spacing w:line="360" w:lineRule="auto"/>
        <w:ind w:left="529" w:hanging="529" w:hangingChars="252"/>
        <w:jc w:val="both"/>
        <w:rPr>
          <w:rFonts w:hAnsi="宋体" w:cs="宋体"/>
          <w:color w:val="auto"/>
          <w:kern w:val="2"/>
          <w:sz w:val="21"/>
          <w:lang w:val="zh-CN"/>
        </w:rPr>
      </w:pPr>
      <w:r>
        <w:rPr>
          <w:rFonts w:hint="eastAsia" w:hAnsi="宋体" w:cs="宋体"/>
          <w:color w:val="auto"/>
          <w:kern w:val="2"/>
          <w:sz w:val="21"/>
          <w:lang w:val="zh-CN"/>
        </w:rPr>
        <w:t>9.1  对</w:t>
      </w:r>
      <w:r>
        <w:rPr>
          <w:rFonts w:hint="eastAsia" w:hAnsi="宋体" w:cs="宋体"/>
          <w:color w:val="auto"/>
          <w:sz w:val="21"/>
          <w:lang w:val="zh-CN"/>
        </w:rPr>
        <w:t>投标文件</w:t>
      </w:r>
      <w:r>
        <w:rPr>
          <w:rFonts w:hint="eastAsia" w:hAnsi="宋体" w:cs="宋体"/>
          <w:color w:val="auto"/>
          <w:kern w:val="2"/>
          <w:sz w:val="21"/>
          <w:lang w:val="zh-CN"/>
        </w:rPr>
        <w:t>中含义不明确、同类问题表述不一致或者有明显文字和计算错误的内容，评标委员会可以书面形式（由评标委员会专家签字）要求投标人作出必要的澄清、说明或者纠正。</w:t>
      </w:r>
    </w:p>
    <w:p>
      <w:pPr>
        <w:spacing w:line="360" w:lineRule="auto"/>
        <w:ind w:left="529" w:hanging="529" w:hangingChars="252"/>
        <w:jc w:val="both"/>
        <w:rPr>
          <w:rFonts w:hAnsi="宋体" w:cs="宋体"/>
          <w:color w:val="auto"/>
          <w:kern w:val="2"/>
          <w:sz w:val="21"/>
          <w:lang w:val="zh-CN"/>
        </w:rPr>
      </w:pPr>
      <w:r>
        <w:rPr>
          <w:rFonts w:hint="eastAsia" w:hAnsi="宋体" w:cs="宋体"/>
          <w:color w:val="auto"/>
          <w:kern w:val="2"/>
          <w:sz w:val="21"/>
          <w:lang w:val="zh-CN"/>
        </w:rPr>
        <w:t>9.2  投标人的澄清、说明或者纠正应当采用书面形式，由其授权的代表签字，并不得超出投标文件的范围或者改变投标文件的实质性内容。</w:t>
      </w:r>
    </w:p>
    <w:p>
      <w:pPr>
        <w:spacing w:line="360" w:lineRule="auto"/>
        <w:ind w:left="529" w:right="18" w:hanging="529" w:hangingChars="252"/>
        <w:jc w:val="both"/>
        <w:rPr>
          <w:rFonts w:hAnsi="宋体" w:cs="宋体"/>
          <w:color w:val="auto"/>
          <w:kern w:val="2"/>
          <w:sz w:val="21"/>
          <w:lang w:val="zh-CN"/>
        </w:rPr>
      </w:pPr>
      <w:r>
        <w:rPr>
          <w:rFonts w:hint="eastAsia" w:hAnsi="宋体" w:cs="宋体"/>
          <w:color w:val="auto"/>
          <w:kern w:val="2"/>
          <w:sz w:val="21"/>
          <w:lang w:val="zh-CN"/>
        </w:rPr>
        <w:t>9.3  经过澄清后仍不符合要求，则该项目在下一步评审进行评分调整；若重大（实质性）偏差仍存在，且不可接受，投标人则被认为是“不响应招标文件要求的投标人”，不再进入下一步评审。</w:t>
      </w:r>
    </w:p>
    <w:p>
      <w:pPr>
        <w:pStyle w:val="88"/>
        <w:spacing w:line="360" w:lineRule="auto"/>
        <w:ind w:left="378" w:hanging="378" w:hangingChars="180"/>
        <w:rPr>
          <w:rFonts w:ascii="宋体" w:eastAsia="宋体" w:cs="宋体"/>
          <w:color w:val="auto"/>
          <w:sz w:val="21"/>
          <w:szCs w:val="21"/>
          <w:lang w:val="zh-CN"/>
        </w:rPr>
      </w:pPr>
    </w:p>
    <w:p>
      <w:pPr>
        <w:tabs>
          <w:tab w:val="left" w:pos="1140"/>
        </w:tabs>
        <w:spacing w:line="360" w:lineRule="auto"/>
        <w:jc w:val="center"/>
        <w:rPr>
          <w:rFonts w:hAnsi="宋体" w:cs="宋体"/>
          <w:b/>
          <w:bCs/>
          <w:color w:val="auto"/>
          <w:kern w:val="2"/>
          <w:sz w:val="28"/>
          <w:szCs w:val="28"/>
        </w:rPr>
      </w:pPr>
      <w:r>
        <w:rPr>
          <w:rFonts w:hint="eastAsia" w:hAnsi="宋体" w:cs="宋体"/>
          <w:b/>
          <w:bCs/>
          <w:color w:val="auto"/>
          <w:kern w:val="2"/>
          <w:sz w:val="28"/>
          <w:szCs w:val="28"/>
          <w:lang w:val="zh-CN"/>
        </w:rPr>
        <w:t>四、比较和评价</w:t>
      </w:r>
    </w:p>
    <w:p>
      <w:pPr>
        <w:spacing w:line="360" w:lineRule="auto"/>
        <w:ind w:left="424" w:hanging="424" w:hangingChars="202"/>
        <w:jc w:val="both"/>
        <w:rPr>
          <w:rFonts w:hAnsi="宋体" w:cs="宋体"/>
          <w:color w:val="auto"/>
          <w:kern w:val="2"/>
          <w:sz w:val="21"/>
          <w:lang w:val="zh-CN"/>
        </w:rPr>
      </w:pPr>
      <w:r>
        <w:rPr>
          <w:rFonts w:hint="eastAsia" w:hAnsi="宋体" w:cs="宋体"/>
          <w:color w:val="auto"/>
          <w:kern w:val="2"/>
          <w:sz w:val="21"/>
          <w:lang w:val="zh-CN"/>
        </w:rPr>
        <w:t>10、评标委员会按招标文件中规定的评审方法和标准，对资格性检查和符合性检查合格的投标文件进行商务和技术评估、综合比较与评价；评标委员会根据商务和技术评估的结果，采用综合评分法，分别对投标文件的商务、技术等内容进行打分。</w:t>
      </w:r>
    </w:p>
    <w:p>
      <w:pPr>
        <w:tabs>
          <w:tab w:val="left" w:pos="780"/>
        </w:tabs>
        <w:spacing w:line="360" w:lineRule="auto"/>
        <w:ind w:left="780" w:hanging="780"/>
        <w:jc w:val="both"/>
        <w:rPr>
          <w:rFonts w:hAnsi="宋体" w:cs="宋体"/>
          <w:color w:val="auto"/>
          <w:kern w:val="2"/>
          <w:sz w:val="21"/>
          <w:lang w:val="zh-CN"/>
        </w:rPr>
      </w:pPr>
      <w:r>
        <w:rPr>
          <w:rFonts w:hint="eastAsia" w:hAnsi="宋体" w:cs="宋体"/>
          <w:color w:val="auto"/>
          <w:kern w:val="2"/>
          <w:sz w:val="21"/>
          <w:lang w:val="zh-CN"/>
        </w:rPr>
        <w:t>11、评委打分办法</w:t>
      </w:r>
    </w:p>
    <w:p>
      <w:pPr>
        <w:spacing w:line="360" w:lineRule="auto"/>
        <w:jc w:val="both"/>
        <w:rPr>
          <w:rFonts w:hAnsi="宋体" w:cs="宋体"/>
          <w:color w:val="auto"/>
          <w:kern w:val="2"/>
          <w:sz w:val="21"/>
          <w:lang w:val="zh-CN"/>
        </w:rPr>
      </w:pPr>
      <w:r>
        <w:rPr>
          <w:rFonts w:hint="eastAsia" w:hAnsi="宋体" w:cs="宋体"/>
          <w:color w:val="auto"/>
          <w:kern w:val="2"/>
          <w:sz w:val="21"/>
          <w:lang w:val="zh-CN"/>
        </w:rPr>
        <w:t>11.1 参加评分的评委应尽力体现客观、实事求是，避免学派偏见和个人偏好。</w:t>
      </w:r>
    </w:p>
    <w:p>
      <w:pPr>
        <w:spacing w:line="360" w:lineRule="auto"/>
        <w:ind w:left="567" w:hanging="567" w:hangingChars="270"/>
        <w:jc w:val="both"/>
        <w:rPr>
          <w:rFonts w:hAnsi="宋体" w:cs="宋体"/>
          <w:color w:val="auto"/>
          <w:kern w:val="2"/>
          <w:sz w:val="21"/>
          <w:lang w:val="zh-CN"/>
        </w:rPr>
      </w:pPr>
      <w:r>
        <w:rPr>
          <w:rFonts w:hint="eastAsia" w:hAnsi="宋体" w:cs="宋体"/>
          <w:color w:val="auto"/>
          <w:kern w:val="2"/>
          <w:sz w:val="21"/>
          <w:lang w:val="zh-CN"/>
        </w:rPr>
        <w:t>11.2 衡量、对比的依据，应以招标文件、投标文件、提供的正式试验数据、开标澄清中的文字为准，口头回答和收集的资料只作为参考。</w:t>
      </w:r>
    </w:p>
    <w:p>
      <w:pPr>
        <w:spacing w:line="360" w:lineRule="auto"/>
        <w:ind w:left="565" w:leftChars="-1" w:hanging="567" w:hangingChars="270"/>
        <w:jc w:val="both"/>
        <w:rPr>
          <w:rFonts w:hAnsi="宋体" w:cs="宋体"/>
          <w:color w:val="auto"/>
          <w:kern w:val="2"/>
          <w:sz w:val="21"/>
          <w:lang w:val="zh-CN"/>
        </w:rPr>
      </w:pPr>
      <w:r>
        <w:rPr>
          <w:rFonts w:hint="eastAsia" w:hAnsi="宋体" w:cs="宋体"/>
          <w:color w:val="auto"/>
          <w:kern w:val="2"/>
          <w:sz w:val="21"/>
          <w:lang w:val="zh-CN"/>
        </w:rPr>
        <w:t>11.3 评分主要是为比较各投标人的商务、技术综合排序。</w:t>
      </w:r>
      <w:r>
        <w:rPr>
          <w:rFonts w:hint="eastAsia" w:hAnsi="宋体" w:cs="宋体"/>
          <w:color w:val="auto"/>
          <w:sz w:val="21"/>
          <w:szCs w:val="21"/>
        </w:rPr>
        <w:t>评标委员会专家组的每一位评委根据招标文件评分标准对投标文件分别评审，对有效投标人投标文件的商务、技术分别评分。评标委员会首先对商务标进行评审，按评标标准打分后，取所有评委评分的平均值得出该投标人的商务评分；然后评标委员会对技术标进行评审，按评标标准打分后，取所有评委评分的平均值得出该投标人的技术评分。</w:t>
      </w:r>
    </w:p>
    <w:p>
      <w:pPr>
        <w:tabs>
          <w:tab w:val="left" w:pos="600"/>
        </w:tabs>
        <w:spacing w:line="360" w:lineRule="auto"/>
        <w:jc w:val="both"/>
        <w:rPr>
          <w:rFonts w:hAnsi="宋体" w:cs="宋体"/>
          <w:color w:val="auto"/>
          <w:kern w:val="2"/>
          <w:sz w:val="21"/>
          <w:lang w:val="zh-CN"/>
        </w:rPr>
      </w:pPr>
      <w:r>
        <w:rPr>
          <w:rFonts w:hint="eastAsia" w:hAnsi="宋体" w:cs="宋体"/>
          <w:color w:val="auto"/>
          <w:kern w:val="2"/>
          <w:sz w:val="21"/>
          <w:lang w:val="zh-CN"/>
        </w:rPr>
        <w:t>11.4 评标委员会打分采取记名形式。</w:t>
      </w:r>
    </w:p>
    <w:p>
      <w:pPr>
        <w:spacing w:line="360" w:lineRule="auto"/>
        <w:ind w:left="567" w:hanging="567"/>
        <w:jc w:val="both"/>
        <w:rPr>
          <w:rFonts w:hAnsi="宋体" w:cs="宋体"/>
          <w:color w:val="auto"/>
          <w:kern w:val="2"/>
          <w:sz w:val="21"/>
          <w:lang w:val="zh-CN"/>
        </w:rPr>
      </w:pPr>
      <w:r>
        <w:rPr>
          <w:rFonts w:hint="eastAsia" w:hAnsi="宋体" w:cs="宋体"/>
          <w:color w:val="auto"/>
          <w:kern w:val="2"/>
          <w:sz w:val="21"/>
          <w:lang w:val="zh-CN"/>
        </w:rPr>
        <w:t>11.5 各评委根据招标代理机构秘书组提供的打分表严格按照评标大纲内的评分标准独立自主打分，任何人不得要求评委统一打分或统一确定等次顺序。</w:t>
      </w:r>
    </w:p>
    <w:p>
      <w:pPr>
        <w:spacing w:line="360" w:lineRule="auto"/>
        <w:ind w:left="567" w:hanging="567"/>
        <w:jc w:val="both"/>
        <w:rPr>
          <w:rFonts w:hAnsi="宋体" w:cs="宋体"/>
          <w:color w:val="auto"/>
          <w:kern w:val="2"/>
          <w:sz w:val="21"/>
          <w:lang w:val="zh-CN"/>
        </w:rPr>
      </w:pPr>
      <w:r>
        <w:rPr>
          <w:rFonts w:hint="eastAsia" w:hAnsi="宋体" w:cs="宋体"/>
          <w:color w:val="auto"/>
          <w:kern w:val="2"/>
          <w:sz w:val="21"/>
          <w:lang w:val="zh-CN"/>
        </w:rPr>
        <w:t>11.6 对打分表中的每项条款，各评委应根据投标文件、澄清材料、招标文件要求，按满足的程度给投标人打分。</w:t>
      </w:r>
    </w:p>
    <w:p>
      <w:pPr>
        <w:tabs>
          <w:tab w:val="left" w:pos="600"/>
        </w:tabs>
        <w:spacing w:line="360" w:lineRule="auto"/>
        <w:jc w:val="both"/>
        <w:rPr>
          <w:rFonts w:hAnsi="宋体" w:cs="宋体"/>
          <w:color w:val="auto"/>
          <w:kern w:val="2"/>
          <w:sz w:val="21"/>
          <w:lang w:val="zh-CN"/>
        </w:rPr>
      </w:pPr>
      <w:r>
        <w:rPr>
          <w:rFonts w:hint="eastAsia" w:hAnsi="宋体" w:cs="宋体"/>
          <w:color w:val="auto"/>
          <w:kern w:val="2"/>
          <w:sz w:val="21"/>
          <w:lang w:val="zh-CN"/>
        </w:rPr>
        <w:t>11.7 评分程序</w:t>
      </w:r>
    </w:p>
    <w:p>
      <w:pPr>
        <w:spacing w:line="360" w:lineRule="auto"/>
        <w:ind w:left="824" w:leftChars="130" w:hanging="512" w:hangingChars="244"/>
        <w:rPr>
          <w:rFonts w:hAnsi="宋体" w:cs="宋体"/>
          <w:color w:val="auto"/>
          <w:kern w:val="2"/>
          <w:sz w:val="21"/>
          <w:lang w:val="zh-CN"/>
        </w:rPr>
      </w:pPr>
      <w:r>
        <w:rPr>
          <w:rFonts w:hint="eastAsia" w:hAnsi="宋体" w:cs="宋体"/>
          <w:color w:val="auto"/>
          <w:kern w:val="2"/>
          <w:sz w:val="21"/>
          <w:lang w:val="zh-CN"/>
        </w:rPr>
        <w:t>（1）就投标人的投标文件对照整理出商务、技术评标因素对比表、偏差表，并在经过校核的基础上逐项打分。</w:t>
      </w:r>
    </w:p>
    <w:p>
      <w:pPr>
        <w:spacing w:line="360" w:lineRule="auto"/>
        <w:ind w:left="824" w:leftChars="130" w:hanging="512" w:hangingChars="244"/>
        <w:rPr>
          <w:rFonts w:hAnsi="宋体" w:cs="宋体"/>
          <w:color w:val="auto"/>
          <w:kern w:val="2"/>
          <w:sz w:val="21"/>
          <w:lang w:val="zh-CN"/>
        </w:rPr>
      </w:pPr>
      <w:r>
        <w:rPr>
          <w:rFonts w:hint="eastAsia" w:hAnsi="宋体" w:cs="宋体"/>
          <w:color w:val="auto"/>
          <w:kern w:val="2"/>
          <w:sz w:val="21"/>
          <w:lang w:val="zh-CN"/>
        </w:rPr>
        <w:t>（2）各评委独立完成打分后，将统计好的评分表交给招标代理机构秘书组复核。</w:t>
      </w:r>
    </w:p>
    <w:p>
      <w:pPr>
        <w:spacing w:line="360" w:lineRule="auto"/>
        <w:ind w:left="824" w:leftChars="130" w:hanging="512" w:hangingChars="244"/>
        <w:rPr>
          <w:rFonts w:hAnsi="宋体" w:cs="宋体"/>
          <w:color w:val="auto"/>
          <w:kern w:val="2"/>
          <w:sz w:val="21"/>
          <w:lang w:val="zh-CN"/>
        </w:rPr>
      </w:pPr>
      <w:r>
        <w:rPr>
          <w:rFonts w:hint="eastAsia" w:hAnsi="宋体" w:cs="宋体"/>
          <w:color w:val="auto"/>
          <w:kern w:val="2"/>
          <w:sz w:val="21"/>
          <w:lang w:val="zh-CN"/>
        </w:rPr>
        <w:t>（3）评分统计表中各投标人得分应为评委打分的算术平均值。</w:t>
      </w:r>
    </w:p>
    <w:p>
      <w:pPr>
        <w:spacing w:line="360" w:lineRule="auto"/>
        <w:ind w:left="2" w:leftChars="1"/>
        <w:jc w:val="both"/>
        <w:rPr>
          <w:rFonts w:hAnsi="宋体" w:cs="宋体"/>
          <w:b/>
          <w:color w:val="auto"/>
          <w:kern w:val="2"/>
          <w:sz w:val="21"/>
          <w:lang w:val="zh-CN"/>
        </w:rPr>
      </w:pPr>
      <w:r>
        <w:rPr>
          <w:rFonts w:hint="eastAsia" w:hAnsi="宋体" w:cs="宋体"/>
          <w:b/>
          <w:color w:val="auto"/>
          <w:kern w:val="2"/>
          <w:sz w:val="21"/>
          <w:lang w:val="zh-CN"/>
        </w:rPr>
        <w:t>12、评分因素及分值</w:t>
      </w: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091"/>
        <w:gridCol w:w="46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091" w:type="dxa"/>
            <w:tcBorders>
              <w:top w:val="single" w:color="auto" w:sz="4" w:space="0"/>
              <w:left w:val="single" w:color="auto" w:sz="4" w:space="0"/>
              <w:bottom w:val="single" w:color="auto" w:sz="4" w:space="0"/>
              <w:right w:val="single" w:color="auto" w:sz="4" w:space="0"/>
            </w:tcBorders>
            <w:vAlign w:val="center"/>
          </w:tcPr>
          <w:p>
            <w:pPr>
              <w:jc w:val="center"/>
              <w:rPr>
                <w:rFonts w:hAnsi="宋体" w:cs="宋体"/>
                <w:color w:val="auto"/>
                <w:sz w:val="21"/>
                <w:lang w:val="zh-CN"/>
              </w:rPr>
            </w:pPr>
            <w:r>
              <w:rPr>
                <w:rFonts w:hint="eastAsia" w:hAnsi="宋体" w:cs="宋体"/>
                <w:color w:val="auto"/>
                <w:sz w:val="21"/>
                <w:lang w:val="zh-CN"/>
              </w:rPr>
              <w:t>评分因素</w:t>
            </w:r>
          </w:p>
        </w:tc>
        <w:tc>
          <w:tcPr>
            <w:tcW w:w="4600" w:type="dxa"/>
            <w:tcBorders>
              <w:top w:val="single" w:color="auto" w:sz="4" w:space="0"/>
              <w:left w:val="single" w:color="auto" w:sz="4" w:space="0"/>
              <w:bottom w:val="single" w:color="auto" w:sz="4" w:space="0"/>
              <w:right w:val="single" w:color="auto" w:sz="4" w:space="0"/>
            </w:tcBorders>
            <w:vAlign w:val="center"/>
          </w:tcPr>
          <w:p>
            <w:pPr>
              <w:jc w:val="center"/>
              <w:rPr>
                <w:rFonts w:hAnsi="宋体" w:cs="宋体"/>
                <w:color w:val="auto"/>
                <w:sz w:val="21"/>
                <w:lang w:val="zh-CN"/>
              </w:rPr>
            </w:pPr>
            <w:r>
              <w:rPr>
                <w:rFonts w:hint="eastAsia" w:hAnsi="宋体" w:cs="宋体"/>
                <w:color w:val="auto"/>
                <w:sz w:val="21"/>
                <w:lang w:val="zh-CN"/>
              </w:rPr>
              <w:t>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2" w:hRule="atLeast"/>
          <w:jc w:val="center"/>
        </w:trPr>
        <w:tc>
          <w:tcPr>
            <w:tcW w:w="4091" w:type="dxa"/>
            <w:tcBorders>
              <w:top w:val="single" w:color="auto" w:sz="4" w:space="0"/>
              <w:left w:val="single" w:color="auto" w:sz="4" w:space="0"/>
              <w:bottom w:val="single" w:color="auto" w:sz="4" w:space="0"/>
              <w:right w:val="single" w:color="auto" w:sz="4" w:space="0"/>
            </w:tcBorders>
            <w:vAlign w:val="center"/>
          </w:tcPr>
          <w:p>
            <w:pPr>
              <w:jc w:val="center"/>
              <w:rPr>
                <w:rFonts w:hAnsi="宋体" w:cs="宋体"/>
                <w:color w:val="auto"/>
                <w:sz w:val="21"/>
                <w:lang w:val="zh-CN"/>
              </w:rPr>
            </w:pPr>
            <w:r>
              <w:rPr>
                <w:rFonts w:hint="eastAsia" w:hAnsi="宋体" w:cs="宋体"/>
                <w:color w:val="auto"/>
                <w:sz w:val="21"/>
                <w:lang w:val="zh-CN"/>
              </w:rPr>
              <w:t>（1）商务</w:t>
            </w:r>
          </w:p>
        </w:tc>
        <w:tc>
          <w:tcPr>
            <w:tcW w:w="4600" w:type="dxa"/>
            <w:tcBorders>
              <w:top w:val="single" w:color="auto" w:sz="4" w:space="0"/>
              <w:left w:val="single" w:color="auto" w:sz="4" w:space="0"/>
              <w:bottom w:val="single" w:color="auto" w:sz="4" w:space="0"/>
              <w:right w:val="single" w:color="auto" w:sz="4" w:space="0"/>
            </w:tcBorders>
            <w:vAlign w:val="center"/>
          </w:tcPr>
          <w:p>
            <w:pPr>
              <w:jc w:val="center"/>
              <w:rPr>
                <w:rFonts w:hAnsi="宋体" w:cs="宋体"/>
                <w:color w:val="auto"/>
                <w:sz w:val="21"/>
                <w:szCs w:val="21"/>
                <w:lang w:val="zh-CN"/>
              </w:rPr>
            </w:pPr>
            <w:r>
              <w:rPr>
                <w:rFonts w:hint="eastAsia" w:hAnsi="宋体" w:cs="宋体"/>
                <w:color w:val="auto"/>
                <w:sz w:val="21"/>
                <w:szCs w:val="21"/>
                <w:lang w:val="en-US" w:eastAsia="zh-CN"/>
              </w:rPr>
              <w:t>50</w:t>
            </w:r>
            <w:r>
              <w:rPr>
                <w:rFonts w:hint="eastAsia" w:hAnsi="宋体" w:cs="宋体"/>
                <w:color w:val="auto"/>
                <w:sz w:val="21"/>
                <w:szCs w:val="21"/>
                <w:lang w:val="zh-CN"/>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4091" w:type="dxa"/>
            <w:tcBorders>
              <w:top w:val="single" w:color="auto" w:sz="4" w:space="0"/>
              <w:left w:val="single" w:color="auto" w:sz="4" w:space="0"/>
              <w:bottom w:val="single" w:color="auto" w:sz="4" w:space="0"/>
              <w:right w:val="single" w:color="auto" w:sz="4" w:space="0"/>
            </w:tcBorders>
            <w:vAlign w:val="center"/>
          </w:tcPr>
          <w:p>
            <w:pPr>
              <w:jc w:val="center"/>
              <w:rPr>
                <w:rFonts w:hAnsi="宋体" w:cs="宋体"/>
                <w:color w:val="auto"/>
                <w:sz w:val="21"/>
                <w:lang w:val="zh-CN"/>
              </w:rPr>
            </w:pPr>
            <w:r>
              <w:rPr>
                <w:rFonts w:hint="eastAsia" w:hAnsi="宋体" w:cs="宋体"/>
                <w:color w:val="auto"/>
                <w:sz w:val="21"/>
                <w:lang w:val="zh-CN"/>
              </w:rPr>
              <w:t>（2）技术</w:t>
            </w:r>
          </w:p>
        </w:tc>
        <w:tc>
          <w:tcPr>
            <w:tcW w:w="4600" w:type="dxa"/>
            <w:tcBorders>
              <w:top w:val="single" w:color="auto" w:sz="4" w:space="0"/>
              <w:left w:val="single" w:color="auto" w:sz="4" w:space="0"/>
              <w:bottom w:val="single" w:color="auto" w:sz="4" w:space="0"/>
              <w:right w:val="single" w:color="auto" w:sz="4" w:space="0"/>
            </w:tcBorders>
            <w:vAlign w:val="center"/>
          </w:tcPr>
          <w:p>
            <w:pPr>
              <w:jc w:val="center"/>
              <w:rPr>
                <w:rFonts w:hAnsi="宋体" w:cs="宋体"/>
                <w:color w:val="auto"/>
                <w:sz w:val="21"/>
                <w:szCs w:val="21"/>
                <w:lang w:val="zh-CN"/>
              </w:rPr>
            </w:pPr>
            <w:r>
              <w:rPr>
                <w:rFonts w:hint="eastAsia" w:hAnsi="宋体" w:cs="宋体"/>
                <w:color w:val="auto"/>
                <w:sz w:val="21"/>
                <w:szCs w:val="21"/>
                <w:lang w:val="en-US" w:eastAsia="zh-CN"/>
              </w:rPr>
              <w:t>50</w:t>
            </w:r>
            <w:r>
              <w:rPr>
                <w:rFonts w:hint="eastAsia" w:hAnsi="宋体" w:cs="宋体"/>
                <w:color w:val="auto"/>
                <w:sz w:val="21"/>
                <w:szCs w:val="21"/>
                <w:lang w:val="zh-CN"/>
              </w:rPr>
              <w:t>分</w:t>
            </w:r>
          </w:p>
        </w:tc>
      </w:tr>
    </w:tbl>
    <w:p>
      <w:pPr>
        <w:tabs>
          <w:tab w:val="left" w:pos="585"/>
        </w:tabs>
        <w:spacing w:line="360" w:lineRule="auto"/>
        <w:jc w:val="both"/>
        <w:rPr>
          <w:rFonts w:hAnsi="宋体" w:cs="宋体"/>
          <w:b/>
          <w:color w:val="auto"/>
          <w:kern w:val="2"/>
          <w:sz w:val="21"/>
          <w:szCs w:val="21"/>
          <w:lang w:val="zh-CN"/>
        </w:rPr>
      </w:pPr>
    </w:p>
    <w:p>
      <w:pPr>
        <w:tabs>
          <w:tab w:val="left" w:pos="585"/>
        </w:tabs>
        <w:spacing w:line="360" w:lineRule="auto"/>
        <w:jc w:val="both"/>
        <w:rPr>
          <w:rFonts w:hAnsi="宋体" w:cs="宋体"/>
          <w:b/>
          <w:color w:val="auto"/>
          <w:kern w:val="2"/>
          <w:sz w:val="21"/>
          <w:szCs w:val="21"/>
          <w:lang w:val="zh-CN"/>
        </w:rPr>
      </w:pPr>
      <w:r>
        <w:rPr>
          <w:rFonts w:hint="eastAsia" w:hAnsi="宋体" w:cs="宋体"/>
          <w:b/>
          <w:color w:val="auto"/>
          <w:kern w:val="2"/>
          <w:sz w:val="21"/>
          <w:szCs w:val="21"/>
          <w:lang w:val="zh-CN"/>
        </w:rPr>
        <w:t>（1）商务：</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321"/>
        <w:gridCol w:w="6211"/>
        <w:gridCol w:w="1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2" w:type="dxa"/>
            <w:tcBorders>
              <w:top w:val="single" w:color="auto" w:sz="4" w:space="0"/>
              <w:left w:val="single" w:color="auto" w:sz="4" w:space="0"/>
              <w:bottom w:val="single" w:color="auto" w:sz="4" w:space="0"/>
              <w:right w:val="single" w:color="auto" w:sz="4" w:space="0"/>
            </w:tcBorders>
            <w:vAlign w:val="center"/>
          </w:tcPr>
          <w:p>
            <w:pPr>
              <w:tabs>
                <w:tab w:val="left" w:pos="585"/>
              </w:tabs>
              <w:snapToGrid w:val="0"/>
              <w:spacing w:line="360" w:lineRule="auto"/>
              <w:jc w:val="both"/>
              <w:rPr>
                <w:rFonts w:hAnsi="宋体" w:cs="宋体"/>
                <w:b/>
                <w:color w:val="auto"/>
                <w:sz w:val="21"/>
                <w:szCs w:val="21"/>
              </w:rPr>
            </w:pPr>
            <w:r>
              <w:rPr>
                <w:rFonts w:hint="eastAsia" w:hAnsi="宋体" w:cs="宋体"/>
                <w:b/>
                <w:color w:val="auto"/>
                <w:sz w:val="21"/>
                <w:szCs w:val="21"/>
              </w:rPr>
              <w:t>序号</w:t>
            </w:r>
          </w:p>
        </w:tc>
        <w:tc>
          <w:tcPr>
            <w:tcW w:w="132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Ansi="宋体" w:cs="宋体"/>
                <w:b/>
                <w:color w:val="auto"/>
                <w:sz w:val="21"/>
                <w:szCs w:val="21"/>
              </w:rPr>
            </w:pPr>
            <w:r>
              <w:rPr>
                <w:rFonts w:hint="eastAsia" w:hAnsi="宋体" w:cs="宋体"/>
                <w:b/>
                <w:color w:val="auto"/>
                <w:sz w:val="21"/>
                <w:szCs w:val="21"/>
                <w:lang w:val="zh-CN"/>
              </w:rPr>
              <w:t>评审内容</w:t>
            </w:r>
          </w:p>
        </w:tc>
        <w:tc>
          <w:tcPr>
            <w:tcW w:w="621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Ansi="宋体" w:cs="宋体"/>
                <w:b/>
                <w:color w:val="auto"/>
                <w:sz w:val="21"/>
                <w:szCs w:val="21"/>
              </w:rPr>
            </w:pPr>
            <w:r>
              <w:rPr>
                <w:rFonts w:hint="eastAsia" w:hAnsi="宋体" w:cs="宋体"/>
                <w:b/>
                <w:color w:val="auto"/>
                <w:sz w:val="21"/>
                <w:szCs w:val="21"/>
              </w:rPr>
              <w:t>评审细则</w:t>
            </w:r>
          </w:p>
        </w:tc>
        <w:tc>
          <w:tcPr>
            <w:tcW w:w="110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Ansi="宋体" w:cs="宋体"/>
                <w:b/>
                <w:color w:val="auto"/>
                <w:sz w:val="21"/>
                <w:szCs w:val="21"/>
              </w:rPr>
            </w:pPr>
            <w:r>
              <w:rPr>
                <w:rFonts w:hint="eastAsia" w:hAnsi="宋体" w:cs="宋体"/>
                <w:b/>
                <w:color w:val="auto"/>
                <w:sz w:val="21"/>
                <w:szCs w:val="21"/>
              </w:rPr>
              <w:t>满分值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Ansi="宋体" w:cs="宋体"/>
                <w:color w:val="auto"/>
                <w:sz w:val="21"/>
                <w:szCs w:val="21"/>
              </w:rPr>
            </w:pPr>
            <w:r>
              <w:rPr>
                <w:rFonts w:hint="eastAsia" w:hAnsi="宋体" w:cs="宋体"/>
                <w:color w:val="auto"/>
                <w:sz w:val="21"/>
                <w:szCs w:val="21"/>
              </w:rPr>
              <w:t>1</w:t>
            </w:r>
          </w:p>
        </w:tc>
        <w:tc>
          <w:tcPr>
            <w:tcW w:w="132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Ansi="宋体" w:cs="宋体"/>
                <w:color w:val="auto"/>
                <w:sz w:val="21"/>
                <w:szCs w:val="21"/>
                <w:lang w:val="zh-CN"/>
              </w:rPr>
            </w:pPr>
            <w:r>
              <w:rPr>
                <w:rFonts w:hint="eastAsia" w:hAnsi="宋体" w:cs="宋体"/>
                <w:color w:val="auto"/>
                <w:sz w:val="21"/>
                <w:szCs w:val="21"/>
                <w:lang w:val="zh-CN"/>
              </w:rPr>
              <w:t>财务状况</w:t>
            </w:r>
          </w:p>
        </w:tc>
        <w:tc>
          <w:tcPr>
            <w:tcW w:w="621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Ansi="宋体" w:cs="宋体"/>
                <w:color w:val="auto"/>
                <w:sz w:val="21"/>
                <w:szCs w:val="21"/>
                <w:lang w:val="zh-CN"/>
              </w:rPr>
            </w:pPr>
            <w:r>
              <w:rPr>
                <w:rFonts w:hint="eastAsia" w:hAnsi="宋体" w:cs="宋体"/>
                <w:color w:val="auto"/>
                <w:sz w:val="21"/>
                <w:szCs w:val="21"/>
                <w:lang w:val="zh-CN"/>
              </w:rPr>
              <w:t>投标人</w:t>
            </w:r>
            <w:r>
              <w:rPr>
                <w:rFonts w:hAnsi="宋体" w:cs="宋体"/>
                <w:color w:val="auto"/>
                <w:sz w:val="21"/>
                <w:szCs w:val="21"/>
                <w:lang w:val="zh-CN"/>
              </w:rPr>
              <w:t>2018</w:t>
            </w:r>
            <w:r>
              <w:rPr>
                <w:rFonts w:hint="eastAsia" w:hAnsi="宋体" w:cs="宋体"/>
                <w:color w:val="auto"/>
                <w:sz w:val="21"/>
                <w:szCs w:val="21"/>
                <w:lang w:val="zh-CN"/>
              </w:rPr>
              <w:t>年-20</w:t>
            </w:r>
            <w:r>
              <w:rPr>
                <w:rFonts w:hAnsi="宋体" w:cs="宋体"/>
                <w:color w:val="auto"/>
                <w:sz w:val="21"/>
                <w:szCs w:val="21"/>
                <w:lang w:val="zh-CN"/>
              </w:rPr>
              <w:t>20</w:t>
            </w:r>
            <w:r>
              <w:rPr>
                <w:rFonts w:hint="eastAsia" w:hAnsi="宋体" w:cs="宋体"/>
                <w:color w:val="auto"/>
                <w:sz w:val="21"/>
                <w:szCs w:val="21"/>
                <w:lang w:val="zh-CN"/>
              </w:rPr>
              <w:t>年三个年度，每具有1个年度净利润无亏损的得</w:t>
            </w:r>
            <w:r>
              <w:rPr>
                <w:rFonts w:hint="eastAsia" w:hAnsi="宋体" w:cs="宋体"/>
                <w:color w:val="auto"/>
                <w:sz w:val="21"/>
                <w:szCs w:val="21"/>
              </w:rPr>
              <w:t>1</w:t>
            </w:r>
            <w:r>
              <w:rPr>
                <w:rFonts w:hint="eastAsia" w:hAnsi="宋体" w:cs="宋体"/>
                <w:color w:val="auto"/>
                <w:sz w:val="21"/>
                <w:szCs w:val="21"/>
                <w:lang w:val="zh-CN"/>
              </w:rPr>
              <w:t>分，满分</w:t>
            </w:r>
            <w:r>
              <w:rPr>
                <w:rFonts w:hint="eastAsia" w:hAnsi="宋体" w:cs="宋体"/>
                <w:color w:val="auto"/>
                <w:sz w:val="21"/>
                <w:szCs w:val="21"/>
              </w:rPr>
              <w:t>3</w:t>
            </w:r>
            <w:r>
              <w:rPr>
                <w:rFonts w:hint="eastAsia" w:hAnsi="宋体" w:cs="宋体"/>
                <w:color w:val="auto"/>
                <w:sz w:val="21"/>
                <w:szCs w:val="21"/>
                <w:lang w:val="zh-CN"/>
              </w:rPr>
              <w:t>分。</w:t>
            </w:r>
          </w:p>
          <w:p>
            <w:pPr>
              <w:snapToGrid w:val="0"/>
              <w:spacing w:line="360" w:lineRule="auto"/>
              <w:jc w:val="both"/>
              <w:rPr>
                <w:rFonts w:hAnsi="宋体" w:cs="宋体"/>
                <w:color w:val="auto"/>
                <w:sz w:val="21"/>
                <w:szCs w:val="21"/>
              </w:rPr>
            </w:pPr>
            <w:r>
              <w:rPr>
                <w:rFonts w:hint="eastAsia" w:hAnsi="宋体" w:cs="宋体"/>
                <w:b/>
                <w:color w:val="auto"/>
                <w:sz w:val="21"/>
                <w:szCs w:val="21"/>
                <w:lang w:val="zh-CN"/>
              </w:rPr>
              <w:t>注：净利润以经审计的财务报表为准，</w:t>
            </w:r>
            <w:r>
              <w:rPr>
                <w:rFonts w:hint="eastAsia" w:hAnsi="宋体" w:cs="宋体"/>
                <w:b/>
                <w:color w:val="auto"/>
                <w:sz w:val="21"/>
                <w:szCs w:val="21"/>
              </w:rPr>
              <w:t>需</w:t>
            </w:r>
            <w:r>
              <w:rPr>
                <w:rFonts w:hint="eastAsia" w:hAnsi="宋体" w:cs="宋体"/>
                <w:b/>
                <w:color w:val="auto"/>
                <w:sz w:val="21"/>
                <w:szCs w:val="21"/>
                <w:lang w:val="zh-CN"/>
              </w:rPr>
              <w:t>提供经独立会计师事务所审计过的有效的财务报表复印件；未</w:t>
            </w:r>
            <w:r>
              <w:rPr>
                <w:rFonts w:hint="eastAsia" w:hAnsi="宋体" w:cs="宋体"/>
                <w:b/>
                <w:color w:val="auto"/>
                <w:sz w:val="21"/>
                <w:szCs w:val="21"/>
              </w:rPr>
              <w:t>盈利</w:t>
            </w:r>
            <w:r>
              <w:rPr>
                <w:rFonts w:hint="eastAsia" w:hAnsi="宋体" w:cs="宋体"/>
                <w:b/>
                <w:color w:val="auto"/>
                <w:sz w:val="21"/>
                <w:szCs w:val="21"/>
                <w:lang w:val="zh-CN"/>
              </w:rPr>
              <w:t>或未提供前述财务报表或财务报表未能反映净利润的，不得分。以经会计师事务所审计的财务报表复印件加盖公章为准。</w:t>
            </w:r>
          </w:p>
        </w:tc>
        <w:tc>
          <w:tcPr>
            <w:tcW w:w="110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Ansi="宋体" w:cs="宋体"/>
                <w:color w:val="auto"/>
                <w:sz w:val="21"/>
                <w:szCs w:val="21"/>
              </w:rPr>
            </w:pPr>
            <w:r>
              <w:rPr>
                <w:rFonts w:hint="eastAsia" w:hAnsi="宋体" w:cs="宋体"/>
                <w:color w:val="auto"/>
                <w:sz w:val="21"/>
                <w:szCs w:val="21"/>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Ansi="宋体" w:cs="宋体"/>
                <w:color w:val="auto"/>
                <w:sz w:val="21"/>
                <w:szCs w:val="21"/>
              </w:rPr>
            </w:pPr>
            <w:r>
              <w:rPr>
                <w:rFonts w:hint="eastAsia" w:hAnsi="宋体" w:cs="宋体"/>
                <w:color w:val="auto"/>
                <w:sz w:val="21"/>
                <w:szCs w:val="21"/>
              </w:rPr>
              <w:t>2</w:t>
            </w:r>
          </w:p>
        </w:tc>
        <w:tc>
          <w:tcPr>
            <w:tcW w:w="132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Ansi="宋体" w:cs="宋体"/>
                <w:color w:val="auto"/>
                <w:sz w:val="21"/>
                <w:szCs w:val="21"/>
              </w:rPr>
            </w:pPr>
            <w:r>
              <w:rPr>
                <w:rFonts w:hint="eastAsia" w:hAnsi="宋体" w:cs="宋体"/>
                <w:color w:val="auto"/>
                <w:sz w:val="21"/>
                <w:szCs w:val="21"/>
              </w:rPr>
              <w:t>质量体系</w:t>
            </w:r>
          </w:p>
        </w:tc>
        <w:tc>
          <w:tcPr>
            <w:tcW w:w="6211" w:type="dxa"/>
            <w:tcBorders>
              <w:top w:val="single" w:color="auto" w:sz="4" w:space="0"/>
              <w:left w:val="single" w:color="auto" w:sz="4" w:space="0"/>
              <w:bottom w:val="single" w:color="auto" w:sz="4" w:space="0"/>
              <w:right w:val="single" w:color="auto" w:sz="4" w:space="0"/>
            </w:tcBorders>
            <w:vAlign w:val="center"/>
          </w:tcPr>
          <w:p>
            <w:pPr>
              <w:tabs>
                <w:tab w:val="left" w:pos="134"/>
              </w:tabs>
              <w:snapToGrid w:val="0"/>
              <w:spacing w:line="360" w:lineRule="auto"/>
              <w:rPr>
                <w:rFonts w:hAnsi="宋体" w:cs="宋体"/>
                <w:color w:val="auto"/>
                <w:sz w:val="21"/>
                <w:szCs w:val="21"/>
              </w:rPr>
            </w:pPr>
            <w:r>
              <w:rPr>
                <w:rFonts w:hint="eastAsia" w:hAnsi="宋体" w:cs="宋体"/>
                <w:color w:val="auto"/>
                <w:sz w:val="21"/>
                <w:szCs w:val="21"/>
                <w:lang w:val="pt-BR"/>
              </w:rPr>
              <w:t>投标人具有由国家认证认可监督管理部门批准设立的认证机构颁发并在有效期内的体系认证证书，每个证书得</w:t>
            </w:r>
            <w:r>
              <w:rPr>
                <w:rFonts w:hint="eastAsia" w:hAnsi="宋体" w:cs="宋体"/>
                <w:color w:val="auto"/>
                <w:sz w:val="21"/>
                <w:szCs w:val="21"/>
                <w:lang w:val="en-US" w:eastAsia="zh-CN"/>
              </w:rPr>
              <w:t>2</w:t>
            </w:r>
            <w:r>
              <w:rPr>
                <w:rFonts w:hint="eastAsia" w:hAnsi="宋体" w:cs="宋体"/>
                <w:color w:val="auto"/>
                <w:sz w:val="21"/>
                <w:szCs w:val="21"/>
                <w:lang w:val="pt-BR"/>
              </w:rPr>
              <w:t>分，满分</w:t>
            </w:r>
            <w:r>
              <w:rPr>
                <w:rFonts w:hint="eastAsia" w:hAnsi="宋体" w:cs="宋体"/>
                <w:color w:val="auto"/>
                <w:sz w:val="21"/>
                <w:szCs w:val="21"/>
                <w:lang w:val="en-US" w:eastAsia="zh-CN"/>
              </w:rPr>
              <w:t>10</w:t>
            </w:r>
            <w:r>
              <w:rPr>
                <w:rFonts w:hint="eastAsia" w:hAnsi="宋体" w:cs="宋体"/>
                <w:color w:val="auto"/>
                <w:sz w:val="21"/>
                <w:szCs w:val="21"/>
                <w:lang w:val="pt-BR"/>
              </w:rPr>
              <w:t>分</w:t>
            </w:r>
            <w:r>
              <w:rPr>
                <w:rFonts w:hint="eastAsia" w:hAnsi="宋体" w:cs="宋体"/>
                <w:color w:val="auto"/>
                <w:sz w:val="21"/>
                <w:szCs w:val="21"/>
              </w:rPr>
              <w:t>：</w:t>
            </w:r>
          </w:p>
          <w:p>
            <w:pPr>
              <w:tabs>
                <w:tab w:val="left" w:pos="134"/>
              </w:tabs>
              <w:snapToGrid w:val="0"/>
              <w:spacing w:line="360" w:lineRule="auto"/>
              <w:rPr>
                <w:rFonts w:hAnsi="宋体" w:cs="宋体"/>
                <w:color w:val="auto"/>
                <w:sz w:val="21"/>
                <w:szCs w:val="21"/>
              </w:rPr>
            </w:pPr>
            <w:r>
              <w:rPr>
                <w:rFonts w:hint="eastAsia" w:hAnsi="宋体" w:cs="宋体"/>
                <w:color w:val="auto"/>
                <w:sz w:val="21"/>
                <w:szCs w:val="21"/>
              </w:rPr>
              <w:t>（1）质量管理体系认证</w:t>
            </w:r>
            <w:r>
              <w:rPr>
                <w:rFonts w:hint="eastAsia" w:hAnsi="宋体" w:cs="宋体"/>
                <w:color w:val="auto"/>
                <w:sz w:val="21"/>
                <w:szCs w:val="21"/>
                <w:lang w:val="pt-BR"/>
              </w:rPr>
              <w:t>（如ISO 9001</w:t>
            </w:r>
            <w:r>
              <w:rPr>
                <w:rFonts w:hint="eastAsia" w:hAnsi="宋体"/>
                <w:color w:val="auto"/>
                <w:sz w:val="21"/>
                <w:szCs w:val="21"/>
              </w:rPr>
              <w:t>等</w:t>
            </w:r>
            <w:r>
              <w:rPr>
                <w:rFonts w:hint="eastAsia" w:hAnsi="宋体" w:cs="宋体"/>
                <w:color w:val="auto"/>
                <w:sz w:val="21"/>
                <w:szCs w:val="21"/>
                <w:lang w:val="pt-BR"/>
              </w:rPr>
              <w:t>）</w:t>
            </w:r>
            <w:r>
              <w:rPr>
                <w:rFonts w:hint="eastAsia" w:hAnsi="宋体" w:cs="宋体"/>
                <w:color w:val="auto"/>
                <w:sz w:val="21"/>
                <w:szCs w:val="21"/>
              </w:rPr>
              <w:t>；</w:t>
            </w:r>
          </w:p>
          <w:p>
            <w:pPr>
              <w:tabs>
                <w:tab w:val="left" w:pos="134"/>
              </w:tabs>
              <w:snapToGrid w:val="0"/>
              <w:spacing w:line="360" w:lineRule="auto"/>
              <w:rPr>
                <w:rFonts w:hAnsi="宋体" w:cs="宋体"/>
                <w:color w:val="auto"/>
                <w:sz w:val="21"/>
                <w:szCs w:val="21"/>
              </w:rPr>
            </w:pPr>
            <w:r>
              <w:rPr>
                <w:rFonts w:hint="eastAsia" w:hAnsi="宋体" w:cs="宋体"/>
                <w:color w:val="auto"/>
                <w:sz w:val="21"/>
                <w:szCs w:val="21"/>
              </w:rPr>
              <w:t>（2）环境管理体系认证</w:t>
            </w:r>
            <w:r>
              <w:rPr>
                <w:rFonts w:hint="eastAsia" w:hAnsi="宋体" w:cs="宋体"/>
                <w:color w:val="auto"/>
                <w:sz w:val="21"/>
                <w:szCs w:val="21"/>
                <w:lang w:val="pt-BR"/>
              </w:rPr>
              <w:t>（如ISO 14001</w:t>
            </w:r>
            <w:r>
              <w:rPr>
                <w:rFonts w:hint="eastAsia" w:hAnsi="宋体"/>
                <w:color w:val="auto"/>
                <w:sz w:val="21"/>
                <w:szCs w:val="21"/>
              </w:rPr>
              <w:t>等</w:t>
            </w:r>
            <w:r>
              <w:rPr>
                <w:rFonts w:hint="eastAsia" w:hAnsi="宋体" w:cs="宋体"/>
                <w:color w:val="auto"/>
                <w:sz w:val="21"/>
                <w:szCs w:val="21"/>
                <w:lang w:val="pt-BR"/>
              </w:rPr>
              <w:t>）</w:t>
            </w:r>
            <w:r>
              <w:rPr>
                <w:rFonts w:hint="eastAsia" w:hAnsi="宋体" w:cs="宋体"/>
                <w:color w:val="auto"/>
                <w:sz w:val="21"/>
                <w:szCs w:val="21"/>
              </w:rPr>
              <w:t>；</w:t>
            </w:r>
          </w:p>
          <w:p>
            <w:pPr>
              <w:pStyle w:val="19"/>
              <w:spacing w:line="360" w:lineRule="auto"/>
              <w:jc w:val="both"/>
              <w:rPr>
                <w:rFonts w:hint="eastAsia" w:hAnsi="宋体" w:cs="宋体"/>
                <w:b w:val="0"/>
                <w:bCs w:val="0"/>
                <w:color w:val="auto"/>
                <w:sz w:val="21"/>
                <w:szCs w:val="21"/>
              </w:rPr>
            </w:pPr>
            <w:r>
              <w:rPr>
                <w:rFonts w:hint="eastAsia" w:hAnsi="宋体" w:cs="宋体"/>
                <w:b w:val="0"/>
                <w:bCs w:val="0"/>
                <w:color w:val="auto"/>
                <w:sz w:val="21"/>
                <w:szCs w:val="21"/>
                <w:lang w:val="pt-BR"/>
              </w:rPr>
              <w:t>（</w:t>
            </w:r>
            <w:r>
              <w:rPr>
                <w:rFonts w:hint="eastAsia" w:hAnsi="宋体" w:cs="宋体"/>
                <w:b w:val="0"/>
                <w:bCs w:val="0"/>
                <w:color w:val="auto"/>
                <w:sz w:val="21"/>
                <w:szCs w:val="21"/>
                <w:lang w:val="en-US"/>
              </w:rPr>
              <w:t>3</w:t>
            </w:r>
            <w:r>
              <w:rPr>
                <w:rFonts w:hint="eastAsia" w:hAnsi="宋体" w:cs="宋体"/>
                <w:b w:val="0"/>
                <w:bCs w:val="0"/>
                <w:color w:val="auto"/>
                <w:sz w:val="21"/>
                <w:szCs w:val="21"/>
                <w:lang w:val="pt-BR"/>
              </w:rPr>
              <w:t>）职业健康安全管理体系认证（如OHSAS 18001</w:t>
            </w:r>
            <w:r>
              <w:rPr>
                <w:rFonts w:hint="eastAsia" w:hAnsi="宋体"/>
                <w:b w:val="0"/>
                <w:bCs w:val="0"/>
                <w:color w:val="auto"/>
                <w:sz w:val="21"/>
                <w:szCs w:val="21"/>
              </w:rPr>
              <w:t>等</w:t>
            </w:r>
            <w:r>
              <w:rPr>
                <w:rFonts w:hint="eastAsia" w:hAnsi="宋体" w:cs="宋体"/>
                <w:b w:val="0"/>
                <w:bCs w:val="0"/>
                <w:color w:val="auto"/>
                <w:sz w:val="21"/>
                <w:szCs w:val="21"/>
                <w:lang w:val="pt-BR"/>
              </w:rPr>
              <w:t>）；</w:t>
            </w:r>
          </w:p>
          <w:p>
            <w:pPr>
              <w:tabs>
                <w:tab w:val="left" w:pos="134"/>
              </w:tabs>
              <w:snapToGrid w:val="0"/>
              <w:spacing w:line="360" w:lineRule="auto"/>
              <w:rPr>
                <w:rFonts w:hAnsi="宋体" w:cs="宋体"/>
                <w:color w:val="auto"/>
                <w:sz w:val="21"/>
                <w:szCs w:val="21"/>
              </w:rPr>
            </w:pPr>
            <w:r>
              <w:rPr>
                <w:rFonts w:hint="eastAsia" w:hAnsi="宋体" w:cs="宋体"/>
                <w:color w:val="auto"/>
                <w:sz w:val="21"/>
                <w:szCs w:val="21"/>
              </w:rPr>
              <w:t>（4）食品安全管理体系认证</w:t>
            </w:r>
            <w:r>
              <w:rPr>
                <w:rFonts w:hint="eastAsia" w:hAnsi="宋体" w:cs="宋体"/>
                <w:color w:val="auto"/>
                <w:sz w:val="21"/>
                <w:szCs w:val="21"/>
                <w:lang w:val="pt-BR"/>
              </w:rPr>
              <w:t>（如GB/T22000-2006或ISO22000:2005</w:t>
            </w:r>
            <w:r>
              <w:rPr>
                <w:rFonts w:hint="eastAsia" w:hAnsi="宋体"/>
                <w:color w:val="auto"/>
                <w:sz w:val="21"/>
                <w:szCs w:val="21"/>
              </w:rPr>
              <w:t>等</w:t>
            </w:r>
            <w:r>
              <w:rPr>
                <w:rFonts w:hint="eastAsia" w:hAnsi="宋体" w:cs="宋体"/>
                <w:color w:val="auto"/>
                <w:sz w:val="21"/>
                <w:szCs w:val="21"/>
                <w:lang w:val="pt-BR"/>
              </w:rPr>
              <w:t>）</w:t>
            </w:r>
            <w:r>
              <w:rPr>
                <w:rFonts w:hint="eastAsia" w:hAnsi="宋体" w:cs="宋体"/>
                <w:color w:val="auto"/>
                <w:sz w:val="21"/>
                <w:szCs w:val="21"/>
              </w:rPr>
              <w:t>；</w:t>
            </w:r>
          </w:p>
          <w:p>
            <w:pPr>
              <w:pStyle w:val="147"/>
              <w:spacing w:line="360" w:lineRule="auto"/>
              <w:ind w:firstLine="0" w:firstLineChars="0"/>
              <w:rPr>
                <w:rFonts w:hint="eastAsia" w:hAnsi="宋体" w:eastAsia="宋体" w:cs="宋体"/>
                <w:color w:val="auto"/>
                <w:sz w:val="21"/>
                <w:szCs w:val="21"/>
                <w:lang w:val="en-US" w:eastAsia="zh-CN"/>
              </w:rPr>
            </w:pPr>
            <w:r>
              <w:rPr>
                <w:rFonts w:hint="eastAsia" w:hAnsi="宋体" w:cs="宋体"/>
                <w:color w:val="auto"/>
                <w:sz w:val="21"/>
                <w:szCs w:val="21"/>
              </w:rPr>
              <w:t>（</w:t>
            </w:r>
            <w:r>
              <w:rPr>
                <w:rFonts w:hint="eastAsia" w:hAnsi="宋体" w:cs="宋体"/>
                <w:color w:val="auto"/>
                <w:sz w:val="21"/>
                <w:szCs w:val="21"/>
                <w:lang w:val="en-US"/>
              </w:rPr>
              <w:t>5</w:t>
            </w:r>
            <w:r>
              <w:rPr>
                <w:rFonts w:hint="eastAsia" w:hAnsi="宋体" w:cs="宋体"/>
                <w:color w:val="auto"/>
                <w:sz w:val="21"/>
                <w:szCs w:val="21"/>
              </w:rPr>
              <w:t>）</w:t>
            </w:r>
            <w:r>
              <w:rPr>
                <w:rFonts w:hint="eastAsia" w:hAnsi="宋体" w:cs="宋体"/>
                <w:color w:val="auto"/>
                <w:sz w:val="21"/>
                <w:szCs w:val="21"/>
                <w:lang w:val="en-US"/>
              </w:rPr>
              <w:t>危害分析与关键控制点（HACCP）体系认证</w:t>
            </w:r>
            <w:r>
              <w:rPr>
                <w:rFonts w:hint="eastAsia" w:hAnsi="宋体" w:cs="宋体"/>
                <w:color w:val="auto"/>
                <w:sz w:val="21"/>
                <w:szCs w:val="21"/>
                <w:lang w:val="en-US" w:eastAsia="zh-CN"/>
              </w:rPr>
              <w:t>。</w:t>
            </w:r>
          </w:p>
          <w:p>
            <w:pPr>
              <w:snapToGrid w:val="0"/>
              <w:spacing w:line="360" w:lineRule="auto"/>
              <w:jc w:val="both"/>
              <w:rPr>
                <w:rFonts w:hAnsi="宋体" w:cs="宋体"/>
                <w:b/>
                <w:color w:val="auto"/>
                <w:sz w:val="21"/>
                <w:szCs w:val="21"/>
                <w:lang w:val="zh-CN"/>
              </w:rPr>
            </w:pPr>
            <w:r>
              <w:rPr>
                <w:rFonts w:hint="eastAsia" w:hAnsi="宋体" w:cs="宋体"/>
                <w:b/>
                <w:color w:val="auto"/>
                <w:sz w:val="21"/>
                <w:szCs w:val="21"/>
              </w:rPr>
              <w:t>注：</w:t>
            </w:r>
            <w:r>
              <w:rPr>
                <w:rFonts w:hint="eastAsia" w:hAnsi="宋体" w:cs="宋体"/>
                <w:b/>
                <w:bCs/>
                <w:color w:val="auto"/>
                <w:sz w:val="21"/>
                <w:szCs w:val="21"/>
                <w:lang w:val="pt-BR"/>
              </w:rPr>
              <w:t>须提供有效证书复印件</w:t>
            </w:r>
            <w:r>
              <w:rPr>
                <w:rFonts w:hint="eastAsia" w:hAnsi="宋体" w:cs="宋体"/>
                <w:b/>
                <w:color w:val="auto"/>
                <w:sz w:val="21"/>
                <w:szCs w:val="21"/>
              </w:rPr>
              <w:t>加盖投标人公章</w:t>
            </w:r>
            <w:r>
              <w:rPr>
                <w:rFonts w:hint="eastAsia" w:hAnsi="宋体" w:cs="宋体"/>
                <w:b/>
                <w:bCs/>
                <w:color w:val="auto"/>
                <w:sz w:val="21"/>
                <w:szCs w:val="21"/>
                <w:lang w:val="pt-BR"/>
              </w:rPr>
              <w:t>。</w:t>
            </w:r>
          </w:p>
        </w:tc>
        <w:tc>
          <w:tcPr>
            <w:tcW w:w="110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Ansi="宋体" w:cs="宋体"/>
                <w:color w:val="auto"/>
                <w:sz w:val="21"/>
                <w:szCs w:val="21"/>
              </w:rPr>
            </w:pPr>
            <w:r>
              <w:rPr>
                <w:rFonts w:hint="eastAsia" w:hAnsi="宋体" w:cs="宋体"/>
                <w:color w:val="auto"/>
                <w:sz w:val="21"/>
                <w:szCs w:val="21"/>
                <w:lang w:val="en-US" w:eastAsia="zh-CN"/>
              </w:rPr>
              <w:t>10</w:t>
            </w:r>
            <w:r>
              <w:rPr>
                <w:rFonts w:hint="eastAsia" w:hAnsi="宋体" w:cs="宋体"/>
                <w:color w:val="auto"/>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2" w:type="dxa"/>
            <w:tcBorders>
              <w:top w:val="single" w:color="auto" w:sz="4" w:space="0"/>
              <w:left w:val="single" w:color="auto" w:sz="4" w:space="0"/>
              <w:right w:val="single" w:color="auto" w:sz="4" w:space="0"/>
            </w:tcBorders>
            <w:vAlign w:val="center"/>
          </w:tcPr>
          <w:p>
            <w:pPr>
              <w:snapToGrid w:val="0"/>
              <w:spacing w:line="360" w:lineRule="auto"/>
              <w:jc w:val="center"/>
              <w:rPr>
                <w:rFonts w:hAnsi="宋体" w:cs="宋体"/>
                <w:color w:val="auto"/>
                <w:sz w:val="21"/>
                <w:szCs w:val="21"/>
              </w:rPr>
            </w:pPr>
            <w:r>
              <w:rPr>
                <w:rFonts w:hint="eastAsia" w:hAnsi="宋体" w:cs="宋体"/>
                <w:color w:val="auto"/>
                <w:sz w:val="21"/>
                <w:szCs w:val="21"/>
              </w:rPr>
              <w:t>3</w:t>
            </w:r>
          </w:p>
        </w:tc>
        <w:tc>
          <w:tcPr>
            <w:tcW w:w="1321" w:type="dxa"/>
            <w:tcBorders>
              <w:top w:val="single" w:color="auto" w:sz="4" w:space="0"/>
              <w:left w:val="single" w:color="auto" w:sz="4" w:space="0"/>
              <w:right w:val="single" w:color="auto" w:sz="4" w:space="0"/>
            </w:tcBorders>
            <w:vAlign w:val="center"/>
          </w:tcPr>
          <w:p>
            <w:pPr>
              <w:autoSpaceDE/>
              <w:autoSpaceDN/>
              <w:adjustRightInd/>
              <w:snapToGrid w:val="0"/>
              <w:spacing w:line="360" w:lineRule="auto"/>
              <w:ind w:firstLine="420" w:firstLineChars="200"/>
              <w:jc w:val="both"/>
              <w:rPr>
                <w:rFonts w:hAnsi="宋体" w:cs="宋体"/>
                <w:color w:val="auto"/>
                <w:sz w:val="21"/>
                <w:szCs w:val="21"/>
              </w:rPr>
            </w:pPr>
            <w:r>
              <w:rPr>
                <w:rFonts w:hint="eastAsia" w:hAnsi="宋体" w:cs="宋体"/>
                <w:color w:val="auto"/>
                <w:sz w:val="21"/>
                <w:szCs w:val="21"/>
              </w:rPr>
              <w:t>业绩</w:t>
            </w:r>
          </w:p>
        </w:tc>
        <w:tc>
          <w:tcPr>
            <w:tcW w:w="6211" w:type="dxa"/>
            <w:tcBorders>
              <w:top w:val="single" w:color="auto" w:sz="4" w:space="0"/>
              <w:left w:val="single" w:color="auto" w:sz="4" w:space="0"/>
              <w:bottom w:val="single" w:color="auto" w:sz="4" w:space="0"/>
              <w:right w:val="single" w:color="auto" w:sz="4" w:space="0"/>
            </w:tcBorders>
            <w:vAlign w:val="center"/>
          </w:tcPr>
          <w:p>
            <w:pPr>
              <w:pStyle w:val="26"/>
              <w:snapToGrid w:val="0"/>
              <w:spacing w:line="360" w:lineRule="auto"/>
              <w:rPr>
                <w:rFonts w:hint="eastAsia" w:hAnsi="宋体" w:cs="宋体"/>
                <w:color w:val="auto"/>
                <w:sz w:val="21"/>
                <w:szCs w:val="21"/>
                <w:lang w:val="pt-BR"/>
              </w:rPr>
            </w:pPr>
            <w:r>
              <w:rPr>
                <w:rFonts w:hint="eastAsia" w:hAnsi="宋体" w:cs="宋体"/>
                <w:color w:val="auto"/>
                <w:sz w:val="21"/>
                <w:szCs w:val="21"/>
              </w:rPr>
              <w:t>投标人自20</w:t>
            </w:r>
            <w:r>
              <w:rPr>
                <w:rFonts w:hAnsi="宋体" w:cs="宋体"/>
                <w:color w:val="auto"/>
                <w:sz w:val="21"/>
                <w:szCs w:val="21"/>
              </w:rPr>
              <w:t>18</w:t>
            </w:r>
            <w:r>
              <w:rPr>
                <w:rFonts w:hint="eastAsia" w:hAnsi="宋体" w:cs="宋体"/>
                <w:color w:val="auto"/>
                <w:sz w:val="21"/>
                <w:szCs w:val="21"/>
              </w:rPr>
              <w:t>年1月1日（以合同签订的时间为准）</w:t>
            </w:r>
            <w:r>
              <w:rPr>
                <w:rFonts w:hint="eastAsia" w:hAnsi="宋体" w:cs="宋体"/>
                <w:color w:val="auto"/>
                <w:sz w:val="21"/>
                <w:szCs w:val="21"/>
                <w:lang w:val="pt-BR"/>
              </w:rPr>
              <w:t>至今已完成或正在服务的饭堂、食堂食品或者食材供应链配送服务项目业绩，按下列情况评分，满分18分：</w:t>
            </w:r>
          </w:p>
          <w:p>
            <w:pPr>
              <w:pStyle w:val="216"/>
              <w:spacing w:line="360" w:lineRule="auto"/>
              <w:ind w:firstLine="420"/>
              <w:jc w:val="both"/>
              <w:rPr>
                <w:rFonts w:hint="eastAsia" w:ascii="宋体" w:hAnsi="宋体" w:eastAsia="宋体" w:cs="宋体"/>
                <w:color w:val="auto"/>
                <w:sz w:val="21"/>
                <w:szCs w:val="21"/>
                <w:lang w:val="pt-BR"/>
              </w:rPr>
            </w:pPr>
            <w:r>
              <w:rPr>
                <w:rFonts w:hint="eastAsia" w:hAnsi="宋体" w:cs="宋体"/>
                <w:color w:val="auto"/>
                <w:sz w:val="21"/>
                <w:szCs w:val="21"/>
              </w:rPr>
              <w:t>（1）</w:t>
            </w:r>
            <w:r>
              <w:rPr>
                <w:rFonts w:hint="eastAsia" w:ascii="宋体" w:hAnsi="宋体" w:eastAsia="宋体" w:cs="宋体"/>
                <w:color w:val="auto"/>
                <w:sz w:val="21"/>
                <w:szCs w:val="21"/>
                <w:lang w:val="pt-BR"/>
              </w:rPr>
              <w:t>年度配送服务项目总金额≥3</w:t>
            </w:r>
            <w:r>
              <w:rPr>
                <w:rFonts w:hint="eastAsia" w:ascii="宋体" w:hAnsi="宋体" w:eastAsia="宋体" w:cs="宋体"/>
                <w:color w:val="auto"/>
                <w:sz w:val="21"/>
                <w:szCs w:val="21"/>
              </w:rPr>
              <w:t>5</w:t>
            </w:r>
            <w:r>
              <w:rPr>
                <w:rFonts w:hint="eastAsia" w:ascii="宋体" w:hAnsi="宋体" w:eastAsia="宋体" w:cs="宋体"/>
                <w:color w:val="auto"/>
                <w:sz w:val="21"/>
                <w:szCs w:val="21"/>
                <w:lang w:val="pt-BR"/>
              </w:rPr>
              <w:t>0万元的前述业绩的，每项得5分；</w:t>
            </w:r>
          </w:p>
          <w:p>
            <w:pPr>
              <w:pStyle w:val="216"/>
              <w:spacing w:line="360" w:lineRule="auto"/>
              <w:ind w:firstLine="420" w:firstLineChars="200"/>
              <w:jc w:val="both"/>
              <w:rPr>
                <w:rFonts w:hint="eastAsia" w:ascii="宋体" w:hAnsi="宋体" w:eastAsia="宋体" w:cs="宋体"/>
                <w:color w:val="auto"/>
                <w:sz w:val="21"/>
                <w:szCs w:val="21"/>
                <w:lang w:val="pt-BR"/>
              </w:rPr>
            </w:pPr>
            <w:r>
              <w:rPr>
                <w:rFonts w:hint="eastAsia" w:hAnsi="宋体" w:cs="宋体"/>
                <w:color w:val="auto"/>
                <w:sz w:val="21"/>
                <w:szCs w:val="21"/>
              </w:rPr>
              <w:t>（2）</w:t>
            </w:r>
            <w:r>
              <w:rPr>
                <w:rFonts w:hint="eastAsia" w:ascii="宋体" w:hAnsi="宋体" w:eastAsia="宋体" w:cs="宋体"/>
                <w:color w:val="auto"/>
                <w:sz w:val="21"/>
                <w:szCs w:val="21"/>
                <w:lang w:val="pt-BR"/>
              </w:rPr>
              <w:t>200万元≤年度配送服务项目总金额＜3</w:t>
            </w:r>
            <w:r>
              <w:rPr>
                <w:rFonts w:hint="eastAsia" w:ascii="宋体" w:hAnsi="宋体" w:eastAsia="宋体" w:cs="宋体"/>
                <w:color w:val="auto"/>
                <w:sz w:val="21"/>
                <w:szCs w:val="21"/>
              </w:rPr>
              <w:t>5</w:t>
            </w:r>
            <w:r>
              <w:rPr>
                <w:rFonts w:hint="eastAsia" w:ascii="宋体" w:hAnsi="宋体" w:eastAsia="宋体" w:cs="宋体"/>
                <w:color w:val="auto"/>
                <w:sz w:val="21"/>
                <w:szCs w:val="21"/>
                <w:lang w:val="pt-BR"/>
              </w:rPr>
              <w:t>0万元的前述业绩，每项得3分；</w:t>
            </w:r>
          </w:p>
          <w:p>
            <w:pPr>
              <w:pStyle w:val="216"/>
              <w:spacing w:line="360" w:lineRule="auto"/>
              <w:ind w:firstLine="420" w:firstLineChars="200"/>
              <w:jc w:val="both"/>
              <w:rPr>
                <w:rFonts w:hint="eastAsia" w:ascii="宋体" w:hAnsi="宋体" w:eastAsia="宋体" w:cs="宋体"/>
                <w:color w:val="auto"/>
                <w:sz w:val="21"/>
                <w:szCs w:val="21"/>
                <w:lang w:val="pt-BR"/>
              </w:rPr>
            </w:pPr>
            <w:r>
              <w:rPr>
                <w:rFonts w:hint="eastAsia" w:hAnsi="宋体" w:cs="宋体"/>
                <w:b w:val="0"/>
                <w:bCs w:val="0"/>
                <w:color w:val="auto"/>
                <w:sz w:val="21"/>
                <w:szCs w:val="21"/>
                <w:lang w:val="pt-BR"/>
              </w:rPr>
              <w:t>（</w:t>
            </w:r>
            <w:r>
              <w:rPr>
                <w:rFonts w:hint="eastAsia" w:hAnsi="宋体" w:cs="宋体"/>
                <w:b w:val="0"/>
                <w:bCs w:val="0"/>
                <w:color w:val="auto"/>
                <w:sz w:val="21"/>
                <w:szCs w:val="21"/>
                <w:lang w:val="en-US"/>
              </w:rPr>
              <w:t>3</w:t>
            </w:r>
            <w:r>
              <w:rPr>
                <w:rFonts w:hint="eastAsia" w:hAnsi="宋体" w:cs="宋体"/>
                <w:b w:val="0"/>
                <w:bCs w:val="0"/>
                <w:color w:val="auto"/>
                <w:sz w:val="21"/>
                <w:szCs w:val="21"/>
                <w:lang w:val="pt-BR"/>
              </w:rPr>
              <w:t>）</w:t>
            </w:r>
            <w:r>
              <w:rPr>
                <w:rFonts w:hint="eastAsia" w:ascii="宋体" w:hAnsi="宋体" w:eastAsia="宋体" w:cs="宋体"/>
                <w:color w:val="auto"/>
                <w:sz w:val="21"/>
                <w:szCs w:val="21"/>
                <w:lang w:val="pt-BR"/>
              </w:rPr>
              <w:t>100万元≤年度配送服务项目总金额＜200万元的前述业绩，每项得2分，本子项满分6分；</w:t>
            </w:r>
          </w:p>
          <w:p>
            <w:pPr>
              <w:pStyle w:val="216"/>
              <w:spacing w:line="360" w:lineRule="auto"/>
              <w:ind w:firstLine="420" w:firstLineChars="200"/>
              <w:jc w:val="both"/>
              <w:rPr>
                <w:rFonts w:hint="eastAsia" w:ascii="宋体" w:hAnsi="宋体" w:eastAsia="宋体" w:cs="宋体"/>
                <w:color w:val="auto"/>
                <w:sz w:val="21"/>
                <w:szCs w:val="21"/>
                <w:lang w:val="pt-BR"/>
              </w:rPr>
            </w:pPr>
            <w:r>
              <w:rPr>
                <w:rFonts w:hint="eastAsia" w:hAnsi="宋体" w:cs="宋体"/>
                <w:color w:val="auto"/>
                <w:sz w:val="21"/>
                <w:szCs w:val="21"/>
              </w:rPr>
              <w:t>（4）</w:t>
            </w:r>
            <w:r>
              <w:rPr>
                <w:rFonts w:hint="eastAsia" w:ascii="宋体" w:hAnsi="宋体" w:eastAsia="宋体" w:cs="宋体"/>
                <w:color w:val="auto"/>
                <w:sz w:val="21"/>
                <w:szCs w:val="21"/>
                <w:lang w:val="pt-BR"/>
              </w:rPr>
              <w:t>50万元≤年度配送服务项目总金额＜100万元的前述业绩，每项得1分，本子项满分5分。</w:t>
            </w:r>
          </w:p>
          <w:p>
            <w:pPr>
              <w:pStyle w:val="216"/>
              <w:spacing w:line="360" w:lineRule="auto"/>
              <w:jc w:val="both"/>
              <w:rPr>
                <w:rFonts w:ascii="宋体" w:hAnsi="宋体" w:eastAsia="宋体" w:cs="宋体"/>
                <w:b/>
                <w:bCs/>
                <w:color w:val="auto"/>
                <w:sz w:val="21"/>
                <w:szCs w:val="21"/>
              </w:rPr>
            </w:pPr>
            <w:r>
              <w:rPr>
                <w:rFonts w:hint="eastAsia" w:ascii="宋体" w:hAnsi="宋体" w:eastAsia="宋体" w:cs="宋体"/>
                <w:b/>
                <w:bCs/>
                <w:color w:val="auto"/>
                <w:sz w:val="21"/>
                <w:szCs w:val="21"/>
              </w:rPr>
              <w:t>注：</w:t>
            </w:r>
            <w:r>
              <w:rPr>
                <w:rFonts w:hint="eastAsia" w:ascii="宋体" w:hAnsi="宋体" w:eastAsia="宋体" w:cs="宋体"/>
                <w:color w:val="auto"/>
                <w:sz w:val="21"/>
                <w:szCs w:val="21"/>
                <w:lang w:val="pt-BR"/>
              </w:rPr>
              <w:t>①</w:t>
            </w:r>
            <w:r>
              <w:rPr>
                <w:rFonts w:hint="eastAsia" w:ascii="宋体" w:hAnsi="宋体" w:eastAsia="宋体" w:cs="宋体"/>
                <w:b/>
                <w:bCs w:val="0"/>
                <w:color w:val="auto"/>
                <w:sz w:val="21"/>
                <w:szCs w:val="21"/>
              </w:rPr>
              <w:t>业</w:t>
            </w:r>
            <w:r>
              <w:rPr>
                <w:rFonts w:hint="eastAsia" w:ascii="宋体" w:hAnsi="宋体" w:eastAsia="宋体" w:cs="宋体"/>
                <w:b/>
                <w:bCs/>
                <w:color w:val="auto"/>
                <w:sz w:val="21"/>
                <w:szCs w:val="21"/>
              </w:rPr>
              <w:t>绩须附合同复印件</w:t>
            </w:r>
            <w:r>
              <w:rPr>
                <w:rFonts w:hint="eastAsia" w:ascii="宋体" w:hAnsi="宋体" w:eastAsia="宋体" w:cs="宋体"/>
                <w:b/>
                <w:color w:val="auto"/>
                <w:sz w:val="21"/>
                <w:szCs w:val="21"/>
              </w:rPr>
              <w:t>加盖投标人公章</w:t>
            </w:r>
            <w:r>
              <w:rPr>
                <w:rFonts w:hint="eastAsia" w:ascii="宋体" w:hAnsi="宋体" w:eastAsia="宋体" w:cs="宋体"/>
                <w:b/>
                <w:bCs/>
                <w:color w:val="auto"/>
                <w:sz w:val="21"/>
                <w:szCs w:val="21"/>
              </w:rPr>
              <w:t>；</w:t>
            </w:r>
          </w:p>
          <w:p>
            <w:pPr>
              <w:pStyle w:val="26"/>
              <w:snapToGrid w:val="0"/>
              <w:spacing w:line="360" w:lineRule="auto"/>
              <w:ind w:firstLine="420" w:firstLineChars="200"/>
              <w:rPr>
                <w:rFonts w:hAnsi="宋体" w:cs="宋体"/>
                <w:b/>
                <w:bCs/>
                <w:color w:val="auto"/>
                <w:sz w:val="21"/>
                <w:szCs w:val="21"/>
              </w:rPr>
            </w:pPr>
            <w:r>
              <w:rPr>
                <w:rFonts w:hint="eastAsia" w:ascii="宋体" w:hAnsi="宋体" w:eastAsia="宋体" w:cs="宋体"/>
                <w:color w:val="auto"/>
                <w:sz w:val="21"/>
                <w:szCs w:val="21"/>
                <w:lang w:val="pt-BR"/>
              </w:rPr>
              <w:t>②</w:t>
            </w:r>
            <w:r>
              <w:rPr>
                <w:rFonts w:hint="eastAsia" w:hAnsi="宋体" w:cs="宋体"/>
                <w:b/>
                <w:bCs/>
                <w:color w:val="auto"/>
                <w:sz w:val="21"/>
                <w:szCs w:val="21"/>
              </w:rPr>
              <w:t>合同必须能反映评分条件（合同签订日期为20</w:t>
            </w:r>
            <w:r>
              <w:rPr>
                <w:rFonts w:hAnsi="宋体" w:cs="宋体"/>
                <w:b/>
                <w:bCs/>
                <w:color w:val="auto"/>
                <w:sz w:val="21"/>
                <w:szCs w:val="21"/>
              </w:rPr>
              <w:t>18</w:t>
            </w:r>
            <w:r>
              <w:rPr>
                <w:rFonts w:hint="eastAsia" w:hAnsi="宋体" w:cs="宋体"/>
                <w:b/>
                <w:bCs/>
                <w:color w:val="auto"/>
                <w:sz w:val="21"/>
                <w:szCs w:val="21"/>
              </w:rPr>
              <w:t>年1月1日或以后，合同服务内容必须为食材配送服务，合同金额），否则，需同时提供对应金额的发票或合同业主方出具的书面补充说明文件复印件作为证明文件（需加盖</w:t>
            </w:r>
            <w:r>
              <w:rPr>
                <w:rFonts w:hint="eastAsia" w:hAnsi="宋体" w:cs="宋体"/>
                <w:b/>
                <w:color w:val="auto"/>
                <w:sz w:val="21"/>
                <w:szCs w:val="21"/>
                <w:lang w:val="en-US" w:eastAsia="zh-CN"/>
              </w:rPr>
              <w:t>业主方</w:t>
            </w:r>
            <w:r>
              <w:rPr>
                <w:rFonts w:hint="eastAsia" w:hAnsi="宋体" w:cs="宋体"/>
                <w:b/>
                <w:bCs/>
                <w:color w:val="auto"/>
                <w:sz w:val="21"/>
                <w:szCs w:val="21"/>
              </w:rPr>
              <w:t>公章）；</w:t>
            </w:r>
          </w:p>
          <w:p>
            <w:pPr>
              <w:pStyle w:val="26"/>
              <w:snapToGrid w:val="0"/>
              <w:spacing w:line="360" w:lineRule="auto"/>
              <w:ind w:firstLine="420" w:firstLineChars="200"/>
              <w:rPr>
                <w:rFonts w:hAnsi="宋体" w:cs="宋体"/>
                <w:b/>
                <w:bCs/>
                <w:color w:val="auto"/>
                <w:sz w:val="21"/>
                <w:szCs w:val="21"/>
              </w:rPr>
            </w:pPr>
            <w:r>
              <w:rPr>
                <w:rFonts w:hint="eastAsia" w:ascii="宋体" w:hAnsi="宋体" w:cs="宋体"/>
                <w:b w:val="0"/>
                <w:bCs w:val="0"/>
                <w:color w:val="auto"/>
                <w:sz w:val="21"/>
                <w:szCs w:val="21"/>
                <w:lang w:val="pt-BR"/>
              </w:rPr>
              <w:t>③</w:t>
            </w:r>
            <w:r>
              <w:rPr>
                <w:rFonts w:hint="eastAsia" w:hAnsi="宋体" w:cs="宋体"/>
                <w:b/>
                <w:bCs/>
                <w:color w:val="auto"/>
                <w:sz w:val="21"/>
                <w:szCs w:val="21"/>
              </w:rPr>
              <w:t>若业绩为框架式协议或资格入围无明确金额的合同，必须同时提供合同期限内已服务发票金额统计表和发票复印件；</w:t>
            </w:r>
          </w:p>
          <w:p>
            <w:pPr>
              <w:pStyle w:val="26"/>
              <w:snapToGrid w:val="0"/>
              <w:spacing w:line="360" w:lineRule="auto"/>
              <w:ind w:firstLine="420" w:firstLineChars="200"/>
              <w:rPr>
                <w:rFonts w:hAnsi="宋体" w:cs="宋体"/>
                <w:color w:val="auto"/>
                <w:sz w:val="21"/>
                <w:szCs w:val="21"/>
              </w:rPr>
            </w:pPr>
            <w:r>
              <w:rPr>
                <w:rFonts w:hint="eastAsia" w:ascii="宋体" w:hAnsi="宋体" w:eastAsia="宋体" w:cs="宋体"/>
                <w:color w:val="auto"/>
                <w:sz w:val="21"/>
                <w:szCs w:val="21"/>
                <w:lang w:val="pt-BR"/>
              </w:rPr>
              <w:t>④</w:t>
            </w:r>
            <w:r>
              <w:rPr>
                <w:rFonts w:hint="eastAsia" w:hAnsi="宋体" w:cs="宋体"/>
                <w:b/>
                <w:bCs/>
                <w:color w:val="auto"/>
                <w:sz w:val="21"/>
                <w:szCs w:val="21"/>
              </w:rPr>
              <w:t>未按上述要求提供证明材料的业绩，或所附材料无法证明填报项目符合本项评分要求的业绩，在评标时将不予考虑。</w:t>
            </w:r>
          </w:p>
        </w:tc>
        <w:tc>
          <w:tcPr>
            <w:tcW w:w="110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Ansi="宋体" w:cs="宋体"/>
                <w:color w:val="auto"/>
                <w:sz w:val="21"/>
                <w:szCs w:val="21"/>
              </w:rPr>
            </w:pPr>
            <w:r>
              <w:rPr>
                <w:rFonts w:hint="eastAsia" w:hAnsi="宋体" w:cs="宋体"/>
                <w:color w:val="auto"/>
                <w:sz w:val="21"/>
                <w:szCs w:val="21"/>
              </w:rPr>
              <w:t>18分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2" w:type="dxa"/>
            <w:tcBorders>
              <w:top w:val="single" w:color="auto" w:sz="4" w:space="0"/>
              <w:left w:val="single" w:color="auto" w:sz="4" w:space="0"/>
              <w:right w:val="single" w:color="auto" w:sz="4" w:space="0"/>
            </w:tcBorders>
            <w:vAlign w:val="center"/>
          </w:tcPr>
          <w:p>
            <w:pPr>
              <w:snapToGrid w:val="0"/>
              <w:spacing w:line="360" w:lineRule="auto"/>
              <w:jc w:val="center"/>
              <w:rPr>
                <w:rFonts w:hAnsi="宋体" w:cs="宋体"/>
                <w:color w:val="auto"/>
                <w:sz w:val="21"/>
                <w:szCs w:val="21"/>
              </w:rPr>
            </w:pPr>
            <w:r>
              <w:rPr>
                <w:rFonts w:hint="eastAsia" w:hAnsi="宋体" w:cs="宋体"/>
                <w:color w:val="auto"/>
                <w:sz w:val="21"/>
                <w:szCs w:val="21"/>
              </w:rPr>
              <w:t>4</w:t>
            </w:r>
          </w:p>
        </w:tc>
        <w:tc>
          <w:tcPr>
            <w:tcW w:w="1321" w:type="dxa"/>
            <w:tcBorders>
              <w:top w:val="single" w:color="auto" w:sz="4" w:space="0"/>
              <w:left w:val="single" w:color="auto" w:sz="4" w:space="0"/>
              <w:right w:val="single" w:color="auto" w:sz="4" w:space="0"/>
            </w:tcBorders>
            <w:vAlign w:val="center"/>
          </w:tcPr>
          <w:p>
            <w:pPr>
              <w:autoSpaceDE/>
              <w:autoSpaceDN/>
              <w:adjustRightInd/>
              <w:snapToGrid w:val="0"/>
              <w:spacing w:line="360" w:lineRule="auto"/>
              <w:jc w:val="center"/>
              <w:rPr>
                <w:rFonts w:hAnsi="宋体" w:cs="宋体"/>
                <w:color w:val="auto"/>
                <w:sz w:val="21"/>
                <w:szCs w:val="21"/>
              </w:rPr>
            </w:pPr>
            <w:r>
              <w:rPr>
                <w:rFonts w:hint="eastAsia" w:hAnsi="宋体" w:cs="宋体"/>
                <w:color w:val="auto"/>
                <w:sz w:val="21"/>
                <w:szCs w:val="21"/>
              </w:rPr>
              <w:t>拟投入本项目的配送场所</w:t>
            </w:r>
          </w:p>
        </w:tc>
        <w:tc>
          <w:tcPr>
            <w:tcW w:w="621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hAnsi="宋体" w:eastAsia="宋体" w:cs="宋体"/>
                <w:color w:val="auto"/>
                <w:sz w:val="21"/>
                <w:szCs w:val="21"/>
                <w:lang w:eastAsia="zh-CN"/>
              </w:rPr>
            </w:pPr>
            <w:r>
              <w:rPr>
                <w:rFonts w:hint="eastAsia" w:hAnsi="宋体" w:cs="宋体"/>
                <w:color w:val="auto"/>
                <w:sz w:val="21"/>
                <w:szCs w:val="21"/>
              </w:rPr>
              <w:t>1、投标人拟投入本项目的配送场所</w:t>
            </w:r>
            <w:r>
              <w:rPr>
                <w:rFonts w:hint="eastAsia" w:hAnsi="宋体" w:cs="宋体"/>
                <w:color w:val="auto"/>
                <w:sz w:val="21"/>
                <w:szCs w:val="21"/>
                <w:lang w:eastAsia="zh-CN"/>
              </w:rPr>
              <w:t>，</w:t>
            </w:r>
            <w:r>
              <w:rPr>
                <w:rFonts w:hint="eastAsia" w:hAnsi="宋体" w:cs="宋体"/>
                <w:color w:val="auto"/>
                <w:sz w:val="21"/>
                <w:szCs w:val="21"/>
                <w:lang w:val="en-US" w:eastAsia="zh-CN"/>
              </w:rPr>
              <w:t>满分</w:t>
            </w:r>
            <w:r>
              <w:rPr>
                <w:rFonts w:hAnsi="宋体" w:cs="宋体"/>
                <w:color w:val="auto"/>
                <w:sz w:val="21"/>
                <w:szCs w:val="21"/>
              </w:rPr>
              <w:t>7</w:t>
            </w:r>
            <w:r>
              <w:rPr>
                <w:rFonts w:hint="eastAsia" w:hAnsi="宋体" w:cs="宋体"/>
                <w:color w:val="auto"/>
                <w:sz w:val="21"/>
                <w:szCs w:val="21"/>
              </w:rPr>
              <w:t xml:space="preserve">分 </w:t>
            </w:r>
            <w:r>
              <w:rPr>
                <w:rFonts w:hint="eastAsia" w:hAnsi="宋体" w:cs="宋体"/>
                <w:color w:val="auto"/>
                <w:sz w:val="21"/>
                <w:szCs w:val="21"/>
                <w:lang w:eastAsia="zh-CN"/>
              </w:rPr>
              <w:t>：</w:t>
            </w:r>
          </w:p>
          <w:p>
            <w:pPr>
              <w:spacing w:line="360" w:lineRule="auto"/>
              <w:rPr>
                <w:rFonts w:hint="eastAsia" w:hAnsi="宋体" w:eastAsia="宋体" w:cs="宋体"/>
                <w:color w:val="auto"/>
                <w:sz w:val="21"/>
                <w:szCs w:val="21"/>
                <w:lang w:eastAsia="zh-CN"/>
              </w:rPr>
            </w:pPr>
            <w:r>
              <w:rPr>
                <w:rFonts w:hint="eastAsia" w:hAnsi="宋体" w:cs="宋体"/>
                <w:color w:val="auto"/>
                <w:sz w:val="21"/>
                <w:szCs w:val="21"/>
              </w:rPr>
              <w:t>（1）配送场所面积≥</w:t>
            </w:r>
            <w:r>
              <w:rPr>
                <w:rFonts w:hAnsi="宋体" w:cs="宋体"/>
                <w:color w:val="auto"/>
                <w:sz w:val="21"/>
                <w:szCs w:val="21"/>
              </w:rPr>
              <w:t>6000</w:t>
            </w:r>
            <w:r>
              <w:rPr>
                <w:rFonts w:hint="eastAsia" w:hAnsi="宋体" w:cs="宋体"/>
                <w:color w:val="auto"/>
                <w:sz w:val="21"/>
                <w:szCs w:val="21"/>
              </w:rPr>
              <w:t>㎡</w:t>
            </w:r>
            <w:r>
              <w:rPr>
                <w:rFonts w:hint="eastAsia" w:hAnsi="宋体" w:cs="宋体"/>
                <w:color w:val="auto"/>
                <w:sz w:val="21"/>
                <w:szCs w:val="21"/>
                <w:lang w:eastAsia="zh-CN"/>
              </w:rPr>
              <w:t>，</w:t>
            </w:r>
            <w:r>
              <w:rPr>
                <w:rFonts w:hint="eastAsia" w:hAnsi="宋体" w:cs="宋体"/>
                <w:color w:val="auto"/>
                <w:sz w:val="21"/>
                <w:szCs w:val="21"/>
              </w:rPr>
              <w:t>得</w:t>
            </w:r>
            <w:r>
              <w:rPr>
                <w:rFonts w:hAnsi="宋体" w:cs="宋体"/>
                <w:color w:val="auto"/>
                <w:sz w:val="21"/>
                <w:szCs w:val="21"/>
              </w:rPr>
              <w:t>7</w:t>
            </w:r>
            <w:r>
              <w:rPr>
                <w:rFonts w:hint="eastAsia" w:hAnsi="宋体" w:cs="宋体"/>
                <w:color w:val="auto"/>
                <w:sz w:val="21"/>
                <w:szCs w:val="21"/>
              </w:rPr>
              <w:t>分</w:t>
            </w:r>
            <w:r>
              <w:rPr>
                <w:rFonts w:hint="eastAsia" w:hAnsi="宋体" w:cs="宋体"/>
                <w:color w:val="auto"/>
                <w:sz w:val="21"/>
                <w:szCs w:val="21"/>
                <w:lang w:val="en-US" w:eastAsia="zh-CN"/>
              </w:rPr>
              <w:t>；</w:t>
            </w:r>
          </w:p>
          <w:p>
            <w:pPr>
              <w:spacing w:line="360" w:lineRule="auto"/>
              <w:rPr>
                <w:rFonts w:hint="eastAsia" w:hAnsi="宋体" w:eastAsia="宋体" w:cs="宋体"/>
                <w:color w:val="auto"/>
                <w:sz w:val="21"/>
                <w:szCs w:val="21"/>
                <w:lang w:eastAsia="zh-CN"/>
              </w:rPr>
            </w:pPr>
            <w:r>
              <w:rPr>
                <w:rFonts w:hint="eastAsia" w:hAnsi="宋体" w:cs="宋体"/>
                <w:color w:val="auto"/>
                <w:sz w:val="21"/>
                <w:szCs w:val="21"/>
              </w:rPr>
              <w:t>（2）4</w:t>
            </w:r>
            <w:r>
              <w:rPr>
                <w:rFonts w:hint="eastAsia" w:hAnsi="宋体" w:cs="宋体"/>
                <w:color w:val="auto"/>
                <w:sz w:val="21"/>
                <w:szCs w:val="21"/>
                <w:lang w:val="zh-CN"/>
              </w:rPr>
              <w:t>000㎡≤</w:t>
            </w:r>
            <w:r>
              <w:rPr>
                <w:rFonts w:hint="eastAsia" w:hAnsi="宋体" w:cs="宋体"/>
                <w:color w:val="auto"/>
                <w:sz w:val="21"/>
                <w:szCs w:val="21"/>
              </w:rPr>
              <w:t>配送场所面积</w:t>
            </w:r>
            <w:r>
              <w:rPr>
                <w:rFonts w:hint="eastAsia" w:hAnsi="宋体" w:cs="宋体"/>
                <w:color w:val="auto"/>
                <w:sz w:val="21"/>
                <w:szCs w:val="21"/>
                <w:lang w:val="zh-CN"/>
              </w:rPr>
              <w:t>＜</w:t>
            </w:r>
            <w:r>
              <w:rPr>
                <w:rFonts w:hint="eastAsia" w:hAnsi="宋体" w:cs="宋体"/>
                <w:color w:val="auto"/>
                <w:sz w:val="21"/>
                <w:szCs w:val="21"/>
              </w:rPr>
              <w:t>6000</w:t>
            </w:r>
            <w:r>
              <w:rPr>
                <w:rFonts w:hint="eastAsia" w:hAnsi="宋体" w:cs="宋体"/>
                <w:color w:val="auto"/>
                <w:sz w:val="21"/>
                <w:szCs w:val="21"/>
                <w:lang w:val="zh-CN"/>
              </w:rPr>
              <w:t>㎡</w:t>
            </w:r>
            <w:r>
              <w:rPr>
                <w:rFonts w:hint="eastAsia" w:hAnsi="宋体" w:cs="宋体"/>
                <w:color w:val="auto"/>
                <w:sz w:val="21"/>
                <w:szCs w:val="21"/>
              </w:rPr>
              <w:t xml:space="preserve"> ，得</w:t>
            </w:r>
            <w:r>
              <w:rPr>
                <w:rFonts w:hAnsi="宋体" w:cs="宋体"/>
                <w:color w:val="auto"/>
                <w:sz w:val="21"/>
                <w:szCs w:val="21"/>
              </w:rPr>
              <w:t>4</w:t>
            </w:r>
            <w:r>
              <w:rPr>
                <w:rFonts w:hint="eastAsia" w:hAnsi="宋体" w:cs="宋体"/>
                <w:color w:val="auto"/>
                <w:sz w:val="21"/>
                <w:szCs w:val="21"/>
              </w:rPr>
              <w:t>分</w:t>
            </w:r>
            <w:r>
              <w:rPr>
                <w:rFonts w:hint="eastAsia" w:hAnsi="宋体" w:cs="宋体"/>
                <w:color w:val="auto"/>
                <w:sz w:val="21"/>
                <w:szCs w:val="21"/>
                <w:lang w:val="en-US" w:eastAsia="zh-CN"/>
              </w:rPr>
              <w:t>；</w:t>
            </w:r>
          </w:p>
          <w:p>
            <w:pPr>
              <w:spacing w:line="360" w:lineRule="auto"/>
              <w:rPr>
                <w:rFonts w:hAnsi="宋体" w:cs="宋体"/>
                <w:color w:val="auto"/>
                <w:sz w:val="21"/>
                <w:szCs w:val="21"/>
              </w:rPr>
            </w:pPr>
            <w:r>
              <w:rPr>
                <w:rFonts w:hint="eastAsia" w:hAnsi="宋体" w:cs="宋体"/>
                <w:color w:val="auto"/>
                <w:sz w:val="21"/>
                <w:szCs w:val="21"/>
              </w:rPr>
              <w:t>（3）2000</w:t>
            </w:r>
            <w:r>
              <w:rPr>
                <w:rFonts w:hint="eastAsia" w:hAnsi="宋体" w:cs="宋体"/>
                <w:color w:val="auto"/>
                <w:sz w:val="21"/>
                <w:szCs w:val="21"/>
                <w:lang w:val="zh-CN"/>
              </w:rPr>
              <w:t>㎡≤</w:t>
            </w:r>
            <w:r>
              <w:rPr>
                <w:rFonts w:hint="eastAsia" w:hAnsi="宋体" w:cs="宋体"/>
                <w:color w:val="auto"/>
                <w:sz w:val="21"/>
                <w:szCs w:val="21"/>
              </w:rPr>
              <w:t>配送场所面积</w:t>
            </w:r>
            <w:r>
              <w:rPr>
                <w:rFonts w:hint="eastAsia" w:hAnsi="宋体" w:cs="宋体"/>
                <w:color w:val="auto"/>
                <w:sz w:val="21"/>
                <w:szCs w:val="21"/>
                <w:lang w:val="zh-CN"/>
              </w:rPr>
              <w:t>＜</w:t>
            </w:r>
            <w:r>
              <w:rPr>
                <w:rFonts w:hint="eastAsia" w:hAnsi="宋体" w:cs="宋体"/>
                <w:color w:val="auto"/>
                <w:sz w:val="21"/>
                <w:szCs w:val="21"/>
              </w:rPr>
              <w:t>4</w:t>
            </w:r>
            <w:r>
              <w:rPr>
                <w:rFonts w:hint="eastAsia" w:hAnsi="宋体" w:cs="宋体"/>
                <w:color w:val="auto"/>
                <w:sz w:val="21"/>
                <w:szCs w:val="21"/>
                <w:lang w:val="zh-CN"/>
              </w:rPr>
              <w:t>000㎡</w:t>
            </w:r>
            <w:r>
              <w:rPr>
                <w:rFonts w:hint="eastAsia" w:hAnsi="宋体" w:cs="宋体"/>
                <w:color w:val="auto"/>
                <w:sz w:val="21"/>
                <w:szCs w:val="21"/>
              </w:rPr>
              <w:t xml:space="preserve"> </w:t>
            </w:r>
            <w:r>
              <w:rPr>
                <w:rFonts w:hint="eastAsia" w:hAnsi="宋体" w:cs="宋体"/>
                <w:color w:val="auto"/>
                <w:sz w:val="21"/>
                <w:szCs w:val="21"/>
                <w:lang w:eastAsia="zh-CN"/>
              </w:rPr>
              <w:t>，</w:t>
            </w:r>
            <w:r>
              <w:rPr>
                <w:rFonts w:hint="eastAsia" w:hAnsi="宋体" w:cs="宋体"/>
                <w:color w:val="auto"/>
                <w:sz w:val="21"/>
                <w:szCs w:val="21"/>
              </w:rPr>
              <w:t>得1分。</w:t>
            </w:r>
          </w:p>
          <w:p>
            <w:pPr>
              <w:widowControl/>
              <w:spacing w:line="360" w:lineRule="auto"/>
              <w:rPr>
                <w:rFonts w:hAnsi="宋体" w:cs="宋体"/>
                <w:color w:val="auto"/>
                <w:sz w:val="21"/>
                <w:szCs w:val="21"/>
              </w:rPr>
            </w:pPr>
            <w:r>
              <w:rPr>
                <w:rFonts w:hint="eastAsia" w:hAnsi="宋体" w:cs="宋体"/>
                <w:color w:val="auto"/>
                <w:sz w:val="21"/>
                <w:szCs w:val="21"/>
              </w:rPr>
              <w:t>（4）其它情况得0分。</w:t>
            </w:r>
          </w:p>
          <w:p>
            <w:pPr>
              <w:widowControl/>
              <w:spacing w:line="360" w:lineRule="auto"/>
              <w:rPr>
                <w:rFonts w:hint="eastAsia" w:hAnsi="宋体" w:cs="宋体"/>
                <w:b/>
                <w:color w:val="auto"/>
                <w:sz w:val="21"/>
                <w:szCs w:val="21"/>
              </w:rPr>
            </w:pPr>
            <w:r>
              <w:rPr>
                <w:rFonts w:hint="eastAsia" w:hAnsi="宋体" w:cs="宋体"/>
                <w:b/>
                <w:bCs/>
                <w:color w:val="auto"/>
                <w:sz w:val="21"/>
                <w:szCs w:val="21"/>
              </w:rPr>
              <w:t>注：</w:t>
            </w:r>
            <w:r>
              <w:rPr>
                <w:rFonts w:hint="eastAsia" w:hAnsi="宋体" w:cs="宋体"/>
                <w:b/>
                <w:color w:val="auto"/>
                <w:sz w:val="21"/>
                <w:szCs w:val="21"/>
              </w:rPr>
              <w:t>投标人须提供其配送场所的使用权证明材料，如产权证明或租赁合同（租赁的有效期必须覆盖202</w:t>
            </w:r>
            <w:r>
              <w:rPr>
                <w:rFonts w:hint="eastAsia" w:hAnsi="宋体" w:cs="宋体"/>
                <w:b/>
                <w:color w:val="auto"/>
                <w:sz w:val="21"/>
                <w:szCs w:val="21"/>
                <w:lang w:val="en-US" w:eastAsia="zh-CN"/>
              </w:rPr>
              <w:t>3</w:t>
            </w:r>
            <w:r>
              <w:rPr>
                <w:rFonts w:hint="eastAsia" w:hAnsi="宋体" w:cs="宋体"/>
                <w:b/>
                <w:color w:val="auto"/>
                <w:sz w:val="21"/>
                <w:szCs w:val="21"/>
              </w:rPr>
              <w:t>年，需提供投标前3个月的租金发票或收据）复印件，并加盖投标人公章。</w:t>
            </w:r>
          </w:p>
          <w:p>
            <w:pPr>
              <w:pStyle w:val="4"/>
              <w:numPr>
                <w:ilvl w:val="1"/>
                <w:numId w:val="0"/>
              </w:numPr>
              <w:spacing w:line="360" w:lineRule="auto"/>
              <w:rPr>
                <w:rFonts w:hint="eastAsia" w:hAnsi="宋体" w:eastAsia="宋体" w:cs="宋体"/>
                <w:color w:val="auto"/>
                <w:sz w:val="21"/>
                <w:szCs w:val="21"/>
                <w:lang w:eastAsia="zh-CN"/>
              </w:rPr>
            </w:pPr>
            <w:bookmarkStart w:id="244" w:name="_Toc26353"/>
            <w:r>
              <w:rPr>
                <w:rFonts w:hint="eastAsia" w:hAnsi="宋体" w:cs="宋体"/>
                <w:color w:val="auto"/>
                <w:sz w:val="21"/>
                <w:szCs w:val="21"/>
              </w:rPr>
              <w:t>2、投标人拟投入本项目的配送场所内配置的食品冷藏冷冻库</w:t>
            </w:r>
            <w:r>
              <w:rPr>
                <w:rFonts w:hint="eastAsia" w:hAnsi="宋体" w:cs="宋体"/>
                <w:color w:val="auto"/>
                <w:sz w:val="21"/>
                <w:szCs w:val="21"/>
                <w:lang w:eastAsia="zh-CN"/>
              </w:rPr>
              <w:t>，</w:t>
            </w:r>
            <w:r>
              <w:rPr>
                <w:rFonts w:hint="eastAsia" w:hAnsi="宋体" w:cs="宋体"/>
                <w:color w:val="auto"/>
                <w:sz w:val="21"/>
                <w:szCs w:val="21"/>
                <w:lang w:val="en-US" w:eastAsia="zh-CN"/>
              </w:rPr>
              <w:t>满分</w:t>
            </w:r>
            <w:r>
              <w:rPr>
                <w:rFonts w:hint="eastAsia" w:hAnsi="宋体" w:cs="宋体"/>
                <w:color w:val="auto"/>
                <w:sz w:val="21"/>
                <w:szCs w:val="21"/>
              </w:rPr>
              <w:t>2分</w:t>
            </w:r>
            <w:r>
              <w:rPr>
                <w:rFonts w:hint="eastAsia" w:hAnsi="宋体" w:cs="宋体"/>
                <w:color w:val="auto"/>
                <w:sz w:val="21"/>
                <w:szCs w:val="21"/>
                <w:lang w:eastAsia="zh-CN"/>
              </w:rPr>
              <w:t>：</w:t>
            </w:r>
            <w:bookmarkEnd w:id="244"/>
          </w:p>
          <w:p>
            <w:pPr>
              <w:spacing w:line="360" w:lineRule="auto"/>
              <w:rPr>
                <w:rFonts w:hAnsi="宋体" w:cs="宋体"/>
                <w:color w:val="auto"/>
                <w:sz w:val="21"/>
                <w:szCs w:val="21"/>
              </w:rPr>
            </w:pPr>
            <w:r>
              <w:rPr>
                <w:rFonts w:hint="eastAsia" w:hAnsi="宋体" w:cs="宋体"/>
                <w:color w:val="auto"/>
                <w:sz w:val="21"/>
                <w:szCs w:val="21"/>
              </w:rPr>
              <w:t>（1）</w:t>
            </w:r>
            <w:r>
              <w:rPr>
                <w:rFonts w:hint="eastAsia" w:hAnsi="宋体" w:cs="宋体"/>
                <w:color w:val="auto"/>
                <w:sz w:val="21"/>
                <w:szCs w:val="21"/>
                <w:lang w:val="zh-CN"/>
              </w:rPr>
              <w:t>面积≥300㎡，</w:t>
            </w:r>
            <w:r>
              <w:rPr>
                <w:rFonts w:hint="eastAsia" w:hAnsi="宋体" w:cs="宋体"/>
                <w:color w:val="auto"/>
                <w:sz w:val="21"/>
                <w:szCs w:val="21"/>
              </w:rPr>
              <w:t>得2分</w:t>
            </w:r>
            <w:r>
              <w:rPr>
                <w:rFonts w:hint="eastAsia" w:hAnsi="宋体" w:cs="宋体"/>
                <w:color w:val="auto"/>
                <w:sz w:val="21"/>
                <w:szCs w:val="21"/>
                <w:lang w:val="zh-CN"/>
              </w:rPr>
              <w:t>；</w:t>
            </w:r>
          </w:p>
          <w:p>
            <w:pPr>
              <w:spacing w:line="360" w:lineRule="auto"/>
              <w:rPr>
                <w:rFonts w:hAnsi="宋体" w:cs="宋体"/>
                <w:color w:val="auto"/>
                <w:sz w:val="21"/>
                <w:szCs w:val="21"/>
              </w:rPr>
            </w:pPr>
            <w:r>
              <w:rPr>
                <w:rFonts w:hint="eastAsia" w:hAnsi="宋体" w:cs="宋体"/>
                <w:color w:val="auto"/>
                <w:sz w:val="21"/>
                <w:szCs w:val="21"/>
              </w:rPr>
              <w:t>（2）</w:t>
            </w:r>
            <w:r>
              <w:rPr>
                <w:rFonts w:hint="eastAsia" w:hAnsi="宋体" w:cs="宋体"/>
                <w:color w:val="auto"/>
                <w:sz w:val="21"/>
                <w:szCs w:val="21"/>
                <w:lang w:val="zh-CN"/>
              </w:rPr>
              <w:t>100㎡≤面积＜300㎡，</w:t>
            </w:r>
            <w:r>
              <w:rPr>
                <w:rFonts w:hint="eastAsia" w:hAnsi="宋体" w:cs="宋体"/>
                <w:color w:val="auto"/>
                <w:sz w:val="21"/>
                <w:szCs w:val="21"/>
              </w:rPr>
              <w:t>得1分；</w:t>
            </w:r>
          </w:p>
          <w:p>
            <w:pPr>
              <w:widowControl/>
              <w:spacing w:line="360" w:lineRule="auto"/>
              <w:rPr>
                <w:rFonts w:hAnsi="宋体" w:cs="宋体"/>
                <w:color w:val="auto"/>
                <w:sz w:val="21"/>
                <w:szCs w:val="21"/>
              </w:rPr>
            </w:pPr>
            <w:r>
              <w:rPr>
                <w:rFonts w:hint="eastAsia" w:hAnsi="宋体" w:cs="宋体"/>
                <w:color w:val="auto"/>
                <w:sz w:val="21"/>
                <w:szCs w:val="21"/>
              </w:rPr>
              <w:t>（3）其它情况得0分。</w:t>
            </w:r>
          </w:p>
          <w:p>
            <w:pPr>
              <w:widowControl/>
              <w:spacing w:line="360" w:lineRule="auto"/>
              <w:rPr>
                <w:rFonts w:hAnsi="宋体" w:cs="宋体"/>
                <w:color w:val="auto"/>
                <w:sz w:val="21"/>
                <w:szCs w:val="21"/>
              </w:rPr>
            </w:pPr>
            <w:r>
              <w:rPr>
                <w:rFonts w:hint="eastAsia" w:hAnsi="宋体" w:cs="宋体"/>
                <w:b/>
                <w:bCs/>
                <w:color w:val="auto"/>
                <w:sz w:val="21"/>
                <w:szCs w:val="21"/>
              </w:rPr>
              <w:t>注：</w:t>
            </w:r>
            <w:r>
              <w:rPr>
                <w:rFonts w:hint="eastAsia" w:hAnsi="宋体" w:cs="宋体"/>
                <w:b/>
                <w:color w:val="auto"/>
                <w:sz w:val="21"/>
                <w:szCs w:val="21"/>
                <w:lang w:val="zh-CN"/>
              </w:rPr>
              <w:t>投标人须提供其冷藏冷冻库的使用权证明材料，如产权证明或自建冷藏库的证明或租赁合同（租赁的有效期</w:t>
            </w:r>
            <w:r>
              <w:rPr>
                <w:rFonts w:hint="eastAsia" w:hAnsi="宋体" w:cs="宋体"/>
                <w:b/>
                <w:color w:val="auto"/>
                <w:sz w:val="21"/>
                <w:szCs w:val="21"/>
              </w:rPr>
              <w:t>必须</w:t>
            </w:r>
            <w:r>
              <w:rPr>
                <w:rFonts w:hint="eastAsia" w:hAnsi="宋体" w:cs="宋体"/>
                <w:b/>
                <w:color w:val="auto"/>
                <w:sz w:val="21"/>
                <w:szCs w:val="21"/>
                <w:lang w:val="zh-CN"/>
              </w:rPr>
              <w:t>覆盖202</w:t>
            </w:r>
            <w:r>
              <w:rPr>
                <w:rFonts w:hint="eastAsia" w:hAnsi="宋体" w:cs="宋体"/>
                <w:b/>
                <w:color w:val="auto"/>
                <w:sz w:val="21"/>
                <w:szCs w:val="21"/>
              </w:rPr>
              <w:t>3</w:t>
            </w:r>
            <w:r>
              <w:rPr>
                <w:rFonts w:hint="eastAsia" w:hAnsi="宋体" w:cs="宋体"/>
                <w:b/>
                <w:color w:val="auto"/>
                <w:sz w:val="21"/>
                <w:szCs w:val="21"/>
                <w:lang w:val="zh-CN"/>
              </w:rPr>
              <w:t>年，</w:t>
            </w:r>
            <w:r>
              <w:rPr>
                <w:rFonts w:hint="eastAsia" w:hAnsi="宋体" w:cs="宋体"/>
                <w:b/>
                <w:color w:val="auto"/>
                <w:sz w:val="21"/>
                <w:szCs w:val="21"/>
              </w:rPr>
              <w:t>需提供投标前3个月的租金发票或收据</w:t>
            </w:r>
            <w:r>
              <w:rPr>
                <w:rFonts w:hint="eastAsia" w:hAnsi="宋体" w:cs="宋体"/>
                <w:b/>
                <w:color w:val="auto"/>
                <w:sz w:val="21"/>
                <w:szCs w:val="21"/>
                <w:lang w:val="zh-CN"/>
              </w:rPr>
              <w:t>）复印件，并加盖投标人公章；证明材料须体现冷藏库或冷冻库等相关内容。</w:t>
            </w:r>
          </w:p>
        </w:tc>
        <w:tc>
          <w:tcPr>
            <w:tcW w:w="110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Ansi="宋体" w:cs="宋体"/>
                <w:color w:val="auto"/>
                <w:sz w:val="21"/>
                <w:szCs w:val="21"/>
              </w:rPr>
            </w:pPr>
            <w:r>
              <w:rPr>
                <w:rFonts w:hAnsi="宋体" w:cs="宋体"/>
                <w:color w:val="auto"/>
                <w:sz w:val="21"/>
                <w:szCs w:val="21"/>
              </w:rPr>
              <w:t>9</w:t>
            </w:r>
            <w:r>
              <w:rPr>
                <w:rFonts w:hint="eastAsia" w:hAnsi="宋体" w:cs="宋体"/>
                <w:color w:val="auto"/>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2" w:type="dxa"/>
            <w:tcBorders>
              <w:top w:val="single" w:color="auto" w:sz="4" w:space="0"/>
              <w:left w:val="single" w:color="auto" w:sz="4" w:space="0"/>
              <w:right w:val="single" w:color="auto" w:sz="4" w:space="0"/>
            </w:tcBorders>
            <w:vAlign w:val="center"/>
          </w:tcPr>
          <w:p>
            <w:pPr>
              <w:snapToGrid w:val="0"/>
              <w:spacing w:line="360" w:lineRule="auto"/>
              <w:jc w:val="center"/>
              <w:rPr>
                <w:rFonts w:hint="eastAsia" w:hAnsi="宋体" w:eastAsia="宋体" w:cs="宋体"/>
                <w:color w:val="auto"/>
                <w:sz w:val="21"/>
                <w:szCs w:val="21"/>
                <w:lang w:eastAsia="zh-CN"/>
              </w:rPr>
            </w:pPr>
            <w:r>
              <w:rPr>
                <w:rFonts w:hint="eastAsia" w:hAnsi="宋体" w:cs="宋体"/>
                <w:color w:val="auto"/>
                <w:sz w:val="21"/>
                <w:szCs w:val="21"/>
                <w:lang w:val="en-US" w:eastAsia="zh-CN"/>
              </w:rPr>
              <w:t>5</w:t>
            </w:r>
          </w:p>
        </w:tc>
        <w:tc>
          <w:tcPr>
            <w:tcW w:w="1321" w:type="dxa"/>
            <w:tcBorders>
              <w:top w:val="single" w:color="auto" w:sz="4" w:space="0"/>
              <w:left w:val="single" w:color="auto" w:sz="4" w:space="0"/>
              <w:right w:val="single" w:color="auto" w:sz="4" w:space="0"/>
            </w:tcBorders>
            <w:vAlign w:val="center"/>
          </w:tcPr>
          <w:p>
            <w:pPr>
              <w:autoSpaceDE/>
              <w:autoSpaceDN/>
              <w:adjustRightInd/>
              <w:snapToGrid w:val="0"/>
              <w:spacing w:line="360" w:lineRule="auto"/>
              <w:jc w:val="center"/>
              <w:rPr>
                <w:rFonts w:hAnsi="宋体" w:cs="宋体"/>
                <w:color w:val="auto"/>
                <w:sz w:val="21"/>
                <w:szCs w:val="21"/>
              </w:rPr>
            </w:pPr>
            <w:r>
              <w:rPr>
                <w:rFonts w:hint="eastAsia" w:hAnsi="宋体" w:cs="宋体"/>
                <w:color w:val="auto"/>
                <w:sz w:val="21"/>
                <w:szCs w:val="21"/>
              </w:rPr>
              <w:t>拟供应货品来源情况</w:t>
            </w:r>
          </w:p>
        </w:tc>
        <w:tc>
          <w:tcPr>
            <w:tcW w:w="6211" w:type="dxa"/>
            <w:tcBorders>
              <w:top w:val="single" w:color="auto" w:sz="4" w:space="0"/>
              <w:left w:val="single" w:color="auto" w:sz="4" w:space="0"/>
              <w:bottom w:val="single" w:color="auto" w:sz="4" w:space="0"/>
              <w:right w:val="single" w:color="auto" w:sz="4" w:space="0"/>
            </w:tcBorders>
            <w:vAlign w:val="center"/>
          </w:tcPr>
          <w:p>
            <w:pPr>
              <w:pStyle w:val="216"/>
              <w:numPr>
                <w:ilvl w:val="0"/>
                <w:numId w:val="11"/>
              </w:numPr>
              <w:spacing w:line="360" w:lineRule="auto"/>
              <w:ind w:firstLine="0" w:firstLineChars="0"/>
              <w:jc w:val="left"/>
              <w:rPr>
                <w:rFonts w:hint="eastAsia" w:ascii="宋体" w:hAnsi="宋体" w:eastAsia="宋体" w:cs="宋体"/>
                <w:color w:val="auto"/>
                <w:sz w:val="21"/>
                <w:szCs w:val="21"/>
                <w:lang w:val="pt-BR"/>
              </w:rPr>
            </w:pPr>
            <w:r>
              <w:rPr>
                <w:rFonts w:hint="eastAsia" w:ascii="宋体" w:hAnsi="宋体" w:eastAsia="宋体" w:cs="宋体"/>
                <w:color w:val="auto"/>
                <w:sz w:val="21"/>
                <w:szCs w:val="21"/>
              </w:rPr>
              <w:t>粮油干货类：</w:t>
            </w:r>
            <w:r>
              <w:rPr>
                <w:rFonts w:hint="eastAsia" w:ascii="宋体" w:hAnsi="宋体" w:eastAsia="宋体" w:cs="宋体"/>
                <w:color w:val="auto"/>
                <w:sz w:val="21"/>
                <w:szCs w:val="21"/>
                <w:lang w:val="pt-BR"/>
              </w:rPr>
              <w:t>投标人自有供应，或与生产企业签订直接供应采购合作协议，得2分。</w:t>
            </w:r>
          </w:p>
          <w:p>
            <w:pPr>
              <w:pStyle w:val="216"/>
              <w:spacing w:line="360" w:lineRule="auto"/>
              <w:jc w:val="both"/>
              <w:rPr>
                <w:rFonts w:hint="eastAsia" w:ascii="宋体" w:hAnsi="宋体" w:eastAsia="宋体" w:cs="宋体"/>
                <w:color w:val="auto"/>
                <w:sz w:val="21"/>
                <w:szCs w:val="21"/>
                <w:lang w:val="pt-BR"/>
              </w:rPr>
            </w:pPr>
            <w:r>
              <w:rPr>
                <w:rFonts w:hint="eastAsia" w:ascii="宋体" w:hAnsi="宋体" w:eastAsia="宋体" w:cs="宋体"/>
                <w:b/>
                <w:color w:val="auto"/>
                <w:sz w:val="21"/>
                <w:szCs w:val="21"/>
                <w:lang w:val="pt-BR"/>
              </w:rPr>
              <w:t>注：需提供生产企业（或经销商）在有效期内的法人营业执照、食品生产许可证（或食品经营许可证），同时提供投标人与生产企业（或经销商）的合作协议复印件（协议有效期覆盖202</w:t>
            </w:r>
            <w:r>
              <w:rPr>
                <w:rFonts w:hint="eastAsia" w:ascii="宋体" w:hAnsi="宋体" w:eastAsia="宋体" w:cs="宋体"/>
                <w:b/>
                <w:color w:val="auto"/>
                <w:sz w:val="21"/>
                <w:szCs w:val="21"/>
                <w:lang w:val="en-US" w:eastAsia="zh-CN"/>
              </w:rPr>
              <w:t>3</w:t>
            </w:r>
            <w:r>
              <w:rPr>
                <w:rFonts w:hint="eastAsia" w:ascii="宋体" w:hAnsi="宋体" w:eastAsia="宋体" w:cs="宋体"/>
                <w:b/>
                <w:color w:val="auto"/>
                <w:sz w:val="21"/>
                <w:szCs w:val="21"/>
                <w:lang w:val="pt-BR"/>
              </w:rPr>
              <w:t>年，自营则无需提供合作协议复印件），否则不得分。</w:t>
            </w:r>
          </w:p>
          <w:p>
            <w:pPr>
              <w:pStyle w:val="216"/>
              <w:spacing w:line="360" w:lineRule="auto"/>
              <w:ind w:firstLine="0" w:firstLineChars="0"/>
              <w:jc w:val="both"/>
              <w:rPr>
                <w:rFonts w:hint="eastAsia" w:ascii="宋体" w:hAnsi="宋体" w:eastAsia="宋体" w:cs="宋体"/>
                <w:color w:val="auto"/>
                <w:sz w:val="21"/>
                <w:szCs w:val="21"/>
                <w:lang w:val="pt-BR"/>
              </w:rPr>
            </w:pPr>
            <w:r>
              <w:rPr>
                <w:rFonts w:hint="eastAsia" w:ascii="宋体" w:hAnsi="宋体" w:eastAsia="宋体" w:cs="宋体"/>
                <w:color w:val="auto"/>
                <w:sz w:val="21"/>
                <w:szCs w:val="21"/>
              </w:rPr>
              <w:t>2</w:t>
            </w:r>
            <w:r>
              <w:rPr>
                <w:rFonts w:hint="eastAsia" w:ascii="宋体" w:hAnsi="宋体" w:eastAsia="宋体" w:cs="宋体"/>
                <w:color w:val="auto"/>
                <w:sz w:val="21"/>
                <w:szCs w:val="21"/>
                <w:lang w:val="pt-BR"/>
              </w:rPr>
              <w:t>、肉类供应：投标人自有供应，或与生产企业签订直接供应采购合作协议，得2分。</w:t>
            </w:r>
          </w:p>
          <w:p>
            <w:pPr>
              <w:pStyle w:val="216"/>
              <w:spacing w:line="360" w:lineRule="auto"/>
              <w:jc w:val="both"/>
              <w:rPr>
                <w:rFonts w:hint="eastAsia" w:ascii="宋体" w:hAnsi="宋体" w:eastAsia="宋体" w:cs="宋体"/>
                <w:b/>
                <w:color w:val="auto"/>
                <w:sz w:val="21"/>
                <w:szCs w:val="21"/>
                <w:lang w:val="pt-BR"/>
              </w:rPr>
            </w:pPr>
            <w:r>
              <w:rPr>
                <w:rFonts w:hint="eastAsia" w:ascii="宋体" w:hAnsi="宋体" w:eastAsia="宋体" w:cs="宋体"/>
                <w:b/>
                <w:color w:val="auto"/>
                <w:sz w:val="21"/>
                <w:szCs w:val="21"/>
                <w:lang w:val="pt-BR"/>
              </w:rPr>
              <w:t>注：需提供生产企业（或经销商）</w:t>
            </w:r>
            <w:r>
              <w:rPr>
                <w:rFonts w:hint="eastAsia" w:ascii="宋体" w:hAnsi="宋体" w:eastAsia="宋体"/>
                <w:b/>
                <w:color w:val="auto"/>
                <w:sz w:val="21"/>
                <w:szCs w:val="21"/>
              </w:rPr>
              <w:t>在有效期内</w:t>
            </w:r>
            <w:r>
              <w:rPr>
                <w:rFonts w:hint="eastAsia" w:ascii="宋体" w:hAnsi="宋体" w:eastAsia="宋体" w:cs="宋体"/>
                <w:b/>
                <w:color w:val="auto"/>
                <w:sz w:val="21"/>
                <w:szCs w:val="21"/>
                <w:lang w:val="pt-BR"/>
              </w:rPr>
              <w:t>的法人营业执照、食品生产许可证（或食品经营许可证）、动物防疫合格证的复印件，同时提供投标人与生产企业（或经销商）的合作协议复印件（协议有效期覆盖202</w:t>
            </w:r>
            <w:r>
              <w:rPr>
                <w:rFonts w:hint="eastAsia" w:ascii="宋体" w:hAnsi="宋体" w:eastAsia="宋体" w:cs="宋体"/>
                <w:b/>
                <w:color w:val="auto"/>
                <w:sz w:val="21"/>
                <w:szCs w:val="21"/>
                <w:lang w:val="en-US" w:eastAsia="zh-CN"/>
              </w:rPr>
              <w:t>3</w:t>
            </w:r>
            <w:r>
              <w:rPr>
                <w:rFonts w:hint="eastAsia" w:ascii="宋体" w:hAnsi="宋体" w:eastAsia="宋体" w:cs="宋体"/>
                <w:b/>
                <w:color w:val="auto"/>
                <w:sz w:val="21"/>
                <w:szCs w:val="21"/>
                <w:lang w:val="pt-BR"/>
              </w:rPr>
              <w:t>年，自营则无需提供合作协议复印件），否则不得分。</w:t>
            </w:r>
          </w:p>
          <w:p>
            <w:pPr>
              <w:pStyle w:val="216"/>
              <w:spacing w:line="360" w:lineRule="auto"/>
              <w:ind w:firstLine="0" w:firstLineChars="0"/>
              <w:jc w:val="both"/>
              <w:rPr>
                <w:rFonts w:hint="eastAsia" w:ascii="宋体" w:hAnsi="宋体" w:eastAsia="宋体" w:cs="宋体"/>
                <w:color w:val="auto"/>
                <w:sz w:val="21"/>
                <w:szCs w:val="21"/>
                <w:lang w:val="pt-BR"/>
              </w:rPr>
            </w:pPr>
            <w:r>
              <w:rPr>
                <w:rFonts w:hint="eastAsia" w:ascii="宋体" w:hAnsi="宋体" w:eastAsia="宋体" w:cs="宋体"/>
                <w:color w:val="auto"/>
                <w:sz w:val="21"/>
                <w:szCs w:val="21"/>
              </w:rPr>
              <w:t>3</w:t>
            </w:r>
            <w:r>
              <w:rPr>
                <w:rFonts w:hint="eastAsia" w:ascii="宋体" w:hAnsi="宋体" w:eastAsia="宋体" w:cs="宋体"/>
                <w:color w:val="auto"/>
                <w:sz w:val="21"/>
                <w:szCs w:val="21"/>
                <w:lang w:val="pt-BR"/>
              </w:rPr>
              <w:t>、蔬</w:t>
            </w:r>
            <w:r>
              <w:rPr>
                <w:rFonts w:hint="eastAsia" w:ascii="宋体" w:hAnsi="宋体" w:eastAsia="宋体" w:cs="宋体"/>
                <w:color w:val="auto"/>
                <w:sz w:val="21"/>
                <w:szCs w:val="21"/>
              </w:rPr>
              <w:t>果</w:t>
            </w:r>
            <w:r>
              <w:rPr>
                <w:rFonts w:hint="eastAsia" w:ascii="宋体" w:hAnsi="宋体" w:eastAsia="宋体" w:cs="宋体"/>
                <w:color w:val="auto"/>
                <w:sz w:val="21"/>
                <w:szCs w:val="21"/>
                <w:lang w:val="pt-BR"/>
              </w:rPr>
              <w:t>类供应：投标人自有供应，或与生产企业签订直接供应采购合作协议，得2分。</w:t>
            </w:r>
          </w:p>
          <w:p>
            <w:pPr>
              <w:pStyle w:val="161"/>
              <w:spacing w:line="360" w:lineRule="auto"/>
              <w:rPr>
                <w:b/>
                <w:color w:val="auto"/>
                <w:sz w:val="21"/>
                <w:szCs w:val="21"/>
                <w:lang w:val="pt-BR"/>
              </w:rPr>
            </w:pPr>
            <w:r>
              <w:rPr>
                <w:rFonts w:hint="eastAsia"/>
                <w:b/>
                <w:color w:val="auto"/>
                <w:sz w:val="21"/>
                <w:szCs w:val="21"/>
                <w:lang w:val="pt-BR"/>
              </w:rPr>
              <w:t>注：投标人需提供生产企业（或经销商）</w:t>
            </w:r>
            <w:r>
              <w:rPr>
                <w:rFonts w:hint="eastAsia" w:ascii="宋体" w:hAnsi="宋体" w:eastAsia="宋体"/>
                <w:b/>
                <w:color w:val="auto"/>
                <w:sz w:val="21"/>
                <w:szCs w:val="21"/>
              </w:rPr>
              <w:t>在有效期内</w:t>
            </w:r>
            <w:r>
              <w:rPr>
                <w:rFonts w:hint="eastAsia"/>
                <w:b/>
                <w:color w:val="auto"/>
                <w:sz w:val="21"/>
                <w:szCs w:val="21"/>
                <w:lang w:val="pt-BR"/>
              </w:rPr>
              <w:t>的法人营业执照、食品生产许可证（或食品经营许可证）的复印件，同时提供投标人与生产企业（或经销商）的合作协议复印件（协议有效期覆盖</w:t>
            </w:r>
            <w:r>
              <w:rPr>
                <w:b/>
                <w:color w:val="auto"/>
                <w:sz w:val="21"/>
                <w:szCs w:val="21"/>
                <w:lang w:val="pt-BR"/>
              </w:rPr>
              <w:t>202</w:t>
            </w:r>
            <w:r>
              <w:rPr>
                <w:rFonts w:hint="eastAsia"/>
                <w:b/>
                <w:color w:val="auto"/>
                <w:sz w:val="21"/>
                <w:szCs w:val="21"/>
                <w:lang w:val="en-US" w:eastAsia="zh-CN"/>
              </w:rPr>
              <w:t>3</w:t>
            </w:r>
            <w:r>
              <w:rPr>
                <w:b/>
                <w:color w:val="auto"/>
                <w:sz w:val="21"/>
                <w:szCs w:val="21"/>
                <w:lang w:val="pt-BR"/>
              </w:rPr>
              <w:t>年，自营则无需提供合作协议复印件），否则不得分。</w:t>
            </w:r>
          </w:p>
          <w:p>
            <w:pPr>
              <w:pStyle w:val="216"/>
              <w:spacing w:line="360" w:lineRule="auto"/>
              <w:ind w:firstLine="0" w:firstLineChars="0"/>
              <w:jc w:val="both"/>
              <w:rPr>
                <w:rFonts w:ascii="宋体" w:hAnsi="宋体" w:eastAsia="宋体"/>
                <w:color w:val="auto"/>
                <w:sz w:val="21"/>
                <w:szCs w:val="21"/>
                <w:lang w:val="pt-BR"/>
              </w:rPr>
            </w:pPr>
            <w:r>
              <w:rPr>
                <w:rFonts w:ascii="宋体" w:hAnsi="宋体" w:eastAsia="宋体"/>
                <w:color w:val="auto"/>
                <w:sz w:val="21"/>
                <w:szCs w:val="21"/>
                <w:lang w:val="pt-BR"/>
              </w:rPr>
              <w:t>4、豆制品供应：投标人自有</w:t>
            </w:r>
            <w:r>
              <w:rPr>
                <w:rFonts w:hint="eastAsia" w:ascii="宋体" w:hAnsi="宋体" w:eastAsia="宋体"/>
                <w:color w:val="auto"/>
                <w:sz w:val="21"/>
                <w:szCs w:val="21"/>
                <w:lang w:val="pt-BR"/>
              </w:rPr>
              <w:t>供应，或</w:t>
            </w:r>
            <w:r>
              <w:rPr>
                <w:rFonts w:ascii="宋体" w:hAnsi="宋体" w:eastAsia="宋体"/>
                <w:color w:val="auto"/>
                <w:sz w:val="21"/>
                <w:szCs w:val="21"/>
                <w:lang w:val="pt-BR"/>
              </w:rPr>
              <w:t>与生产企业签订直接供应采购</w:t>
            </w:r>
            <w:r>
              <w:rPr>
                <w:rFonts w:hint="eastAsia" w:ascii="宋体" w:hAnsi="宋体" w:eastAsia="宋体"/>
                <w:color w:val="auto"/>
                <w:sz w:val="21"/>
                <w:szCs w:val="21"/>
                <w:lang w:val="pt-BR"/>
              </w:rPr>
              <w:t>合作协议</w:t>
            </w:r>
            <w:r>
              <w:rPr>
                <w:rFonts w:ascii="宋体" w:hAnsi="宋体" w:eastAsia="宋体"/>
                <w:color w:val="auto"/>
                <w:sz w:val="21"/>
                <w:szCs w:val="21"/>
                <w:lang w:val="pt-BR"/>
              </w:rPr>
              <w:t>，得2分。</w:t>
            </w:r>
          </w:p>
          <w:p>
            <w:pPr>
              <w:pStyle w:val="216"/>
              <w:spacing w:line="360" w:lineRule="auto"/>
              <w:ind w:firstLine="0" w:firstLineChars="0"/>
              <w:jc w:val="both"/>
              <w:rPr>
                <w:rFonts w:ascii="宋体" w:hAnsi="宋体" w:eastAsia="宋体"/>
                <w:color w:val="auto"/>
                <w:sz w:val="21"/>
                <w:szCs w:val="21"/>
                <w:lang w:val="pt-BR"/>
              </w:rPr>
            </w:pPr>
            <w:r>
              <w:rPr>
                <w:rFonts w:hint="eastAsia" w:ascii="宋体" w:hAnsi="宋体" w:eastAsia="宋体"/>
                <w:b/>
                <w:color w:val="auto"/>
                <w:sz w:val="21"/>
                <w:szCs w:val="21"/>
                <w:lang w:val="pt-BR"/>
              </w:rPr>
              <w:t>注：投标人需提供生产企业（或经销商）</w:t>
            </w:r>
            <w:r>
              <w:rPr>
                <w:rFonts w:hint="eastAsia" w:ascii="宋体" w:hAnsi="宋体" w:eastAsia="宋体"/>
                <w:b/>
                <w:color w:val="auto"/>
                <w:sz w:val="21"/>
                <w:szCs w:val="21"/>
              </w:rPr>
              <w:t>在有效期内</w:t>
            </w:r>
            <w:r>
              <w:rPr>
                <w:rFonts w:hint="eastAsia" w:ascii="宋体" w:hAnsi="宋体" w:eastAsia="宋体"/>
                <w:b/>
                <w:color w:val="auto"/>
                <w:sz w:val="21"/>
                <w:szCs w:val="21"/>
                <w:lang w:val="pt-BR"/>
              </w:rPr>
              <w:t>的法人营业执照、食品生产许可证（或食品经营许可证）的复印件，同时提供投标人与生产企业（或经销商）的合作协议复印件（协议有效期覆盖</w:t>
            </w:r>
            <w:r>
              <w:rPr>
                <w:rFonts w:ascii="宋体" w:hAnsi="宋体" w:eastAsia="宋体"/>
                <w:b/>
                <w:color w:val="auto"/>
                <w:sz w:val="21"/>
                <w:szCs w:val="21"/>
                <w:lang w:val="pt-BR"/>
              </w:rPr>
              <w:t>202</w:t>
            </w:r>
            <w:r>
              <w:rPr>
                <w:rFonts w:hint="eastAsia" w:ascii="宋体" w:hAnsi="宋体" w:eastAsia="宋体"/>
                <w:b/>
                <w:color w:val="auto"/>
                <w:sz w:val="21"/>
                <w:szCs w:val="21"/>
                <w:lang w:val="en-US" w:eastAsia="zh-CN"/>
              </w:rPr>
              <w:t>3</w:t>
            </w:r>
            <w:r>
              <w:rPr>
                <w:rFonts w:ascii="宋体" w:hAnsi="宋体" w:eastAsia="宋体"/>
                <w:b/>
                <w:color w:val="auto"/>
                <w:sz w:val="21"/>
                <w:szCs w:val="21"/>
                <w:lang w:val="pt-BR"/>
              </w:rPr>
              <w:t>年，自营则无需提供合作协议复印件），否则不得分。</w:t>
            </w:r>
          </w:p>
          <w:p>
            <w:pPr>
              <w:pStyle w:val="216"/>
              <w:spacing w:line="360" w:lineRule="auto"/>
              <w:ind w:firstLine="0" w:firstLineChars="0"/>
              <w:jc w:val="both"/>
              <w:rPr>
                <w:rFonts w:ascii="宋体" w:hAnsi="宋体" w:eastAsia="宋体"/>
                <w:color w:val="auto"/>
                <w:sz w:val="21"/>
                <w:szCs w:val="21"/>
                <w:lang w:val="pt-BR"/>
              </w:rPr>
            </w:pPr>
            <w:r>
              <w:rPr>
                <w:rFonts w:hint="eastAsia" w:ascii="宋体" w:hAnsi="宋体" w:eastAsia="宋体"/>
                <w:color w:val="auto"/>
                <w:sz w:val="21"/>
                <w:szCs w:val="21"/>
                <w:lang w:val="en-US" w:eastAsia="zh-CN"/>
              </w:rPr>
              <w:t>5、</w:t>
            </w:r>
            <w:r>
              <w:rPr>
                <w:rFonts w:ascii="宋体" w:hAnsi="宋体" w:eastAsia="宋体"/>
                <w:color w:val="auto"/>
                <w:sz w:val="21"/>
                <w:szCs w:val="21"/>
                <w:lang w:val="pt-BR"/>
              </w:rPr>
              <w:t>调味品（含食品添加剂）供应：投标人自有</w:t>
            </w:r>
            <w:r>
              <w:rPr>
                <w:rFonts w:hint="eastAsia" w:ascii="宋体" w:hAnsi="宋体" w:eastAsia="宋体"/>
                <w:color w:val="auto"/>
                <w:sz w:val="21"/>
                <w:szCs w:val="21"/>
                <w:lang w:val="pt-BR"/>
              </w:rPr>
              <w:t>供应，或</w:t>
            </w:r>
            <w:r>
              <w:rPr>
                <w:rFonts w:ascii="宋体" w:hAnsi="宋体" w:eastAsia="宋体"/>
                <w:color w:val="auto"/>
                <w:sz w:val="21"/>
                <w:szCs w:val="21"/>
                <w:lang w:val="pt-BR"/>
              </w:rPr>
              <w:t>与生产企业签订直接供应采购</w:t>
            </w:r>
            <w:r>
              <w:rPr>
                <w:rFonts w:hint="eastAsia" w:ascii="宋体" w:hAnsi="宋体" w:eastAsia="宋体"/>
                <w:color w:val="auto"/>
                <w:sz w:val="21"/>
                <w:szCs w:val="21"/>
                <w:lang w:val="pt-BR"/>
              </w:rPr>
              <w:t>合作协议</w:t>
            </w:r>
            <w:r>
              <w:rPr>
                <w:rFonts w:ascii="宋体" w:hAnsi="宋体" w:eastAsia="宋体"/>
                <w:color w:val="auto"/>
                <w:sz w:val="21"/>
                <w:szCs w:val="21"/>
                <w:lang w:val="pt-BR"/>
              </w:rPr>
              <w:t>，得2分。</w:t>
            </w:r>
          </w:p>
          <w:p>
            <w:pPr>
              <w:pStyle w:val="161"/>
              <w:spacing w:line="360" w:lineRule="auto"/>
              <w:rPr>
                <w:b/>
                <w:color w:val="auto"/>
                <w:sz w:val="21"/>
                <w:szCs w:val="21"/>
                <w:lang w:val="pt-BR"/>
              </w:rPr>
            </w:pPr>
            <w:r>
              <w:rPr>
                <w:rFonts w:hint="eastAsia" w:ascii="宋体" w:hAnsi="宋体" w:eastAsia="宋体"/>
                <w:b/>
                <w:color w:val="auto"/>
                <w:sz w:val="21"/>
                <w:szCs w:val="21"/>
                <w:lang w:val="pt-BR"/>
              </w:rPr>
              <w:t>注：投标人需提供生产企业（或经销商）</w:t>
            </w:r>
            <w:r>
              <w:rPr>
                <w:rFonts w:hint="eastAsia" w:ascii="宋体" w:hAnsi="宋体" w:eastAsia="宋体"/>
                <w:b/>
                <w:color w:val="auto"/>
                <w:sz w:val="21"/>
                <w:szCs w:val="21"/>
              </w:rPr>
              <w:t>在有效期内</w:t>
            </w:r>
            <w:r>
              <w:rPr>
                <w:rFonts w:hint="eastAsia" w:ascii="宋体" w:hAnsi="宋体" w:eastAsia="宋体"/>
                <w:b/>
                <w:color w:val="auto"/>
                <w:sz w:val="21"/>
                <w:szCs w:val="21"/>
                <w:lang w:val="pt-BR"/>
              </w:rPr>
              <w:t>的法人营业执照、食品生产许可证（或食品经营许可证）、产品合格证</w:t>
            </w:r>
            <w:r>
              <w:rPr>
                <w:rFonts w:ascii="宋体" w:hAnsi="宋体" w:eastAsia="宋体"/>
                <w:b/>
                <w:color w:val="auto"/>
                <w:sz w:val="21"/>
                <w:szCs w:val="21"/>
                <w:lang w:val="pt-BR"/>
              </w:rPr>
              <w:t>，同时提供投标人与生产企业（或经销商）的合作协议复印件（协议有效期覆盖202</w:t>
            </w:r>
            <w:r>
              <w:rPr>
                <w:rFonts w:hint="eastAsia"/>
                <w:b/>
                <w:color w:val="auto"/>
                <w:sz w:val="21"/>
                <w:szCs w:val="21"/>
                <w:lang w:val="en-US" w:eastAsia="zh-CN"/>
              </w:rPr>
              <w:t>3</w:t>
            </w:r>
            <w:r>
              <w:rPr>
                <w:rFonts w:ascii="宋体" w:hAnsi="宋体" w:eastAsia="宋体"/>
                <w:b/>
                <w:color w:val="auto"/>
                <w:sz w:val="21"/>
                <w:szCs w:val="21"/>
                <w:lang w:val="pt-BR"/>
              </w:rPr>
              <w:t>年，自营则无需提供合作协议复印件），否则不得分。</w:t>
            </w:r>
          </w:p>
        </w:tc>
        <w:tc>
          <w:tcPr>
            <w:tcW w:w="110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Ansi="宋体" w:cs="宋体"/>
                <w:color w:val="auto"/>
                <w:sz w:val="21"/>
                <w:szCs w:val="21"/>
              </w:rPr>
            </w:pPr>
            <w:r>
              <w:rPr>
                <w:rFonts w:hint="eastAsia" w:hAnsi="宋体" w:cs="宋体"/>
                <w:color w:val="auto"/>
                <w:sz w:val="21"/>
                <w:szCs w:val="21"/>
                <w:lang w:val="en-US" w:eastAsia="zh-CN"/>
              </w:rPr>
              <w:t>10</w:t>
            </w:r>
            <w:r>
              <w:rPr>
                <w:rFonts w:hint="eastAsia" w:hAnsi="宋体" w:cs="宋体"/>
                <w:color w:val="auto"/>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4" w:type="dxa"/>
            <w:gridSpan w:val="3"/>
            <w:tcBorders>
              <w:top w:val="single" w:color="auto" w:sz="4" w:space="0"/>
              <w:left w:val="single" w:color="auto" w:sz="4" w:space="0"/>
              <w:right w:val="single" w:color="auto" w:sz="4" w:space="0"/>
            </w:tcBorders>
            <w:vAlign w:val="center"/>
          </w:tcPr>
          <w:p>
            <w:pPr>
              <w:snapToGrid w:val="0"/>
              <w:spacing w:line="360" w:lineRule="auto"/>
              <w:jc w:val="center"/>
              <w:rPr>
                <w:rFonts w:hAnsi="宋体" w:cs="宋体"/>
                <w:b/>
                <w:color w:val="auto"/>
                <w:sz w:val="21"/>
                <w:szCs w:val="21"/>
                <w:lang w:val="zh-CN"/>
              </w:rPr>
            </w:pPr>
            <w:r>
              <w:rPr>
                <w:rFonts w:hint="eastAsia" w:hAnsi="宋体" w:cs="宋体"/>
                <w:b/>
                <w:color w:val="auto"/>
                <w:sz w:val="21"/>
                <w:szCs w:val="21"/>
                <w:lang w:val="zh-CN"/>
              </w:rPr>
              <w:t>商务总分</w:t>
            </w:r>
          </w:p>
        </w:tc>
        <w:tc>
          <w:tcPr>
            <w:tcW w:w="110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Ansi="宋体" w:cs="宋体"/>
                <w:b/>
                <w:color w:val="auto"/>
                <w:sz w:val="21"/>
                <w:szCs w:val="21"/>
              </w:rPr>
            </w:pPr>
            <w:r>
              <w:rPr>
                <w:rFonts w:hint="eastAsia" w:hAnsi="宋体" w:cs="宋体"/>
                <w:b/>
                <w:color w:val="auto"/>
                <w:sz w:val="21"/>
                <w:szCs w:val="21"/>
                <w:lang w:val="en-US" w:eastAsia="zh-CN"/>
              </w:rPr>
              <w:t>5</w:t>
            </w:r>
            <w:r>
              <w:rPr>
                <w:rFonts w:hint="eastAsia" w:hAnsi="宋体" w:cs="宋体"/>
                <w:b/>
                <w:color w:val="auto"/>
                <w:sz w:val="21"/>
                <w:szCs w:val="21"/>
              </w:rPr>
              <w:t>0分</w:t>
            </w:r>
          </w:p>
        </w:tc>
      </w:tr>
    </w:tbl>
    <w:p>
      <w:pPr>
        <w:tabs>
          <w:tab w:val="left" w:pos="585"/>
        </w:tabs>
        <w:spacing w:line="360" w:lineRule="auto"/>
        <w:jc w:val="both"/>
        <w:rPr>
          <w:rFonts w:hAnsi="宋体" w:cs="宋体"/>
          <w:b/>
          <w:color w:val="auto"/>
          <w:kern w:val="2"/>
          <w:sz w:val="21"/>
          <w:szCs w:val="21"/>
          <w:lang w:val="zh-CN"/>
        </w:rPr>
      </w:pPr>
    </w:p>
    <w:p>
      <w:pPr>
        <w:tabs>
          <w:tab w:val="left" w:pos="585"/>
        </w:tabs>
        <w:spacing w:line="360" w:lineRule="auto"/>
        <w:jc w:val="both"/>
        <w:rPr>
          <w:rFonts w:hAnsi="宋体" w:cs="宋体"/>
          <w:b/>
          <w:color w:val="auto"/>
          <w:kern w:val="2"/>
          <w:sz w:val="21"/>
          <w:szCs w:val="21"/>
          <w:lang w:val="zh-CN"/>
        </w:rPr>
      </w:pPr>
      <w:r>
        <w:rPr>
          <w:rFonts w:hint="eastAsia" w:hAnsi="宋体" w:cs="宋体"/>
          <w:b/>
          <w:color w:val="auto"/>
          <w:kern w:val="2"/>
          <w:sz w:val="21"/>
          <w:szCs w:val="21"/>
          <w:lang w:val="zh-CN"/>
        </w:rPr>
        <w:t xml:space="preserve">（2）技术： </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311"/>
        <w:gridCol w:w="6217"/>
        <w:gridCol w:w="1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Ansi="宋体" w:cs="宋体"/>
                <w:b/>
                <w:color w:val="auto"/>
                <w:sz w:val="21"/>
                <w:szCs w:val="21"/>
              </w:rPr>
            </w:pPr>
            <w:r>
              <w:rPr>
                <w:rFonts w:hint="eastAsia" w:hAnsi="宋体" w:cs="宋体"/>
                <w:b/>
                <w:color w:val="auto"/>
                <w:sz w:val="21"/>
                <w:szCs w:val="21"/>
              </w:rPr>
              <w:t>序号</w:t>
            </w:r>
          </w:p>
        </w:tc>
        <w:tc>
          <w:tcPr>
            <w:tcW w:w="131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Ansi="宋体" w:cs="宋体"/>
                <w:b/>
                <w:color w:val="auto"/>
                <w:sz w:val="21"/>
                <w:szCs w:val="21"/>
              </w:rPr>
            </w:pPr>
            <w:r>
              <w:rPr>
                <w:rFonts w:hint="eastAsia" w:hAnsi="宋体" w:cs="宋体"/>
                <w:b/>
                <w:color w:val="auto"/>
                <w:sz w:val="21"/>
                <w:szCs w:val="21"/>
                <w:lang w:val="zh-CN"/>
              </w:rPr>
              <w:t>评审内容</w:t>
            </w:r>
          </w:p>
        </w:tc>
        <w:tc>
          <w:tcPr>
            <w:tcW w:w="621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Ansi="宋体" w:cs="宋体"/>
                <w:b/>
                <w:color w:val="auto"/>
                <w:sz w:val="21"/>
                <w:szCs w:val="21"/>
              </w:rPr>
            </w:pPr>
            <w:r>
              <w:rPr>
                <w:rFonts w:hint="eastAsia" w:hAnsi="宋体" w:cs="宋体"/>
                <w:b/>
                <w:color w:val="auto"/>
                <w:sz w:val="21"/>
                <w:szCs w:val="21"/>
              </w:rPr>
              <w:t>评审细则</w:t>
            </w:r>
          </w:p>
        </w:tc>
        <w:tc>
          <w:tcPr>
            <w:tcW w:w="110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Ansi="宋体" w:cs="宋体"/>
                <w:b/>
                <w:color w:val="auto"/>
                <w:sz w:val="21"/>
                <w:szCs w:val="21"/>
              </w:rPr>
            </w:pPr>
            <w:r>
              <w:rPr>
                <w:rFonts w:hint="eastAsia" w:hAnsi="宋体" w:cs="宋体"/>
                <w:b/>
                <w:color w:val="auto"/>
                <w:sz w:val="21"/>
                <w:szCs w:val="21"/>
              </w:rPr>
              <w:t>满分值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Ansi="宋体" w:cs="宋体"/>
                <w:b/>
                <w:color w:val="auto"/>
                <w:sz w:val="21"/>
                <w:szCs w:val="21"/>
              </w:rPr>
            </w:pPr>
            <w:r>
              <w:rPr>
                <w:rFonts w:hint="eastAsia" w:hAnsi="宋体" w:cs="宋体"/>
                <w:color w:val="auto"/>
                <w:sz w:val="21"/>
                <w:szCs w:val="21"/>
              </w:rPr>
              <w:t>1</w:t>
            </w:r>
          </w:p>
        </w:tc>
        <w:tc>
          <w:tcPr>
            <w:tcW w:w="131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Ansi="宋体" w:cs="宋体"/>
                <w:b/>
                <w:color w:val="auto"/>
                <w:sz w:val="21"/>
                <w:szCs w:val="21"/>
                <w:lang w:val="zh-CN"/>
              </w:rPr>
            </w:pPr>
            <w:r>
              <w:rPr>
                <w:rFonts w:hint="eastAsia" w:hAnsi="宋体" w:cs="宋体"/>
                <w:color w:val="auto"/>
                <w:sz w:val="21"/>
                <w:szCs w:val="21"/>
                <w:lang w:val="zh-CN"/>
              </w:rPr>
              <w:t>用户需求的响应程度</w:t>
            </w:r>
          </w:p>
        </w:tc>
        <w:tc>
          <w:tcPr>
            <w:tcW w:w="621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Ansi="宋体" w:cs="宋体"/>
                <w:b/>
                <w:color w:val="auto"/>
                <w:sz w:val="21"/>
                <w:szCs w:val="21"/>
              </w:rPr>
            </w:pPr>
            <w:r>
              <w:rPr>
                <w:rFonts w:hint="eastAsia" w:hAnsi="宋体" w:cs="宋体"/>
                <w:bCs/>
                <w:color w:val="auto"/>
                <w:sz w:val="21"/>
                <w:szCs w:val="21"/>
                <w:lang w:val="zh-CN"/>
              </w:rPr>
              <w:t>对用户需求偏离表的偏离情况进行评审计分，完全满足用户需求书的要求得满分；每一处负偏离，扣</w:t>
            </w:r>
            <w:r>
              <w:rPr>
                <w:rFonts w:hint="eastAsia" w:hAnsi="宋体" w:cs="宋体"/>
                <w:bCs/>
                <w:color w:val="auto"/>
                <w:sz w:val="21"/>
                <w:szCs w:val="21"/>
                <w:lang w:val="en-US" w:eastAsia="zh-CN"/>
              </w:rPr>
              <w:t>3</w:t>
            </w:r>
            <w:r>
              <w:rPr>
                <w:rFonts w:hint="eastAsia" w:hAnsi="宋体" w:cs="宋体"/>
                <w:bCs/>
                <w:color w:val="auto"/>
                <w:sz w:val="21"/>
                <w:szCs w:val="21"/>
                <w:lang w:val="zh-CN"/>
              </w:rPr>
              <w:t>分</w:t>
            </w:r>
            <w:r>
              <w:rPr>
                <w:rFonts w:hint="eastAsia"/>
                <w:color w:val="auto"/>
                <w:lang w:eastAsia="zh-CN"/>
              </w:rPr>
              <w:t>，</w:t>
            </w:r>
            <w:r>
              <w:rPr>
                <w:rFonts w:hint="eastAsia" w:hAnsi="宋体" w:cs="宋体"/>
                <w:bCs/>
                <w:color w:val="auto"/>
                <w:sz w:val="21"/>
                <w:szCs w:val="21"/>
                <w:lang w:val="zh-CN"/>
              </w:rPr>
              <w:t>本项最低为0分。</w:t>
            </w:r>
          </w:p>
        </w:tc>
        <w:tc>
          <w:tcPr>
            <w:tcW w:w="1101" w:type="dxa"/>
            <w:tcBorders>
              <w:top w:val="single" w:color="auto" w:sz="4" w:space="0"/>
              <w:left w:val="single" w:color="auto" w:sz="4" w:space="0"/>
              <w:bottom w:val="single" w:color="auto" w:sz="4" w:space="0"/>
              <w:right w:val="single" w:color="auto" w:sz="4" w:space="0"/>
            </w:tcBorders>
            <w:vAlign w:val="center"/>
          </w:tcPr>
          <w:p>
            <w:pPr>
              <w:pStyle w:val="177"/>
              <w:keepNext w:val="0"/>
              <w:tabs>
                <w:tab w:val="left" w:pos="585"/>
                <w:tab w:val="left" w:pos="680"/>
              </w:tabs>
              <w:spacing w:after="0" w:line="360" w:lineRule="auto"/>
              <w:jc w:val="center"/>
              <w:rPr>
                <w:rFonts w:ascii="宋体" w:hAnsi="宋体" w:cs="宋体"/>
                <w:b/>
                <w:color w:val="auto"/>
                <w:szCs w:val="21"/>
              </w:rPr>
            </w:pPr>
            <w:r>
              <w:rPr>
                <w:rFonts w:hint="eastAsia" w:ascii="宋体" w:hAnsi="宋体" w:cs="宋体"/>
                <w:color w:val="auto"/>
                <w:szCs w:val="21"/>
                <w:lang w:val="en-US" w:eastAsia="zh-CN"/>
              </w:rPr>
              <w:t>1</w:t>
            </w:r>
            <w:r>
              <w:rPr>
                <w:rFonts w:hint="eastAsia" w:ascii="宋体" w:hAnsi="宋体" w:cs="宋体"/>
                <w:color w:val="auto"/>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Ansi="宋体" w:cs="宋体"/>
                <w:color w:val="auto"/>
                <w:sz w:val="21"/>
                <w:szCs w:val="21"/>
              </w:rPr>
            </w:pPr>
            <w:r>
              <w:rPr>
                <w:rFonts w:hint="eastAsia" w:hAnsi="宋体" w:cs="宋体"/>
                <w:color w:val="auto"/>
                <w:sz w:val="21"/>
                <w:szCs w:val="21"/>
              </w:rPr>
              <w:t>2</w:t>
            </w:r>
          </w:p>
        </w:tc>
        <w:tc>
          <w:tcPr>
            <w:tcW w:w="1311" w:type="dxa"/>
            <w:tcBorders>
              <w:top w:val="single" w:color="auto" w:sz="4" w:space="0"/>
              <w:left w:val="single" w:color="auto" w:sz="4" w:space="0"/>
              <w:bottom w:val="single" w:color="auto" w:sz="4" w:space="0"/>
              <w:right w:val="single" w:color="auto" w:sz="4" w:space="0"/>
            </w:tcBorders>
            <w:vAlign w:val="center"/>
          </w:tcPr>
          <w:p>
            <w:pPr>
              <w:pStyle w:val="177"/>
              <w:keepNext w:val="0"/>
              <w:tabs>
                <w:tab w:val="left" w:pos="585"/>
                <w:tab w:val="left" w:pos="680"/>
              </w:tabs>
              <w:spacing w:after="0" w:line="360" w:lineRule="auto"/>
              <w:jc w:val="center"/>
              <w:rPr>
                <w:rFonts w:ascii="宋体" w:hAnsi="宋体" w:cs="宋体"/>
                <w:color w:val="auto"/>
                <w:szCs w:val="21"/>
                <w:lang w:val="zh-CN"/>
              </w:rPr>
            </w:pPr>
            <w:r>
              <w:rPr>
                <w:rFonts w:hint="eastAsia" w:ascii="宋体" w:hAnsi="宋体" w:cs="宋体"/>
                <w:color w:val="auto"/>
                <w:szCs w:val="21"/>
                <w:lang w:val="zh-CN"/>
              </w:rPr>
              <w:t>应急处理方案</w:t>
            </w:r>
          </w:p>
        </w:tc>
        <w:tc>
          <w:tcPr>
            <w:tcW w:w="62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hAnsi="宋体" w:cs="宋体"/>
                <w:b/>
                <w:color w:val="auto"/>
                <w:sz w:val="21"/>
                <w:szCs w:val="21"/>
              </w:rPr>
            </w:pPr>
            <w:r>
              <w:rPr>
                <w:rFonts w:hint="eastAsia" w:hAnsi="宋体" w:cs="宋体"/>
                <w:color w:val="auto"/>
                <w:sz w:val="21"/>
                <w:szCs w:val="21"/>
              </w:rPr>
              <w:t>根据各投标人提供的非正常情况或突发情况下的应急处理方案（含新冠疫情的应急处理方案）进行综合评价：按优[5-4分）、良[4-3分）、中[</w:t>
            </w:r>
            <w:r>
              <w:rPr>
                <w:rFonts w:hint="eastAsia" w:hAnsi="宋体" w:cs="宋体"/>
                <w:color w:val="auto"/>
                <w:sz w:val="21"/>
                <w:szCs w:val="21"/>
                <w:lang w:val="en-US" w:eastAsia="zh-CN"/>
              </w:rPr>
              <w:t>3</w:t>
            </w:r>
            <w:r>
              <w:rPr>
                <w:rFonts w:hint="eastAsia" w:hAnsi="宋体" w:cs="宋体"/>
                <w:color w:val="auto"/>
                <w:sz w:val="21"/>
                <w:szCs w:val="21"/>
              </w:rPr>
              <w:t>-1分）、差[1-0分]进行评分。</w:t>
            </w:r>
          </w:p>
        </w:tc>
        <w:tc>
          <w:tcPr>
            <w:tcW w:w="1101" w:type="dxa"/>
            <w:tcBorders>
              <w:top w:val="single" w:color="auto" w:sz="4" w:space="0"/>
              <w:left w:val="single" w:color="auto" w:sz="4" w:space="0"/>
              <w:bottom w:val="single" w:color="auto" w:sz="4" w:space="0"/>
              <w:right w:val="single" w:color="auto" w:sz="4" w:space="0"/>
            </w:tcBorders>
            <w:vAlign w:val="center"/>
          </w:tcPr>
          <w:p>
            <w:pPr>
              <w:pStyle w:val="177"/>
              <w:keepNext w:val="0"/>
              <w:tabs>
                <w:tab w:val="left" w:pos="585"/>
                <w:tab w:val="left" w:pos="680"/>
              </w:tabs>
              <w:spacing w:after="0" w:line="360" w:lineRule="auto"/>
              <w:jc w:val="center"/>
              <w:rPr>
                <w:rFonts w:ascii="宋体" w:hAnsi="宋体" w:cs="宋体"/>
                <w:color w:val="auto"/>
                <w:szCs w:val="21"/>
              </w:rPr>
            </w:pPr>
            <w:r>
              <w:rPr>
                <w:rFonts w:hint="eastAsia" w:ascii="宋体" w:hAnsi="宋体" w:cs="宋体"/>
                <w:color w:val="auto"/>
                <w:szCs w:val="21"/>
                <w:lang w:val="en-US" w:eastAsia="zh-CN"/>
              </w:rPr>
              <w:t>5</w:t>
            </w:r>
            <w:r>
              <w:rPr>
                <w:rFonts w:hint="eastAsia" w:ascii="宋体" w:hAnsi="宋体" w:cs="宋体"/>
                <w:color w:val="auto"/>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jc w:val="center"/>
        </w:trPr>
        <w:tc>
          <w:tcPr>
            <w:tcW w:w="658" w:type="dxa"/>
            <w:tcBorders>
              <w:left w:val="single" w:color="auto" w:sz="4" w:space="0"/>
              <w:bottom w:val="single" w:color="auto" w:sz="4" w:space="0"/>
              <w:right w:val="single" w:color="auto" w:sz="4" w:space="0"/>
            </w:tcBorders>
            <w:vAlign w:val="center"/>
          </w:tcPr>
          <w:p>
            <w:pPr>
              <w:snapToGrid w:val="0"/>
              <w:spacing w:line="360" w:lineRule="auto"/>
              <w:jc w:val="center"/>
              <w:rPr>
                <w:rFonts w:hAnsi="宋体" w:cs="宋体"/>
                <w:color w:val="auto"/>
                <w:sz w:val="21"/>
                <w:szCs w:val="21"/>
              </w:rPr>
            </w:pPr>
            <w:r>
              <w:rPr>
                <w:rFonts w:hint="eastAsia" w:hAnsi="宋体" w:cs="宋体"/>
                <w:color w:val="auto"/>
                <w:sz w:val="21"/>
                <w:szCs w:val="21"/>
              </w:rPr>
              <w:t>3</w:t>
            </w:r>
          </w:p>
        </w:tc>
        <w:tc>
          <w:tcPr>
            <w:tcW w:w="1311" w:type="dxa"/>
            <w:tcBorders>
              <w:left w:val="single" w:color="auto" w:sz="4" w:space="0"/>
              <w:bottom w:val="single" w:color="auto" w:sz="4" w:space="0"/>
              <w:right w:val="single" w:color="auto" w:sz="4" w:space="0"/>
            </w:tcBorders>
            <w:vAlign w:val="center"/>
          </w:tcPr>
          <w:p>
            <w:pPr>
              <w:pStyle w:val="177"/>
              <w:keepNext w:val="0"/>
              <w:tabs>
                <w:tab w:val="left" w:pos="585"/>
                <w:tab w:val="left" w:pos="680"/>
              </w:tabs>
              <w:spacing w:after="0" w:line="360" w:lineRule="auto"/>
              <w:jc w:val="center"/>
              <w:rPr>
                <w:rFonts w:ascii="宋体" w:hAnsi="宋体" w:cs="宋体"/>
                <w:color w:val="auto"/>
                <w:szCs w:val="21"/>
                <w:lang w:val="zh-CN"/>
              </w:rPr>
            </w:pPr>
            <w:r>
              <w:rPr>
                <w:rFonts w:hint="eastAsia" w:ascii="宋体" w:hAnsi="宋体" w:cs="宋体"/>
                <w:color w:val="auto"/>
                <w:szCs w:val="21"/>
              </w:rPr>
              <w:t>总体</w:t>
            </w:r>
            <w:r>
              <w:rPr>
                <w:rFonts w:hint="eastAsia" w:ascii="宋体" w:hAnsi="宋体" w:cs="宋体"/>
                <w:color w:val="auto"/>
                <w:szCs w:val="21"/>
                <w:lang w:val="zh-CN"/>
              </w:rPr>
              <w:t>实施方案</w:t>
            </w:r>
          </w:p>
        </w:tc>
        <w:tc>
          <w:tcPr>
            <w:tcW w:w="62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hAnsi="宋体" w:cs="宋体"/>
                <w:color w:val="auto"/>
                <w:sz w:val="21"/>
                <w:szCs w:val="21"/>
                <w:lang w:val="zh-CN"/>
              </w:rPr>
            </w:pPr>
            <w:r>
              <w:rPr>
                <w:rFonts w:hint="eastAsia" w:hAnsi="宋体" w:cs="宋体"/>
                <w:color w:val="auto"/>
                <w:sz w:val="21"/>
                <w:szCs w:val="21"/>
              </w:rPr>
              <w:t>根据各投标人的供货方案、进度安排、验收方案等的科学性、合理性、可靠性进行综合评价：按</w:t>
            </w:r>
            <w:r>
              <w:rPr>
                <w:rFonts w:hint="eastAsia" w:hAnsi="宋体" w:cs="宋体"/>
                <w:color w:val="auto"/>
                <w:sz w:val="21"/>
                <w:szCs w:val="21"/>
                <w:lang w:val="en-US" w:eastAsia="zh-CN"/>
              </w:rPr>
              <w:t>优</w:t>
            </w:r>
            <w:r>
              <w:rPr>
                <w:rFonts w:hint="eastAsia" w:hAnsi="宋体" w:cs="宋体"/>
                <w:color w:val="auto"/>
                <w:sz w:val="21"/>
                <w:szCs w:val="21"/>
              </w:rPr>
              <w:t>[5-4分）、良[4-3分）、中[</w:t>
            </w:r>
            <w:r>
              <w:rPr>
                <w:rFonts w:hint="eastAsia" w:hAnsi="宋体" w:cs="宋体"/>
                <w:color w:val="auto"/>
                <w:sz w:val="21"/>
                <w:szCs w:val="21"/>
                <w:lang w:val="en-US" w:eastAsia="zh-CN"/>
              </w:rPr>
              <w:t>3</w:t>
            </w:r>
            <w:r>
              <w:rPr>
                <w:rFonts w:hint="eastAsia" w:hAnsi="宋体" w:cs="宋体"/>
                <w:color w:val="auto"/>
                <w:sz w:val="21"/>
                <w:szCs w:val="21"/>
              </w:rPr>
              <w:t>-1分）、差[1-0分]进行评分。</w:t>
            </w:r>
          </w:p>
        </w:tc>
        <w:tc>
          <w:tcPr>
            <w:tcW w:w="1101" w:type="dxa"/>
            <w:tcBorders>
              <w:top w:val="single" w:color="auto" w:sz="4" w:space="0"/>
              <w:left w:val="single" w:color="auto" w:sz="4" w:space="0"/>
              <w:bottom w:val="single" w:color="auto" w:sz="4" w:space="0"/>
              <w:right w:val="single" w:color="auto" w:sz="4" w:space="0"/>
            </w:tcBorders>
            <w:vAlign w:val="center"/>
          </w:tcPr>
          <w:p>
            <w:pPr>
              <w:pStyle w:val="177"/>
              <w:keepNext w:val="0"/>
              <w:tabs>
                <w:tab w:val="left" w:pos="585"/>
                <w:tab w:val="left" w:pos="680"/>
              </w:tabs>
              <w:spacing w:after="0" w:line="360" w:lineRule="auto"/>
              <w:jc w:val="center"/>
              <w:rPr>
                <w:rFonts w:ascii="宋体" w:hAnsi="宋体" w:cs="宋体"/>
                <w:color w:val="auto"/>
                <w:szCs w:val="21"/>
              </w:rPr>
            </w:pPr>
            <w:r>
              <w:rPr>
                <w:rFonts w:hint="eastAsia" w:ascii="宋体" w:hAnsi="宋体" w:cs="宋体"/>
                <w:color w:val="auto"/>
                <w:szCs w:val="21"/>
                <w:lang w:val="en-US" w:eastAsia="zh-CN"/>
              </w:rPr>
              <w:t>5</w:t>
            </w:r>
            <w:r>
              <w:rPr>
                <w:rFonts w:hint="eastAsia" w:ascii="宋体" w:hAnsi="宋体" w:cs="宋体"/>
                <w:color w:val="auto"/>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658" w:type="dxa"/>
            <w:tcBorders>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val="en-US" w:eastAsia="zh-CN" w:bidi="ar-SA"/>
              </w:rPr>
            </w:pPr>
            <w:r>
              <w:rPr>
                <w:rFonts w:hint="eastAsia" w:hAnsi="宋体" w:cs="宋体"/>
                <w:color w:val="auto"/>
                <w:sz w:val="21"/>
                <w:szCs w:val="21"/>
                <w:lang w:val="en-US" w:eastAsia="zh-CN"/>
              </w:rPr>
              <w:t>4</w:t>
            </w:r>
          </w:p>
        </w:tc>
        <w:tc>
          <w:tcPr>
            <w:tcW w:w="1311" w:type="dxa"/>
            <w:tcBorders>
              <w:left w:val="single" w:color="auto" w:sz="4" w:space="0"/>
              <w:bottom w:val="single" w:color="auto" w:sz="4" w:space="0"/>
              <w:right w:val="single" w:color="auto" w:sz="4" w:space="0"/>
            </w:tcBorders>
            <w:vAlign w:val="center"/>
          </w:tcPr>
          <w:p>
            <w:pPr>
              <w:autoSpaceDE/>
              <w:autoSpaceDN/>
              <w:adjustRightInd/>
              <w:snapToGrid w:val="0"/>
              <w:spacing w:line="360" w:lineRule="auto"/>
              <w:jc w:val="center"/>
              <w:rPr>
                <w:rFonts w:hint="eastAsia" w:ascii="宋体" w:hAnsi="宋体" w:eastAsia="宋体" w:cs="宋体"/>
                <w:color w:val="auto"/>
                <w:sz w:val="21"/>
                <w:szCs w:val="21"/>
                <w:lang w:val="en-US" w:eastAsia="zh-CN" w:bidi="ar-SA"/>
              </w:rPr>
            </w:pPr>
            <w:r>
              <w:rPr>
                <w:rFonts w:hint="eastAsia" w:hAnsi="宋体" w:cs="宋体"/>
                <w:color w:val="auto"/>
                <w:sz w:val="21"/>
                <w:szCs w:val="21"/>
              </w:rPr>
              <w:t>拟投入本项目的人员及车辆情况</w:t>
            </w:r>
          </w:p>
        </w:tc>
        <w:tc>
          <w:tcPr>
            <w:tcW w:w="6217" w:type="dxa"/>
            <w:tcBorders>
              <w:top w:val="single" w:color="auto" w:sz="4" w:space="0"/>
              <w:left w:val="single" w:color="auto" w:sz="4" w:space="0"/>
              <w:bottom w:val="single" w:color="auto" w:sz="4" w:space="0"/>
              <w:right w:val="single" w:color="auto" w:sz="4" w:space="0"/>
            </w:tcBorders>
            <w:vAlign w:val="center"/>
          </w:tcPr>
          <w:p>
            <w:pPr>
              <w:pStyle w:val="216"/>
              <w:spacing w:line="360" w:lineRule="auto"/>
              <w:jc w:val="both"/>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1、拟投入本项目的人员</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满分</w:t>
            </w:r>
            <w:r>
              <w:rPr>
                <w:rFonts w:hint="eastAsia" w:ascii="宋体" w:hAnsi="宋体" w:eastAsia="宋体" w:cs="宋体"/>
                <w:color w:val="auto"/>
                <w:kern w:val="0"/>
                <w:sz w:val="21"/>
                <w:szCs w:val="21"/>
                <w:lang w:val="en-US" w:eastAsia="zh-CN"/>
              </w:rPr>
              <w:t>8</w:t>
            </w:r>
            <w:r>
              <w:rPr>
                <w:rFonts w:hint="eastAsia" w:ascii="宋体" w:hAnsi="宋体" w:eastAsia="宋体" w:cs="宋体"/>
                <w:color w:val="auto"/>
                <w:kern w:val="0"/>
                <w:sz w:val="21"/>
                <w:szCs w:val="21"/>
              </w:rPr>
              <w:t>分</w:t>
            </w:r>
            <w:r>
              <w:rPr>
                <w:rFonts w:hint="eastAsia" w:ascii="宋体" w:hAnsi="宋体" w:eastAsia="宋体" w:cs="宋体"/>
                <w:color w:val="auto"/>
                <w:kern w:val="0"/>
                <w:sz w:val="21"/>
                <w:szCs w:val="21"/>
                <w:lang w:eastAsia="zh-CN"/>
              </w:rPr>
              <w:t>：</w:t>
            </w:r>
          </w:p>
          <w:p>
            <w:pPr>
              <w:pStyle w:val="216"/>
              <w:spacing w:line="360" w:lineRule="auto"/>
              <w:ind w:firstLine="0" w:firstLineChars="0"/>
              <w:jc w:val="both"/>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rPr>
              <w:t xml:space="preserve"> 投标人拟投入本项目的服务团队人员中，具有高级食品安全管理员证书的专职管理人员，每提供1人，得1分，本子项满分</w:t>
            </w: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分</w:t>
            </w:r>
            <w:r>
              <w:rPr>
                <w:rFonts w:hint="eastAsia" w:ascii="宋体" w:hAnsi="宋体" w:eastAsia="宋体" w:cs="宋体"/>
                <w:color w:val="auto"/>
                <w:kern w:val="0"/>
                <w:sz w:val="21"/>
                <w:szCs w:val="21"/>
                <w:lang w:val="en-US" w:eastAsia="zh-CN"/>
              </w:rPr>
              <w:t>；</w:t>
            </w:r>
          </w:p>
          <w:p>
            <w:pPr>
              <w:pStyle w:val="216"/>
              <w:spacing w:line="360" w:lineRule="auto"/>
              <w:ind w:firstLine="0" w:firstLineChars="0"/>
              <w:jc w:val="both"/>
              <w:rPr>
                <w:rFonts w:ascii="宋体" w:hAnsi="宋体" w:eastAsia="宋体" w:cs="宋体"/>
                <w:color w:val="auto"/>
                <w:kern w:val="0"/>
                <w:sz w:val="21"/>
                <w:szCs w:val="21"/>
              </w:rPr>
            </w:pP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rPr>
              <w:t xml:space="preserve"> 投标人拟投入本项目的服务团队人员中，具有食品/农产品检测相关职称证/上岗合格证/培训证的专职检测人员，每提供1人，得1分，本子项满分</w:t>
            </w:r>
            <w:r>
              <w:rPr>
                <w:rFonts w:hint="eastAsia" w:ascii="宋体" w:hAnsi="宋体" w:eastAsia="宋体" w:cs="宋体"/>
                <w:color w:val="auto"/>
                <w:kern w:val="0"/>
                <w:sz w:val="21"/>
                <w:szCs w:val="21"/>
                <w:lang w:val="en-US" w:eastAsia="zh-CN"/>
              </w:rPr>
              <w:t>3</w:t>
            </w:r>
            <w:r>
              <w:rPr>
                <w:rFonts w:hint="eastAsia" w:ascii="宋体" w:hAnsi="宋体" w:eastAsia="宋体" w:cs="宋体"/>
                <w:color w:val="auto"/>
                <w:kern w:val="0"/>
                <w:sz w:val="21"/>
                <w:szCs w:val="21"/>
              </w:rPr>
              <w:t>分。</w:t>
            </w:r>
          </w:p>
          <w:p>
            <w:pPr>
              <w:widowControl/>
              <w:spacing w:line="360" w:lineRule="auto"/>
              <w:rPr>
                <w:rFonts w:hAnsi="宋体" w:cs="宋体"/>
                <w:b/>
                <w:bCs/>
                <w:color w:val="auto"/>
                <w:sz w:val="21"/>
                <w:szCs w:val="21"/>
              </w:rPr>
            </w:pPr>
            <w:r>
              <w:rPr>
                <w:rFonts w:hint="eastAsia" w:hAnsi="宋体" w:cs="宋体"/>
                <w:b/>
                <w:bCs/>
                <w:color w:val="auto"/>
                <w:sz w:val="21"/>
                <w:szCs w:val="21"/>
              </w:rPr>
              <w:t>注：须提供有效证书复印件，社会保障部门（或税务部门）出具的投标人开标前</w:t>
            </w:r>
            <w:r>
              <w:rPr>
                <w:rFonts w:hint="eastAsia" w:hAnsi="宋体" w:cs="宋体"/>
                <w:b/>
                <w:bCs/>
                <w:color w:val="auto"/>
                <w:sz w:val="21"/>
                <w:szCs w:val="21"/>
                <w:lang w:val="en-US" w:eastAsia="zh-CN"/>
              </w:rPr>
              <w:t>三</w:t>
            </w:r>
            <w:r>
              <w:rPr>
                <w:rFonts w:hint="eastAsia" w:hAnsi="宋体" w:cs="宋体"/>
                <w:b/>
                <w:bCs/>
                <w:color w:val="auto"/>
                <w:sz w:val="21"/>
                <w:szCs w:val="21"/>
              </w:rPr>
              <w:t>个月为其缴纳的社保证明复印件加盖投标人公章。</w:t>
            </w:r>
          </w:p>
          <w:p>
            <w:pPr>
              <w:pStyle w:val="216"/>
              <w:spacing w:line="360" w:lineRule="auto"/>
              <w:jc w:val="both"/>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2、拟投入本项目的运输车辆</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满分</w:t>
            </w:r>
            <w:r>
              <w:rPr>
                <w:rFonts w:hint="eastAsia" w:ascii="宋体" w:hAnsi="宋体" w:eastAsia="宋体" w:cs="宋体"/>
                <w:color w:val="auto"/>
                <w:kern w:val="0"/>
                <w:sz w:val="21"/>
                <w:szCs w:val="21"/>
                <w:lang w:val="en-US" w:eastAsia="zh-CN"/>
              </w:rPr>
              <w:t>7</w:t>
            </w:r>
            <w:r>
              <w:rPr>
                <w:rFonts w:hint="eastAsia" w:ascii="宋体" w:hAnsi="宋体" w:eastAsia="宋体" w:cs="宋体"/>
                <w:color w:val="auto"/>
                <w:kern w:val="0"/>
                <w:sz w:val="21"/>
                <w:szCs w:val="21"/>
              </w:rPr>
              <w:t>分</w:t>
            </w:r>
            <w:r>
              <w:rPr>
                <w:rFonts w:hint="eastAsia" w:ascii="宋体" w:hAnsi="宋体" w:eastAsia="宋体" w:cs="宋体"/>
                <w:color w:val="auto"/>
                <w:kern w:val="0"/>
                <w:sz w:val="21"/>
                <w:szCs w:val="21"/>
                <w:lang w:eastAsia="zh-CN"/>
              </w:rPr>
              <w:t>：</w:t>
            </w:r>
          </w:p>
          <w:p>
            <w:pPr>
              <w:pStyle w:val="216"/>
              <w:spacing w:line="360" w:lineRule="auto"/>
              <w:jc w:val="both"/>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（1）拟投入本项目的冷链配送车辆，每台得0.5分</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本子项最高得5分</w:t>
            </w:r>
            <w:r>
              <w:rPr>
                <w:rFonts w:hint="eastAsia" w:ascii="宋体" w:hAnsi="宋体" w:eastAsia="宋体" w:cs="宋体"/>
                <w:color w:val="auto"/>
                <w:kern w:val="0"/>
                <w:sz w:val="21"/>
                <w:szCs w:val="21"/>
                <w:lang w:val="en-US" w:eastAsia="zh-CN"/>
              </w:rPr>
              <w:t>；</w:t>
            </w:r>
          </w:p>
          <w:p>
            <w:pPr>
              <w:pStyle w:val="216"/>
              <w:spacing w:line="360" w:lineRule="auto"/>
              <w:jc w:val="both"/>
              <w:rPr>
                <w:rFonts w:ascii="宋体" w:hAnsi="宋体" w:eastAsia="宋体" w:cs="宋体"/>
                <w:color w:val="auto"/>
                <w:kern w:val="0"/>
                <w:sz w:val="21"/>
                <w:szCs w:val="21"/>
              </w:rPr>
            </w:pPr>
            <w:r>
              <w:rPr>
                <w:rFonts w:hint="eastAsia" w:ascii="宋体" w:hAnsi="宋体" w:eastAsia="宋体" w:cs="宋体"/>
                <w:color w:val="auto"/>
                <w:kern w:val="0"/>
                <w:sz w:val="21"/>
                <w:szCs w:val="21"/>
              </w:rPr>
              <w:t>（2）</w:t>
            </w:r>
            <w:r>
              <w:rPr>
                <w:rFonts w:hint="eastAsia" w:ascii="宋体" w:hAnsi="宋体" w:eastAsia="宋体" w:cs="宋体"/>
                <w:color w:val="auto"/>
                <w:sz w:val="21"/>
                <w:szCs w:val="21"/>
              </w:rPr>
              <w:t>拟投入本项目的运输车辆，每辆车得0.5分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本子项满分2分</w:t>
            </w:r>
            <w:r>
              <w:rPr>
                <w:rFonts w:hint="eastAsia" w:ascii="宋体" w:hAnsi="宋体" w:eastAsia="宋体" w:cs="宋体"/>
                <w:color w:val="auto"/>
                <w:sz w:val="21"/>
                <w:szCs w:val="21"/>
                <w:lang w:eastAsia="zh-CN"/>
              </w:rPr>
              <w:t>。</w:t>
            </w:r>
          </w:p>
          <w:p>
            <w:pPr>
              <w:pStyle w:val="19"/>
              <w:spacing w:line="360" w:lineRule="auto"/>
              <w:ind w:right="-28" w:rightChars="0"/>
              <w:jc w:val="left"/>
              <w:rPr>
                <w:rFonts w:hint="eastAsia" w:ascii="宋体" w:hAnsi="宋体" w:eastAsia="宋体" w:cs="宋体"/>
                <w:b/>
                <w:bCs/>
                <w:color w:val="auto"/>
                <w:sz w:val="21"/>
                <w:szCs w:val="21"/>
                <w:lang w:val="zh-CN" w:eastAsia="zh-CN" w:bidi="ar-SA"/>
              </w:rPr>
            </w:pPr>
            <w:r>
              <w:rPr>
                <w:rFonts w:hint="eastAsia" w:hAnsi="宋体" w:cs="宋体"/>
                <w:color w:val="auto"/>
                <w:sz w:val="21"/>
                <w:szCs w:val="21"/>
                <w:lang w:val="en-US"/>
              </w:rPr>
              <w:t>注：以上若是自有车辆的须提供在有效期内的车辆行驶证复印件；若为租赁车辆的须提供</w:t>
            </w:r>
            <w:r>
              <w:rPr>
                <w:rFonts w:hint="eastAsia" w:hAnsi="宋体" w:cs="宋体"/>
                <w:color w:val="auto"/>
                <w:sz w:val="21"/>
                <w:szCs w:val="21"/>
                <w:lang w:val="pt-BR"/>
              </w:rPr>
              <w:t>租赁合同复印件及在有效期内的车辆行驶证复印件。</w:t>
            </w:r>
          </w:p>
        </w:tc>
        <w:tc>
          <w:tcPr>
            <w:tcW w:w="110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default" w:ascii="宋体" w:hAnsi="宋体" w:eastAsia="宋体" w:cs="宋体"/>
                <w:color w:val="auto"/>
                <w:sz w:val="21"/>
                <w:szCs w:val="21"/>
                <w:lang w:val="en-US" w:eastAsia="zh-CN" w:bidi="ar-SA"/>
              </w:rPr>
            </w:pPr>
            <w:r>
              <w:rPr>
                <w:rFonts w:hint="eastAsia" w:hAnsi="宋体" w:cs="宋体"/>
                <w:color w:val="auto"/>
                <w:sz w:val="21"/>
                <w:szCs w:val="21"/>
                <w:lang w:val="en-US" w:eastAsia="zh-CN"/>
              </w:rPr>
              <w:t>15</w:t>
            </w:r>
            <w:r>
              <w:rPr>
                <w:rFonts w:hint="eastAsia" w:hAnsi="宋体" w:cs="宋体"/>
                <w:color w:val="auto"/>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658" w:type="dxa"/>
            <w:vMerge w:val="restart"/>
            <w:tcBorders>
              <w:left w:val="single" w:color="auto" w:sz="4" w:space="0"/>
              <w:right w:val="single" w:color="auto" w:sz="4" w:space="0"/>
            </w:tcBorders>
            <w:vAlign w:val="center"/>
          </w:tcPr>
          <w:p>
            <w:pPr>
              <w:autoSpaceDE/>
              <w:autoSpaceDN/>
              <w:adjustRightInd/>
              <w:snapToGrid w:val="0"/>
              <w:spacing w:line="360" w:lineRule="auto"/>
              <w:jc w:val="center"/>
              <w:rPr>
                <w:rFonts w:hint="eastAsia" w:hAnsi="宋体" w:cs="宋体"/>
                <w:color w:val="auto"/>
                <w:sz w:val="21"/>
                <w:szCs w:val="21"/>
                <w:lang w:val="en-US" w:eastAsia="zh-CN"/>
              </w:rPr>
            </w:pPr>
            <w:r>
              <w:rPr>
                <w:rFonts w:hint="eastAsia" w:hAnsi="宋体" w:cs="宋体"/>
                <w:color w:val="auto"/>
                <w:sz w:val="21"/>
                <w:szCs w:val="21"/>
                <w:lang w:val="en-US" w:eastAsia="zh-CN"/>
              </w:rPr>
              <w:t>5</w:t>
            </w:r>
          </w:p>
        </w:tc>
        <w:tc>
          <w:tcPr>
            <w:tcW w:w="1311" w:type="dxa"/>
            <w:vMerge w:val="restart"/>
            <w:tcBorders>
              <w:left w:val="single" w:color="auto" w:sz="4" w:space="0"/>
              <w:right w:val="single" w:color="auto" w:sz="4" w:space="0"/>
            </w:tcBorders>
            <w:vAlign w:val="center"/>
          </w:tcPr>
          <w:p>
            <w:pPr>
              <w:autoSpaceDE/>
              <w:autoSpaceDN/>
              <w:adjustRightInd/>
              <w:snapToGrid w:val="0"/>
              <w:spacing w:line="360" w:lineRule="auto"/>
              <w:jc w:val="center"/>
              <w:rPr>
                <w:rFonts w:hint="eastAsia" w:hAnsi="宋体" w:cs="宋体"/>
                <w:color w:val="auto"/>
                <w:sz w:val="21"/>
                <w:szCs w:val="21"/>
              </w:rPr>
            </w:pPr>
            <w:r>
              <w:rPr>
                <w:rFonts w:hint="eastAsia" w:ascii="宋体" w:hAnsi="宋体" w:cs="宋体"/>
                <w:color w:val="auto"/>
                <w:sz w:val="21"/>
                <w:szCs w:val="21"/>
                <w:lang w:val="zh-CN"/>
              </w:rPr>
              <w:t>食品安全管理</w:t>
            </w:r>
          </w:p>
        </w:tc>
        <w:tc>
          <w:tcPr>
            <w:tcW w:w="62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hint="eastAsia" w:hAnsi="宋体" w:cs="宋体"/>
                <w:b/>
                <w:bCs/>
                <w:color w:val="auto"/>
                <w:sz w:val="21"/>
                <w:szCs w:val="21"/>
              </w:rPr>
            </w:pPr>
            <w:r>
              <w:rPr>
                <w:rFonts w:hint="eastAsia" w:hAnsi="宋体" w:cs="宋体"/>
                <w:color w:val="auto"/>
                <w:sz w:val="21"/>
                <w:szCs w:val="21"/>
              </w:rPr>
              <w:t>根据投标人对农药残留、兽药残留、重金属、污染物、卫生学指标（微生物）、食用油检测、黄曲霉毒素检测、水产的八类检测方法科学性、合理性、规范性以及自有的检测设备（含发票复印件）的完整性进行综合评价：按</w:t>
            </w:r>
            <w:r>
              <w:rPr>
                <w:rFonts w:hint="eastAsia" w:hAnsi="宋体" w:cs="宋体"/>
                <w:color w:val="auto"/>
                <w:sz w:val="21"/>
                <w:szCs w:val="21"/>
                <w:lang w:val="en-US" w:eastAsia="zh-CN"/>
              </w:rPr>
              <w:t>优</w:t>
            </w:r>
            <w:r>
              <w:rPr>
                <w:rFonts w:hint="eastAsia" w:hAnsi="宋体" w:cs="宋体"/>
                <w:color w:val="auto"/>
                <w:sz w:val="21"/>
                <w:szCs w:val="21"/>
              </w:rPr>
              <w:t>[5-4分）、良[4-3分）、中[</w:t>
            </w:r>
            <w:r>
              <w:rPr>
                <w:rFonts w:hint="eastAsia" w:hAnsi="宋体" w:cs="宋体"/>
                <w:color w:val="auto"/>
                <w:sz w:val="21"/>
                <w:szCs w:val="21"/>
                <w:lang w:val="en-US" w:eastAsia="zh-CN"/>
              </w:rPr>
              <w:t>3</w:t>
            </w:r>
            <w:r>
              <w:rPr>
                <w:rFonts w:hint="eastAsia" w:hAnsi="宋体" w:cs="宋体"/>
                <w:color w:val="auto"/>
                <w:sz w:val="21"/>
                <w:szCs w:val="21"/>
              </w:rPr>
              <w:t>-1分）、差[1-0分]进行评分。</w:t>
            </w:r>
          </w:p>
          <w:p>
            <w:pPr>
              <w:pStyle w:val="19"/>
              <w:spacing w:line="360" w:lineRule="auto"/>
              <w:ind w:right="-28" w:rightChars="0"/>
              <w:jc w:val="left"/>
              <w:rPr>
                <w:rFonts w:hint="eastAsia" w:hAnsi="宋体" w:cs="宋体"/>
                <w:color w:val="auto"/>
                <w:sz w:val="21"/>
                <w:szCs w:val="21"/>
                <w:lang w:val="en-US"/>
              </w:rPr>
            </w:pPr>
            <w:r>
              <w:rPr>
                <w:rFonts w:hint="eastAsia" w:hAnsi="宋体" w:cs="宋体"/>
                <w:b/>
                <w:bCs/>
                <w:color w:val="auto"/>
                <w:sz w:val="21"/>
                <w:szCs w:val="21"/>
              </w:rPr>
              <w:t>注：须提供上述八类检测的方法和使用的检测设备等，并提供检测设备的购买发票复印件并加盖投标人公章。</w:t>
            </w:r>
          </w:p>
        </w:tc>
        <w:tc>
          <w:tcPr>
            <w:tcW w:w="1101" w:type="dxa"/>
            <w:tcBorders>
              <w:top w:val="single" w:color="auto" w:sz="4" w:space="0"/>
              <w:left w:val="single" w:color="auto" w:sz="4" w:space="0"/>
              <w:bottom w:val="single" w:color="auto" w:sz="4" w:space="0"/>
              <w:right w:val="single" w:color="auto" w:sz="4" w:space="0"/>
            </w:tcBorders>
            <w:vAlign w:val="center"/>
          </w:tcPr>
          <w:p>
            <w:pPr>
              <w:pStyle w:val="177"/>
              <w:keepNext w:val="0"/>
              <w:tabs>
                <w:tab w:val="left" w:pos="585"/>
                <w:tab w:val="left" w:pos="680"/>
              </w:tabs>
              <w:spacing w:after="0" w:line="360" w:lineRule="auto"/>
              <w:ind w:right="0" w:rightChars="0"/>
              <w:jc w:val="center"/>
              <w:rPr>
                <w:rFonts w:hint="eastAsia" w:ascii="宋体" w:hAnsi="宋体" w:eastAsia="宋体" w:cs="宋体"/>
                <w:b w:val="0"/>
                <w:bCs w:val="0"/>
                <w:color w:val="auto"/>
                <w:sz w:val="21"/>
                <w:szCs w:val="21"/>
                <w:lang w:val="en-US" w:eastAsia="zh-CN" w:bidi="ar-SA"/>
              </w:rPr>
            </w:pPr>
            <w:r>
              <w:rPr>
                <w:rFonts w:hint="eastAsia" w:ascii="宋体" w:hAnsi="宋体" w:cs="宋体"/>
                <w:color w:val="auto"/>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658" w:type="dxa"/>
            <w:vMerge w:val="continue"/>
            <w:tcBorders>
              <w:left w:val="single" w:color="auto" w:sz="4" w:space="0"/>
              <w:bottom w:val="single" w:color="auto" w:sz="4" w:space="0"/>
              <w:right w:val="single" w:color="auto" w:sz="4" w:space="0"/>
            </w:tcBorders>
            <w:vAlign w:val="center"/>
          </w:tcPr>
          <w:p>
            <w:pPr>
              <w:snapToGrid w:val="0"/>
              <w:spacing w:line="360" w:lineRule="auto"/>
              <w:jc w:val="center"/>
              <w:rPr>
                <w:rFonts w:hint="eastAsia" w:hAnsi="宋体" w:cs="宋体"/>
                <w:color w:val="auto"/>
                <w:sz w:val="21"/>
                <w:szCs w:val="21"/>
                <w:lang w:val="en-US" w:eastAsia="zh-CN"/>
              </w:rPr>
            </w:pPr>
          </w:p>
        </w:tc>
        <w:tc>
          <w:tcPr>
            <w:tcW w:w="1311" w:type="dxa"/>
            <w:vMerge w:val="continue"/>
            <w:tcBorders>
              <w:left w:val="single" w:color="auto" w:sz="4" w:space="0"/>
              <w:bottom w:val="single" w:color="auto" w:sz="4" w:space="0"/>
              <w:right w:val="single" w:color="auto" w:sz="4" w:space="0"/>
            </w:tcBorders>
            <w:vAlign w:val="center"/>
          </w:tcPr>
          <w:p>
            <w:pPr>
              <w:autoSpaceDE/>
              <w:autoSpaceDN/>
              <w:adjustRightInd/>
              <w:snapToGrid w:val="0"/>
              <w:spacing w:line="360" w:lineRule="auto"/>
              <w:jc w:val="center"/>
              <w:rPr>
                <w:rFonts w:hint="eastAsia" w:hAnsi="宋体" w:cs="宋体"/>
                <w:color w:val="auto"/>
                <w:sz w:val="21"/>
                <w:szCs w:val="21"/>
              </w:rPr>
            </w:pPr>
          </w:p>
        </w:tc>
        <w:tc>
          <w:tcPr>
            <w:tcW w:w="62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hint="eastAsia" w:hAnsi="宋体" w:eastAsia="宋体" w:cs="宋体"/>
                <w:color w:val="auto"/>
                <w:sz w:val="21"/>
                <w:szCs w:val="21"/>
                <w:lang w:eastAsia="zh-CN"/>
              </w:rPr>
            </w:pPr>
            <w:r>
              <w:rPr>
                <w:rFonts w:hint="eastAsia" w:hAnsi="宋体" w:cs="宋体"/>
                <w:color w:val="auto"/>
                <w:sz w:val="21"/>
                <w:szCs w:val="21"/>
              </w:rPr>
              <w:t>根据投标人开标前三个月（不含开标当月）任意月份具有检验检测机构资质认定（CMA资质）的第三方检测机构出具的</w:t>
            </w:r>
            <w:r>
              <w:rPr>
                <w:rFonts w:hint="eastAsia" w:hAnsi="宋体" w:cs="宋体"/>
                <w:color w:val="auto"/>
                <w:sz w:val="21"/>
                <w:szCs w:val="21"/>
                <w:lang w:eastAsia="zh-CN"/>
              </w:rPr>
              <w:t>以下五类</w:t>
            </w:r>
            <w:r>
              <w:rPr>
                <w:rFonts w:hint="eastAsia" w:hAnsi="宋体" w:cs="宋体"/>
                <w:color w:val="auto"/>
                <w:sz w:val="21"/>
                <w:szCs w:val="21"/>
              </w:rPr>
              <w:t>食材合格检测报告进行评分，全部具有得5分，每少一项扣一分，扣完为止</w:t>
            </w:r>
            <w:r>
              <w:rPr>
                <w:rFonts w:hint="eastAsia" w:hAnsi="宋体" w:cs="宋体"/>
                <w:color w:val="auto"/>
                <w:sz w:val="21"/>
                <w:szCs w:val="21"/>
                <w:lang w:eastAsia="zh-CN"/>
              </w:rPr>
              <w:t>。</w:t>
            </w:r>
          </w:p>
          <w:p>
            <w:pPr>
              <w:spacing w:line="360" w:lineRule="auto"/>
              <w:rPr>
                <w:rFonts w:hint="eastAsia" w:hAnsi="宋体" w:cs="宋体"/>
                <w:color w:val="auto"/>
                <w:sz w:val="21"/>
                <w:szCs w:val="21"/>
              </w:rPr>
            </w:pPr>
            <w:r>
              <w:rPr>
                <w:rFonts w:hint="eastAsia" w:hAnsi="宋体" w:cs="宋体"/>
                <w:color w:val="auto"/>
                <w:sz w:val="21"/>
                <w:szCs w:val="21"/>
              </w:rPr>
              <w:t>①蔬菜类（叶菜或瓜果）；</w:t>
            </w:r>
          </w:p>
          <w:p>
            <w:pPr>
              <w:spacing w:line="360" w:lineRule="auto"/>
              <w:rPr>
                <w:rFonts w:hint="eastAsia" w:hAnsi="宋体" w:cs="宋体"/>
                <w:color w:val="auto"/>
                <w:sz w:val="21"/>
                <w:szCs w:val="21"/>
              </w:rPr>
            </w:pPr>
            <w:r>
              <w:rPr>
                <w:rFonts w:hint="eastAsia" w:hAnsi="宋体" w:cs="宋体"/>
                <w:color w:val="auto"/>
                <w:sz w:val="21"/>
                <w:szCs w:val="21"/>
              </w:rPr>
              <w:t>②鲜肉类（猪或牛或羊或禽类）；</w:t>
            </w:r>
          </w:p>
          <w:p>
            <w:pPr>
              <w:spacing w:line="360" w:lineRule="auto"/>
              <w:rPr>
                <w:rFonts w:hint="eastAsia" w:hAnsi="宋体" w:cs="宋体"/>
                <w:color w:val="auto"/>
                <w:sz w:val="21"/>
                <w:szCs w:val="21"/>
              </w:rPr>
            </w:pPr>
            <w:r>
              <w:rPr>
                <w:rFonts w:hint="eastAsia" w:hAnsi="宋体" w:cs="宋体"/>
                <w:color w:val="auto"/>
                <w:sz w:val="21"/>
                <w:szCs w:val="21"/>
              </w:rPr>
              <w:t>③冻品类（水产类）；</w:t>
            </w:r>
          </w:p>
          <w:p>
            <w:pPr>
              <w:spacing w:line="360" w:lineRule="auto"/>
              <w:rPr>
                <w:rFonts w:hint="eastAsia" w:hAnsi="宋体" w:cs="宋体"/>
                <w:color w:val="auto"/>
                <w:sz w:val="21"/>
                <w:szCs w:val="21"/>
                <w:lang w:val="en-US" w:eastAsia="zh-CN"/>
              </w:rPr>
            </w:pPr>
            <w:r>
              <w:rPr>
                <w:rFonts w:hint="eastAsia" w:hAnsi="宋体" w:cs="宋体"/>
                <w:color w:val="auto"/>
                <w:sz w:val="21"/>
                <w:szCs w:val="21"/>
              </w:rPr>
              <w:t>④副食品类（干货类或调味料）</w:t>
            </w:r>
            <w:r>
              <w:rPr>
                <w:rFonts w:hint="eastAsia" w:hAnsi="宋体" w:cs="宋体"/>
                <w:color w:val="auto"/>
                <w:sz w:val="21"/>
                <w:szCs w:val="21"/>
                <w:lang w:val="en-US" w:eastAsia="zh-CN"/>
              </w:rPr>
              <w:t>；</w:t>
            </w:r>
          </w:p>
          <w:p>
            <w:pPr>
              <w:spacing w:line="360" w:lineRule="auto"/>
              <w:rPr>
                <w:rFonts w:hint="eastAsia" w:hAnsi="宋体" w:cs="宋体"/>
                <w:color w:val="auto"/>
                <w:sz w:val="21"/>
                <w:szCs w:val="21"/>
              </w:rPr>
            </w:pPr>
            <w:r>
              <w:rPr>
                <w:rFonts w:hint="eastAsia" w:hAnsi="宋体" w:cs="宋体"/>
                <w:color w:val="auto"/>
                <w:sz w:val="21"/>
                <w:szCs w:val="21"/>
              </w:rPr>
              <w:t>⑤粮油类（大米或食用油）。</w:t>
            </w:r>
          </w:p>
          <w:p>
            <w:pPr>
              <w:pStyle w:val="19"/>
              <w:spacing w:line="360" w:lineRule="auto"/>
              <w:ind w:right="-28" w:rightChars="0"/>
              <w:jc w:val="left"/>
              <w:rPr>
                <w:rFonts w:hint="eastAsia" w:hAnsi="宋体" w:cs="宋体"/>
                <w:color w:val="auto"/>
                <w:sz w:val="21"/>
                <w:szCs w:val="21"/>
                <w:lang w:val="en-US"/>
              </w:rPr>
            </w:pPr>
            <w:r>
              <w:rPr>
                <w:rFonts w:hint="eastAsia" w:hAnsi="宋体" w:cs="宋体"/>
                <w:b/>
                <w:bCs/>
                <w:color w:val="auto"/>
                <w:sz w:val="21"/>
                <w:szCs w:val="21"/>
              </w:rPr>
              <w:t>注：须提供合格的检测报告以及对应检测报告时间的发票复印件并加盖投标人公章。</w:t>
            </w:r>
          </w:p>
        </w:tc>
        <w:tc>
          <w:tcPr>
            <w:tcW w:w="1101" w:type="dxa"/>
            <w:tcBorders>
              <w:top w:val="single" w:color="auto" w:sz="4" w:space="0"/>
              <w:left w:val="single" w:color="auto" w:sz="4" w:space="0"/>
              <w:bottom w:val="single" w:color="auto" w:sz="4" w:space="0"/>
              <w:right w:val="single" w:color="auto" w:sz="4" w:space="0"/>
            </w:tcBorders>
            <w:vAlign w:val="center"/>
          </w:tcPr>
          <w:p>
            <w:pPr>
              <w:pStyle w:val="177"/>
              <w:keepNext w:val="0"/>
              <w:tabs>
                <w:tab w:val="left" w:pos="585"/>
                <w:tab w:val="left" w:pos="680"/>
              </w:tabs>
              <w:spacing w:after="0" w:line="360" w:lineRule="auto"/>
              <w:ind w:right="0" w:rightChars="0"/>
              <w:jc w:val="center"/>
              <w:rPr>
                <w:rFonts w:hint="eastAsia" w:ascii="宋体" w:hAnsi="宋体" w:eastAsia="宋体" w:cs="宋体"/>
                <w:b w:val="0"/>
                <w:bCs w:val="0"/>
                <w:color w:val="auto"/>
                <w:sz w:val="21"/>
                <w:szCs w:val="21"/>
                <w:lang w:val="en-US" w:eastAsia="zh-CN" w:bidi="ar-SA"/>
              </w:rPr>
            </w:pPr>
            <w:r>
              <w:rPr>
                <w:rFonts w:hint="eastAsia" w:ascii="宋体" w:hAnsi="宋体" w:cs="宋体"/>
                <w:color w:val="auto"/>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6" w:type="dxa"/>
            <w:gridSpan w:val="3"/>
            <w:tcBorders>
              <w:top w:val="single" w:color="auto" w:sz="4" w:space="0"/>
              <w:left w:val="single" w:color="auto" w:sz="4" w:space="0"/>
              <w:bottom w:val="single" w:color="auto" w:sz="4" w:space="0"/>
              <w:right w:val="single" w:color="auto" w:sz="4" w:space="0"/>
            </w:tcBorders>
            <w:vAlign w:val="center"/>
          </w:tcPr>
          <w:p>
            <w:pPr>
              <w:pStyle w:val="177"/>
              <w:keepNext w:val="0"/>
              <w:tabs>
                <w:tab w:val="left" w:pos="585"/>
                <w:tab w:val="left" w:pos="680"/>
              </w:tabs>
              <w:snapToGrid w:val="0"/>
              <w:spacing w:after="0" w:line="360" w:lineRule="auto"/>
              <w:jc w:val="center"/>
              <w:rPr>
                <w:rFonts w:ascii="宋体" w:hAnsi="宋体" w:cs="宋体"/>
                <w:b/>
                <w:color w:val="auto"/>
                <w:szCs w:val="21"/>
                <w:lang w:val="zh-CN"/>
              </w:rPr>
            </w:pPr>
            <w:r>
              <w:rPr>
                <w:rFonts w:hint="eastAsia" w:ascii="宋体" w:hAnsi="宋体" w:cs="宋体"/>
                <w:b/>
                <w:color w:val="auto"/>
                <w:szCs w:val="21"/>
                <w:lang w:val="zh-CN"/>
              </w:rPr>
              <w:t>技术总分</w:t>
            </w:r>
          </w:p>
        </w:tc>
        <w:tc>
          <w:tcPr>
            <w:tcW w:w="1101" w:type="dxa"/>
            <w:tcBorders>
              <w:top w:val="single" w:color="auto" w:sz="4" w:space="0"/>
              <w:left w:val="single" w:color="auto" w:sz="4" w:space="0"/>
              <w:bottom w:val="single" w:color="auto" w:sz="4" w:space="0"/>
              <w:right w:val="single" w:color="auto" w:sz="4" w:space="0"/>
            </w:tcBorders>
            <w:vAlign w:val="center"/>
          </w:tcPr>
          <w:p>
            <w:pPr>
              <w:pStyle w:val="177"/>
              <w:keepNext w:val="0"/>
              <w:tabs>
                <w:tab w:val="left" w:pos="585"/>
                <w:tab w:val="left" w:pos="680"/>
              </w:tabs>
              <w:snapToGrid w:val="0"/>
              <w:spacing w:after="0" w:line="360" w:lineRule="auto"/>
              <w:jc w:val="center"/>
              <w:rPr>
                <w:rFonts w:ascii="宋体" w:hAnsi="宋体" w:cs="宋体"/>
                <w:b/>
                <w:color w:val="auto"/>
                <w:szCs w:val="21"/>
                <w:lang w:val="zh-CN"/>
              </w:rPr>
            </w:pPr>
            <w:r>
              <w:rPr>
                <w:rFonts w:hint="eastAsia" w:ascii="宋体" w:hAnsi="宋体" w:cs="宋体"/>
                <w:b/>
                <w:color w:val="auto"/>
                <w:szCs w:val="21"/>
                <w:lang w:val="en-US" w:eastAsia="zh-CN"/>
              </w:rPr>
              <w:t>5</w:t>
            </w:r>
            <w:r>
              <w:rPr>
                <w:rFonts w:hint="eastAsia" w:ascii="宋体" w:hAnsi="宋体" w:cs="宋体"/>
                <w:b/>
                <w:color w:val="auto"/>
                <w:szCs w:val="21"/>
              </w:rPr>
              <w:t>0</w:t>
            </w:r>
            <w:r>
              <w:rPr>
                <w:rFonts w:hint="eastAsia" w:ascii="宋体" w:hAnsi="宋体" w:cs="宋体"/>
                <w:b/>
                <w:color w:val="auto"/>
                <w:szCs w:val="21"/>
                <w:lang w:val="zh-CN"/>
              </w:rPr>
              <w:t>分</w:t>
            </w:r>
          </w:p>
        </w:tc>
      </w:tr>
    </w:tbl>
    <w:p>
      <w:pPr>
        <w:tabs>
          <w:tab w:val="left" w:pos="1701"/>
        </w:tabs>
        <w:spacing w:line="360" w:lineRule="auto"/>
        <w:jc w:val="both"/>
        <w:rPr>
          <w:rFonts w:hAnsi="宋体" w:cs="宋体"/>
          <w:b/>
          <w:color w:val="auto"/>
          <w:kern w:val="2"/>
          <w:sz w:val="21"/>
          <w:szCs w:val="21"/>
          <w:lang w:val="zh-CN"/>
        </w:rPr>
      </w:pPr>
    </w:p>
    <w:p>
      <w:pPr>
        <w:widowControl/>
        <w:spacing w:line="360" w:lineRule="auto"/>
        <w:rPr>
          <w:rFonts w:hAnsi="宋体" w:cs="宋体"/>
          <w:b/>
          <w:color w:val="auto"/>
          <w:kern w:val="2"/>
          <w:sz w:val="21"/>
        </w:rPr>
      </w:pPr>
      <w:r>
        <w:rPr>
          <w:rFonts w:hint="eastAsia" w:hAnsi="宋体" w:cs="宋体"/>
          <w:b/>
          <w:color w:val="auto"/>
          <w:kern w:val="2"/>
          <w:sz w:val="21"/>
        </w:rPr>
        <w:t>（3）综合得分</w:t>
      </w:r>
    </w:p>
    <w:p>
      <w:pPr>
        <w:widowControl/>
        <w:spacing w:line="360" w:lineRule="auto"/>
        <w:ind w:firstLine="315" w:firstLineChars="150"/>
        <w:rPr>
          <w:rFonts w:hAnsi="宋体" w:cs="宋体"/>
          <w:color w:val="auto"/>
          <w:sz w:val="21"/>
          <w:szCs w:val="21"/>
        </w:rPr>
      </w:pPr>
      <w:r>
        <w:rPr>
          <w:rFonts w:hint="eastAsia" w:hAnsi="宋体" w:cs="宋体"/>
          <w:color w:val="auto"/>
          <w:sz w:val="21"/>
          <w:szCs w:val="21"/>
        </w:rPr>
        <w:t>评标总得分=F1＋F2＋……+Fn</w:t>
      </w:r>
    </w:p>
    <w:p>
      <w:pPr>
        <w:widowControl/>
        <w:spacing w:line="360" w:lineRule="auto"/>
        <w:ind w:firstLine="210" w:firstLineChars="100"/>
        <w:rPr>
          <w:rFonts w:hAnsi="宋体" w:cs="宋体"/>
          <w:color w:val="auto"/>
          <w:sz w:val="21"/>
          <w:szCs w:val="21"/>
        </w:rPr>
      </w:pPr>
      <w:r>
        <w:rPr>
          <w:rFonts w:hint="eastAsia" w:hAnsi="宋体" w:cs="宋体"/>
          <w:color w:val="auto"/>
          <w:sz w:val="21"/>
          <w:szCs w:val="21"/>
        </w:rPr>
        <w:t xml:space="preserve"> F1、F2、……Fn分别为各项评分因素的得分。</w:t>
      </w:r>
    </w:p>
    <w:p>
      <w:pPr>
        <w:widowControl/>
        <w:spacing w:line="360" w:lineRule="auto"/>
        <w:ind w:firstLine="210" w:firstLineChars="100"/>
        <w:rPr>
          <w:rFonts w:hAnsi="宋体" w:cs="宋体"/>
          <w:color w:val="auto"/>
          <w:sz w:val="21"/>
          <w:szCs w:val="21"/>
        </w:rPr>
      </w:pPr>
    </w:p>
    <w:p>
      <w:pPr>
        <w:spacing w:line="360" w:lineRule="auto"/>
        <w:jc w:val="center"/>
        <w:rPr>
          <w:rFonts w:hAnsi="宋体" w:cs="宋体"/>
          <w:b/>
          <w:bCs/>
          <w:color w:val="auto"/>
          <w:kern w:val="2"/>
          <w:sz w:val="28"/>
          <w:szCs w:val="28"/>
        </w:rPr>
      </w:pPr>
      <w:r>
        <w:rPr>
          <w:rFonts w:hint="eastAsia" w:hAnsi="宋体" w:cs="宋体"/>
          <w:b/>
          <w:bCs/>
          <w:color w:val="auto"/>
          <w:kern w:val="2"/>
          <w:sz w:val="28"/>
          <w:szCs w:val="28"/>
          <w:lang w:val="zh-CN"/>
        </w:rPr>
        <w:t>五、推荐中标人</w:t>
      </w:r>
    </w:p>
    <w:p>
      <w:pPr>
        <w:spacing w:line="360" w:lineRule="auto"/>
        <w:ind w:left="480" w:leftChars="60" w:hanging="336" w:hangingChars="160"/>
        <w:rPr>
          <w:rFonts w:hAnsi="宋体" w:cs="宋体"/>
          <w:color w:val="auto"/>
          <w:sz w:val="21"/>
          <w:szCs w:val="21"/>
        </w:rPr>
      </w:pPr>
      <w:r>
        <w:rPr>
          <w:rFonts w:hint="eastAsia" w:hAnsi="宋体" w:cs="宋体"/>
          <w:color w:val="auto"/>
          <w:kern w:val="2"/>
          <w:sz w:val="21"/>
          <w:lang w:val="zh-CN"/>
        </w:rPr>
        <w:t>13</w:t>
      </w:r>
      <w:r>
        <w:rPr>
          <w:rFonts w:hint="eastAsia" w:hAnsi="宋体" w:cs="宋体"/>
          <w:color w:val="auto"/>
          <w:kern w:val="2"/>
          <w:sz w:val="21"/>
        </w:rPr>
        <w:t>、</w:t>
      </w:r>
      <w:r>
        <w:rPr>
          <w:rFonts w:hint="eastAsia" w:hAnsi="宋体" w:cs="宋体"/>
          <w:color w:val="auto"/>
          <w:kern w:val="2"/>
          <w:sz w:val="21"/>
          <w:lang w:val="zh-CN"/>
        </w:rPr>
        <w:t>评标委员会按评审后得分由高到低顺序排列</w:t>
      </w:r>
      <w:r>
        <w:rPr>
          <w:rFonts w:hint="eastAsia" w:hAnsi="宋体" w:cs="宋体"/>
          <w:color w:val="auto"/>
          <w:sz w:val="21"/>
          <w:szCs w:val="21"/>
        </w:rPr>
        <w:t>，并向招标人推荐最后综合得分最高的前三名投标人为中标候选人（最后综合得分排名第一、第二、第三的投标人分别为第一、第二、第三候中标选人），招标人将确定第一</w:t>
      </w:r>
      <w:r>
        <w:rPr>
          <w:rFonts w:hint="eastAsia" w:hAnsi="宋体" w:cs="宋体"/>
          <w:color w:val="auto"/>
          <w:sz w:val="21"/>
          <w:szCs w:val="21"/>
          <w:lang w:eastAsia="zh-CN"/>
        </w:rPr>
        <w:t>、</w:t>
      </w:r>
      <w:r>
        <w:rPr>
          <w:rFonts w:hint="eastAsia" w:hAnsi="宋体" w:cs="宋体"/>
          <w:color w:val="auto"/>
          <w:sz w:val="21"/>
          <w:szCs w:val="21"/>
          <w:lang w:val="en-US" w:eastAsia="zh-CN"/>
        </w:rPr>
        <w:t>第二</w:t>
      </w:r>
      <w:r>
        <w:rPr>
          <w:rFonts w:hint="eastAsia" w:hAnsi="宋体" w:cs="宋体"/>
          <w:color w:val="auto"/>
          <w:sz w:val="21"/>
          <w:szCs w:val="21"/>
        </w:rPr>
        <w:t>中标候选人为中标人。</w:t>
      </w:r>
    </w:p>
    <w:p>
      <w:pPr>
        <w:spacing w:line="360" w:lineRule="auto"/>
        <w:ind w:left="480" w:leftChars="200" w:firstLine="420" w:firstLineChars="200"/>
        <w:rPr>
          <w:rFonts w:hAnsi="宋体" w:cs="宋体"/>
          <w:color w:val="auto"/>
          <w:sz w:val="21"/>
          <w:lang w:val="zh-CN"/>
        </w:rPr>
      </w:pPr>
      <w:r>
        <w:rPr>
          <w:rFonts w:hint="eastAsia" w:hAnsi="宋体" w:cs="宋体"/>
          <w:color w:val="auto"/>
          <w:sz w:val="21"/>
          <w:szCs w:val="21"/>
        </w:rPr>
        <w:t>如果有两个或以上的投标人的最后综合得分相同，则在最后综合得分相同的投标人按技术标的评标得分高低排出次序，得分高的排前，得分低的排后。如果出现投标人的最后综合得分、技术标得分均相同时，由评标委员会进行投票，得票多的排名在先。当第一轮投票结果为投标人得票数相同时，再次进行投票，如此类推，直到能确定排序次序为止。</w:t>
      </w:r>
    </w:p>
    <w:p>
      <w:pPr>
        <w:spacing w:line="360" w:lineRule="auto"/>
        <w:ind w:firstLine="424" w:firstLineChars="202"/>
        <w:jc w:val="both"/>
        <w:rPr>
          <w:rFonts w:hAnsi="宋体" w:cs="宋体"/>
          <w:color w:val="auto"/>
          <w:sz w:val="21"/>
          <w:lang w:val="zh-CN"/>
        </w:rPr>
      </w:pPr>
    </w:p>
    <w:p>
      <w:pPr>
        <w:spacing w:line="360" w:lineRule="auto"/>
        <w:jc w:val="center"/>
        <w:rPr>
          <w:rFonts w:hAnsi="宋体" w:cs="宋体"/>
          <w:b/>
          <w:bCs/>
          <w:color w:val="auto"/>
          <w:kern w:val="2"/>
          <w:sz w:val="28"/>
          <w:szCs w:val="28"/>
          <w:lang w:val="zh-CN"/>
        </w:rPr>
      </w:pPr>
      <w:r>
        <w:rPr>
          <w:rFonts w:hint="eastAsia" w:hAnsi="宋体" w:cs="宋体"/>
          <w:b/>
          <w:bCs/>
          <w:color w:val="auto"/>
          <w:kern w:val="2"/>
          <w:sz w:val="28"/>
          <w:szCs w:val="28"/>
          <w:lang w:val="zh-CN"/>
        </w:rPr>
        <w:t>六、编写评标报告</w:t>
      </w:r>
    </w:p>
    <w:p>
      <w:pPr>
        <w:spacing w:line="360" w:lineRule="auto"/>
        <w:ind w:left="567" w:hanging="567" w:hangingChars="270"/>
        <w:rPr>
          <w:rFonts w:hAnsi="宋体" w:cs="宋体"/>
          <w:b/>
          <w:bCs/>
          <w:color w:val="auto"/>
          <w:kern w:val="2"/>
          <w:sz w:val="21"/>
          <w:szCs w:val="32"/>
          <w:lang w:val="zh-CN"/>
        </w:rPr>
      </w:pPr>
      <w:r>
        <w:rPr>
          <w:rFonts w:hint="eastAsia" w:hAnsi="宋体" w:cs="宋体"/>
          <w:color w:val="auto"/>
          <w:kern w:val="2"/>
          <w:sz w:val="21"/>
          <w:lang w:val="zh-CN"/>
        </w:rPr>
        <w:t>14、评标委员会根据评审结果撰写评标报告。评标报告是评标委员会根据全体评标委员会成员签字的原始评审记录和评审结果编写的报告，其主要内容包括：</w:t>
      </w:r>
    </w:p>
    <w:p>
      <w:pPr>
        <w:spacing w:line="360" w:lineRule="auto"/>
        <w:rPr>
          <w:rFonts w:hAnsi="宋体" w:cs="宋体"/>
          <w:color w:val="auto"/>
          <w:sz w:val="21"/>
          <w:lang w:val="zh-CN"/>
        </w:rPr>
      </w:pPr>
      <w:r>
        <w:rPr>
          <w:rFonts w:hint="eastAsia" w:hAnsi="宋体" w:cs="宋体"/>
          <w:color w:val="auto"/>
          <w:sz w:val="21"/>
          <w:lang w:val="zh-CN"/>
        </w:rPr>
        <w:t>（1）开标邀请时间、开标日期和地点；</w:t>
      </w:r>
    </w:p>
    <w:p>
      <w:pPr>
        <w:spacing w:line="360" w:lineRule="auto"/>
        <w:rPr>
          <w:rFonts w:hAnsi="宋体" w:cs="宋体"/>
          <w:color w:val="auto"/>
          <w:sz w:val="21"/>
          <w:lang w:val="zh-CN"/>
        </w:rPr>
      </w:pPr>
      <w:r>
        <w:rPr>
          <w:rFonts w:hint="eastAsia" w:hAnsi="宋体" w:cs="宋体"/>
          <w:color w:val="auto"/>
          <w:sz w:val="21"/>
          <w:lang w:val="zh-CN"/>
        </w:rPr>
        <w:t>（2）购买招标文件的投标人名单和评标委员会成员名单；</w:t>
      </w:r>
    </w:p>
    <w:p>
      <w:pPr>
        <w:spacing w:line="360" w:lineRule="auto"/>
        <w:rPr>
          <w:rFonts w:hAnsi="宋体" w:cs="宋体"/>
          <w:color w:val="auto"/>
          <w:sz w:val="21"/>
          <w:lang w:val="zh-CN"/>
        </w:rPr>
      </w:pPr>
      <w:r>
        <w:rPr>
          <w:rFonts w:hint="eastAsia" w:hAnsi="宋体" w:cs="宋体"/>
          <w:color w:val="auto"/>
          <w:sz w:val="21"/>
          <w:lang w:val="zh-CN"/>
        </w:rPr>
        <w:t>（3）开标评审方法和标准；</w:t>
      </w:r>
    </w:p>
    <w:p>
      <w:pPr>
        <w:spacing w:line="360" w:lineRule="auto"/>
        <w:rPr>
          <w:rFonts w:hAnsi="宋体" w:cs="宋体"/>
          <w:color w:val="auto"/>
          <w:sz w:val="21"/>
          <w:lang w:val="zh-CN"/>
        </w:rPr>
      </w:pPr>
      <w:r>
        <w:rPr>
          <w:rFonts w:hint="eastAsia" w:hAnsi="宋体" w:cs="宋体"/>
          <w:color w:val="auto"/>
          <w:sz w:val="21"/>
          <w:lang w:val="zh-CN"/>
        </w:rPr>
        <w:t>（4）开标评审记录和评审情况及说明，包括投标无效投标人名单及原因；</w:t>
      </w:r>
    </w:p>
    <w:p>
      <w:pPr>
        <w:spacing w:line="360" w:lineRule="auto"/>
        <w:rPr>
          <w:rFonts w:hAnsi="宋体" w:cs="宋体"/>
          <w:color w:val="auto"/>
          <w:sz w:val="21"/>
          <w:lang w:val="zh-CN"/>
        </w:rPr>
      </w:pPr>
      <w:r>
        <w:rPr>
          <w:rFonts w:hint="eastAsia" w:hAnsi="宋体" w:cs="宋体"/>
          <w:color w:val="auto"/>
          <w:sz w:val="21"/>
          <w:lang w:val="zh-CN"/>
        </w:rPr>
        <w:t>（5）评审结果和中标候选投标人排序表；</w:t>
      </w:r>
    </w:p>
    <w:p>
      <w:pPr>
        <w:spacing w:line="360" w:lineRule="auto"/>
        <w:rPr>
          <w:rFonts w:hAnsi="宋体" w:cs="宋体"/>
          <w:color w:val="auto"/>
          <w:kern w:val="2"/>
          <w:sz w:val="21"/>
          <w:lang w:val="zh-CN"/>
        </w:rPr>
      </w:pPr>
      <w:r>
        <w:rPr>
          <w:rFonts w:hint="eastAsia" w:hAnsi="宋体" w:cs="宋体"/>
          <w:color w:val="auto"/>
          <w:sz w:val="21"/>
          <w:lang w:val="zh-CN"/>
        </w:rPr>
        <w:t>（6）评标委员会的推荐</w:t>
      </w:r>
      <w:r>
        <w:rPr>
          <w:rFonts w:hint="eastAsia" w:hAnsi="宋体" w:cs="宋体"/>
          <w:color w:val="auto"/>
          <w:kern w:val="2"/>
          <w:sz w:val="21"/>
          <w:lang w:val="zh-CN"/>
        </w:rPr>
        <w:t>建议。</w:t>
      </w:r>
    </w:p>
    <w:p>
      <w:pPr>
        <w:spacing w:line="360" w:lineRule="auto"/>
        <w:ind w:left="315" w:hanging="315" w:hangingChars="150"/>
        <w:rPr>
          <w:rFonts w:hAnsi="宋体" w:cs="宋体"/>
          <w:color w:val="auto"/>
          <w:kern w:val="2"/>
          <w:sz w:val="21"/>
          <w:lang w:val="zh-CN"/>
        </w:rPr>
      </w:pPr>
    </w:p>
    <w:p>
      <w:pPr>
        <w:spacing w:line="360" w:lineRule="auto"/>
        <w:jc w:val="center"/>
        <w:rPr>
          <w:rFonts w:hAnsi="宋体" w:cs="宋体"/>
          <w:b/>
          <w:bCs/>
          <w:color w:val="auto"/>
          <w:kern w:val="2"/>
          <w:sz w:val="30"/>
          <w:szCs w:val="30"/>
          <w:lang w:val="zh-CN"/>
        </w:rPr>
      </w:pPr>
      <w:r>
        <w:rPr>
          <w:rFonts w:hint="eastAsia" w:hAnsi="宋体" w:cs="宋体"/>
          <w:b/>
          <w:bCs/>
          <w:color w:val="auto"/>
          <w:kern w:val="2"/>
          <w:sz w:val="28"/>
          <w:szCs w:val="28"/>
          <w:lang w:val="zh-CN"/>
        </w:rPr>
        <w:t>七、注意事项</w:t>
      </w:r>
    </w:p>
    <w:p>
      <w:pPr>
        <w:spacing w:line="360" w:lineRule="auto"/>
        <w:ind w:left="420" w:hanging="420" w:hangingChars="200"/>
        <w:jc w:val="both"/>
        <w:rPr>
          <w:rFonts w:hAnsi="宋体" w:cs="宋体"/>
          <w:color w:val="auto"/>
          <w:kern w:val="2"/>
          <w:sz w:val="21"/>
          <w:lang w:val="zh-CN"/>
        </w:rPr>
      </w:pPr>
      <w:r>
        <w:rPr>
          <w:rFonts w:hint="eastAsia" w:hAnsi="宋体" w:cs="宋体"/>
          <w:color w:val="auto"/>
          <w:kern w:val="2"/>
          <w:sz w:val="21"/>
          <w:lang w:val="zh-CN"/>
        </w:rPr>
        <w:t>15、为确保评审工作的顺利进行，防止因泄密或其它意外而造成的不良后果及影响，凡参加评审工作的人员都必须认真执行本规定：</w:t>
      </w:r>
    </w:p>
    <w:p>
      <w:pPr>
        <w:spacing w:line="360" w:lineRule="auto"/>
        <w:ind w:left="418" w:leftChars="-59" w:hanging="560" w:hangingChars="267"/>
        <w:jc w:val="both"/>
        <w:rPr>
          <w:rFonts w:hAnsi="宋体" w:cs="宋体"/>
          <w:color w:val="auto"/>
          <w:kern w:val="2"/>
          <w:sz w:val="21"/>
          <w:lang w:val="zh-CN"/>
        </w:rPr>
      </w:pPr>
      <w:r>
        <w:rPr>
          <w:rFonts w:hint="eastAsia" w:hAnsi="宋体" w:cs="宋体"/>
          <w:color w:val="auto"/>
          <w:kern w:val="2"/>
          <w:sz w:val="21"/>
          <w:lang w:val="zh-CN"/>
        </w:rPr>
        <w:t>（1）在评审工作期间，所有分发的投标文件、资料等仅限于在评审场所中使用，不得带往其它地方，所有的招标文件、投标文件、资料等一律编号登记；</w:t>
      </w:r>
    </w:p>
    <w:p>
      <w:pPr>
        <w:spacing w:line="360" w:lineRule="auto"/>
        <w:ind w:left="418" w:leftChars="-59" w:hanging="560" w:hangingChars="267"/>
        <w:jc w:val="both"/>
        <w:rPr>
          <w:rFonts w:hAnsi="宋体" w:cs="宋体"/>
          <w:color w:val="auto"/>
          <w:kern w:val="2"/>
          <w:sz w:val="21"/>
          <w:lang w:val="zh-CN"/>
        </w:rPr>
      </w:pPr>
      <w:r>
        <w:rPr>
          <w:rFonts w:hint="eastAsia" w:hAnsi="宋体" w:cs="宋体"/>
          <w:color w:val="auto"/>
          <w:kern w:val="2"/>
          <w:sz w:val="21"/>
          <w:lang w:val="zh-CN"/>
        </w:rPr>
        <w:t>（2）评审人员及工作人员不得在公共场合谈论有关评审内容；</w:t>
      </w:r>
    </w:p>
    <w:p>
      <w:pPr>
        <w:spacing w:line="360" w:lineRule="auto"/>
        <w:ind w:left="418" w:leftChars="-59" w:hanging="560" w:hangingChars="267"/>
        <w:jc w:val="both"/>
        <w:rPr>
          <w:rFonts w:hAnsi="宋体" w:cs="宋体"/>
          <w:color w:val="auto"/>
          <w:kern w:val="2"/>
          <w:sz w:val="21"/>
          <w:lang w:val="zh-CN"/>
        </w:rPr>
      </w:pPr>
      <w:r>
        <w:rPr>
          <w:rFonts w:hint="eastAsia" w:hAnsi="宋体" w:cs="宋体"/>
          <w:color w:val="auto"/>
          <w:kern w:val="2"/>
          <w:sz w:val="21"/>
          <w:lang w:val="zh-CN"/>
        </w:rPr>
        <w:t>（3）评审人员及工作人员不得以书信、电讯、口述等方式将有关评审内容（如资料、投标文件、评审方式、评标委员会的决定、评审组织机构、评审人员名单等）披露给未参加评审的任何无关人员，包括上级领导、同级和下级人员，任何与评审无关的人员（包括亲朋好友和同事）不得进入评审场所；</w:t>
      </w:r>
    </w:p>
    <w:p>
      <w:pPr>
        <w:spacing w:line="360" w:lineRule="auto"/>
        <w:ind w:left="418" w:leftChars="-59" w:hanging="560" w:hangingChars="267"/>
        <w:jc w:val="both"/>
        <w:rPr>
          <w:rFonts w:hAnsi="宋体" w:cs="宋体"/>
          <w:color w:val="auto"/>
          <w:kern w:val="2"/>
          <w:sz w:val="21"/>
          <w:lang w:val="zh-CN"/>
        </w:rPr>
      </w:pPr>
      <w:r>
        <w:rPr>
          <w:rFonts w:hint="eastAsia" w:hAnsi="宋体" w:cs="宋体"/>
          <w:color w:val="auto"/>
          <w:kern w:val="2"/>
          <w:sz w:val="21"/>
          <w:lang w:val="zh-CN"/>
        </w:rPr>
        <w:t>（4）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pPr>
        <w:spacing w:line="360" w:lineRule="auto"/>
        <w:ind w:left="418" w:leftChars="-59" w:hanging="560" w:hangingChars="267"/>
        <w:jc w:val="both"/>
        <w:rPr>
          <w:rFonts w:hAnsi="宋体" w:cs="宋体"/>
          <w:color w:val="auto"/>
          <w:kern w:val="2"/>
          <w:sz w:val="21"/>
          <w:lang w:val="zh-CN"/>
        </w:rPr>
      </w:pPr>
      <w:r>
        <w:rPr>
          <w:rFonts w:hint="eastAsia" w:hAnsi="宋体" w:cs="宋体"/>
          <w:color w:val="auto"/>
          <w:kern w:val="2"/>
          <w:sz w:val="21"/>
          <w:lang w:val="zh-CN"/>
        </w:rPr>
        <w:t>（5）任何评审人员和工作人员不得对外公布评审的一切内容。</w:t>
      </w:r>
    </w:p>
    <w:bookmarkEnd w:id="245"/>
    <w:sectPr>
      <w:pgSz w:w="11907" w:h="16839"/>
      <w:pgMar w:top="1417" w:right="1276" w:bottom="1417" w:left="1417" w:header="720" w:footer="1003"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微软雅黑 Light">
    <w:panose1 w:val="020B0502040204020203"/>
    <w:charset w:val="86"/>
    <w:family w:val="swiss"/>
    <w:pitch w:val="default"/>
    <w:sig w:usb0="80000287" w:usb1="2ACF001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ˎ̥">
    <w:altName w:val="宋体"/>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2"/>
      </w:rPr>
    </w:pPr>
    <w:r>
      <w:fldChar w:fldCharType="begin"/>
    </w:r>
    <w:r>
      <w:rPr>
        <w:rStyle w:val="52"/>
      </w:rPr>
      <w:instrText xml:space="preserve">PAGE  </w:instrText>
    </w:r>
    <w:r>
      <w:fldChar w:fldCharType="end"/>
    </w:r>
  </w:p>
  <w:p>
    <w:pPr>
      <w:pStyle w:val="31"/>
      <w:ind w:right="360"/>
    </w:pPr>
  </w:p>
  <w:p/>
  <w:p/>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mc:AlternateContent>
        <mc:Choice Requires="wps">
          <w:drawing>
            <wp:anchor distT="0" distB="0" distL="114300" distR="114300" simplePos="0" relativeHeight="251661312" behindDoc="0" locked="0" layoutInCell="1" allowOverlap="1">
              <wp:simplePos x="0" y="0"/>
              <wp:positionH relativeFrom="margin">
                <wp:posOffset>2468245</wp:posOffset>
              </wp:positionH>
              <wp:positionV relativeFrom="paragraph">
                <wp:posOffset>-8890</wp:posOffset>
              </wp:positionV>
              <wp:extent cx="1028700" cy="156845"/>
              <wp:effectExtent l="0" t="0" r="0" b="0"/>
              <wp:wrapNone/>
              <wp:docPr id="7" name="文本框 11"/>
              <wp:cNvGraphicFramePr/>
              <a:graphic xmlns:a="http://schemas.openxmlformats.org/drawingml/2006/main">
                <a:graphicData uri="http://schemas.microsoft.com/office/word/2010/wordprocessingShape">
                  <wps:wsp>
                    <wps:cNvSpPr txBox="1"/>
                    <wps:spPr>
                      <a:xfrm>
                        <a:off x="0" y="0"/>
                        <a:ext cx="1028700" cy="156845"/>
                      </a:xfrm>
                      <a:prstGeom prst="rect">
                        <a:avLst/>
                      </a:prstGeom>
                      <a:noFill/>
                      <a:ln>
                        <a:noFill/>
                      </a:ln>
                    </wps:spPr>
                    <wps:txbx>
                      <w:txbxContent>
                        <w:p>
                          <w:pPr>
                            <w:pStyle w:val="31"/>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99</w:t>
                          </w:r>
                          <w:r>
                            <w:fldChar w:fldCharType="end"/>
                          </w:r>
                          <w:r>
                            <w:rPr>
                              <w:rFonts w:hint="eastAsia"/>
                            </w:rPr>
                            <w:t xml:space="preserve"> 页</w:t>
                          </w:r>
                        </w:p>
                      </w:txbxContent>
                    </wps:txbx>
                    <wps:bodyPr lIns="0" tIns="0" rIns="0" bIns="0" upright="1"/>
                  </wps:wsp>
                </a:graphicData>
              </a:graphic>
            </wp:anchor>
          </w:drawing>
        </mc:Choice>
        <mc:Fallback>
          <w:pict>
            <v:shape id="文本框 11" o:spid="_x0000_s1026" o:spt="202" type="#_x0000_t202" style="position:absolute;left:0pt;margin-left:194.35pt;margin-top:-0.7pt;height:12.35pt;width:81pt;mso-position-horizontal-relative:margin;z-index:251661312;mso-width-relative:page;mso-height-relative:page;" filled="f" stroked="f" coordsize="21600,21600" o:gfxdata="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WnUPG2QAAAAkBAAAPAAAAAAAA&#10;AAEAIAAAACIAAABkcnMvZG93bnJldi54bWxQSwECFAAUAAAACACHTuJAtNjWM58BAAAlAwAADgAA&#10;AAAAAAABACAAAAAoAQAAZHJzL2Uyb0RvYy54bWxQSwUGAAAAAAYABgBZAQAAOQUAAAAA&#10;">
              <v:fill on="f" focussize="0,0"/>
              <v:stroke on="f"/>
              <v:imagedata o:title=""/>
              <o:lock v:ext="edit" aspectratio="f"/>
              <v:textbox inset="0mm,0mm,0mm,0mm">
                <w:txbxContent>
                  <w:p>
                    <w:pPr>
                      <w:pStyle w:val="31"/>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99</w:t>
                    </w:r>
                    <w: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1"/>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99</w:t>
                          </w:r>
                          <w:r>
                            <w:fldChar w:fldCharType="end"/>
                          </w:r>
                          <w:r>
                            <w:rPr>
                              <w:rFonts w:hint="eastAsia"/>
                            </w:rPr>
                            <w:t xml:space="preserve"> 页</w:t>
                          </w:r>
                        </w:p>
                      </w:txbxContent>
                    </wps:txbx>
                    <wps:bodyPr wrap="none" lIns="0" tIns="0" rIns="0" bIns="0" upright="1">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CcvvSsrgEAAEwD&#10;AAAOAAAAAAAAAAEAIAAAAB4BAABkcnMvZTJvRG9jLnhtbFBLBQYAAAAABgAGAFkBAAA+BQAAAAA=&#10;">
              <v:fill on="f" focussize="0,0"/>
              <v:stroke on="f"/>
              <v:imagedata o:title=""/>
              <o:lock v:ext="edit" aspectratio="f"/>
              <v:textbox inset="0mm,0mm,0mm,0mm" style="mso-fit-shape-to-text:t;">
                <w:txbxContent>
                  <w:p>
                    <w:pPr>
                      <w:pStyle w:val="31"/>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99</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both"/>
    </w:pPr>
    <w:r>
      <w:rPr>
        <w:rFonts w:hint="eastAsia"/>
      </w:rPr>
      <w:t xml:space="preserve">东莞市水务集团管网有限公司2022年食堂食材配送服务采购项目 </w:t>
    </w:r>
    <w:r>
      <w:t xml:space="preserve">                  </w:t>
    </w:r>
    <w:r>
      <w:rPr>
        <w:rFonts w:hint="eastAsia" w:hAnsi="宋体" w:cs="宋体"/>
        <w:color w:val="000000"/>
        <w:kern w:val="2"/>
        <w:sz w:val="21"/>
        <w:szCs w:val="21"/>
        <w:lang w:val="zh-CN"/>
      </w:rPr>
      <w:t>GDHD-ST-2021-14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left"/>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91CB2B"/>
    <w:multiLevelType w:val="singleLevel"/>
    <w:tmpl w:val="9691CB2B"/>
    <w:lvl w:ilvl="0" w:tentative="0">
      <w:start w:val="1"/>
      <w:numFmt w:val="decimal"/>
      <w:suff w:val="nothing"/>
      <w:lvlText w:val="%1、"/>
      <w:lvlJc w:val="left"/>
    </w:lvl>
  </w:abstractNum>
  <w:abstractNum w:abstractNumId="1">
    <w:nsid w:val="B446A528"/>
    <w:multiLevelType w:val="singleLevel"/>
    <w:tmpl w:val="B446A528"/>
    <w:lvl w:ilvl="0" w:tentative="0">
      <w:start w:val="2"/>
      <w:numFmt w:val="chineseCounting"/>
      <w:suff w:val="nothing"/>
      <w:lvlText w:val="（%1）"/>
      <w:lvlJc w:val="left"/>
      <w:rPr>
        <w:rFonts w:hint="eastAsia"/>
      </w:rPr>
    </w:lvl>
  </w:abstractNum>
  <w:abstractNum w:abstractNumId="2">
    <w:nsid w:val="EA46D437"/>
    <w:multiLevelType w:val="singleLevel"/>
    <w:tmpl w:val="EA46D437"/>
    <w:lvl w:ilvl="0" w:tentative="0">
      <w:start w:val="5"/>
      <w:numFmt w:val="decimal"/>
      <w:suff w:val="nothing"/>
      <w:lvlText w:val="（%1）"/>
      <w:lvlJc w:val="left"/>
    </w:lvl>
  </w:abstractNum>
  <w:abstractNum w:abstractNumId="3">
    <w:nsid w:val="FB308DCB"/>
    <w:multiLevelType w:val="singleLevel"/>
    <w:tmpl w:val="FB308DCB"/>
    <w:lvl w:ilvl="0" w:tentative="0">
      <w:start w:val="4"/>
      <w:numFmt w:val="chineseCounting"/>
      <w:suff w:val="nothing"/>
      <w:lvlText w:val="%1、"/>
      <w:lvlJc w:val="left"/>
      <w:rPr>
        <w:rFonts w:hint="eastAsia"/>
      </w:rPr>
    </w:lvl>
  </w:abstractNum>
  <w:abstractNum w:abstractNumId="4">
    <w:nsid w:val="04039136"/>
    <w:multiLevelType w:val="singleLevel"/>
    <w:tmpl w:val="04039136"/>
    <w:lvl w:ilvl="0" w:tentative="0">
      <w:start w:val="4"/>
      <w:numFmt w:val="decimal"/>
      <w:suff w:val="nothing"/>
      <w:lvlText w:val="%1）"/>
      <w:lvlJc w:val="left"/>
    </w:lvl>
  </w:abstractNum>
  <w:abstractNum w:abstractNumId="5">
    <w:nsid w:val="1DDB1BC2"/>
    <w:multiLevelType w:val="multilevel"/>
    <w:tmpl w:val="1DDB1BC2"/>
    <w:lvl w:ilvl="0" w:tentative="0">
      <w:start w:val="1"/>
      <w:numFmt w:val="decimal"/>
      <w:lvlText w:val="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C591F33"/>
    <w:multiLevelType w:val="multilevel"/>
    <w:tmpl w:val="2C591F33"/>
    <w:lvl w:ilvl="0" w:tentative="0">
      <w:start w:val="1"/>
      <w:numFmt w:val="chineseCountingThousand"/>
      <w:lvlText w:val="%1、"/>
      <w:lvlJc w:val="left"/>
      <w:pPr>
        <w:ind w:left="420" w:hanging="420"/>
      </w:pPr>
    </w:lvl>
    <w:lvl w:ilvl="1" w:tentative="0">
      <w:start w:val="1"/>
      <w:numFmt w:val="chineseCountingThousand"/>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0C82A13"/>
    <w:multiLevelType w:val="multilevel"/>
    <w:tmpl w:val="30C82A13"/>
    <w:lvl w:ilvl="0" w:tentative="0">
      <w:start w:val="1"/>
      <w:numFmt w:val="decimal"/>
      <w:lvlText w:val="5.%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42A3BA7"/>
    <w:multiLevelType w:val="multilevel"/>
    <w:tmpl w:val="442A3BA7"/>
    <w:lvl w:ilvl="0" w:tentative="0">
      <w:start w:val="1"/>
      <w:numFmt w:val="decimal"/>
      <w:lvlText w:val="%1"/>
      <w:lvlJc w:val="left"/>
      <w:pPr>
        <w:ind w:left="360" w:hanging="360"/>
      </w:pPr>
      <w:rPr>
        <w:rFonts w:hint="default" w:hAnsi="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83568BB"/>
    <w:multiLevelType w:val="multilevel"/>
    <w:tmpl w:val="783568BB"/>
    <w:lvl w:ilvl="0" w:tentative="0">
      <w:start w:val="1"/>
      <w:numFmt w:val="decimal"/>
      <w:lvlText w:val="3.%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CEF264D"/>
    <w:multiLevelType w:val="multilevel"/>
    <w:tmpl w:val="7CEF264D"/>
    <w:lvl w:ilvl="0" w:tentative="0">
      <w:start w:val="30"/>
      <w:numFmt w:val="decimal"/>
      <w:lvlText w:val="%1"/>
      <w:lvlJc w:val="left"/>
      <w:pPr>
        <w:tabs>
          <w:tab w:val="left" w:pos="420"/>
        </w:tabs>
        <w:ind w:left="420" w:hanging="420"/>
      </w:pPr>
    </w:lvl>
    <w:lvl w:ilvl="1" w:tentative="0">
      <w:start w:val="1"/>
      <w:numFmt w:val="decimal"/>
      <w:lvlText w:val="%1.%2"/>
      <w:lvlJc w:val="left"/>
      <w:pPr>
        <w:tabs>
          <w:tab w:val="left" w:pos="420"/>
        </w:tabs>
        <w:ind w:left="420" w:hanging="420"/>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1080"/>
        </w:tabs>
        <w:ind w:left="1080" w:hanging="1080"/>
      </w:pPr>
    </w:lvl>
    <w:lvl w:ilvl="4" w:tentative="0">
      <w:start w:val="1"/>
      <w:numFmt w:val="decimal"/>
      <w:lvlText w:val="%1.%2.%3.%4.%5"/>
      <w:lvlJc w:val="left"/>
      <w:pPr>
        <w:tabs>
          <w:tab w:val="left" w:pos="1080"/>
        </w:tabs>
        <w:ind w:left="1080" w:hanging="1080"/>
      </w:pPr>
    </w:lvl>
    <w:lvl w:ilvl="5" w:tentative="0">
      <w:start w:val="1"/>
      <w:numFmt w:val="decimal"/>
      <w:lvlText w:val="%1.%2.%3.%4.%5.%6"/>
      <w:lvlJc w:val="left"/>
      <w:pPr>
        <w:tabs>
          <w:tab w:val="left" w:pos="1440"/>
        </w:tabs>
        <w:ind w:left="1440" w:hanging="1440"/>
      </w:pPr>
    </w:lvl>
    <w:lvl w:ilvl="6" w:tentative="0">
      <w:start w:val="1"/>
      <w:numFmt w:val="decimal"/>
      <w:lvlText w:val="%1.%2.%3.%4.%5.%6.%7"/>
      <w:lvlJc w:val="left"/>
      <w:pPr>
        <w:tabs>
          <w:tab w:val="left" w:pos="1440"/>
        </w:tabs>
        <w:ind w:left="1440" w:hanging="1440"/>
      </w:pPr>
    </w:lvl>
    <w:lvl w:ilvl="7" w:tentative="0">
      <w:start w:val="1"/>
      <w:numFmt w:val="decimal"/>
      <w:lvlText w:val="%1.%2.%3.%4.%5.%6.%7.%8"/>
      <w:lvlJc w:val="left"/>
      <w:pPr>
        <w:tabs>
          <w:tab w:val="left" w:pos="1800"/>
        </w:tabs>
        <w:ind w:left="1800" w:hanging="1800"/>
      </w:pPr>
    </w:lvl>
    <w:lvl w:ilvl="8" w:tentative="0">
      <w:start w:val="1"/>
      <w:numFmt w:val="decimal"/>
      <w:lvlText w:val="%1.%2.%3.%4.%5.%6.%7.%8.%9"/>
      <w:lvlJc w:val="left"/>
      <w:pPr>
        <w:tabs>
          <w:tab w:val="left" w:pos="1800"/>
        </w:tabs>
        <w:ind w:left="1800" w:hanging="1800"/>
      </w:pPr>
    </w:lvl>
  </w:abstractNum>
  <w:num w:numId="1">
    <w:abstractNumId w:val="8"/>
  </w:num>
  <w:num w:numId="2">
    <w:abstractNumId w:val="5"/>
  </w:num>
  <w:num w:numId="3">
    <w:abstractNumId w:val="9"/>
  </w:num>
  <w:num w:numId="4">
    <w:abstractNumId w:val="7"/>
  </w:num>
  <w:num w:numId="5">
    <w:abstractNumId w:val="6"/>
  </w:num>
  <w:num w:numId="6">
    <w:abstractNumId w:val="4"/>
  </w:num>
  <w:num w:numId="7">
    <w:abstractNumId w:val="10"/>
  </w:num>
  <w:num w:numId="8">
    <w:abstractNumId w:val="2"/>
  </w:num>
  <w:num w:numId="9">
    <w:abstractNumId w:val="3"/>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63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30"/>
    <w:rsid w:val="00000563"/>
    <w:rsid w:val="000008C3"/>
    <w:rsid w:val="00000A86"/>
    <w:rsid w:val="00000F5C"/>
    <w:rsid w:val="000013E1"/>
    <w:rsid w:val="00001A2F"/>
    <w:rsid w:val="00001F4F"/>
    <w:rsid w:val="0000264D"/>
    <w:rsid w:val="000034C1"/>
    <w:rsid w:val="000037C8"/>
    <w:rsid w:val="000040AD"/>
    <w:rsid w:val="000041AA"/>
    <w:rsid w:val="0000440F"/>
    <w:rsid w:val="00004D6F"/>
    <w:rsid w:val="000057E8"/>
    <w:rsid w:val="00005BBF"/>
    <w:rsid w:val="00006715"/>
    <w:rsid w:val="00006880"/>
    <w:rsid w:val="00006927"/>
    <w:rsid w:val="00007029"/>
    <w:rsid w:val="0000718B"/>
    <w:rsid w:val="000072A1"/>
    <w:rsid w:val="0000771E"/>
    <w:rsid w:val="000077C3"/>
    <w:rsid w:val="00007AFF"/>
    <w:rsid w:val="00010523"/>
    <w:rsid w:val="000110D0"/>
    <w:rsid w:val="0001140D"/>
    <w:rsid w:val="00011694"/>
    <w:rsid w:val="0001179B"/>
    <w:rsid w:val="00011BFB"/>
    <w:rsid w:val="00011E4A"/>
    <w:rsid w:val="00012DD3"/>
    <w:rsid w:val="000130A9"/>
    <w:rsid w:val="000134BA"/>
    <w:rsid w:val="0001383C"/>
    <w:rsid w:val="000139E9"/>
    <w:rsid w:val="0001452D"/>
    <w:rsid w:val="00014685"/>
    <w:rsid w:val="00014EB4"/>
    <w:rsid w:val="00014EEF"/>
    <w:rsid w:val="0001583A"/>
    <w:rsid w:val="00015BCC"/>
    <w:rsid w:val="00015BCF"/>
    <w:rsid w:val="0001607D"/>
    <w:rsid w:val="0001634E"/>
    <w:rsid w:val="00016CE0"/>
    <w:rsid w:val="00016D50"/>
    <w:rsid w:val="00016F84"/>
    <w:rsid w:val="000170FE"/>
    <w:rsid w:val="000178DF"/>
    <w:rsid w:val="0002013C"/>
    <w:rsid w:val="000205BD"/>
    <w:rsid w:val="000206AC"/>
    <w:rsid w:val="00020A55"/>
    <w:rsid w:val="00020BAA"/>
    <w:rsid w:val="0002149D"/>
    <w:rsid w:val="00021524"/>
    <w:rsid w:val="0002154E"/>
    <w:rsid w:val="00021927"/>
    <w:rsid w:val="00022186"/>
    <w:rsid w:val="00022D31"/>
    <w:rsid w:val="00023B33"/>
    <w:rsid w:val="000248B3"/>
    <w:rsid w:val="000250CE"/>
    <w:rsid w:val="00025139"/>
    <w:rsid w:val="00025322"/>
    <w:rsid w:val="00025399"/>
    <w:rsid w:val="00025FE5"/>
    <w:rsid w:val="0002604B"/>
    <w:rsid w:val="0002642D"/>
    <w:rsid w:val="000268B7"/>
    <w:rsid w:val="0002695D"/>
    <w:rsid w:val="00026BA2"/>
    <w:rsid w:val="00026C92"/>
    <w:rsid w:val="0002765C"/>
    <w:rsid w:val="00027B3D"/>
    <w:rsid w:val="00027CDB"/>
    <w:rsid w:val="00027CE9"/>
    <w:rsid w:val="00030014"/>
    <w:rsid w:val="00030996"/>
    <w:rsid w:val="0003103E"/>
    <w:rsid w:val="00031642"/>
    <w:rsid w:val="00031B2C"/>
    <w:rsid w:val="000321D9"/>
    <w:rsid w:val="0003222A"/>
    <w:rsid w:val="000323E5"/>
    <w:rsid w:val="00032645"/>
    <w:rsid w:val="00032781"/>
    <w:rsid w:val="000329D6"/>
    <w:rsid w:val="00032C0E"/>
    <w:rsid w:val="00032C1D"/>
    <w:rsid w:val="00034115"/>
    <w:rsid w:val="0003421C"/>
    <w:rsid w:val="00034559"/>
    <w:rsid w:val="00034643"/>
    <w:rsid w:val="00034738"/>
    <w:rsid w:val="00034FB1"/>
    <w:rsid w:val="000351DD"/>
    <w:rsid w:val="00035382"/>
    <w:rsid w:val="000361A4"/>
    <w:rsid w:val="000369FB"/>
    <w:rsid w:val="000371D0"/>
    <w:rsid w:val="00037BE0"/>
    <w:rsid w:val="00037EBB"/>
    <w:rsid w:val="000401D2"/>
    <w:rsid w:val="00040A25"/>
    <w:rsid w:val="00041006"/>
    <w:rsid w:val="0004168C"/>
    <w:rsid w:val="00041F62"/>
    <w:rsid w:val="00042505"/>
    <w:rsid w:val="00042B62"/>
    <w:rsid w:val="00042CFB"/>
    <w:rsid w:val="00043056"/>
    <w:rsid w:val="00043097"/>
    <w:rsid w:val="000434B6"/>
    <w:rsid w:val="000435FA"/>
    <w:rsid w:val="00043A13"/>
    <w:rsid w:val="0004443C"/>
    <w:rsid w:val="0004446F"/>
    <w:rsid w:val="00044762"/>
    <w:rsid w:val="00044804"/>
    <w:rsid w:val="000448C0"/>
    <w:rsid w:val="000449A5"/>
    <w:rsid w:val="00044A7B"/>
    <w:rsid w:val="00044F0A"/>
    <w:rsid w:val="000453B5"/>
    <w:rsid w:val="000455E9"/>
    <w:rsid w:val="00045A54"/>
    <w:rsid w:val="00045F6D"/>
    <w:rsid w:val="0004603E"/>
    <w:rsid w:val="00046343"/>
    <w:rsid w:val="000464B3"/>
    <w:rsid w:val="0004664B"/>
    <w:rsid w:val="00047432"/>
    <w:rsid w:val="00047C61"/>
    <w:rsid w:val="00051039"/>
    <w:rsid w:val="000510C3"/>
    <w:rsid w:val="000515F9"/>
    <w:rsid w:val="00051836"/>
    <w:rsid w:val="00051C87"/>
    <w:rsid w:val="00051D20"/>
    <w:rsid w:val="00052006"/>
    <w:rsid w:val="00052034"/>
    <w:rsid w:val="00052663"/>
    <w:rsid w:val="000528EA"/>
    <w:rsid w:val="00053C26"/>
    <w:rsid w:val="00053CE0"/>
    <w:rsid w:val="00054386"/>
    <w:rsid w:val="00054750"/>
    <w:rsid w:val="000552E6"/>
    <w:rsid w:val="0005562C"/>
    <w:rsid w:val="0005565D"/>
    <w:rsid w:val="000558F3"/>
    <w:rsid w:val="00055C60"/>
    <w:rsid w:val="00056FB7"/>
    <w:rsid w:val="000570FE"/>
    <w:rsid w:val="00057221"/>
    <w:rsid w:val="000577CA"/>
    <w:rsid w:val="000578BF"/>
    <w:rsid w:val="00057A91"/>
    <w:rsid w:val="00057D42"/>
    <w:rsid w:val="00060514"/>
    <w:rsid w:val="00060B02"/>
    <w:rsid w:val="00060E5D"/>
    <w:rsid w:val="0006116A"/>
    <w:rsid w:val="00061555"/>
    <w:rsid w:val="00061678"/>
    <w:rsid w:val="0006175E"/>
    <w:rsid w:val="000627A9"/>
    <w:rsid w:val="00063864"/>
    <w:rsid w:val="00064B63"/>
    <w:rsid w:val="0006546E"/>
    <w:rsid w:val="000655F8"/>
    <w:rsid w:val="00065E33"/>
    <w:rsid w:val="00066469"/>
    <w:rsid w:val="00067127"/>
    <w:rsid w:val="000673EF"/>
    <w:rsid w:val="00067CAA"/>
    <w:rsid w:val="00070090"/>
    <w:rsid w:val="000708D7"/>
    <w:rsid w:val="000709E1"/>
    <w:rsid w:val="00070B16"/>
    <w:rsid w:val="00070D8F"/>
    <w:rsid w:val="0007116C"/>
    <w:rsid w:val="0007144C"/>
    <w:rsid w:val="00071EC1"/>
    <w:rsid w:val="00072659"/>
    <w:rsid w:val="00072E5A"/>
    <w:rsid w:val="000731EC"/>
    <w:rsid w:val="00073635"/>
    <w:rsid w:val="00073C5F"/>
    <w:rsid w:val="00073CDD"/>
    <w:rsid w:val="000743C1"/>
    <w:rsid w:val="00074768"/>
    <w:rsid w:val="00074D65"/>
    <w:rsid w:val="00075295"/>
    <w:rsid w:val="000755EF"/>
    <w:rsid w:val="00075BF9"/>
    <w:rsid w:val="00075DD0"/>
    <w:rsid w:val="00077225"/>
    <w:rsid w:val="000776F7"/>
    <w:rsid w:val="0007784A"/>
    <w:rsid w:val="00077E1C"/>
    <w:rsid w:val="00077ECF"/>
    <w:rsid w:val="00077EE6"/>
    <w:rsid w:val="00077F6E"/>
    <w:rsid w:val="00080299"/>
    <w:rsid w:val="00081BE8"/>
    <w:rsid w:val="0008214B"/>
    <w:rsid w:val="000829B6"/>
    <w:rsid w:val="00082DAD"/>
    <w:rsid w:val="00082FC9"/>
    <w:rsid w:val="0008307F"/>
    <w:rsid w:val="00083180"/>
    <w:rsid w:val="0008334F"/>
    <w:rsid w:val="00083A9F"/>
    <w:rsid w:val="00083AF8"/>
    <w:rsid w:val="00084074"/>
    <w:rsid w:val="00084231"/>
    <w:rsid w:val="000843C9"/>
    <w:rsid w:val="000843E2"/>
    <w:rsid w:val="00084D3C"/>
    <w:rsid w:val="00084FD5"/>
    <w:rsid w:val="000855A9"/>
    <w:rsid w:val="00085CA2"/>
    <w:rsid w:val="0008631C"/>
    <w:rsid w:val="000874B1"/>
    <w:rsid w:val="00087DFA"/>
    <w:rsid w:val="00087EDA"/>
    <w:rsid w:val="00090BBD"/>
    <w:rsid w:val="00090D14"/>
    <w:rsid w:val="00091C84"/>
    <w:rsid w:val="000923A0"/>
    <w:rsid w:val="00092448"/>
    <w:rsid w:val="00092577"/>
    <w:rsid w:val="00092A0F"/>
    <w:rsid w:val="00092BCB"/>
    <w:rsid w:val="00093BC4"/>
    <w:rsid w:val="00093E1D"/>
    <w:rsid w:val="000940FD"/>
    <w:rsid w:val="0009433C"/>
    <w:rsid w:val="00094478"/>
    <w:rsid w:val="000945D8"/>
    <w:rsid w:val="00094699"/>
    <w:rsid w:val="00094EBD"/>
    <w:rsid w:val="000950B6"/>
    <w:rsid w:val="000951A5"/>
    <w:rsid w:val="000953DF"/>
    <w:rsid w:val="00095448"/>
    <w:rsid w:val="00095DC6"/>
    <w:rsid w:val="00095F04"/>
    <w:rsid w:val="000967E3"/>
    <w:rsid w:val="00096A6C"/>
    <w:rsid w:val="00096B0D"/>
    <w:rsid w:val="00097492"/>
    <w:rsid w:val="00097AA1"/>
    <w:rsid w:val="00097CB3"/>
    <w:rsid w:val="000A08E2"/>
    <w:rsid w:val="000A0B4F"/>
    <w:rsid w:val="000A0C08"/>
    <w:rsid w:val="000A0C3B"/>
    <w:rsid w:val="000A15E5"/>
    <w:rsid w:val="000A1A00"/>
    <w:rsid w:val="000A226E"/>
    <w:rsid w:val="000A22EA"/>
    <w:rsid w:val="000A2ABB"/>
    <w:rsid w:val="000A2B1B"/>
    <w:rsid w:val="000A2DCC"/>
    <w:rsid w:val="000A3D13"/>
    <w:rsid w:val="000A4545"/>
    <w:rsid w:val="000A4BDF"/>
    <w:rsid w:val="000A4FA5"/>
    <w:rsid w:val="000A5208"/>
    <w:rsid w:val="000A5661"/>
    <w:rsid w:val="000A5E97"/>
    <w:rsid w:val="000A6AB3"/>
    <w:rsid w:val="000A6E2B"/>
    <w:rsid w:val="000A6F47"/>
    <w:rsid w:val="000A7BEB"/>
    <w:rsid w:val="000A7CA9"/>
    <w:rsid w:val="000B0371"/>
    <w:rsid w:val="000B07F3"/>
    <w:rsid w:val="000B0E5E"/>
    <w:rsid w:val="000B10A2"/>
    <w:rsid w:val="000B1330"/>
    <w:rsid w:val="000B15FF"/>
    <w:rsid w:val="000B1963"/>
    <w:rsid w:val="000B1BD3"/>
    <w:rsid w:val="000B1C05"/>
    <w:rsid w:val="000B1D0C"/>
    <w:rsid w:val="000B29EE"/>
    <w:rsid w:val="000B2A7E"/>
    <w:rsid w:val="000B3544"/>
    <w:rsid w:val="000B37F1"/>
    <w:rsid w:val="000B4370"/>
    <w:rsid w:val="000B4484"/>
    <w:rsid w:val="000B45B6"/>
    <w:rsid w:val="000B4AC5"/>
    <w:rsid w:val="000B5029"/>
    <w:rsid w:val="000B5152"/>
    <w:rsid w:val="000B51F0"/>
    <w:rsid w:val="000B5591"/>
    <w:rsid w:val="000B56D5"/>
    <w:rsid w:val="000B58B5"/>
    <w:rsid w:val="000B5F7F"/>
    <w:rsid w:val="000B6115"/>
    <w:rsid w:val="000B626C"/>
    <w:rsid w:val="000B62AE"/>
    <w:rsid w:val="000B630A"/>
    <w:rsid w:val="000B69F6"/>
    <w:rsid w:val="000B6ACC"/>
    <w:rsid w:val="000B74E3"/>
    <w:rsid w:val="000B778F"/>
    <w:rsid w:val="000B7A46"/>
    <w:rsid w:val="000C0386"/>
    <w:rsid w:val="000C0564"/>
    <w:rsid w:val="000C06D7"/>
    <w:rsid w:val="000C08B0"/>
    <w:rsid w:val="000C094C"/>
    <w:rsid w:val="000C0966"/>
    <w:rsid w:val="000C1080"/>
    <w:rsid w:val="000C18B4"/>
    <w:rsid w:val="000C2014"/>
    <w:rsid w:val="000C287B"/>
    <w:rsid w:val="000C33E2"/>
    <w:rsid w:val="000C3534"/>
    <w:rsid w:val="000C3621"/>
    <w:rsid w:val="000C362D"/>
    <w:rsid w:val="000C3D0B"/>
    <w:rsid w:val="000C3ECE"/>
    <w:rsid w:val="000C4097"/>
    <w:rsid w:val="000C4A0C"/>
    <w:rsid w:val="000C4AA5"/>
    <w:rsid w:val="000C4DAD"/>
    <w:rsid w:val="000C50A8"/>
    <w:rsid w:val="000C586F"/>
    <w:rsid w:val="000C58E2"/>
    <w:rsid w:val="000C5A10"/>
    <w:rsid w:val="000C60BB"/>
    <w:rsid w:val="000C643C"/>
    <w:rsid w:val="000C692F"/>
    <w:rsid w:val="000C695A"/>
    <w:rsid w:val="000C6BD3"/>
    <w:rsid w:val="000C72DA"/>
    <w:rsid w:val="000D0D7F"/>
    <w:rsid w:val="000D0EFF"/>
    <w:rsid w:val="000D1A9B"/>
    <w:rsid w:val="000D1CE1"/>
    <w:rsid w:val="000D1F88"/>
    <w:rsid w:val="000D1FDF"/>
    <w:rsid w:val="000D2051"/>
    <w:rsid w:val="000D2344"/>
    <w:rsid w:val="000D244B"/>
    <w:rsid w:val="000D2471"/>
    <w:rsid w:val="000D2882"/>
    <w:rsid w:val="000D2994"/>
    <w:rsid w:val="000D2AE6"/>
    <w:rsid w:val="000D3740"/>
    <w:rsid w:val="000D3852"/>
    <w:rsid w:val="000D389C"/>
    <w:rsid w:val="000D3C94"/>
    <w:rsid w:val="000D3CBA"/>
    <w:rsid w:val="000D3D8F"/>
    <w:rsid w:val="000D45F3"/>
    <w:rsid w:val="000D4947"/>
    <w:rsid w:val="000D4A21"/>
    <w:rsid w:val="000D4B86"/>
    <w:rsid w:val="000D4FB8"/>
    <w:rsid w:val="000D5352"/>
    <w:rsid w:val="000D5775"/>
    <w:rsid w:val="000D5ED2"/>
    <w:rsid w:val="000D5F26"/>
    <w:rsid w:val="000D691E"/>
    <w:rsid w:val="000D6CAA"/>
    <w:rsid w:val="000D7220"/>
    <w:rsid w:val="000D72FE"/>
    <w:rsid w:val="000D7439"/>
    <w:rsid w:val="000D7FC8"/>
    <w:rsid w:val="000E03D9"/>
    <w:rsid w:val="000E098D"/>
    <w:rsid w:val="000E1059"/>
    <w:rsid w:val="000E1BFE"/>
    <w:rsid w:val="000E2AE1"/>
    <w:rsid w:val="000E309F"/>
    <w:rsid w:val="000E3632"/>
    <w:rsid w:val="000E46D7"/>
    <w:rsid w:val="000E4C3D"/>
    <w:rsid w:val="000E537B"/>
    <w:rsid w:val="000E5DF6"/>
    <w:rsid w:val="000E603E"/>
    <w:rsid w:val="000E69F2"/>
    <w:rsid w:val="000E6D41"/>
    <w:rsid w:val="000E6E5B"/>
    <w:rsid w:val="000E7161"/>
    <w:rsid w:val="000E78FA"/>
    <w:rsid w:val="000E7DC4"/>
    <w:rsid w:val="000F059A"/>
    <w:rsid w:val="000F06BB"/>
    <w:rsid w:val="000F0CFA"/>
    <w:rsid w:val="000F0D45"/>
    <w:rsid w:val="000F104D"/>
    <w:rsid w:val="000F1170"/>
    <w:rsid w:val="000F15FE"/>
    <w:rsid w:val="000F1DD2"/>
    <w:rsid w:val="000F2CC4"/>
    <w:rsid w:val="000F3161"/>
    <w:rsid w:val="000F352B"/>
    <w:rsid w:val="000F365E"/>
    <w:rsid w:val="000F3AF2"/>
    <w:rsid w:val="000F456F"/>
    <w:rsid w:val="000F47CB"/>
    <w:rsid w:val="000F4892"/>
    <w:rsid w:val="000F4B54"/>
    <w:rsid w:val="000F4EBD"/>
    <w:rsid w:val="000F5315"/>
    <w:rsid w:val="000F5540"/>
    <w:rsid w:val="000F5FDB"/>
    <w:rsid w:val="000F63D8"/>
    <w:rsid w:val="000F6537"/>
    <w:rsid w:val="000F6664"/>
    <w:rsid w:val="000F6805"/>
    <w:rsid w:val="000F69C8"/>
    <w:rsid w:val="000F6D8B"/>
    <w:rsid w:val="0010034F"/>
    <w:rsid w:val="001003D6"/>
    <w:rsid w:val="00100785"/>
    <w:rsid w:val="00100B51"/>
    <w:rsid w:val="00101130"/>
    <w:rsid w:val="0010148B"/>
    <w:rsid w:val="00101D7A"/>
    <w:rsid w:val="001031EF"/>
    <w:rsid w:val="00103B47"/>
    <w:rsid w:val="00103EA2"/>
    <w:rsid w:val="00103F35"/>
    <w:rsid w:val="001040A9"/>
    <w:rsid w:val="00104326"/>
    <w:rsid w:val="00104B2F"/>
    <w:rsid w:val="001052D9"/>
    <w:rsid w:val="0010531D"/>
    <w:rsid w:val="0010549B"/>
    <w:rsid w:val="00105730"/>
    <w:rsid w:val="00105C21"/>
    <w:rsid w:val="00105C45"/>
    <w:rsid w:val="00105CE1"/>
    <w:rsid w:val="00106000"/>
    <w:rsid w:val="00107145"/>
    <w:rsid w:val="001078E0"/>
    <w:rsid w:val="00107C62"/>
    <w:rsid w:val="00107DD5"/>
    <w:rsid w:val="00107E1E"/>
    <w:rsid w:val="00107F21"/>
    <w:rsid w:val="0011011E"/>
    <w:rsid w:val="00110442"/>
    <w:rsid w:val="00110655"/>
    <w:rsid w:val="0011075D"/>
    <w:rsid w:val="00111020"/>
    <w:rsid w:val="0011170C"/>
    <w:rsid w:val="0011180B"/>
    <w:rsid w:val="001122CA"/>
    <w:rsid w:val="001123D5"/>
    <w:rsid w:val="001128C6"/>
    <w:rsid w:val="00112C00"/>
    <w:rsid w:val="00112C98"/>
    <w:rsid w:val="00112CB0"/>
    <w:rsid w:val="001139EF"/>
    <w:rsid w:val="00113E87"/>
    <w:rsid w:val="001141F6"/>
    <w:rsid w:val="001146DD"/>
    <w:rsid w:val="00115423"/>
    <w:rsid w:val="001155FE"/>
    <w:rsid w:val="00116115"/>
    <w:rsid w:val="00116679"/>
    <w:rsid w:val="001167DB"/>
    <w:rsid w:val="0011744E"/>
    <w:rsid w:val="00117D0E"/>
    <w:rsid w:val="00120D84"/>
    <w:rsid w:val="00121024"/>
    <w:rsid w:val="00121B9E"/>
    <w:rsid w:val="0012265D"/>
    <w:rsid w:val="00122810"/>
    <w:rsid w:val="00123332"/>
    <w:rsid w:val="00123680"/>
    <w:rsid w:val="001237BA"/>
    <w:rsid w:val="00124019"/>
    <w:rsid w:val="00125179"/>
    <w:rsid w:val="001259AA"/>
    <w:rsid w:val="001265D7"/>
    <w:rsid w:val="0012684B"/>
    <w:rsid w:val="00127BBA"/>
    <w:rsid w:val="00127F2C"/>
    <w:rsid w:val="00127F66"/>
    <w:rsid w:val="00127F9B"/>
    <w:rsid w:val="0013025F"/>
    <w:rsid w:val="00130694"/>
    <w:rsid w:val="0013078B"/>
    <w:rsid w:val="00130EA5"/>
    <w:rsid w:val="00130F23"/>
    <w:rsid w:val="0013124D"/>
    <w:rsid w:val="0013133C"/>
    <w:rsid w:val="00131EE0"/>
    <w:rsid w:val="001323E3"/>
    <w:rsid w:val="001323E4"/>
    <w:rsid w:val="00132D6F"/>
    <w:rsid w:val="00133192"/>
    <w:rsid w:val="001333F3"/>
    <w:rsid w:val="00133DAA"/>
    <w:rsid w:val="0013448D"/>
    <w:rsid w:val="001346D0"/>
    <w:rsid w:val="001348A4"/>
    <w:rsid w:val="00134AF9"/>
    <w:rsid w:val="0013625B"/>
    <w:rsid w:val="00136277"/>
    <w:rsid w:val="00136FB3"/>
    <w:rsid w:val="00137033"/>
    <w:rsid w:val="001370EE"/>
    <w:rsid w:val="0013720B"/>
    <w:rsid w:val="0013725F"/>
    <w:rsid w:val="001374EE"/>
    <w:rsid w:val="00137A43"/>
    <w:rsid w:val="00137C2A"/>
    <w:rsid w:val="001405FE"/>
    <w:rsid w:val="00140647"/>
    <w:rsid w:val="00140B71"/>
    <w:rsid w:val="00141290"/>
    <w:rsid w:val="00141486"/>
    <w:rsid w:val="00141641"/>
    <w:rsid w:val="001418F0"/>
    <w:rsid w:val="00141BEC"/>
    <w:rsid w:val="00141E9A"/>
    <w:rsid w:val="00141F5C"/>
    <w:rsid w:val="00142067"/>
    <w:rsid w:val="001424C7"/>
    <w:rsid w:val="001425A5"/>
    <w:rsid w:val="0014260C"/>
    <w:rsid w:val="00143152"/>
    <w:rsid w:val="00143753"/>
    <w:rsid w:val="00143944"/>
    <w:rsid w:val="00143E75"/>
    <w:rsid w:val="001441E1"/>
    <w:rsid w:val="00144549"/>
    <w:rsid w:val="00144F1B"/>
    <w:rsid w:val="00144FDD"/>
    <w:rsid w:val="00144FFE"/>
    <w:rsid w:val="00145D18"/>
    <w:rsid w:val="00145E07"/>
    <w:rsid w:val="00145EBB"/>
    <w:rsid w:val="0014619C"/>
    <w:rsid w:val="00146FEF"/>
    <w:rsid w:val="0014725F"/>
    <w:rsid w:val="00147553"/>
    <w:rsid w:val="001476FA"/>
    <w:rsid w:val="00147756"/>
    <w:rsid w:val="001477C7"/>
    <w:rsid w:val="001479C9"/>
    <w:rsid w:val="001503E9"/>
    <w:rsid w:val="00150630"/>
    <w:rsid w:val="00150A5D"/>
    <w:rsid w:val="00150BE0"/>
    <w:rsid w:val="001515D3"/>
    <w:rsid w:val="001515FE"/>
    <w:rsid w:val="0015180D"/>
    <w:rsid w:val="00151D4E"/>
    <w:rsid w:val="00151D55"/>
    <w:rsid w:val="00151DA9"/>
    <w:rsid w:val="001525B6"/>
    <w:rsid w:val="001526FD"/>
    <w:rsid w:val="00152BB9"/>
    <w:rsid w:val="00153707"/>
    <w:rsid w:val="00153BF3"/>
    <w:rsid w:val="00153DEC"/>
    <w:rsid w:val="0015420C"/>
    <w:rsid w:val="001545A4"/>
    <w:rsid w:val="00154947"/>
    <w:rsid w:val="00154B6D"/>
    <w:rsid w:val="00154D28"/>
    <w:rsid w:val="001551CD"/>
    <w:rsid w:val="00155C12"/>
    <w:rsid w:val="001565EA"/>
    <w:rsid w:val="001568A8"/>
    <w:rsid w:val="00156941"/>
    <w:rsid w:val="00156FEC"/>
    <w:rsid w:val="00157536"/>
    <w:rsid w:val="00157641"/>
    <w:rsid w:val="0015772C"/>
    <w:rsid w:val="001605D6"/>
    <w:rsid w:val="0016083B"/>
    <w:rsid w:val="00160A25"/>
    <w:rsid w:val="00160B70"/>
    <w:rsid w:val="001611E5"/>
    <w:rsid w:val="001618E2"/>
    <w:rsid w:val="00161983"/>
    <w:rsid w:val="00161B5A"/>
    <w:rsid w:val="00162957"/>
    <w:rsid w:val="00162B3B"/>
    <w:rsid w:val="0016376C"/>
    <w:rsid w:val="001641AB"/>
    <w:rsid w:val="00164392"/>
    <w:rsid w:val="00164B50"/>
    <w:rsid w:val="00164EC1"/>
    <w:rsid w:val="00164F0F"/>
    <w:rsid w:val="0016509F"/>
    <w:rsid w:val="0016544D"/>
    <w:rsid w:val="001655E9"/>
    <w:rsid w:val="00165A4F"/>
    <w:rsid w:val="00165AC6"/>
    <w:rsid w:val="00165EAE"/>
    <w:rsid w:val="00167502"/>
    <w:rsid w:val="00167533"/>
    <w:rsid w:val="00167A2E"/>
    <w:rsid w:val="00167ECB"/>
    <w:rsid w:val="0017041A"/>
    <w:rsid w:val="0017059C"/>
    <w:rsid w:val="0017091E"/>
    <w:rsid w:val="00170C5E"/>
    <w:rsid w:val="00170DC9"/>
    <w:rsid w:val="00171417"/>
    <w:rsid w:val="00172308"/>
    <w:rsid w:val="00172481"/>
    <w:rsid w:val="00172748"/>
    <w:rsid w:val="00172A27"/>
    <w:rsid w:val="00172B58"/>
    <w:rsid w:val="00172D96"/>
    <w:rsid w:val="00173742"/>
    <w:rsid w:val="001739E2"/>
    <w:rsid w:val="00173B0B"/>
    <w:rsid w:val="00174881"/>
    <w:rsid w:val="00174B8B"/>
    <w:rsid w:val="00175336"/>
    <w:rsid w:val="00175754"/>
    <w:rsid w:val="00175EA8"/>
    <w:rsid w:val="00175ED3"/>
    <w:rsid w:val="0017616B"/>
    <w:rsid w:val="00176225"/>
    <w:rsid w:val="00176EBA"/>
    <w:rsid w:val="001773F9"/>
    <w:rsid w:val="00177CE7"/>
    <w:rsid w:val="001801AD"/>
    <w:rsid w:val="001803C7"/>
    <w:rsid w:val="001806BE"/>
    <w:rsid w:val="00180EEC"/>
    <w:rsid w:val="00181652"/>
    <w:rsid w:val="00181778"/>
    <w:rsid w:val="00182260"/>
    <w:rsid w:val="001829E3"/>
    <w:rsid w:val="00182E14"/>
    <w:rsid w:val="00182F17"/>
    <w:rsid w:val="001834DC"/>
    <w:rsid w:val="00183A0C"/>
    <w:rsid w:val="00183A2E"/>
    <w:rsid w:val="00183E35"/>
    <w:rsid w:val="0018406E"/>
    <w:rsid w:val="001840A0"/>
    <w:rsid w:val="00184245"/>
    <w:rsid w:val="00184513"/>
    <w:rsid w:val="001849BB"/>
    <w:rsid w:val="00184B29"/>
    <w:rsid w:val="00184BF3"/>
    <w:rsid w:val="00184E20"/>
    <w:rsid w:val="00185366"/>
    <w:rsid w:val="00185736"/>
    <w:rsid w:val="00185E7A"/>
    <w:rsid w:val="00185F62"/>
    <w:rsid w:val="0018616D"/>
    <w:rsid w:val="00186240"/>
    <w:rsid w:val="001862F7"/>
    <w:rsid w:val="0018661E"/>
    <w:rsid w:val="00186708"/>
    <w:rsid w:val="00186769"/>
    <w:rsid w:val="00187016"/>
    <w:rsid w:val="00187425"/>
    <w:rsid w:val="0019050C"/>
    <w:rsid w:val="00190553"/>
    <w:rsid w:val="0019115D"/>
    <w:rsid w:val="00191721"/>
    <w:rsid w:val="00191877"/>
    <w:rsid w:val="00191BC9"/>
    <w:rsid w:val="00191DCD"/>
    <w:rsid w:val="00191DE9"/>
    <w:rsid w:val="001920CE"/>
    <w:rsid w:val="0019238C"/>
    <w:rsid w:val="00192928"/>
    <w:rsid w:val="00193CC8"/>
    <w:rsid w:val="00193DD8"/>
    <w:rsid w:val="00194248"/>
    <w:rsid w:val="00194374"/>
    <w:rsid w:val="0019442B"/>
    <w:rsid w:val="001946E2"/>
    <w:rsid w:val="00194726"/>
    <w:rsid w:val="001950AA"/>
    <w:rsid w:val="001956D9"/>
    <w:rsid w:val="00195ACF"/>
    <w:rsid w:val="00195C1E"/>
    <w:rsid w:val="00195D02"/>
    <w:rsid w:val="00195E38"/>
    <w:rsid w:val="00196018"/>
    <w:rsid w:val="001960B1"/>
    <w:rsid w:val="001962D0"/>
    <w:rsid w:val="00197410"/>
    <w:rsid w:val="00197EC2"/>
    <w:rsid w:val="001A01B7"/>
    <w:rsid w:val="001A038A"/>
    <w:rsid w:val="001A0679"/>
    <w:rsid w:val="001A105D"/>
    <w:rsid w:val="001A18E4"/>
    <w:rsid w:val="001A1A45"/>
    <w:rsid w:val="001A1C51"/>
    <w:rsid w:val="001A1C6C"/>
    <w:rsid w:val="001A1F14"/>
    <w:rsid w:val="001A219D"/>
    <w:rsid w:val="001A23B6"/>
    <w:rsid w:val="001A2C4F"/>
    <w:rsid w:val="001A305E"/>
    <w:rsid w:val="001A3542"/>
    <w:rsid w:val="001A3656"/>
    <w:rsid w:val="001A3E18"/>
    <w:rsid w:val="001A4305"/>
    <w:rsid w:val="001A4CEC"/>
    <w:rsid w:val="001A4D67"/>
    <w:rsid w:val="001A5893"/>
    <w:rsid w:val="001A5F20"/>
    <w:rsid w:val="001A678B"/>
    <w:rsid w:val="001A6D6E"/>
    <w:rsid w:val="001A6D98"/>
    <w:rsid w:val="001A6E2C"/>
    <w:rsid w:val="001A7B20"/>
    <w:rsid w:val="001B003D"/>
    <w:rsid w:val="001B1729"/>
    <w:rsid w:val="001B2358"/>
    <w:rsid w:val="001B2817"/>
    <w:rsid w:val="001B2C9E"/>
    <w:rsid w:val="001B2FB5"/>
    <w:rsid w:val="001B3313"/>
    <w:rsid w:val="001B383B"/>
    <w:rsid w:val="001B3BC1"/>
    <w:rsid w:val="001B3F98"/>
    <w:rsid w:val="001B4039"/>
    <w:rsid w:val="001B45C5"/>
    <w:rsid w:val="001B474C"/>
    <w:rsid w:val="001B483F"/>
    <w:rsid w:val="001B4AF5"/>
    <w:rsid w:val="001B543F"/>
    <w:rsid w:val="001B5D7D"/>
    <w:rsid w:val="001B5E67"/>
    <w:rsid w:val="001B604B"/>
    <w:rsid w:val="001B61CA"/>
    <w:rsid w:val="001B629B"/>
    <w:rsid w:val="001B64F8"/>
    <w:rsid w:val="001B7455"/>
    <w:rsid w:val="001B7536"/>
    <w:rsid w:val="001B7D3A"/>
    <w:rsid w:val="001C0022"/>
    <w:rsid w:val="001C0B94"/>
    <w:rsid w:val="001C0C0F"/>
    <w:rsid w:val="001C0DC6"/>
    <w:rsid w:val="001C200E"/>
    <w:rsid w:val="001C2412"/>
    <w:rsid w:val="001C267F"/>
    <w:rsid w:val="001C3A87"/>
    <w:rsid w:val="001C4036"/>
    <w:rsid w:val="001C4104"/>
    <w:rsid w:val="001C4190"/>
    <w:rsid w:val="001C50FB"/>
    <w:rsid w:val="001C5351"/>
    <w:rsid w:val="001C53EB"/>
    <w:rsid w:val="001C5D4F"/>
    <w:rsid w:val="001C64F2"/>
    <w:rsid w:val="001C67E5"/>
    <w:rsid w:val="001C6972"/>
    <w:rsid w:val="001C7280"/>
    <w:rsid w:val="001C75F7"/>
    <w:rsid w:val="001C7C91"/>
    <w:rsid w:val="001C7F8F"/>
    <w:rsid w:val="001D0534"/>
    <w:rsid w:val="001D0C6C"/>
    <w:rsid w:val="001D13CB"/>
    <w:rsid w:val="001D174A"/>
    <w:rsid w:val="001D1AC7"/>
    <w:rsid w:val="001D1C19"/>
    <w:rsid w:val="001D2986"/>
    <w:rsid w:val="001D3844"/>
    <w:rsid w:val="001D3DBD"/>
    <w:rsid w:val="001D41BF"/>
    <w:rsid w:val="001D4ED0"/>
    <w:rsid w:val="001D55EF"/>
    <w:rsid w:val="001D5658"/>
    <w:rsid w:val="001D5BB7"/>
    <w:rsid w:val="001D5E16"/>
    <w:rsid w:val="001D652F"/>
    <w:rsid w:val="001D6646"/>
    <w:rsid w:val="001D66CC"/>
    <w:rsid w:val="001D6929"/>
    <w:rsid w:val="001D7030"/>
    <w:rsid w:val="001D74C1"/>
    <w:rsid w:val="001D775F"/>
    <w:rsid w:val="001D78A1"/>
    <w:rsid w:val="001D79CD"/>
    <w:rsid w:val="001D7F1C"/>
    <w:rsid w:val="001E03C1"/>
    <w:rsid w:val="001E054B"/>
    <w:rsid w:val="001E0938"/>
    <w:rsid w:val="001E0AB2"/>
    <w:rsid w:val="001E1418"/>
    <w:rsid w:val="001E15D1"/>
    <w:rsid w:val="001E1682"/>
    <w:rsid w:val="001E1990"/>
    <w:rsid w:val="001E221F"/>
    <w:rsid w:val="001E2D97"/>
    <w:rsid w:val="001E2EFA"/>
    <w:rsid w:val="001E2FCC"/>
    <w:rsid w:val="001E3C07"/>
    <w:rsid w:val="001E3E3E"/>
    <w:rsid w:val="001E3E71"/>
    <w:rsid w:val="001E3EF5"/>
    <w:rsid w:val="001E48B5"/>
    <w:rsid w:val="001E4A5C"/>
    <w:rsid w:val="001E517E"/>
    <w:rsid w:val="001E5B9F"/>
    <w:rsid w:val="001E5DF2"/>
    <w:rsid w:val="001E619C"/>
    <w:rsid w:val="001E6C6D"/>
    <w:rsid w:val="001E6DCB"/>
    <w:rsid w:val="001E7083"/>
    <w:rsid w:val="001E769A"/>
    <w:rsid w:val="001E7DCC"/>
    <w:rsid w:val="001E7E71"/>
    <w:rsid w:val="001E7EB7"/>
    <w:rsid w:val="001F061A"/>
    <w:rsid w:val="001F0804"/>
    <w:rsid w:val="001F093A"/>
    <w:rsid w:val="001F0E32"/>
    <w:rsid w:val="001F0EEE"/>
    <w:rsid w:val="001F1B3B"/>
    <w:rsid w:val="001F1FB7"/>
    <w:rsid w:val="001F2D0A"/>
    <w:rsid w:val="001F2FB9"/>
    <w:rsid w:val="001F3896"/>
    <w:rsid w:val="001F3B90"/>
    <w:rsid w:val="001F3E29"/>
    <w:rsid w:val="001F4580"/>
    <w:rsid w:val="001F4B58"/>
    <w:rsid w:val="001F4CDF"/>
    <w:rsid w:val="001F502B"/>
    <w:rsid w:val="001F58A3"/>
    <w:rsid w:val="001F59D3"/>
    <w:rsid w:val="001F5A9E"/>
    <w:rsid w:val="001F5C21"/>
    <w:rsid w:val="001F5EB9"/>
    <w:rsid w:val="001F6017"/>
    <w:rsid w:val="001F6C35"/>
    <w:rsid w:val="001F7584"/>
    <w:rsid w:val="00200046"/>
    <w:rsid w:val="002002FE"/>
    <w:rsid w:val="00200360"/>
    <w:rsid w:val="00200396"/>
    <w:rsid w:val="00200B53"/>
    <w:rsid w:val="00200DB4"/>
    <w:rsid w:val="00201190"/>
    <w:rsid w:val="0020169D"/>
    <w:rsid w:val="002017B3"/>
    <w:rsid w:val="00201EED"/>
    <w:rsid w:val="00202153"/>
    <w:rsid w:val="00202175"/>
    <w:rsid w:val="00202356"/>
    <w:rsid w:val="00203664"/>
    <w:rsid w:val="002039BC"/>
    <w:rsid w:val="00203B4D"/>
    <w:rsid w:val="00203FD4"/>
    <w:rsid w:val="002043D0"/>
    <w:rsid w:val="00204980"/>
    <w:rsid w:val="0020552F"/>
    <w:rsid w:val="002055DD"/>
    <w:rsid w:val="0020566A"/>
    <w:rsid w:val="0020570B"/>
    <w:rsid w:val="002059CE"/>
    <w:rsid w:val="00205AF2"/>
    <w:rsid w:val="00205BE6"/>
    <w:rsid w:val="00205FAC"/>
    <w:rsid w:val="0020624D"/>
    <w:rsid w:val="00206486"/>
    <w:rsid w:val="002068C9"/>
    <w:rsid w:val="00206D63"/>
    <w:rsid w:val="002071E2"/>
    <w:rsid w:val="00207501"/>
    <w:rsid w:val="00207724"/>
    <w:rsid w:val="00207D64"/>
    <w:rsid w:val="0021021B"/>
    <w:rsid w:val="0021028C"/>
    <w:rsid w:val="00210291"/>
    <w:rsid w:val="00210332"/>
    <w:rsid w:val="002105C2"/>
    <w:rsid w:val="00210832"/>
    <w:rsid w:val="00210A37"/>
    <w:rsid w:val="00210C1B"/>
    <w:rsid w:val="00210F12"/>
    <w:rsid w:val="00211242"/>
    <w:rsid w:val="0021194D"/>
    <w:rsid w:val="00212AE8"/>
    <w:rsid w:val="00213622"/>
    <w:rsid w:val="00213738"/>
    <w:rsid w:val="0021375B"/>
    <w:rsid w:val="00213C4D"/>
    <w:rsid w:val="00213F29"/>
    <w:rsid w:val="00214021"/>
    <w:rsid w:val="0021463C"/>
    <w:rsid w:val="002146CB"/>
    <w:rsid w:val="00214764"/>
    <w:rsid w:val="00214773"/>
    <w:rsid w:val="002148F0"/>
    <w:rsid w:val="00214A70"/>
    <w:rsid w:val="00214F71"/>
    <w:rsid w:val="0021533F"/>
    <w:rsid w:val="0021566B"/>
    <w:rsid w:val="00215878"/>
    <w:rsid w:val="00215949"/>
    <w:rsid w:val="002169D4"/>
    <w:rsid w:val="00216AEB"/>
    <w:rsid w:val="00216B93"/>
    <w:rsid w:val="00216D07"/>
    <w:rsid w:val="00217504"/>
    <w:rsid w:val="00217547"/>
    <w:rsid w:val="0021763E"/>
    <w:rsid w:val="002176E1"/>
    <w:rsid w:val="00217D43"/>
    <w:rsid w:val="00217D8C"/>
    <w:rsid w:val="0022026E"/>
    <w:rsid w:val="0022039A"/>
    <w:rsid w:val="00220E61"/>
    <w:rsid w:val="00221610"/>
    <w:rsid w:val="00221781"/>
    <w:rsid w:val="00221A65"/>
    <w:rsid w:val="002221BA"/>
    <w:rsid w:val="002221C3"/>
    <w:rsid w:val="002224B6"/>
    <w:rsid w:val="002226CE"/>
    <w:rsid w:val="00222C68"/>
    <w:rsid w:val="00223106"/>
    <w:rsid w:val="00223368"/>
    <w:rsid w:val="00223BF0"/>
    <w:rsid w:val="00224F86"/>
    <w:rsid w:val="0022502E"/>
    <w:rsid w:val="0022568A"/>
    <w:rsid w:val="002260B0"/>
    <w:rsid w:val="002260F6"/>
    <w:rsid w:val="00226554"/>
    <w:rsid w:val="00226668"/>
    <w:rsid w:val="00227334"/>
    <w:rsid w:val="00227579"/>
    <w:rsid w:val="00227E3D"/>
    <w:rsid w:val="002301E1"/>
    <w:rsid w:val="002308EF"/>
    <w:rsid w:val="00230931"/>
    <w:rsid w:val="0023159E"/>
    <w:rsid w:val="002317B5"/>
    <w:rsid w:val="0023202F"/>
    <w:rsid w:val="0023207D"/>
    <w:rsid w:val="002325A1"/>
    <w:rsid w:val="002328B3"/>
    <w:rsid w:val="00233217"/>
    <w:rsid w:val="002333C3"/>
    <w:rsid w:val="002338C0"/>
    <w:rsid w:val="00233A6C"/>
    <w:rsid w:val="00233C38"/>
    <w:rsid w:val="0023406F"/>
    <w:rsid w:val="002347B0"/>
    <w:rsid w:val="00234947"/>
    <w:rsid w:val="00234955"/>
    <w:rsid w:val="00235309"/>
    <w:rsid w:val="00235313"/>
    <w:rsid w:val="002354E8"/>
    <w:rsid w:val="00235EA1"/>
    <w:rsid w:val="00235F2B"/>
    <w:rsid w:val="00236B95"/>
    <w:rsid w:val="00236D9E"/>
    <w:rsid w:val="00237019"/>
    <w:rsid w:val="002371D6"/>
    <w:rsid w:val="00237329"/>
    <w:rsid w:val="002376A5"/>
    <w:rsid w:val="00237824"/>
    <w:rsid w:val="0024031C"/>
    <w:rsid w:val="002411AE"/>
    <w:rsid w:val="0024153A"/>
    <w:rsid w:val="0024166F"/>
    <w:rsid w:val="00241A9E"/>
    <w:rsid w:val="00241B97"/>
    <w:rsid w:val="00241DAE"/>
    <w:rsid w:val="002424E3"/>
    <w:rsid w:val="00242DA1"/>
    <w:rsid w:val="00242DDE"/>
    <w:rsid w:val="00242DFB"/>
    <w:rsid w:val="0024328E"/>
    <w:rsid w:val="002436B3"/>
    <w:rsid w:val="00243C63"/>
    <w:rsid w:val="00244674"/>
    <w:rsid w:val="00244A9E"/>
    <w:rsid w:val="00244F6E"/>
    <w:rsid w:val="002455F2"/>
    <w:rsid w:val="0024560F"/>
    <w:rsid w:val="00245789"/>
    <w:rsid w:val="00245F64"/>
    <w:rsid w:val="00246460"/>
    <w:rsid w:val="0024674C"/>
    <w:rsid w:val="00246878"/>
    <w:rsid w:val="00246E3D"/>
    <w:rsid w:val="0024747A"/>
    <w:rsid w:val="0024778B"/>
    <w:rsid w:val="00250407"/>
    <w:rsid w:val="00250957"/>
    <w:rsid w:val="00250A74"/>
    <w:rsid w:val="00250EDD"/>
    <w:rsid w:val="00250F66"/>
    <w:rsid w:val="00251023"/>
    <w:rsid w:val="002510EB"/>
    <w:rsid w:val="00251334"/>
    <w:rsid w:val="00251ED9"/>
    <w:rsid w:val="00251FA7"/>
    <w:rsid w:val="00252599"/>
    <w:rsid w:val="002526BC"/>
    <w:rsid w:val="00252B3B"/>
    <w:rsid w:val="0025370C"/>
    <w:rsid w:val="0025451F"/>
    <w:rsid w:val="00254B48"/>
    <w:rsid w:val="002550A5"/>
    <w:rsid w:val="00255A44"/>
    <w:rsid w:val="00255E17"/>
    <w:rsid w:val="00255FCE"/>
    <w:rsid w:val="0025641A"/>
    <w:rsid w:val="0025653A"/>
    <w:rsid w:val="00256544"/>
    <w:rsid w:val="00256B65"/>
    <w:rsid w:val="00256EEE"/>
    <w:rsid w:val="002574AD"/>
    <w:rsid w:val="00257A8E"/>
    <w:rsid w:val="00257B0C"/>
    <w:rsid w:val="00257CE8"/>
    <w:rsid w:val="00257E3C"/>
    <w:rsid w:val="002602D6"/>
    <w:rsid w:val="002614CD"/>
    <w:rsid w:val="002614F8"/>
    <w:rsid w:val="0026193F"/>
    <w:rsid w:val="00261956"/>
    <w:rsid w:val="00261DD7"/>
    <w:rsid w:val="0026274D"/>
    <w:rsid w:val="00263397"/>
    <w:rsid w:val="0026342D"/>
    <w:rsid w:val="00263BF8"/>
    <w:rsid w:val="00263F4B"/>
    <w:rsid w:val="00264A2D"/>
    <w:rsid w:val="00264D01"/>
    <w:rsid w:val="0026581C"/>
    <w:rsid w:val="002662C2"/>
    <w:rsid w:val="00266C8A"/>
    <w:rsid w:val="0026757F"/>
    <w:rsid w:val="002678E4"/>
    <w:rsid w:val="0027021C"/>
    <w:rsid w:val="00271162"/>
    <w:rsid w:val="002714D1"/>
    <w:rsid w:val="002714FD"/>
    <w:rsid w:val="002716BF"/>
    <w:rsid w:val="00271948"/>
    <w:rsid w:val="002720A7"/>
    <w:rsid w:val="002726C6"/>
    <w:rsid w:val="002728C0"/>
    <w:rsid w:val="00273517"/>
    <w:rsid w:val="00273B63"/>
    <w:rsid w:val="00273DF5"/>
    <w:rsid w:val="0027439A"/>
    <w:rsid w:val="00274A2B"/>
    <w:rsid w:val="00274C1A"/>
    <w:rsid w:val="00275048"/>
    <w:rsid w:val="00275B6E"/>
    <w:rsid w:val="0027603C"/>
    <w:rsid w:val="00276CB9"/>
    <w:rsid w:val="00276D40"/>
    <w:rsid w:val="0027702D"/>
    <w:rsid w:val="002778CE"/>
    <w:rsid w:val="00280A0F"/>
    <w:rsid w:val="00280C91"/>
    <w:rsid w:val="002815BC"/>
    <w:rsid w:val="00281C80"/>
    <w:rsid w:val="00281D7A"/>
    <w:rsid w:val="00282502"/>
    <w:rsid w:val="002825D8"/>
    <w:rsid w:val="00282834"/>
    <w:rsid w:val="00282E0B"/>
    <w:rsid w:val="002832D1"/>
    <w:rsid w:val="00284557"/>
    <w:rsid w:val="0028474F"/>
    <w:rsid w:val="00284805"/>
    <w:rsid w:val="00284F2F"/>
    <w:rsid w:val="002852A7"/>
    <w:rsid w:val="0028569B"/>
    <w:rsid w:val="00285BCA"/>
    <w:rsid w:val="00285C2E"/>
    <w:rsid w:val="00285DB6"/>
    <w:rsid w:val="00286792"/>
    <w:rsid w:val="00286A6F"/>
    <w:rsid w:val="00286FD3"/>
    <w:rsid w:val="002871B7"/>
    <w:rsid w:val="002877C6"/>
    <w:rsid w:val="00287F23"/>
    <w:rsid w:val="00290359"/>
    <w:rsid w:val="00290571"/>
    <w:rsid w:val="00290B23"/>
    <w:rsid w:val="00290D3D"/>
    <w:rsid w:val="0029198A"/>
    <w:rsid w:val="00291A9F"/>
    <w:rsid w:val="00291ADD"/>
    <w:rsid w:val="00291E97"/>
    <w:rsid w:val="0029230F"/>
    <w:rsid w:val="00292340"/>
    <w:rsid w:val="0029261D"/>
    <w:rsid w:val="0029291F"/>
    <w:rsid w:val="002938DE"/>
    <w:rsid w:val="00293D29"/>
    <w:rsid w:val="00293F07"/>
    <w:rsid w:val="00294235"/>
    <w:rsid w:val="00294918"/>
    <w:rsid w:val="00294967"/>
    <w:rsid w:val="00294D4C"/>
    <w:rsid w:val="00295050"/>
    <w:rsid w:val="0029516B"/>
    <w:rsid w:val="00295243"/>
    <w:rsid w:val="0029578E"/>
    <w:rsid w:val="00295A41"/>
    <w:rsid w:val="002964A6"/>
    <w:rsid w:val="0029657E"/>
    <w:rsid w:val="00296689"/>
    <w:rsid w:val="00296743"/>
    <w:rsid w:val="002A0304"/>
    <w:rsid w:val="002A0DA8"/>
    <w:rsid w:val="002A1558"/>
    <w:rsid w:val="002A163B"/>
    <w:rsid w:val="002A1A53"/>
    <w:rsid w:val="002A1B9E"/>
    <w:rsid w:val="002A1BE2"/>
    <w:rsid w:val="002A1FD0"/>
    <w:rsid w:val="002A25B8"/>
    <w:rsid w:val="002A2E08"/>
    <w:rsid w:val="002A37D3"/>
    <w:rsid w:val="002A44AA"/>
    <w:rsid w:val="002A4C74"/>
    <w:rsid w:val="002A4DB8"/>
    <w:rsid w:val="002A4E96"/>
    <w:rsid w:val="002A56C1"/>
    <w:rsid w:val="002A5E95"/>
    <w:rsid w:val="002A5EB9"/>
    <w:rsid w:val="002A6274"/>
    <w:rsid w:val="002A657C"/>
    <w:rsid w:val="002A66DE"/>
    <w:rsid w:val="002A6976"/>
    <w:rsid w:val="002A6ADE"/>
    <w:rsid w:val="002A6F9C"/>
    <w:rsid w:val="002A717E"/>
    <w:rsid w:val="002A71D3"/>
    <w:rsid w:val="002A72C5"/>
    <w:rsid w:val="002A779B"/>
    <w:rsid w:val="002A7845"/>
    <w:rsid w:val="002A7A93"/>
    <w:rsid w:val="002B0262"/>
    <w:rsid w:val="002B0531"/>
    <w:rsid w:val="002B05A0"/>
    <w:rsid w:val="002B12DF"/>
    <w:rsid w:val="002B1622"/>
    <w:rsid w:val="002B168B"/>
    <w:rsid w:val="002B18B7"/>
    <w:rsid w:val="002B222B"/>
    <w:rsid w:val="002B2562"/>
    <w:rsid w:val="002B286D"/>
    <w:rsid w:val="002B2CB8"/>
    <w:rsid w:val="002B2D8F"/>
    <w:rsid w:val="002B32F2"/>
    <w:rsid w:val="002B391F"/>
    <w:rsid w:val="002B4B49"/>
    <w:rsid w:val="002B4E0C"/>
    <w:rsid w:val="002B542C"/>
    <w:rsid w:val="002B565F"/>
    <w:rsid w:val="002B5846"/>
    <w:rsid w:val="002B5DD3"/>
    <w:rsid w:val="002B5EF7"/>
    <w:rsid w:val="002B65A4"/>
    <w:rsid w:val="002B709A"/>
    <w:rsid w:val="002B7140"/>
    <w:rsid w:val="002B7936"/>
    <w:rsid w:val="002B7D60"/>
    <w:rsid w:val="002B7F47"/>
    <w:rsid w:val="002C0225"/>
    <w:rsid w:val="002C058A"/>
    <w:rsid w:val="002C137B"/>
    <w:rsid w:val="002C13A0"/>
    <w:rsid w:val="002C14C3"/>
    <w:rsid w:val="002C1AC9"/>
    <w:rsid w:val="002C1E6E"/>
    <w:rsid w:val="002C3994"/>
    <w:rsid w:val="002C43DE"/>
    <w:rsid w:val="002C44B5"/>
    <w:rsid w:val="002C456B"/>
    <w:rsid w:val="002C45BE"/>
    <w:rsid w:val="002C5BFB"/>
    <w:rsid w:val="002C6EE2"/>
    <w:rsid w:val="002C7174"/>
    <w:rsid w:val="002C74DF"/>
    <w:rsid w:val="002C7B05"/>
    <w:rsid w:val="002C7DAA"/>
    <w:rsid w:val="002D0464"/>
    <w:rsid w:val="002D0474"/>
    <w:rsid w:val="002D0530"/>
    <w:rsid w:val="002D0605"/>
    <w:rsid w:val="002D0753"/>
    <w:rsid w:val="002D0BDD"/>
    <w:rsid w:val="002D0D00"/>
    <w:rsid w:val="002D0E7C"/>
    <w:rsid w:val="002D109E"/>
    <w:rsid w:val="002D1554"/>
    <w:rsid w:val="002D17B6"/>
    <w:rsid w:val="002D18E3"/>
    <w:rsid w:val="002D2220"/>
    <w:rsid w:val="002D2426"/>
    <w:rsid w:val="002D2B24"/>
    <w:rsid w:val="002D2D39"/>
    <w:rsid w:val="002D3040"/>
    <w:rsid w:val="002D32E7"/>
    <w:rsid w:val="002D36EE"/>
    <w:rsid w:val="002D3CC5"/>
    <w:rsid w:val="002D3F95"/>
    <w:rsid w:val="002D442D"/>
    <w:rsid w:val="002D5275"/>
    <w:rsid w:val="002D5515"/>
    <w:rsid w:val="002D5555"/>
    <w:rsid w:val="002D5FB3"/>
    <w:rsid w:val="002D77A4"/>
    <w:rsid w:val="002D78AA"/>
    <w:rsid w:val="002D7950"/>
    <w:rsid w:val="002E0158"/>
    <w:rsid w:val="002E074B"/>
    <w:rsid w:val="002E0DEE"/>
    <w:rsid w:val="002E11E1"/>
    <w:rsid w:val="002E1555"/>
    <w:rsid w:val="002E213F"/>
    <w:rsid w:val="002E3849"/>
    <w:rsid w:val="002E4399"/>
    <w:rsid w:val="002E5047"/>
    <w:rsid w:val="002E51B0"/>
    <w:rsid w:val="002E53F1"/>
    <w:rsid w:val="002E5E84"/>
    <w:rsid w:val="002E7025"/>
    <w:rsid w:val="002E7A8F"/>
    <w:rsid w:val="002F000E"/>
    <w:rsid w:val="002F005C"/>
    <w:rsid w:val="002F03F7"/>
    <w:rsid w:val="002F0446"/>
    <w:rsid w:val="002F0B51"/>
    <w:rsid w:val="002F1910"/>
    <w:rsid w:val="002F1CE5"/>
    <w:rsid w:val="002F1D4F"/>
    <w:rsid w:val="002F1FCF"/>
    <w:rsid w:val="002F224E"/>
    <w:rsid w:val="002F2730"/>
    <w:rsid w:val="002F2B61"/>
    <w:rsid w:val="002F2B67"/>
    <w:rsid w:val="002F339C"/>
    <w:rsid w:val="002F36E6"/>
    <w:rsid w:val="002F3DC1"/>
    <w:rsid w:val="002F3E4D"/>
    <w:rsid w:val="002F4202"/>
    <w:rsid w:val="002F4792"/>
    <w:rsid w:val="002F50AA"/>
    <w:rsid w:val="002F5338"/>
    <w:rsid w:val="002F5347"/>
    <w:rsid w:val="002F54D3"/>
    <w:rsid w:val="002F5F1F"/>
    <w:rsid w:val="002F65C7"/>
    <w:rsid w:val="002F65E2"/>
    <w:rsid w:val="002F6D6B"/>
    <w:rsid w:val="002F7066"/>
    <w:rsid w:val="002F7FCC"/>
    <w:rsid w:val="003003A8"/>
    <w:rsid w:val="003005B3"/>
    <w:rsid w:val="003006A5"/>
    <w:rsid w:val="00300BA3"/>
    <w:rsid w:val="003014BB"/>
    <w:rsid w:val="00302407"/>
    <w:rsid w:val="00303003"/>
    <w:rsid w:val="00303740"/>
    <w:rsid w:val="00303793"/>
    <w:rsid w:val="0030398C"/>
    <w:rsid w:val="0030426D"/>
    <w:rsid w:val="003045DC"/>
    <w:rsid w:val="00304904"/>
    <w:rsid w:val="00304F3F"/>
    <w:rsid w:val="0030557E"/>
    <w:rsid w:val="00305922"/>
    <w:rsid w:val="00305D05"/>
    <w:rsid w:val="00307136"/>
    <w:rsid w:val="003076FC"/>
    <w:rsid w:val="00307900"/>
    <w:rsid w:val="00307DF9"/>
    <w:rsid w:val="00307E47"/>
    <w:rsid w:val="0031061A"/>
    <w:rsid w:val="00310EB1"/>
    <w:rsid w:val="00311A2C"/>
    <w:rsid w:val="00312CDC"/>
    <w:rsid w:val="00313DEA"/>
    <w:rsid w:val="0031422B"/>
    <w:rsid w:val="003145FF"/>
    <w:rsid w:val="003147B7"/>
    <w:rsid w:val="00314990"/>
    <w:rsid w:val="003152B1"/>
    <w:rsid w:val="003152C6"/>
    <w:rsid w:val="00315C36"/>
    <w:rsid w:val="003163FA"/>
    <w:rsid w:val="00316D6A"/>
    <w:rsid w:val="00316DC7"/>
    <w:rsid w:val="00317269"/>
    <w:rsid w:val="00317E5C"/>
    <w:rsid w:val="003200D6"/>
    <w:rsid w:val="003201A2"/>
    <w:rsid w:val="0032049B"/>
    <w:rsid w:val="00320A95"/>
    <w:rsid w:val="00321AB7"/>
    <w:rsid w:val="00322AF5"/>
    <w:rsid w:val="00322C0D"/>
    <w:rsid w:val="00322C47"/>
    <w:rsid w:val="003237AD"/>
    <w:rsid w:val="003239AE"/>
    <w:rsid w:val="00323B1D"/>
    <w:rsid w:val="003240C8"/>
    <w:rsid w:val="00324471"/>
    <w:rsid w:val="003244D4"/>
    <w:rsid w:val="0032521E"/>
    <w:rsid w:val="00325346"/>
    <w:rsid w:val="00325EA2"/>
    <w:rsid w:val="00326101"/>
    <w:rsid w:val="0032639F"/>
    <w:rsid w:val="00326793"/>
    <w:rsid w:val="00326C5E"/>
    <w:rsid w:val="00327192"/>
    <w:rsid w:val="0032735D"/>
    <w:rsid w:val="003273B2"/>
    <w:rsid w:val="00327588"/>
    <w:rsid w:val="003276EA"/>
    <w:rsid w:val="00330361"/>
    <w:rsid w:val="00330454"/>
    <w:rsid w:val="0033059C"/>
    <w:rsid w:val="003308A7"/>
    <w:rsid w:val="00330A64"/>
    <w:rsid w:val="00330BCE"/>
    <w:rsid w:val="00330C8A"/>
    <w:rsid w:val="00330EF1"/>
    <w:rsid w:val="00331450"/>
    <w:rsid w:val="00331A41"/>
    <w:rsid w:val="00331F5A"/>
    <w:rsid w:val="00331F84"/>
    <w:rsid w:val="0033221F"/>
    <w:rsid w:val="00332770"/>
    <w:rsid w:val="003330C9"/>
    <w:rsid w:val="0033347A"/>
    <w:rsid w:val="00333746"/>
    <w:rsid w:val="00333846"/>
    <w:rsid w:val="003342F2"/>
    <w:rsid w:val="00334C5D"/>
    <w:rsid w:val="00335245"/>
    <w:rsid w:val="003356C1"/>
    <w:rsid w:val="00335BD3"/>
    <w:rsid w:val="00336E6C"/>
    <w:rsid w:val="003377C5"/>
    <w:rsid w:val="00337E0E"/>
    <w:rsid w:val="00337F90"/>
    <w:rsid w:val="003406CD"/>
    <w:rsid w:val="003409D5"/>
    <w:rsid w:val="00340B57"/>
    <w:rsid w:val="00341903"/>
    <w:rsid w:val="00341DB4"/>
    <w:rsid w:val="0034221C"/>
    <w:rsid w:val="003429F3"/>
    <w:rsid w:val="00342B5D"/>
    <w:rsid w:val="0034309F"/>
    <w:rsid w:val="0034358F"/>
    <w:rsid w:val="00343B64"/>
    <w:rsid w:val="0034418A"/>
    <w:rsid w:val="003444ED"/>
    <w:rsid w:val="00344554"/>
    <w:rsid w:val="003445CA"/>
    <w:rsid w:val="00344B1B"/>
    <w:rsid w:val="00344B9D"/>
    <w:rsid w:val="00345AC2"/>
    <w:rsid w:val="00345DAB"/>
    <w:rsid w:val="00346215"/>
    <w:rsid w:val="0034720F"/>
    <w:rsid w:val="0034762B"/>
    <w:rsid w:val="00347653"/>
    <w:rsid w:val="00347D2C"/>
    <w:rsid w:val="00350054"/>
    <w:rsid w:val="00350490"/>
    <w:rsid w:val="003509FA"/>
    <w:rsid w:val="00350F49"/>
    <w:rsid w:val="003514BE"/>
    <w:rsid w:val="003515EC"/>
    <w:rsid w:val="00351C3A"/>
    <w:rsid w:val="00351E9C"/>
    <w:rsid w:val="00352161"/>
    <w:rsid w:val="00352FD6"/>
    <w:rsid w:val="00353DE9"/>
    <w:rsid w:val="00354099"/>
    <w:rsid w:val="003540C8"/>
    <w:rsid w:val="00355004"/>
    <w:rsid w:val="00355115"/>
    <w:rsid w:val="003555F1"/>
    <w:rsid w:val="00355D31"/>
    <w:rsid w:val="00356079"/>
    <w:rsid w:val="00356A64"/>
    <w:rsid w:val="003570FF"/>
    <w:rsid w:val="00357336"/>
    <w:rsid w:val="003575BD"/>
    <w:rsid w:val="00360384"/>
    <w:rsid w:val="00360722"/>
    <w:rsid w:val="00360D98"/>
    <w:rsid w:val="0036113B"/>
    <w:rsid w:val="003612A9"/>
    <w:rsid w:val="00361555"/>
    <w:rsid w:val="00361912"/>
    <w:rsid w:val="00361C96"/>
    <w:rsid w:val="00361DD4"/>
    <w:rsid w:val="003626A2"/>
    <w:rsid w:val="00362D86"/>
    <w:rsid w:val="00362DFE"/>
    <w:rsid w:val="003634FD"/>
    <w:rsid w:val="003636A4"/>
    <w:rsid w:val="003636FE"/>
    <w:rsid w:val="00364283"/>
    <w:rsid w:val="0036472A"/>
    <w:rsid w:val="003649BD"/>
    <w:rsid w:val="00364D06"/>
    <w:rsid w:val="00364E0E"/>
    <w:rsid w:val="00365118"/>
    <w:rsid w:val="003653D9"/>
    <w:rsid w:val="00365A67"/>
    <w:rsid w:val="00365A72"/>
    <w:rsid w:val="0036634C"/>
    <w:rsid w:val="00366F3A"/>
    <w:rsid w:val="00366F75"/>
    <w:rsid w:val="003670EC"/>
    <w:rsid w:val="003670EE"/>
    <w:rsid w:val="0036766B"/>
    <w:rsid w:val="00367704"/>
    <w:rsid w:val="00367950"/>
    <w:rsid w:val="00367E24"/>
    <w:rsid w:val="00370A4E"/>
    <w:rsid w:val="00370BA0"/>
    <w:rsid w:val="00370E29"/>
    <w:rsid w:val="0037131F"/>
    <w:rsid w:val="003714A1"/>
    <w:rsid w:val="003716F1"/>
    <w:rsid w:val="00372194"/>
    <w:rsid w:val="003732E5"/>
    <w:rsid w:val="00373889"/>
    <w:rsid w:val="00373C51"/>
    <w:rsid w:val="0037450D"/>
    <w:rsid w:val="00374980"/>
    <w:rsid w:val="00374D5D"/>
    <w:rsid w:val="00374E1B"/>
    <w:rsid w:val="00374F45"/>
    <w:rsid w:val="003751EC"/>
    <w:rsid w:val="00375345"/>
    <w:rsid w:val="00375798"/>
    <w:rsid w:val="00375912"/>
    <w:rsid w:val="00375E24"/>
    <w:rsid w:val="00375F2E"/>
    <w:rsid w:val="00375F44"/>
    <w:rsid w:val="0037617F"/>
    <w:rsid w:val="003762D8"/>
    <w:rsid w:val="00376DBB"/>
    <w:rsid w:val="0037727C"/>
    <w:rsid w:val="00377511"/>
    <w:rsid w:val="0037760A"/>
    <w:rsid w:val="003779AB"/>
    <w:rsid w:val="003801F2"/>
    <w:rsid w:val="003803DC"/>
    <w:rsid w:val="00380475"/>
    <w:rsid w:val="00380CBC"/>
    <w:rsid w:val="00381318"/>
    <w:rsid w:val="00381329"/>
    <w:rsid w:val="00381358"/>
    <w:rsid w:val="00381477"/>
    <w:rsid w:val="003820FB"/>
    <w:rsid w:val="00382387"/>
    <w:rsid w:val="00382456"/>
    <w:rsid w:val="0038288A"/>
    <w:rsid w:val="00383386"/>
    <w:rsid w:val="003841DF"/>
    <w:rsid w:val="0038430F"/>
    <w:rsid w:val="0038463E"/>
    <w:rsid w:val="0038478A"/>
    <w:rsid w:val="00384AEF"/>
    <w:rsid w:val="00384BB2"/>
    <w:rsid w:val="00384C74"/>
    <w:rsid w:val="00385446"/>
    <w:rsid w:val="00385E0C"/>
    <w:rsid w:val="00386B4D"/>
    <w:rsid w:val="00387173"/>
    <w:rsid w:val="0038722A"/>
    <w:rsid w:val="0038735C"/>
    <w:rsid w:val="003878E3"/>
    <w:rsid w:val="00387A37"/>
    <w:rsid w:val="00387E25"/>
    <w:rsid w:val="00390494"/>
    <w:rsid w:val="0039073E"/>
    <w:rsid w:val="003914EE"/>
    <w:rsid w:val="003916D8"/>
    <w:rsid w:val="00391D88"/>
    <w:rsid w:val="00391DB9"/>
    <w:rsid w:val="003926A1"/>
    <w:rsid w:val="00392736"/>
    <w:rsid w:val="00392A4C"/>
    <w:rsid w:val="00393762"/>
    <w:rsid w:val="00393AF6"/>
    <w:rsid w:val="00393DB2"/>
    <w:rsid w:val="003941A1"/>
    <w:rsid w:val="003942BC"/>
    <w:rsid w:val="00394393"/>
    <w:rsid w:val="0039466C"/>
    <w:rsid w:val="00394C9C"/>
    <w:rsid w:val="00395986"/>
    <w:rsid w:val="00395E37"/>
    <w:rsid w:val="00396006"/>
    <w:rsid w:val="0039616E"/>
    <w:rsid w:val="0039620E"/>
    <w:rsid w:val="00396426"/>
    <w:rsid w:val="00396AB1"/>
    <w:rsid w:val="00396BC0"/>
    <w:rsid w:val="00396F87"/>
    <w:rsid w:val="0039725C"/>
    <w:rsid w:val="0039738A"/>
    <w:rsid w:val="003974E4"/>
    <w:rsid w:val="003976DD"/>
    <w:rsid w:val="003976FD"/>
    <w:rsid w:val="00397719"/>
    <w:rsid w:val="00397E19"/>
    <w:rsid w:val="003A06FE"/>
    <w:rsid w:val="003A08E5"/>
    <w:rsid w:val="003A0933"/>
    <w:rsid w:val="003A12A1"/>
    <w:rsid w:val="003A12BB"/>
    <w:rsid w:val="003A1584"/>
    <w:rsid w:val="003A16B3"/>
    <w:rsid w:val="003A1BAC"/>
    <w:rsid w:val="003A1E40"/>
    <w:rsid w:val="003A1E47"/>
    <w:rsid w:val="003A2959"/>
    <w:rsid w:val="003A2FBE"/>
    <w:rsid w:val="003A315E"/>
    <w:rsid w:val="003A33CC"/>
    <w:rsid w:val="003A3671"/>
    <w:rsid w:val="003A3FD8"/>
    <w:rsid w:val="003A4FAE"/>
    <w:rsid w:val="003A54D6"/>
    <w:rsid w:val="003A55B7"/>
    <w:rsid w:val="003A56E9"/>
    <w:rsid w:val="003A5FDC"/>
    <w:rsid w:val="003A64BE"/>
    <w:rsid w:val="003A66EA"/>
    <w:rsid w:val="003A6E65"/>
    <w:rsid w:val="003A761E"/>
    <w:rsid w:val="003A76C5"/>
    <w:rsid w:val="003A7C96"/>
    <w:rsid w:val="003A7CBE"/>
    <w:rsid w:val="003B07F9"/>
    <w:rsid w:val="003B08C0"/>
    <w:rsid w:val="003B1166"/>
    <w:rsid w:val="003B119E"/>
    <w:rsid w:val="003B16E0"/>
    <w:rsid w:val="003B1728"/>
    <w:rsid w:val="003B19C0"/>
    <w:rsid w:val="003B2279"/>
    <w:rsid w:val="003B23A4"/>
    <w:rsid w:val="003B29BC"/>
    <w:rsid w:val="003B2BB0"/>
    <w:rsid w:val="003B2C1A"/>
    <w:rsid w:val="003B3A00"/>
    <w:rsid w:val="003B3B57"/>
    <w:rsid w:val="003B3C1E"/>
    <w:rsid w:val="003B49EC"/>
    <w:rsid w:val="003B4B9B"/>
    <w:rsid w:val="003B4BDF"/>
    <w:rsid w:val="003B4EBD"/>
    <w:rsid w:val="003B5025"/>
    <w:rsid w:val="003B519C"/>
    <w:rsid w:val="003B52DB"/>
    <w:rsid w:val="003B570E"/>
    <w:rsid w:val="003B6083"/>
    <w:rsid w:val="003B650F"/>
    <w:rsid w:val="003B671F"/>
    <w:rsid w:val="003B6842"/>
    <w:rsid w:val="003B69C1"/>
    <w:rsid w:val="003B6BDC"/>
    <w:rsid w:val="003B72CF"/>
    <w:rsid w:val="003B745D"/>
    <w:rsid w:val="003B79DE"/>
    <w:rsid w:val="003B7EB4"/>
    <w:rsid w:val="003C024C"/>
    <w:rsid w:val="003C030B"/>
    <w:rsid w:val="003C0393"/>
    <w:rsid w:val="003C0C6C"/>
    <w:rsid w:val="003C11B3"/>
    <w:rsid w:val="003C1491"/>
    <w:rsid w:val="003C181A"/>
    <w:rsid w:val="003C199B"/>
    <w:rsid w:val="003C1CE3"/>
    <w:rsid w:val="003C226C"/>
    <w:rsid w:val="003C2952"/>
    <w:rsid w:val="003C2E72"/>
    <w:rsid w:val="003C2F04"/>
    <w:rsid w:val="003C2FE0"/>
    <w:rsid w:val="003C32AF"/>
    <w:rsid w:val="003C3490"/>
    <w:rsid w:val="003C3E3F"/>
    <w:rsid w:val="003C4565"/>
    <w:rsid w:val="003C4D2F"/>
    <w:rsid w:val="003C52F6"/>
    <w:rsid w:val="003C5570"/>
    <w:rsid w:val="003C5B1D"/>
    <w:rsid w:val="003C5B5F"/>
    <w:rsid w:val="003C648C"/>
    <w:rsid w:val="003C6A20"/>
    <w:rsid w:val="003C6BF1"/>
    <w:rsid w:val="003C6CE9"/>
    <w:rsid w:val="003C7390"/>
    <w:rsid w:val="003C73D9"/>
    <w:rsid w:val="003C7562"/>
    <w:rsid w:val="003C7A49"/>
    <w:rsid w:val="003C7FE2"/>
    <w:rsid w:val="003D0010"/>
    <w:rsid w:val="003D001B"/>
    <w:rsid w:val="003D0311"/>
    <w:rsid w:val="003D0E12"/>
    <w:rsid w:val="003D1024"/>
    <w:rsid w:val="003D1C7E"/>
    <w:rsid w:val="003D1F84"/>
    <w:rsid w:val="003D22D8"/>
    <w:rsid w:val="003D2561"/>
    <w:rsid w:val="003D2ADE"/>
    <w:rsid w:val="003D3112"/>
    <w:rsid w:val="003D37C0"/>
    <w:rsid w:val="003D37E3"/>
    <w:rsid w:val="003D38A6"/>
    <w:rsid w:val="003D38D8"/>
    <w:rsid w:val="003D3F92"/>
    <w:rsid w:val="003D40B0"/>
    <w:rsid w:val="003D494E"/>
    <w:rsid w:val="003D5013"/>
    <w:rsid w:val="003D57BD"/>
    <w:rsid w:val="003D5B99"/>
    <w:rsid w:val="003D601E"/>
    <w:rsid w:val="003D6903"/>
    <w:rsid w:val="003D701C"/>
    <w:rsid w:val="003D7763"/>
    <w:rsid w:val="003D7EE7"/>
    <w:rsid w:val="003E0AAD"/>
    <w:rsid w:val="003E0B02"/>
    <w:rsid w:val="003E161D"/>
    <w:rsid w:val="003E2BC2"/>
    <w:rsid w:val="003E2FD4"/>
    <w:rsid w:val="003E3447"/>
    <w:rsid w:val="003E3E47"/>
    <w:rsid w:val="003E4BA9"/>
    <w:rsid w:val="003E50F3"/>
    <w:rsid w:val="003E53B8"/>
    <w:rsid w:val="003E5741"/>
    <w:rsid w:val="003E5793"/>
    <w:rsid w:val="003E5D22"/>
    <w:rsid w:val="003E6030"/>
    <w:rsid w:val="003E67A1"/>
    <w:rsid w:val="003E712D"/>
    <w:rsid w:val="003E7AAA"/>
    <w:rsid w:val="003E7C24"/>
    <w:rsid w:val="003E7E9D"/>
    <w:rsid w:val="003F08C9"/>
    <w:rsid w:val="003F0FDB"/>
    <w:rsid w:val="003F1787"/>
    <w:rsid w:val="003F1EAD"/>
    <w:rsid w:val="003F2382"/>
    <w:rsid w:val="003F24AD"/>
    <w:rsid w:val="003F24E5"/>
    <w:rsid w:val="003F2533"/>
    <w:rsid w:val="003F2C06"/>
    <w:rsid w:val="003F39A6"/>
    <w:rsid w:val="003F39C8"/>
    <w:rsid w:val="003F40FE"/>
    <w:rsid w:val="003F41BF"/>
    <w:rsid w:val="003F4428"/>
    <w:rsid w:val="003F466A"/>
    <w:rsid w:val="003F4C2D"/>
    <w:rsid w:val="003F4D8E"/>
    <w:rsid w:val="003F50FC"/>
    <w:rsid w:val="003F53E3"/>
    <w:rsid w:val="003F561D"/>
    <w:rsid w:val="003F5650"/>
    <w:rsid w:val="003F5F6F"/>
    <w:rsid w:val="003F5F96"/>
    <w:rsid w:val="003F65B7"/>
    <w:rsid w:val="003F6A42"/>
    <w:rsid w:val="003F6C82"/>
    <w:rsid w:val="003F72BF"/>
    <w:rsid w:val="003F787B"/>
    <w:rsid w:val="00400655"/>
    <w:rsid w:val="00401329"/>
    <w:rsid w:val="0040158B"/>
    <w:rsid w:val="00401733"/>
    <w:rsid w:val="00401E06"/>
    <w:rsid w:val="00402ACF"/>
    <w:rsid w:val="00403560"/>
    <w:rsid w:val="0040382D"/>
    <w:rsid w:val="00404423"/>
    <w:rsid w:val="0040478A"/>
    <w:rsid w:val="0040478C"/>
    <w:rsid w:val="00404836"/>
    <w:rsid w:val="004051D3"/>
    <w:rsid w:val="0040589C"/>
    <w:rsid w:val="00405BFC"/>
    <w:rsid w:val="00405FAF"/>
    <w:rsid w:val="00406E49"/>
    <w:rsid w:val="00406E5D"/>
    <w:rsid w:val="004072D6"/>
    <w:rsid w:val="00407BE5"/>
    <w:rsid w:val="00410A2D"/>
    <w:rsid w:val="00410AE9"/>
    <w:rsid w:val="00410E53"/>
    <w:rsid w:val="0041151A"/>
    <w:rsid w:val="0041188F"/>
    <w:rsid w:val="00411C73"/>
    <w:rsid w:val="00411FE0"/>
    <w:rsid w:val="00413219"/>
    <w:rsid w:val="00413270"/>
    <w:rsid w:val="00413338"/>
    <w:rsid w:val="00413A70"/>
    <w:rsid w:val="00413B84"/>
    <w:rsid w:val="00413D3A"/>
    <w:rsid w:val="00413D99"/>
    <w:rsid w:val="0041430B"/>
    <w:rsid w:val="0041435B"/>
    <w:rsid w:val="00414AD5"/>
    <w:rsid w:val="0041594E"/>
    <w:rsid w:val="00415FD4"/>
    <w:rsid w:val="00416514"/>
    <w:rsid w:val="00416618"/>
    <w:rsid w:val="00416702"/>
    <w:rsid w:val="00416E3D"/>
    <w:rsid w:val="0041740D"/>
    <w:rsid w:val="004179F2"/>
    <w:rsid w:val="00417DE3"/>
    <w:rsid w:val="0042010D"/>
    <w:rsid w:val="004202C6"/>
    <w:rsid w:val="00420A60"/>
    <w:rsid w:val="00420C83"/>
    <w:rsid w:val="00420CE0"/>
    <w:rsid w:val="00420FA9"/>
    <w:rsid w:val="00421100"/>
    <w:rsid w:val="00421583"/>
    <w:rsid w:val="00421719"/>
    <w:rsid w:val="00421D43"/>
    <w:rsid w:val="00422306"/>
    <w:rsid w:val="00422712"/>
    <w:rsid w:val="00422997"/>
    <w:rsid w:val="004230CD"/>
    <w:rsid w:val="00423DB7"/>
    <w:rsid w:val="00424351"/>
    <w:rsid w:val="004244B1"/>
    <w:rsid w:val="0042461C"/>
    <w:rsid w:val="004246CC"/>
    <w:rsid w:val="004247BD"/>
    <w:rsid w:val="004247CE"/>
    <w:rsid w:val="0042593B"/>
    <w:rsid w:val="00425D14"/>
    <w:rsid w:val="0042624D"/>
    <w:rsid w:val="00426818"/>
    <w:rsid w:val="00426AC6"/>
    <w:rsid w:val="00427525"/>
    <w:rsid w:val="00427A17"/>
    <w:rsid w:val="00427B5F"/>
    <w:rsid w:val="00427F1A"/>
    <w:rsid w:val="004302A4"/>
    <w:rsid w:val="00430B6D"/>
    <w:rsid w:val="00430DA2"/>
    <w:rsid w:val="00431F37"/>
    <w:rsid w:val="004325CD"/>
    <w:rsid w:val="00432754"/>
    <w:rsid w:val="00432827"/>
    <w:rsid w:val="004330BF"/>
    <w:rsid w:val="0043398F"/>
    <w:rsid w:val="00433D3D"/>
    <w:rsid w:val="004345F8"/>
    <w:rsid w:val="00434703"/>
    <w:rsid w:val="00434BF0"/>
    <w:rsid w:val="00434C9A"/>
    <w:rsid w:val="00434CAB"/>
    <w:rsid w:val="0043535E"/>
    <w:rsid w:val="004357CE"/>
    <w:rsid w:val="0043593C"/>
    <w:rsid w:val="00435CF9"/>
    <w:rsid w:val="00436FBD"/>
    <w:rsid w:val="0043767C"/>
    <w:rsid w:val="00437736"/>
    <w:rsid w:val="00441276"/>
    <w:rsid w:val="0044177A"/>
    <w:rsid w:val="00441D20"/>
    <w:rsid w:val="0044223B"/>
    <w:rsid w:val="0044267F"/>
    <w:rsid w:val="00442824"/>
    <w:rsid w:val="00442C05"/>
    <w:rsid w:val="004431D9"/>
    <w:rsid w:val="00443682"/>
    <w:rsid w:val="00443CAA"/>
    <w:rsid w:val="004442F0"/>
    <w:rsid w:val="00444541"/>
    <w:rsid w:val="004449A2"/>
    <w:rsid w:val="00445350"/>
    <w:rsid w:val="00445932"/>
    <w:rsid w:val="004459A8"/>
    <w:rsid w:val="00445E8C"/>
    <w:rsid w:val="00445EE9"/>
    <w:rsid w:val="004461E5"/>
    <w:rsid w:val="0044631E"/>
    <w:rsid w:val="004465D1"/>
    <w:rsid w:val="00446909"/>
    <w:rsid w:val="00446E55"/>
    <w:rsid w:val="004471B7"/>
    <w:rsid w:val="0044721F"/>
    <w:rsid w:val="00447483"/>
    <w:rsid w:val="004477EE"/>
    <w:rsid w:val="00447894"/>
    <w:rsid w:val="00447FFC"/>
    <w:rsid w:val="00450374"/>
    <w:rsid w:val="00450A22"/>
    <w:rsid w:val="0045107F"/>
    <w:rsid w:val="0045139F"/>
    <w:rsid w:val="00451B0A"/>
    <w:rsid w:val="00451D7C"/>
    <w:rsid w:val="00451F79"/>
    <w:rsid w:val="0045340A"/>
    <w:rsid w:val="004536AC"/>
    <w:rsid w:val="00453A48"/>
    <w:rsid w:val="00453C50"/>
    <w:rsid w:val="00453CDE"/>
    <w:rsid w:val="004549D7"/>
    <w:rsid w:val="004549F9"/>
    <w:rsid w:val="004552B7"/>
    <w:rsid w:val="0045546C"/>
    <w:rsid w:val="0045547B"/>
    <w:rsid w:val="004556A7"/>
    <w:rsid w:val="004557D5"/>
    <w:rsid w:val="00455A19"/>
    <w:rsid w:val="00456274"/>
    <w:rsid w:val="004573A4"/>
    <w:rsid w:val="0045747D"/>
    <w:rsid w:val="004575E7"/>
    <w:rsid w:val="004600F3"/>
    <w:rsid w:val="004603FE"/>
    <w:rsid w:val="0046048D"/>
    <w:rsid w:val="0046075D"/>
    <w:rsid w:val="00460CE6"/>
    <w:rsid w:val="0046104C"/>
    <w:rsid w:val="004613AA"/>
    <w:rsid w:val="00461A09"/>
    <w:rsid w:val="00461AA0"/>
    <w:rsid w:val="00461E24"/>
    <w:rsid w:val="00462322"/>
    <w:rsid w:val="00462973"/>
    <w:rsid w:val="00462B88"/>
    <w:rsid w:val="00463725"/>
    <w:rsid w:val="00463CB5"/>
    <w:rsid w:val="004640CE"/>
    <w:rsid w:val="004648FB"/>
    <w:rsid w:val="00464C2D"/>
    <w:rsid w:val="00464E2E"/>
    <w:rsid w:val="00465179"/>
    <w:rsid w:val="004657F4"/>
    <w:rsid w:val="00465A6A"/>
    <w:rsid w:val="00465DD6"/>
    <w:rsid w:val="0046685C"/>
    <w:rsid w:val="004668A9"/>
    <w:rsid w:val="0046692E"/>
    <w:rsid w:val="00466D57"/>
    <w:rsid w:val="00467040"/>
    <w:rsid w:val="004670C3"/>
    <w:rsid w:val="00467309"/>
    <w:rsid w:val="00467DCB"/>
    <w:rsid w:val="00467F69"/>
    <w:rsid w:val="00467FB2"/>
    <w:rsid w:val="004705AE"/>
    <w:rsid w:val="004708E2"/>
    <w:rsid w:val="00470AE4"/>
    <w:rsid w:val="00470D9A"/>
    <w:rsid w:val="00471469"/>
    <w:rsid w:val="0047298A"/>
    <w:rsid w:val="00472C22"/>
    <w:rsid w:val="00473185"/>
    <w:rsid w:val="004731E6"/>
    <w:rsid w:val="00473326"/>
    <w:rsid w:val="004734C2"/>
    <w:rsid w:val="00474520"/>
    <w:rsid w:val="0047456A"/>
    <w:rsid w:val="004746A6"/>
    <w:rsid w:val="00474DA5"/>
    <w:rsid w:val="00475337"/>
    <w:rsid w:val="004755D8"/>
    <w:rsid w:val="00476CB2"/>
    <w:rsid w:val="00480074"/>
    <w:rsid w:val="004801C6"/>
    <w:rsid w:val="00480FCD"/>
    <w:rsid w:val="00481274"/>
    <w:rsid w:val="00481739"/>
    <w:rsid w:val="004823B3"/>
    <w:rsid w:val="0048298E"/>
    <w:rsid w:val="00482C5E"/>
    <w:rsid w:val="00483154"/>
    <w:rsid w:val="004832A6"/>
    <w:rsid w:val="00483373"/>
    <w:rsid w:val="00483A7F"/>
    <w:rsid w:val="00483F77"/>
    <w:rsid w:val="0048408C"/>
    <w:rsid w:val="0048430E"/>
    <w:rsid w:val="00484330"/>
    <w:rsid w:val="0048593E"/>
    <w:rsid w:val="00485C04"/>
    <w:rsid w:val="00486ACD"/>
    <w:rsid w:val="00486F46"/>
    <w:rsid w:val="004874DB"/>
    <w:rsid w:val="0048758E"/>
    <w:rsid w:val="0048794D"/>
    <w:rsid w:val="0049008F"/>
    <w:rsid w:val="00490DF9"/>
    <w:rsid w:val="004910E9"/>
    <w:rsid w:val="004911AF"/>
    <w:rsid w:val="004913D7"/>
    <w:rsid w:val="004919AD"/>
    <w:rsid w:val="00491A18"/>
    <w:rsid w:val="00491D4A"/>
    <w:rsid w:val="00491F8F"/>
    <w:rsid w:val="00492637"/>
    <w:rsid w:val="00492851"/>
    <w:rsid w:val="00493D4E"/>
    <w:rsid w:val="004942BF"/>
    <w:rsid w:val="0049438F"/>
    <w:rsid w:val="00494546"/>
    <w:rsid w:val="004950EC"/>
    <w:rsid w:val="00495420"/>
    <w:rsid w:val="004957E0"/>
    <w:rsid w:val="00495836"/>
    <w:rsid w:val="004960D6"/>
    <w:rsid w:val="00496317"/>
    <w:rsid w:val="004971A4"/>
    <w:rsid w:val="0049737E"/>
    <w:rsid w:val="004975E9"/>
    <w:rsid w:val="00497D74"/>
    <w:rsid w:val="004A06CD"/>
    <w:rsid w:val="004A0A3B"/>
    <w:rsid w:val="004A1145"/>
    <w:rsid w:val="004A1225"/>
    <w:rsid w:val="004A19F3"/>
    <w:rsid w:val="004A1F12"/>
    <w:rsid w:val="004A21D8"/>
    <w:rsid w:val="004A2BDC"/>
    <w:rsid w:val="004A44C9"/>
    <w:rsid w:val="004A44CF"/>
    <w:rsid w:val="004A4987"/>
    <w:rsid w:val="004A527C"/>
    <w:rsid w:val="004A54BB"/>
    <w:rsid w:val="004A5857"/>
    <w:rsid w:val="004A6143"/>
    <w:rsid w:val="004A6455"/>
    <w:rsid w:val="004A650B"/>
    <w:rsid w:val="004A6739"/>
    <w:rsid w:val="004A6C14"/>
    <w:rsid w:val="004A6FDE"/>
    <w:rsid w:val="004A723F"/>
    <w:rsid w:val="004A77F1"/>
    <w:rsid w:val="004A7A26"/>
    <w:rsid w:val="004A7C51"/>
    <w:rsid w:val="004A7DF3"/>
    <w:rsid w:val="004A7EAE"/>
    <w:rsid w:val="004B0AD0"/>
    <w:rsid w:val="004B0FA2"/>
    <w:rsid w:val="004B15BA"/>
    <w:rsid w:val="004B18D0"/>
    <w:rsid w:val="004B1BCE"/>
    <w:rsid w:val="004B2228"/>
    <w:rsid w:val="004B228A"/>
    <w:rsid w:val="004B2404"/>
    <w:rsid w:val="004B24DA"/>
    <w:rsid w:val="004B2926"/>
    <w:rsid w:val="004B2CC4"/>
    <w:rsid w:val="004B2D8E"/>
    <w:rsid w:val="004B2E30"/>
    <w:rsid w:val="004B3221"/>
    <w:rsid w:val="004B3396"/>
    <w:rsid w:val="004B36DB"/>
    <w:rsid w:val="004B379D"/>
    <w:rsid w:val="004B3A1A"/>
    <w:rsid w:val="004B3AE7"/>
    <w:rsid w:val="004B3BCF"/>
    <w:rsid w:val="004B4356"/>
    <w:rsid w:val="004B4541"/>
    <w:rsid w:val="004B4AF3"/>
    <w:rsid w:val="004B4F2F"/>
    <w:rsid w:val="004B5DE0"/>
    <w:rsid w:val="004B67C5"/>
    <w:rsid w:val="004B6A3B"/>
    <w:rsid w:val="004B6D3A"/>
    <w:rsid w:val="004B6FB0"/>
    <w:rsid w:val="004B70A6"/>
    <w:rsid w:val="004B713C"/>
    <w:rsid w:val="004B74D3"/>
    <w:rsid w:val="004B7688"/>
    <w:rsid w:val="004C07B2"/>
    <w:rsid w:val="004C0A6A"/>
    <w:rsid w:val="004C117A"/>
    <w:rsid w:val="004C1184"/>
    <w:rsid w:val="004C118D"/>
    <w:rsid w:val="004C13E0"/>
    <w:rsid w:val="004C1C56"/>
    <w:rsid w:val="004C2957"/>
    <w:rsid w:val="004C2A03"/>
    <w:rsid w:val="004C2B34"/>
    <w:rsid w:val="004C2B79"/>
    <w:rsid w:val="004C338E"/>
    <w:rsid w:val="004C33F2"/>
    <w:rsid w:val="004C38EB"/>
    <w:rsid w:val="004C4C4C"/>
    <w:rsid w:val="004C4DC9"/>
    <w:rsid w:val="004C5EEB"/>
    <w:rsid w:val="004C6925"/>
    <w:rsid w:val="004C6990"/>
    <w:rsid w:val="004C76D5"/>
    <w:rsid w:val="004D0494"/>
    <w:rsid w:val="004D079D"/>
    <w:rsid w:val="004D0CEB"/>
    <w:rsid w:val="004D0ED0"/>
    <w:rsid w:val="004D1637"/>
    <w:rsid w:val="004D16E5"/>
    <w:rsid w:val="004D21C5"/>
    <w:rsid w:val="004D2207"/>
    <w:rsid w:val="004D2594"/>
    <w:rsid w:val="004D2BAA"/>
    <w:rsid w:val="004D2FD5"/>
    <w:rsid w:val="004D32B9"/>
    <w:rsid w:val="004D33C8"/>
    <w:rsid w:val="004D4069"/>
    <w:rsid w:val="004D40EA"/>
    <w:rsid w:val="004D4344"/>
    <w:rsid w:val="004D4773"/>
    <w:rsid w:val="004D4BF9"/>
    <w:rsid w:val="004D4CA7"/>
    <w:rsid w:val="004D5054"/>
    <w:rsid w:val="004D51B3"/>
    <w:rsid w:val="004D6035"/>
    <w:rsid w:val="004D6A5B"/>
    <w:rsid w:val="004D6C1B"/>
    <w:rsid w:val="004D6CD7"/>
    <w:rsid w:val="004D7BA1"/>
    <w:rsid w:val="004E0B4D"/>
    <w:rsid w:val="004E0DE2"/>
    <w:rsid w:val="004E104A"/>
    <w:rsid w:val="004E1D73"/>
    <w:rsid w:val="004E1DF9"/>
    <w:rsid w:val="004E20A1"/>
    <w:rsid w:val="004E29E7"/>
    <w:rsid w:val="004E2E2E"/>
    <w:rsid w:val="004E3773"/>
    <w:rsid w:val="004E3D05"/>
    <w:rsid w:val="004E3F42"/>
    <w:rsid w:val="004E472B"/>
    <w:rsid w:val="004E479E"/>
    <w:rsid w:val="004E4804"/>
    <w:rsid w:val="004E4865"/>
    <w:rsid w:val="004E48C4"/>
    <w:rsid w:val="004E4921"/>
    <w:rsid w:val="004E4963"/>
    <w:rsid w:val="004E5BBD"/>
    <w:rsid w:val="004E622D"/>
    <w:rsid w:val="004E70DF"/>
    <w:rsid w:val="004E73B6"/>
    <w:rsid w:val="004E7795"/>
    <w:rsid w:val="004F0833"/>
    <w:rsid w:val="004F0A4D"/>
    <w:rsid w:val="004F0E4B"/>
    <w:rsid w:val="004F20C1"/>
    <w:rsid w:val="004F226B"/>
    <w:rsid w:val="004F2749"/>
    <w:rsid w:val="004F2F60"/>
    <w:rsid w:val="004F3131"/>
    <w:rsid w:val="004F337A"/>
    <w:rsid w:val="004F37C2"/>
    <w:rsid w:val="004F3B09"/>
    <w:rsid w:val="004F4099"/>
    <w:rsid w:val="004F4E14"/>
    <w:rsid w:val="004F510E"/>
    <w:rsid w:val="004F52F2"/>
    <w:rsid w:val="004F57FF"/>
    <w:rsid w:val="004F5A78"/>
    <w:rsid w:val="004F5D21"/>
    <w:rsid w:val="004F629F"/>
    <w:rsid w:val="004F6B5E"/>
    <w:rsid w:val="004F712C"/>
    <w:rsid w:val="004F7B48"/>
    <w:rsid w:val="004F7C8E"/>
    <w:rsid w:val="00500523"/>
    <w:rsid w:val="005008D9"/>
    <w:rsid w:val="00500CFC"/>
    <w:rsid w:val="00502187"/>
    <w:rsid w:val="00502D2D"/>
    <w:rsid w:val="00502EDA"/>
    <w:rsid w:val="00503BCB"/>
    <w:rsid w:val="00503CE6"/>
    <w:rsid w:val="0050430B"/>
    <w:rsid w:val="005043CB"/>
    <w:rsid w:val="00504437"/>
    <w:rsid w:val="005045B1"/>
    <w:rsid w:val="005049B4"/>
    <w:rsid w:val="005049E9"/>
    <w:rsid w:val="00504D8E"/>
    <w:rsid w:val="00505C5D"/>
    <w:rsid w:val="00506218"/>
    <w:rsid w:val="00506A2B"/>
    <w:rsid w:val="00506AF4"/>
    <w:rsid w:val="00506FFD"/>
    <w:rsid w:val="005074FF"/>
    <w:rsid w:val="00507D6F"/>
    <w:rsid w:val="00507F13"/>
    <w:rsid w:val="005102E6"/>
    <w:rsid w:val="005104BF"/>
    <w:rsid w:val="00510BEC"/>
    <w:rsid w:val="00510DE7"/>
    <w:rsid w:val="00510F06"/>
    <w:rsid w:val="00511434"/>
    <w:rsid w:val="0051154C"/>
    <w:rsid w:val="0051203F"/>
    <w:rsid w:val="005121BA"/>
    <w:rsid w:val="005123D5"/>
    <w:rsid w:val="005133E5"/>
    <w:rsid w:val="00513416"/>
    <w:rsid w:val="0051345C"/>
    <w:rsid w:val="005137F4"/>
    <w:rsid w:val="00513B63"/>
    <w:rsid w:val="00514005"/>
    <w:rsid w:val="00515121"/>
    <w:rsid w:val="00515420"/>
    <w:rsid w:val="0051554D"/>
    <w:rsid w:val="005156AF"/>
    <w:rsid w:val="00516100"/>
    <w:rsid w:val="00516123"/>
    <w:rsid w:val="005161E6"/>
    <w:rsid w:val="0051745D"/>
    <w:rsid w:val="005175E8"/>
    <w:rsid w:val="005203B5"/>
    <w:rsid w:val="0052051E"/>
    <w:rsid w:val="00521114"/>
    <w:rsid w:val="00521628"/>
    <w:rsid w:val="00521D5B"/>
    <w:rsid w:val="00521E16"/>
    <w:rsid w:val="00521ECC"/>
    <w:rsid w:val="00522C19"/>
    <w:rsid w:val="00522FAF"/>
    <w:rsid w:val="005232F0"/>
    <w:rsid w:val="005237FC"/>
    <w:rsid w:val="0052398E"/>
    <w:rsid w:val="00523B79"/>
    <w:rsid w:val="005240CB"/>
    <w:rsid w:val="0052416E"/>
    <w:rsid w:val="0052424F"/>
    <w:rsid w:val="005258C2"/>
    <w:rsid w:val="00525C41"/>
    <w:rsid w:val="00526344"/>
    <w:rsid w:val="0052651D"/>
    <w:rsid w:val="00526B51"/>
    <w:rsid w:val="00527396"/>
    <w:rsid w:val="005274E1"/>
    <w:rsid w:val="005302A8"/>
    <w:rsid w:val="00530DFB"/>
    <w:rsid w:val="00531CAC"/>
    <w:rsid w:val="00531D0E"/>
    <w:rsid w:val="0053212D"/>
    <w:rsid w:val="005331CF"/>
    <w:rsid w:val="0053347C"/>
    <w:rsid w:val="00533A24"/>
    <w:rsid w:val="00533AB6"/>
    <w:rsid w:val="00533B58"/>
    <w:rsid w:val="00533D58"/>
    <w:rsid w:val="005340E9"/>
    <w:rsid w:val="00534BAB"/>
    <w:rsid w:val="00534BD6"/>
    <w:rsid w:val="00534E93"/>
    <w:rsid w:val="00534E9B"/>
    <w:rsid w:val="0053620B"/>
    <w:rsid w:val="00536712"/>
    <w:rsid w:val="00536810"/>
    <w:rsid w:val="005373C4"/>
    <w:rsid w:val="0053743F"/>
    <w:rsid w:val="00537577"/>
    <w:rsid w:val="00537752"/>
    <w:rsid w:val="00537C12"/>
    <w:rsid w:val="00537C74"/>
    <w:rsid w:val="0054071E"/>
    <w:rsid w:val="0054076C"/>
    <w:rsid w:val="00540AF9"/>
    <w:rsid w:val="0054184B"/>
    <w:rsid w:val="00541BD9"/>
    <w:rsid w:val="00541CEF"/>
    <w:rsid w:val="00543321"/>
    <w:rsid w:val="00543388"/>
    <w:rsid w:val="005433B0"/>
    <w:rsid w:val="00543919"/>
    <w:rsid w:val="00543D48"/>
    <w:rsid w:val="0054476C"/>
    <w:rsid w:val="00544DC8"/>
    <w:rsid w:val="0054536E"/>
    <w:rsid w:val="00546524"/>
    <w:rsid w:val="00546624"/>
    <w:rsid w:val="00546B9E"/>
    <w:rsid w:val="00546E21"/>
    <w:rsid w:val="0054737F"/>
    <w:rsid w:val="00547AAF"/>
    <w:rsid w:val="00547BE7"/>
    <w:rsid w:val="00547E04"/>
    <w:rsid w:val="00550D68"/>
    <w:rsid w:val="0055100C"/>
    <w:rsid w:val="00551517"/>
    <w:rsid w:val="00551D1E"/>
    <w:rsid w:val="00551F90"/>
    <w:rsid w:val="0055289E"/>
    <w:rsid w:val="00553307"/>
    <w:rsid w:val="00553522"/>
    <w:rsid w:val="005538E6"/>
    <w:rsid w:val="00553C34"/>
    <w:rsid w:val="00553E65"/>
    <w:rsid w:val="005540F1"/>
    <w:rsid w:val="0055427F"/>
    <w:rsid w:val="0055459D"/>
    <w:rsid w:val="00554974"/>
    <w:rsid w:val="00554FD1"/>
    <w:rsid w:val="00555148"/>
    <w:rsid w:val="0055519C"/>
    <w:rsid w:val="0055599C"/>
    <w:rsid w:val="005559B2"/>
    <w:rsid w:val="0055665F"/>
    <w:rsid w:val="005566C9"/>
    <w:rsid w:val="00556752"/>
    <w:rsid w:val="00556DE5"/>
    <w:rsid w:val="005579B6"/>
    <w:rsid w:val="00560074"/>
    <w:rsid w:val="00560815"/>
    <w:rsid w:val="00560DB0"/>
    <w:rsid w:val="005618D6"/>
    <w:rsid w:val="00561A35"/>
    <w:rsid w:val="00561E75"/>
    <w:rsid w:val="00562344"/>
    <w:rsid w:val="005626A1"/>
    <w:rsid w:val="00562888"/>
    <w:rsid w:val="00562BBF"/>
    <w:rsid w:val="00562DB4"/>
    <w:rsid w:val="00563EE6"/>
    <w:rsid w:val="005643E0"/>
    <w:rsid w:val="005644E5"/>
    <w:rsid w:val="005647E0"/>
    <w:rsid w:val="005648C2"/>
    <w:rsid w:val="0056492A"/>
    <w:rsid w:val="00564D05"/>
    <w:rsid w:val="00564DC9"/>
    <w:rsid w:val="00564F72"/>
    <w:rsid w:val="0056508D"/>
    <w:rsid w:val="005658DF"/>
    <w:rsid w:val="00565CF1"/>
    <w:rsid w:val="00565F92"/>
    <w:rsid w:val="00567137"/>
    <w:rsid w:val="005676D4"/>
    <w:rsid w:val="00567D1E"/>
    <w:rsid w:val="0057027D"/>
    <w:rsid w:val="005716B8"/>
    <w:rsid w:val="00571A31"/>
    <w:rsid w:val="00571A3E"/>
    <w:rsid w:val="00572005"/>
    <w:rsid w:val="0057203D"/>
    <w:rsid w:val="005721F5"/>
    <w:rsid w:val="00572402"/>
    <w:rsid w:val="00572506"/>
    <w:rsid w:val="005727B5"/>
    <w:rsid w:val="00572D7D"/>
    <w:rsid w:val="00573405"/>
    <w:rsid w:val="0057360A"/>
    <w:rsid w:val="005739C1"/>
    <w:rsid w:val="00573E1E"/>
    <w:rsid w:val="005743B0"/>
    <w:rsid w:val="0057462F"/>
    <w:rsid w:val="00574BA4"/>
    <w:rsid w:val="00574BFA"/>
    <w:rsid w:val="0057510B"/>
    <w:rsid w:val="005760E5"/>
    <w:rsid w:val="00576E2E"/>
    <w:rsid w:val="0057723C"/>
    <w:rsid w:val="0057787B"/>
    <w:rsid w:val="00580914"/>
    <w:rsid w:val="00581931"/>
    <w:rsid w:val="00582354"/>
    <w:rsid w:val="005825A8"/>
    <w:rsid w:val="0058278F"/>
    <w:rsid w:val="00582A3A"/>
    <w:rsid w:val="00582ACB"/>
    <w:rsid w:val="00582C1C"/>
    <w:rsid w:val="00582E13"/>
    <w:rsid w:val="005832DB"/>
    <w:rsid w:val="005841F4"/>
    <w:rsid w:val="00584834"/>
    <w:rsid w:val="00584A82"/>
    <w:rsid w:val="00584EED"/>
    <w:rsid w:val="00585AD5"/>
    <w:rsid w:val="00585C74"/>
    <w:rsid w:val="005861B0"/>
    <w:rsid w:val="00586BC4"/>
    <w:rsid w:val="00586CCE"/>
    <w:rsid w:val="00586CD1"/>
    <w:rsid w:val="00587425"/>
    <w:rsid w:val="00587896"/>
    <w:rsid w:val="00587B7C"/>
    <w:rsid w:val="00587FB8"/>
    <w:rsid w:val="005903D9"/>
    <w:rsid w:val="00590EB1"/>
    <w:rsid w:val="0059114F"/>
    <w:rsid w:val="00592393"/>
    <w:rsid w:val="00592973"/>
    <w:rsid w:val="00592DC7"/>
    <w:rsid w:val="005935C4"/>
    <w:rsid w:val="005944F3"/>
    <w:rsid w:val="005945D9"/>
    <w:rsid w:val="0059478F"/>
    <w:rsid w:val="00594A3F"/>
    <w:rsid w:val="00594D31"/>
    <w:rsid w:val="00594E81"/>
    <w:rsid w:val="00597C46"/>
    <w:rsid w:val="00597EA2"/>
    <w:rsid w:val="005A0183"/>
    <w:rsid w:val="005A0829"/>
    <w:rsid w:val="005A0CDF"/>
    <w:rsid w:val="005A161E"/>
    <w:rsid w:val="005A1948"/>
    <w:rsid w:val="005A1C1C"/>
    <w:rsid w:val="005A1F9A"/>
    <w:rsid w:val="005A2416"/>
    <w:rsid w:val="005A26CA"/>
    <w:rsid w:val="005A2A6E"/>
    <w:rsid w:val="005A2E6D"/>
    <w:rsid w:val="005A33B7"/>
    <w:rsid w:val="005A3405"/>
    <w:rsid w:val="005A3DE2"/>
    <w:rsid w:val="005A432A"/>
    <w:rsid w:val="005A4EF5"/>
    <w:rsid w:val="005A4F8D"/>
    <w:rsid w:val="005A4FE1"/>
    <w:rsid w:val="005A568A"/>
    <w:rsid w:val="005A596C"/>
    <w:rsid w:val="005A5A84"/>
    <w:rsid w:val="005A6217"/>
    <w:rsid w:val="005A6C34"/>
    <w:rsid w:val="005A714B"/>
    <w:rsid w:val="005A7796"/>
    <w:rsid w:val="005A77E1"/>
    <w:rsid w:val="005A7D20"/>
    <w:rsid w:val="005B0284"/>
    <w:rsid w:val="005B0566"/>
    <w:rsid w:val="005B0B0D"/>
    <w:rsid w:val="005B18DB"/>
    <w:rsid w:val="005B1B66"/>
    <w:rsid w:val="005B2264"/>
    <w:rsid w:val="005B27CD"/>
    <w:rsid w:val="005B2B94"/>
    <w:rsid w:val="005B2EE9"/>
    <w:rsid w:val="005B2FD0"/>
    <w:rsid w:val="005B35D2"/>
    <w:rsid w:val="005B3FF8"/>
    <w:rsid w:val="005B401C"/>
    <w:rsid w:val="005B4501"/>
    <w:rsid w:val="005B4882"/>
    <w:rsid w:val="005B490E"/>
    <w:rsid w:val="005B5010"/>
    <w:rsid w:val="005B50CA"/>
    <w:rsid w:val="005B5361"/>
    <w:rsid w:val="005B5446"/>
    <w:rsid w:val="005B54BE"/>
    <w:rsid w:val="005B5E65"/>
    <w:rsid w:val="005B60F7"/>
    <w:rsid w:val="005B6739"/>
    <w:rsid w:val="005B6B6D"/>
    <w:rsid w:val="005B6C42"/>
    <w:rsid w:val="005B7D52"/>
    <w:rsid w:val="005B7DCF"/>
    <w:rsid w:val="005C0B74"/>
    <w:rsid w:val="005C0D39"/>
    <w:rsid w:val="005C14F1"/>
    <w:rsid w:val="005C1544"/>
    <w:rsid w:val="005C1604"/>
    <w:rsid w:val="005C1B9B"/>
    <w:rsid w:val="005C20CA"/>
    <w:rsid w:val="005C257D"/>
    <w:rsid w:val="005C33D2"/>
    <w:rsid w:val="005C342A"/>
    <w:rsid w:val="005C3700"/>
    <w:rsid w:val="005C4275"/>
    <w:rsid w:val="005C4419"/>
    <w:rsid w:val="005C4552"/>
    <w:rsid w:val="005C4CBB"/>
    <w:rsid w:val="005C4E80"/>
    <w:rsid w:val="005C537E"/>
    <w:rsid w:val="005C5657"/>
    <w:rsid w:val="005C58B7"/>
    <w:rsid w:val="005C5C9E"/>
    <w:rsid w:val="005C5F14"/>
    <w:rsid w:val="005C5FF7"/>
    <w:rsid w:val="005C66DC"/>
    <w:rsid w:val="005C716F"/>
    <w:rsid w:val="005C7200"/>
    <w:rsid w:val="005C74B4"/>
    <w:rsid w:val="005C76B0"/>
    <w:rsid w:val="005C7AB6"/>
    <w:rsid w:val="005D0128"/>
    <w:rsid w:val="005D0431"/>
    <w:rsid w:val="005D08CF"/>
    <w:rsid w:val="005D1820"/>
    <w:rsid w:val="005D1FFE"/>
    <w:rsid w:val="005D2B3B"/>
    <w:rsid w:val="005D2C22"/>
    <w:rsid w:val="005D3475"/>
    <w:rsid w:val="005D352C"/>
    <w:rsid w:val="005D357B"/>
    <w:rsid w:val="005D3676"/>
    <w:rsid w:val="005D38E0"/>
    <w:rsid w:val="005D3A8E"/>
    <w:rsid w:val="005D4793"/>
    <w:rsid w:val="005D4D71"/>
    <w:rsid w:val="005D559D"/>
    <w:rsid w:val="005D5978"/>
    <w:rsid w:val="005D5A01"/>
    <w:rsid w:val="005D5E99"/>
    <w:rsid w:val="005D6591"/>
    <w:rsid w:val="005D69E7"/>
    <w:rsid w:val="005D6A3E"/>
    <w:rsid w:val="005D6AD8"/>
    <w:rsid w:val="005D6AE9"/>
    <w:rsid w:val="005D7028"/>
    <w:rsid w:val="005D70D0"/>
    <w:rsid w:val="005D70D9"/>
    <w:rsid w:val="005D70EC"/>
    <w:rsid w:val="005D7877"/>
    <w:rsid w:val="005D7EBE"/>
    <w:rsid w:val="005E066E"/>
    <w:rsid w:val="005E0A44"/>
    <w:rsid w:val="005E0BCD"/>
    <w:rsid w:val="005E1077"/>
    <w:rsid w:val="005E1214"/>
    <w:rsid w:val="005E16CD"/>
    <w:rsid w:val="005E1926"/>
    <w:rsid w:val="005E1D1E"/>
    <w:rsid w:val="005E1DC0"/>
    <w:rsid w:val="005E1E8B"/>
    <w:rsid w:val="005E25D1"/>
    <w:rsid w:val="005E2D95"/>
    <w:rsid w:val="005E2EB3"/>
    <w:rsid w:val="005E32BC"/>
    <w:rsid w:val="005E3415"/>
    <w:rsid w:val="005E3868"/>
    <w:rsid w:val="005E3B2C"/>
    <w:rsid w:val="005E3BE8"/>
    <w:rsid w:val="005E3D13"/>
    <w:rsid w:val="005E4090"/>
    <w:rsid w:val="005E42AB"/>
    <w:rsid w:val="005E43D4"/>
    <w:rsid w:val="005E43FD"/>
    <w:rsid w:val="005E4433"/>
    <w:rsid w:val="005E4437"/>
    <w:rsid w:val="005E4773"/>
    <w:rsid w:val="005E4C48"/>
    <w:rsid w:val="005E5F88"/>
    <w:rsid w:val="005E660D"/>
    <w:rsid w:val="005E684B"/>
    <w:rsid w:val="005E6933"/>
    <w:rsid w:val="005E6E82"/>
    <w:rsid w:val="005E71CE"/>
    <w:rsid w:val="005E7953"/>
    <w:rsid w:val="005E7B14"/>
    <w:rsid w:val="005E7D60"/>
    <w:rsid w:val="005F05AE"/>
    <w:rsid w:val="005F0A93"/>
    <w:rsid w:val="005F114F"/>
    <w:rsid w:val="005F153E"/>
    <w:rsid w:val="005F18AB"/>
    <w:rsid w:val="005F1B56"/>
    <w:rsid w:val="005F233F"/>
    <w:rsid w:val="005F304B"/>
    <w:rsid w:val="005F341E"/>
    <w:rsid w:val="005F377C"/>
    <w:rsid w:val="005F4A6F"/>
    <w:rsid w:val="005F5603"/>
    <w:rsid w:val="005F5711"/>
    <w:rsid w:val="005F577B"/>
    <w:rsid w:val="005F5F31"/>
    <w:rsid w:val="005F5F41"/>
    <w:rsid w:val="005F6171"/>
    <w:rsid w:val="005F64A4"/>
    <w:rsid w:val="005F744B"/>
    <w:rsid w:val="005F7E85"/>
    <w:rsid w:val="00600B30"/>
    <w:rsid w:val="00600D8B"/>
    <w:rsid w:val="00600DAD"/>
    <w:rsid w:val="0060129C"/>
    <w:rsid w:val="006012B8"/>
    <w:rsid w:val="00601603"/>
    <w:rsid w:val="006019E3"/>
    <w:rsid w:val="00601B98"/>
    <w:rsid w:val="006022C4"/>
    <w:rsid w:val="006023B3"/>
    <w:rsid w:val="0060311B"/>
    <w:rsid w:val="00603440"/>
    <w:rsid w:val="006034B7"/>
    <w:rsid w:val="006035F7"/>
    <w:rsid w:val="0060385E"/>
    <w:rsid w:val="0060385F"/>
    <w:rsid w:val="0060422E"/>
    <w:rsid w:val="006042BA"/>
    <w:rsid w:val="0060457E"/>
    <w:rsid w:val="00604CA7"/>
    <w:rsid w:val="00604FA4"/>
    <w:rsid w:val="00606053"/>
    <w:rsid w:val="00606380"/>
    <w:rsid w:val="006065D0"/>
    <w:rsid w:val="00606841"/>
    <w:rsid w:val="00606942"/>
    <w:rsid w:val="00606BBF"/>
    <w:rsid w:val="00607104"/>
    <w:rsid w:val="00607505"/>
    <w:rsid w:val="0060766F"/>
    <w:rsid w:val="00607B08"/>
    <w:rsid w:val="00607E35"/>
    <w:rsid w:val="00607EB7"/>
    <w:rsid w:val="0061066A"/>
    <w:rsid w:val="00610915"/>
    <w:rsid w:val="00611EC2"/>
    <w:rsid w:val="00612ABB"/>
    <w:rsid w:val="00612FC2"/>
    <w:rsid w:val="00613142"/>
    <w:rsid w:val="0061319B"/>
    <w:rsid w:val="006138AF"/>
    <w:rsid w:val="006138E1"/>
    <w:rsid w:val="006139C3"/>
    <w:rsid w:val="006146DE"/>
    <w:rsid w:val="0061492C"/>
    <w:rsid w:val="006156F5"/>
    <w:rsid w:val="00615C04"/>
    <w:rsid w:val="00615C73"/>
    <w:rsid w:val="00615E1E"/>
    <w:rsid w:val="0061617E"/>
    <w:rsid w:val="0061617F"/>
    <w:rsid w:val="00616715"/>
    <w:rsid w:val="00616806"/>
    <w:rsid w:val="0061694D"/>
    <w:rsid w:val="00617391"/>
    <w:rsid w:val="006176DC"/>
    <w:rsid w:val="0062019B"/>
    <w:rsid w:val="006207DD"/>
    <w:rsid w:val="00620CBB"/>
    <w:rsid w:val="00620EC7"/>
    <w:rsid w:val="00621189"/>
    <w:rsid w:val="00621203"/>
    <w:rsid w:val="00621468"/>
    <w:rsid w:val="006214AC"/>
    <w:rsid w:val="0062158A"/>
    <w:rsid w:val="00621860"/>
    <w:rsid w:val="00621B24"/>
    <w:rsid w:val="00621B53"/>
    <w:rsid w:val="00621C42"/>
    <w:rsid w:val="006222A9"/>
    <w:rsid w:val="00622797"/>
    <w:rsid w:val="00622B4B"/>
    <w:rsid w:val="00622F46"/>
    <w:rsid w:val="00623AD2"/>
    <w:rsid w:val="006240F0"/>
    <w:rsid w:val="006249D9"/>
    <w:rsid w:val="00624A24"/>
    <w:rsid w:val="00624B4F"/>
    <w:rsid w:val="00624F09"/>
    <w:rsid w:val="00625001"/>
    <w:rsid w:val="006256ED"/>
    <w:rsid w:val="00625D48"/>
    <w:rsid w:val="006261C9"/>
    <w:rsid w:val="00626409"/>
    <w:rsid w:val="006269CC"/>
    <w:rsid w:val="00626F98"/>
    <w:rsid w:val="006273A0"/>
    <w:rsid w:val="0062741B"/>
    <w:rsid w:val="00627854"/>
    <w:rsid w:val="00627A5E"/>
    <w:rsid w:val="00627CB1"/>
    <w:rsid w:val="00627E62"/>
    <w:rsid w:val="00630964"/>
    <w:rsid w:val="00632046"/>
    <w:rsid w:val="006322B6"/>
    <w:rsid w:val="006329AB"/>
    <w:rsid w:val="00632BFE"/>
    <w:rsid w:val="006338B1"/>
    <w:rsid w:val="00634416"/>
    <w:rsid w:val="006345C2"/>
    <w:rsid w:val="0063462F"/>
    <w:rsid w:val="00634765"/>
    <w:rsid w:val="0063563D"/>
    <w:rsid w:val="00635A77"/>
    <w:rsid w:val="00635E8F"/>
    <w:rsid w:val="006363FE"/>
    <w:rsid w:val="00636A8E"/>
    <w:rsid w:val="00636B92"/>
    <w:rsid w:val="00636D82"/>
    <w:rsid w:val="006372E8"/>
    <w:rsid w:val="00637868"/>
    <w:rsid w:val="006379C7"/>
    <w:rsid w:val="00640D6A"/>
    <w:rsid w:val="00640F50"/>
    <w:rsid w:val="00641068"/>
    <w:rsid w:val="006414BD"/>
    <w:rsid w:val="006415DB"/>
    <w:rsid w:val="006421F7"/>
    <w:rsid w:val="00642661"/>
    <w:rsid w:val="00642AC2"/>
    <w:rsid w:val="00642E50"/>
    <w:rsid w:val="006431A4"/>
    <w:rsid w:val="0064485D"/>
    <w:rsid w:val="006449E4"/>
    <w:rsid w:val="00644DB5"/>
    <w:rsid w:val="00645583"/>
    <w:rsid w:val="00645644"/>
    <w:rsid w:val="00645BF1"/>
    <w:rsid w:val="00645C2C"/>
    <w:rsid w:val="006460BD"/>
    <w:rsid w:val="006460F7"/>
    <w:rsid w:val="0064679F"/>
    <w:rsid w:val="00646FE9"/>
    <w:rsid w:val="00647B89"/>
    <w:rsid w:val="00647E90"/>
    <w:rsid w:val="00650072"/>
    <w:rsid w:val="006502B8"/>
    <w:rsid w:val="0065078E"/>
    <w:rsid w:val="006507B9"/>
    <w:rsid w:val="00651981"/>
    <w:rsid w:val="00651A77"/>
    <w:rsid w:val="00651CDE"/>
    <w:rsid w:val="00651D6F"/>
    <w:rsid w:val="006522A7"/>
    <w:rsid w:val="00652656"/>
    <w:rsid w:val="00652B02"/>
    <w:rsid w:val="00652C7B"/>
    <w:rsid w:val="00653268"/>
    <w:rsid w:val="00653649"/>
    <w:rsid w:val="00653C8C"/>
    <w:rsid w:val="00653FB0"/>
    <w:rsid w:val="0065488F"/>
    <w:rsid w:val="00655007"/>
    <w:rsid w:val="0065508F"/>
    <w:rsid w:val="00655233"/>
    <w:rsid w:val="00655681"/>
    <w:rsid w:val="00655687"/>
    <w:rsid w:val="00655775"/>
    <w:rsid w:val="00655A43"/>
    <w:rsid w:val="00655BB4"/>
    <w:rsid w:val="00656475"/>
    <w:rsid w:val="0065689C"/>
    <w:rsid w:val="006569CE"/>
    <w:rsid w:val="00656B6C"/>
    <w:rsid w:val="00656BA4"/>
    <w:rsid w:val="00656EA9"/>
    <w:rsid w:val="0065787C"/>
    <w:rsid w:val="00657BA1"/>
    <w:rsid w:val="00657F75"/>
    <w:rsid w:val="00660181"/>
    <w:rsid w:val="00660979"/>
    <w:rsid w:val="006609BD"/>
    <w:rsid w:val="00660CCA"/>
    <w:rsid w:val="006611EE"/>
    <w:rsid w:val="00661C14"/>
    <w:rsid w:val="00661CE4"/>
    <w:rsid w:val="00662C70"/>
    <w:rsid w:val="00662E89"/>
    <w:rsid w:val="0066301C"/>
    <w:rsid w:val="00663516"/>
    <w:rsid w:val="0066378E"/>
    <w:rsid w:val="00663D73"/>
    <w:rsid w:val="00663F58"/>
    <w:rsid w:val="006640C8"/>
    <w:rsid w:val="0066464C"/>
    <w:rsid w:val="00664890"/>
    <w:rsid w:val="00664AA4"/>
    <w:rsid w:val="00665125"/>
    <w:rsid w:val="00665639"/>
    <w:rsid w:val="00665802"/>
    <w:rsid w:val="006658BB"/>
    <w:rsid w:val="00665FDD"/>
    <w:rsid w:val="00666157"/>
    <w:rsid w:val="00666319"/>
    <w:rsid w:val="006668E0"/>
    <w:rsid w:val="00667364"/>
    <w:rsid w:val="0066754A"/>
    <w:rsid w:val="006679F7"/>
    <w:rsid w:val="006702E4"/>
    <w:rsid w:val="006704AD"/>
    <w:rsid w:val="00671902"/>
    <w:rsid w:val="0067196A"/>
    <w:rsid w:val="00671992"/>
    <w:rsid w:val="00671BE2"/>
    <w:rsid w:val="00672CAC"/>
    <w:rsid w:val="006731F7"/>
    <w:rsid w:val="00673AF9"/>
    <w:rsid w:val="00673B07"/>
    <w:rsid w:val="006741A7"/>
    <w:rsid w:val="00674F20"/>
    <w:rsid w:val="006753A1"/>
    <w:rsid w:val="00675D89"/>
    <w:rsid w:val="00676779"/>
    <w:rsid w:val="00676E7A"/>
    <w:rsid w:val="0067700A"/>
    <w:rsid w:val="0067725C"/>
    <w:rsid w:val="0067728A"/>
    <w:rsid w:val="006779DB"/>
    <w:rsid w:val="00680D39"/>
    <w:rsid w:val="00681333"/>
    <w:rsid w:val="006815D3"/>
    <w:rsid w:val="00681769"/>
    <w:rsid w:val="00681872"/>
    <w:rsid w:val="00681CF7"/>
    <w:rsid w:val="00681E15"/>
    <w:rsid w:val="00681E8C"/>
    <w:rsid w:val="00682103"/>
    <w:rsid w:val="0068237E"/>
    <w:rsid w:val="00682554"/>
    <w:rsid w:val="00682883"/>
    <w:rsid w:val="006829F8"/>
    <w:rsid w:val="00682D09"/>
    <w:rsid w:val="0068367A"/>
    <w:rsid w:val="00685011"/>
    <w:rsid w:val="00685162"/>
    <w:rsid w:val="00685482"/>
    <w:rsid w:val="00685579"/>
    <w:rsid w:val="00685954"/>
    <w:rsid w:val="00685DE7"/>
    <w:rsid w:val="00686154"/>
    <w:rsid w:val="00686197"/>
    <w:rsid w:val="00686ABA"/>
    <w:rsid w:val="00686ED0"/>
    <w:rsid w:val="00687007"/>
    <w:rsid w:val="006870E4"/>
    <w:rsid w:val="00687CF3"/>
    <w:rsid w:val="0069012D"/>
    <w:rsid w:val="006906EA"/>
    <w:rsid w:val="0069085C"/>
    <w:rsid w:val="0069090D"/>
    <w:rsid w:val="00690B24"/>
    <w:rsid w:val="00691067"/>
    <w:rsid w:val="006911BF"/>
    <w:rsid w:val="00691351"/>
    <w:rsid w:val="00691E1A"/>
    <w:rsid w:val="00692530"/>
    <w:rsid w:val="006927D0"/>
    <w:rsid w:val="0069324B"/>
    <w:rsid w:val="0069335A"/>
    <w:rsid w:val="00694179"/>
    <w:rsid w:val="006942C7"/>
    <w:rsid w:val="0069467C"/>
    <w:rsid w:val="00694A34"/>
    <w:rsid w:val="00694AF9"/>
    <w:rsid w:val="00694BE5"/>
    <w:rsid w:val="00695293"/>
    <w:rsid w:val="00695650"/>
    <w:rsid w:val="0069578A"/>
    <w:rsid w:val="00696478"/>
    <w:rsid w:val="0069663D"/>
    <w:rsid w:val="00697644"/>
    <w:rsid w:val="006978C3"/>
    <w:rsid w:val="006A0B78"/>
    <w:rsid w:val="006A13D3"/>
    <w:rsid w:val="006A1F4E"/>
    <w:rsid w:val="006A23B2"/>
    <w:rsid w:val="006A25CE"/>
    <w:rsid w:val="006A295C"/>
    <w:rsid w:val="006A2A2C"/>
    <w:rsid w:val="006A2AD4"/>
    <w:rsid w:val="006A306E"/>
    <w:rsid w:val="006A3AD9"/>
    <w:rsid w:val="006A3BB6"/>
    <w:rsid w:val="006A3D85"/>
    <w:rsid w:val="006A40E5"/>
    <w:rsid w:val="006A4398"/>
    <w:rsid w:val="006A500B"/>
    <w:rsid w:val="006A51CC"/>
    <w:rsid w:val="006A54A4"/>
    <w:rsid w:val="006A5A0A"/>
    <w:rsid w:val="006A5C5C"/>
    <w:rsid w:val="006A6345"/>
    <w:rsid w:val="006A66EA"/>
    <w:rsid w:val="006A736E"/>
    <w:rsid w:val="006A750B"/>
    <w:rsid w:val="006A7571"/>
    <w:rsid w:val="006A772F"/>
    <w:rsid w:val="006A7DD2"/>
    <w:rsid w:val="006A7E46"/>
    <w:rsid w:val="006B0624"/>
    <w:rsid w:val="006B0ABE"/>
    <w:rsid w:val="006B0D08"/>
    <w:rsid w:val="006B12F0"/>
    <w:rsid w:val="006B1801"/>
    <w:rsid w:val="006B1993"/>
    <w:rsid w:val="006B2738"/>
    <w:rsid w:val="006B3F49"/>
    <w:rsid w:val="006B4199"/>
    <w:rsid w:val="006B4298"/>
    <w:rsid w:val="006B5419"/>
    <w:rsid w:val="006B56D1"/>
    <w:rsid w:val="006B571D"/>
    <w:rsid w:val="006B5B62"/>
    <w:rsid w:val="006B691B"/>
    <w:rsid w:val="006B698E"/>
    <w:rsid w:val="006B6D2F"/>
    <w:rsid w:val="006C05E9"/>
    <w:rsid w:val="006C08E7"/>
    <w:rsid w:val="006C0AC1"/>
    <w:rsid w:val="006C0B15"/>
    <w:rsid w:val="006C0D40"/>
    <w:rsid w:val="006C0F63"/>
    <w:rsid w:val="006C1356"/>
    <w:rsid w:val="006C170B"/>
    <w:rsid w:val="006C1DDF"/>
    <w:rsid w:val="006C22C6"/>
    <w:rsid w:val="006C23A8"/>
    <w:rsid w:val="006C24C4"/>
    <w:rsid w:val="006C2728"/>
    <w:rsid w:val="006C2E51"/>
    <w:rsid w:val="006C32C5"/>
    <w:rsid w:val="006C352A"/>
    <w:rsid w:val="006C3CF3"/>
    <w:rsid w:val="006C428D"/>
    <w:rsid w:val="006C48EB"/>
    <w:rsid w:val="006C494E"/>
    <w:rsid w:val="006C5252"/>
    <w:rsid w:val="006C5E81"/>
    <w:rsid w:val="006C6458"/>
    <w:rsid w:val="006C6662"/>
    <w:rsid w:val="006C7901"/>
    <w:rsid w:val="006C7A94"/>
    <w:rsid w:val="006C7C85"/>
    <w:rsid w:val="006D0797"/>
    <w:rsid w:val="006D0AB8"/>
    <w:rsid w:val="006D0D16"/>
    <w:rsid w:val="006D1560"/>
    <w:rsid w:val="006D28E2"/>
    <w:rsid w:val="006D30A3"/>
    <w:rsid w:val="006D3772"/>
    <w:rsid w:val="006D386F"/>
    <w:rsid w:val="006D4236"/>
    <w:rsid w:val="006D4811"/>
    <w:rsid w:val="006D57EA"/>
    <w:rsid w:val="006D61D9"/>
    <w:rsid w:val="006D6554"/>
    <w:rsid w:val="006D6EDC"/>
    <w:rsid w:val="006D727A"/>
    <w:rsid w:val="006D7361"/>
    <w:rsid w:val="006E0B81"/>
    <w:rsid w:val="006E1363"/>
    <w:rsid w:val="006E1557"/>
    <w:rsid w:val="006E184C"/>
    <w:rsid w:val="006E1E7A"/>
    <w:rsid w:val="006E1F09"/>
    <w:rsid w:val="006E2098"/>
    <w:rsid w:val="006E231B"/>
    <w:rsid w:val="006E3E3D"/>
    <w:rsid w:val="006E4B82"/>
    <w:rsid w:val="006E4BC9"/>
    <w:rsid w:val="006E59A3"/>
    <w:rsid w:val="006E6161"/>
    <w:rsid w:val="006E6213"/>
    <w:rsid w:val="006E6631"/>
    <w:rsid w:val="006E66AF"/>
    <w:rsid w:val="006E6F40"/>
    <w:rsid w:val="006E6F66"/>
    <w:rsid w:val="006E7B06"/>
    <w:rsid w:val="006F0058"/>
    <w:rsid w:val="006F034C"/>
    <w:rsid w:val="006F0C4F"/>
    <w:rsid w:val="006F0C5A"/>
    <w:rsid w:val="006F14D1"/>
    <w:rsid w:val="006F1F0E"/>
    <w:rsid w:val="006F22C1"/>
    <w:rsid w:val="006F24D0"/>
    <w:rsid w:val="006F2530"/>
    <w:rsid w:val="006F2A00"/>
    <w:rsid w:val="006F2E05"/>
    <w:rsid w:val="006F2EA6"/>
    <w:rsid w:val="006F3053"/>
    <w:rsid w:val="006F321B"/>
    <w:rsid w:val="006F35DA"/>
    <w:rsid w:val="006F375E"/>
    <w:rsid w:val="006F3AC9"/>
    <w:rsid w:val="006F3D92"/>
    <w:rsid w:val="006F4A8C"/>
    <w:rsid w:val="006F4BD0"/>
    <w:rsid w:val="006F57A3"/>
    <w:rsid w:val="006F57A9"/>
    <w:rsid w:val="006F590E"/>
    <w:rsid w:val="006F5C49"/>
    <w:rsid w:val="006F5F9D"/>
    <w:rsid w:val="006F71E0"/>
    <w:rsid w:val="006F74EB"/>
    <w:rsid w:val="006F7FA2"/>
    <w:rsid w:val="007009E9"/>
    <w:rsid w:val="00701066"/>
    <w:rsid w:val="007019AE"/>
    <w:rsid w:val="00701F8C"/>
    <w:rsid w:val="0070262D"/>
    <w:rsid w:val="0070277A"/>
    <w:rsid w:val="00702FD7"/>
    <w:rsid w:val="00703641"/>
    <w:rsid w:val="007037F1"/>
    <w:rsid w:val="00703800"/>
    <w:rsid w:val="00703A52"/>
    <w:rsid w:val="00703A7A"/>
    <w:rsid w:val="00703C05"/>
    <w:rsid w:val="00704268"/>
    <w:rsid w:val="00704971"/>
    <w:rsid w:val="00704A9C"/>
    <w:rsid w:val="00704C6F"/>
    <w:rsid w:val="007056E4"/>
    <w:rsid w:val="00705788"/>
    <w:rsid w:val="00706173"/>
    <w:rsid w:val="00706781"/>
    <w:rsid w:val="007079C9"/>
    <w:rsid w:val="00707DCA"/>
    <w:rsid w:val="00707F52"/>
    <w:rsid w:val="007100B0"/>
    <w:rsid w:val="007104A0"/>
    <w:rsid w:val="007115F8"/>
    <w:rsid w:val="007118A3"/>
    <w:rsid w:val="00711E25"/>
    <w:rsid w:val="00711EE8"/>
    <w:rsid w:val="007122CF"/>
    <w:rsid w:val="007124E5"/>
    <w:rsid w:val="0071285A"/>
    <w:rsid w:val="00712ACA"/>
    <w:rsid w:val="00712D52"/>
    <w:rsid w:val="007130FC"/>
    <w:rsid w:val="007134C3"/>
    <w:rsid w:val="00713520"/>
    <w:rsid w:val="0071377F"/>
    <w:rsid w:val="00713B78"/>
    <w:rsid w:val="0071409E"/>
    <w:rsid w:val="00714652"/>
    <w:rsid w:val="007148E9"/>
    <w:rsid w:val="00714D5B"/>
    <w:rsid w:val="00714EBF"/>
    <w:rsid w:val="007151C8"/>
    <w:rsid w:val="0071589B"/>
    <w:rsid w:val="00715CBF"/>
    <w:rsid w:val="00716808"/>
    <w:rsid w:val="00716C89"/>
    <w:rsid w:val="00716FD7"/>
    <w:rsid w:val="0071713C"/>
    <w:rsid w:val="007177F2"/>
    <w:rsid w:val="007178BE"/>
    <w:rsid w:val="00717C29"/>
    <w:rsid w:val="00717DE5"/>
    <w:rsid w:val="00720045"/>
    <w:rsid w:val="00720154"/>
    <w:rsid w:val="0072048F"/>
    <w:rsid w:val="0072060F"/>
    <w:rsid w:val="00720FDF"/>
    <w:rsid w:val="007215EA"/>
    <w:rsid w:val="00721608"/>
    <w:rsid w:val="00721A88"/>
    <w:rsid w:val="00721B6F"/>
    <w:rsid w:val="00721D2B"/>
    <w:rsid w:val="00722643"/>
    <w:rsid w:val="00722716"/>
    <w:rsid w:val="00722F07"/>
    <w:rsid w:val="0072341C"/>
    <w:rsid w:val="007237BD"/>
    <w:rsid w:val="00723886"/>
    <w:rsid w:val="00723912"/>
    <w:rsid w:val="00723BA0"/>
    <w:rsid w:val="00723DC7"/>
    <w:rsid w:val="0072405F"/>
    <w:rsid w:val="00724B4C"/>
    <w:rsid w:val="00725B55"/>
    <w:rsid w:val="007265B6"/>
    <w:rsid w:val="0072684F"/>
    <w:rsid w:val="00726A79"/>
    <w:rsid w:val="00730716"/>
    <w:rsid w:val="007307F9"/>
    <w:rsid w:val="007309D7"/>
    <w:rsid w:val="00730C74"/>
    <w:rsid w:val="00730FD1"/>
    <w:rsid w:val="00731EAA"/>
    <w:rsid w:val="00732013"/>
    <w:rsid w:val="00732241"/>
    <w:rsid w:val="00732277"/>
    <w:rsid w:val="00732827"/>
    <w:rsid w:val="00733909"/>
    <w:rsid w:val="00734E4F"/>
    <w:rsid w:val="007356E2"/>
    <w:rsid w:val="007358D4"/>
    <w:rsid w:val="007359F5"/>
    <w:rsid w:val="007365B0"/>
    <w:rsid w:val="00736E87"/>
    <w:rsid w:val="00736FFA"/>
    <w:rsid w:val="0073757A"/>
    <w:rsid w:val="00737C4D"/>
    <w:rsid w:val="007401EA"/>
    <w:rsid w:val="007409BF"/>
    <w:rsid w:val="00741104"/>
    <w:rsid w:val="00741342"/>
    <w:rsid w:val="00741921"/>
    <w:rsid w:val="00741968"/>
    <w:rsid w:val="00741C10"/>
    <w:rsid w:val="00742EBE"/>
    <w:rsid w:val="00743133"/>
    <w:rsid w:val="007439CC"/>
    <w:rsid w:val="0074402D"/>
    <w:rsid w:val="00744459"/>
    <w:rsid w:val="00744523"/>
    <w:rsid w:val="00744564"/>
    <w:rsid w:val="00744572"/>
    <w:rsid w:val="00744B21"/>
    <w:rsid w:val="00745A42"/>
    <w:rsid w:val="00745CBC"/>
    <w:rsid w:val="00745DB3"/>
    <w:rsid w:val="007460FB"/>
    <w:rsid w:val="00746A96"/>
    <w:rsid w:val="00746E12"/>
    <w:rsid w:val="007471F1"/>
    <w:rsid w:val="0074745C"/>
    <w:rsid w:val="00747636"/>
    <w:rsid w:val="00747663"/>
    <w:rsid w:val="00747920"/>
    <w:rsid w:val="00747971"/>
    <w:rsid w:val="00747A4B"/>
    <w:rsid w:val="00747C4F"/>
    <w:rsid w:val="00747DC2"/>
    <w:rsid w:val="00750020"/>
    <w:rsid w:val="007504E5"/>
    <w:rsid w:val="00750924"/>
    <w:rsid w:val="00750A17"/>
    <w:rsid w:val="00750AE8"/>
    <w:rsid w:val="00750D0F"/>
    <w:rsid w:val="007522C6"/>
    <w:rsid w:val="00752D9C"/>
    <w:rsid w:val="00752F2F"/>
    <w:rsid w:val="007535C9"/>
    <w:rsid w:val="00753936"/>
    <w:rsid w:val="00753CF9"/>
    <w:rsid w:val="00753E54"/>
    <w:rsid w:val="007542E8"/>
    <w:rsid w:val="00755077"/>
    <w:rsid w:val="00755097"/>
    <w:rsid w:val="00755491"/>
    <w:rsid w:val="0075550D"/>
    <w:rsid w:val="00755712"/>
    <w:rsid w:val="007560BA"/>
    <w:rsid w:val="0075658D"/>
    <w:rsid w:val="0075686E"/>
    <w:rsid w:val="0075691C"/>
    <w:rsid w:val="007571A7"/>
    <w:rsid w:val="00757295"/>
    <w:rsid w:val="007574D0"/>
    <w:rsid w:val="007577A2"/>
    <w:rsid w:val="007600AA"/>
    <w:rsid w:val="00760535"/>
    <w:rsid w:val="00760800"/>
    <w:rsid w:val="00760F0A"/>
    <w:rsid w:val="00761F88"/>
    <w:rsid w:val="00762F29"/>
    <w:rsid w:val="007632A9"/>
    <w:rsid w:val="007638D6"/>
    <w:rsid w:val="00763E7E"/>
    <w:rsid w:val="00765123"/>
    <w:rsid w:val="007659F5"/>
    <w:rsid w:val="00766191"/>
    <w:rsid w:val="007663B6"/>
    <w:rsid w:val="0076643E"/>
    <w:rsid w:val="007667FD"/>
    <w:rsid w:val="0076699C"/>
    <w:rsid w:val="007672DB"/>
    <w:rsid w:val="007676CB"/>
    <w:rsid w:val="0076778E"/>
    <w:rsid w:val="00767E32"/>
    <w:rsid w:val="007705A5"/>
    <w:rsid w:val="007708FD"/>
    <w:rsid w:val="007714A9"/>
    <w:rsid w:val="007715B8"/>
    <w:rsid w:val="007715F5"/>
    <w:rsid w:val="007717C0"/>
    <w:rsid w:val="00772CBF"/>
    <w:rsid w:val="0077366E"/>
    <w:rsid w:val="007739CB"/>
    <w:rsid w:val="00773BC8"/>
    <w:rsid w:val="00774549"/>
    <w:rsid w:val="007748FE"/>
    <w:rsid w:val="00774918"/>
    <w:rsid w:val="00774BB8"/>
    <w:rsid w:val="00774EBD"/>
    <w:rsid w:val="0077680C"/>
    <w:rsid w:val="00776D1C"/>
    <w:rsid w:val="00777124"/>
    <w:rsid w:val="00777163"/>
    <w:rsid w:val="00777B3F"/>
    <w:rsid w:val="00777DA6"/>
    <w:rsid w:val="00777E50"/>
    <w:rsid w:val="00780542"/>
    <w:rsid w:val="007805D1"/>
    <w:rsid w:val="00780658"/>
    <w:rsid w:val="007809D2"/>
    <w:rsid w:val="00780C85"/>
    <w:rsid w:val="00780CDA"/>
    <w:rsid w:val="00780DFE"/>
    <w:rsid w:val="00780E3E"/>
    <w:rsid w:val="00780FDB"/>
    <w:rsid w:val="007815AC"/>
    <w:rsid w:val="00781643"/>
    <w:rsid w:val="00781699"/>
    <w:rsid w:val="00781CD5"/>
    <w:rsid w:val="00781DAE"/>
    <w:rsid w:val="0078204A"/>
    <w:rsid w:val="0078243D"/>
    <w:rsid w:val="0078290E"/>
    <w:rsid w:val="007835A1"/>
    <w:rsid w:val="0078394F"/>
    <w:rsid w:val="00783E5C"/>
    <w:rsid w:val="00783EAF"/>
    <w:rsid w:val="007848C0"/>
    <w:rsid w:val="007852F0"/>
    <w:rsid w:val="00786DB5"/>
    <w:rsid w:val="00787078"/>
    <w:rsid w:val="007870B1"/>
    <w:rsid w:val="007875DF"/>
    <w:rsid w:val="0078775B"/>
    <w:rsid w:val="00787B8B"/>
    <w:rsid w:val="00787E75"/>
    <w:rsid w:val="00790527"/>
    <w:rsid w:val="00790677"/>
    <w:rsid w:val="00791CED"/>
    <w:rsid w:val="00791DBE"/>
    <w:rsid w:val="00793600"/>
    <w:rsid w:val="007938EC"/>
    <w:rsid w:val="007943F8"/>
    <w:rsid w:val="00794728"/>
    <w:rsid w:val="007947AB"/>
    <w:rsid w:val="00794F6F"/>
    <w:rsid w:val="0079511C"/>
    <w:rsid w:val="00795733"/>
    <w:rsid w:val="00795A48"/>
    <w:rsid w:val="00795E13"/>
    <w:rsid w:val="00796136"/>
    <w:rsid w:val="00796763"/>
    <w:rsid w:val="00797272"/>
    <w:rsid w:val="007974A7"/>
    <w:rsid w:val="00797764"/>
    <w:rsid w:val="00797B52"/>
    <w:rsid w:val="00797C9A"/>
    <w:rsid w:val="00797D14"/>
    <w:rsid w:val="00797F15"/>
    <w:rsid w:val="007A0636"/>
    <w:rsid w:val="007A071A"/>
    <w:rsid w:val="007A10BF"/>
    <w:rsid w:val="007A112A"/>
    <w:rsid w:val="007A2264"/>
    <w:rsid w:val="007A2A91"/>
    <w:rsid w:val="007A2B3E"/>
    <w:rsid w:val="007A32A5"/>
    <w:rsid w:val="007A37F3"/>
    <w:rsid w:val="007A37FA"/>
    <w:rsid w:val="007A4B41"/>
    <w:rsid w:val="007A4F99"/>
    <w:rsid w:val="007A4FEC"/>
    <w:rsid w:val="007A5BB3"/>
    <w:rsid w:val="007A5E12"/>
    <w:rsid w:val="007A6E37"/>
    <w:rsid w:val="007A7086"/>
    <w:rsid w:val="007A77DB"/>
    <w:rsid w:val="007A7869"/>
    <w:rsid w:val="007B040E"/>
    <w:rsid w:val="007B057E"/>
    <w:rsid w:val="007B0EAC"/>
    <w:rsid w:val="007B11B5"/>
    <w:rsid w:val="007B169A"/>
    <w:rsid w:val="007B18AC"/>
    <w:rsid w:val="007B18E3"/>
    <w:rsid w:val="007B192E"/>
    <w:rsid w:val="007B19EA"/>
    <w:rsid w:val="007B1BFF"/>
    <w:rsid w:val="007B2D81"/>
    <w:rsid w:val="007B2EB9"/>
    <w:rsid w:val="007B2F94"/>
    <w:rsid w:val="007B366F"/>
    <w:rsid w:val="007B3AB5"/>
    <w:rsid w:val="007B3ADC"/>
    <w:rsid w:val="007B4A3E"/>
    <w:rsid w:val="007B4C09"/>
    <w:rsid w:val="007B542C"/>
    <w:rsid w:val="007B5551"/>
    <w:rsid w:val="007B600E"/>
    <w:rsid w:val="007B626C"/>
    <w:rsid w:val="007B627C"/>
    <w:rsid w:val="007B677A"/>
    <w:rsid w:val="007B6E22"/>
    <w:rsid w:val="007B726D"/>
    <w:rsid w:val="007B732B"/>
    <w:rsid w:val="007B782C"/>
    <w:rsid w:val="007B7912"/>
    <w:rsid w:val="007B797B"/>
    <w:rsid w:val="007B7C1A"/>
    <w:rsid w:val="007B7EEC"/>
    <w:rsid w:val="007C01A3"/>
    <w:rsid w:val="007C0FB4"/>
    <w:rsid w:val="007C11F3"/>
    <w:rsid w:val="007C15C1"/>
    <w:rsid w:val="007C1799"/>
    <w:rsid w:val="007C17F1"/>
    <w:rsid w:val="007C2066"/>
    <w:rsid w:val="007C28B9"/>
    <w:rsid w:val="007C34D5"/>
    <w:rsid w:val="007C3A23"/>
    <w:rsid w:val="007C3D18"/>
    <w:rsid w:val="007C3EDC"/>
    <w:rsid w:val="007C5B9B"/>
    <w:rsid w:val="007C6598"/>
    <w:rsid w:val="007C6618"/>
    <w:rsid w:val="007C68BC"/>
    <w:rsid w:val="007C704D"/>
    <w:rsid w:val="007C71BA"/>
    <w:rsid w:val="007C72CA"/>
    <w:rsid w:val="007C7424"/>
    <w:rsid w:val="007C77B3"/>
    <w:rsid w:val="007C7C2B"/>
    <w:rsid w:val="007C7CBB"/>
    <w:rsid w:val="007D01B2"/>
    <w:rsid w:val="007D0285"/>
    <w:rsid w:val="007D03B4"/>
    <w:rsid w:val="007D0513"/>
    <w:rsid w:val="007D085D"/>
    <w:rsid w:val="007D0952"/>
    <w:rsid w:val="007D0A02"/>
    <w:rsid w:val="007D103B"/>
    <w:rsid w:val="007D11FC"/>
    <w:rsid w:val="007D1347"/>
    <w:rsid w:val="007D15E4"/>
    <w:rsid w:val="007D1F19"/>
    <w:rsid w:val="007D20BE"/>
    <w:rsid w:val="007D25FC"/>
    <w:rsid w:val="007D2A18"/>
    <w:rsid w:val="007D2B54"/>
    <w:rsid w:val="007D2EC6"/>
    <w:rsid w:val="007D386C"/>
    <w:rsid w:val="007D407A"/>
    <w:rsid w:val="007D40B3"/>
    <w:rsid w:val="007D43A4"/>
    <w:rsid w:val="007D43EC"/>
    <w:rsid w:val="007D4866"/>
    <w:rsid w:val="007D4AA9"/>
    <w:rsid w:val="007D4FE0"/>
    <w:rsid w:val="007D5BF1"/>
    <w:rsid w:val="007D5F48"/>
    <w:rsid w:val="007D632F"/>
    <w:rsid w:val="007D6FAD"/>
    <w:rsid w:val="007D7659"/>
    <w:rsid w:val="007E07C7"/>
    <w:rsid w:val="007E0EA5"/>
    <w:rsid w:val="007E1870"/>
    <w:rsid w:val="007E1C2C"/>
    <w:rsid w:val="007E1ED1"/>
    <w:rsid w:val="007E2285"/>
    <w:rsid w:val="007E24E6"/>
    <w:rsid w:val="007E25DD"/>
    <w:rsid w:val="007E262A"/>
    <w:rsid w:val="007E2A9E"/>
    <w:rsid w:val="007E2B63"/>
    <w:rsid w:val="007E39A5"/>
    <w:rsid w:val="007E3B10"/>
    <w:rsid w:val="007E3B67"/>
    <w:rsid w:val="007E3D53"/>
    <w:rsid w:val="007E4084"/>
    <w:rsid w:val="007E4289"/>
    <w:rsid w:val="007E42F8"/>
    <w:rsid w:val="007E47D0"/>
    <w:rsid w:val="007E4A16"/>
    <w:rsid w:val="007E4B14"/>
    <w:rsid w:val="007E4EDA"/>
    <w:rsid w:val="007E4F22"/>
    <w:rsid w:val="007E504B"/>
    <w:rsid w:val="007E516D"/>
    <w:rsid w:val="007E533E"/>
    <w:rsid w:val="007E5417"/>
    <w:rsid w:val="007E5B6F"/>
    <w:rsid w:val="007E5C51"/>
    <w:rsid w:val="007E6227"/>
    <w:rsid w:val="007E6288"/>
    <w:rsid w:val="007E6BCC"/>
    <w:rsid w:val="007E6ECE"/>
    <w:rsid w:val="007E71A2"/>
    <w:rsid w:val="007E795D"/>
    <w:rsid w:val="007F07D0"/>
    <w:rsid w:val="007F0A3C"/>
    <w:rsid w:val="007F0EC3"/>
    <w:rsid w:val="007F155B"/>
    <w:rsid w:val="007F1BBD"/>
    <w:rsid w:val="007F20AE"/>
    <w:rsid w:val="007F29FD"/>
    <w:rsid w:val="007F2B02"/>
    <w:rsid w:val="007F2C4E"/>
    <w:rsid w:val="007F2D44"/>
    <w:rsid w:val="007F2FD8"/>
    <w:rsid w:val="007F3678"/>
    <w:rsid w:val="007F3722"/>
    <w:rsid w:val="007F3A8A"/>
    <w:rsid w:val="007F3D06"/>
    <w:rsid w:val="007F4201"/>
    <w:rsid w:val="007F4217"/>
    <w:rsid w:val="007F43C0"/>
    <w:rsid w:val="007F4E78"/>
    <w:rsid w:val="007F588A"/>
    <w:rsid w:val="007F58B2"/>
    <w:rsid w:val="007F5BB2"/>
    <w:rsid w:val="007F5F3D"/>
    <w:rsid w:val="007F6155"/>
    <w:rsid w:val="007F635E"/>
    <w:rsid w:val="007F6515"/>
    <w:rsid w:val="007F6D2B"/>
    <w:rsid w:val="007F7804"/>
    <w:rsid w:val="007F7D49"/>
    <w:rsid w:val="00800504"/>
    <w:rsid w:val="00801295"/>
    <w:rsid w:val="0080159D"/>
    <w:rsid w:val="0080167D"/>
    <w:rsid w:val="00801752"/>
    <w:rsid w:val="0080203F"/>
    <w:rsid w:val="00802134"/>
    <w:rsid w:val="0080239D"/>
    <w:rsid w:val="0080293B"/>
    <w:rsid w:val="00802AC8"/>
    <w:rsid w:val="00802FAB"/>
    <w:rsid w:val="008032A0"/>
    <w:rsid w:val="00804DE5"/>
    <w:rsid w:val="008052E6"/>
    <w:rsid w:val="008055E3"/>
    <w:rsid w:val="0080689D"/>
    <w:rsid w:val="00806D4C"/>
    <w:rsid w:val="0080764F"/>
    <w:rsid w:val="00807760"/>
    <w:rsid w:val="00807B7F"/>
    <w:rsid w:val="00810813"/>
    <w:rsid w:val="00810894"/>
    <w:rsid w:val="00810E40"/>
    <w:rsid w:val="00810F16"/>
    <w:rsid w:val="0081109A"/>
    <w:rsid w:val="008117C5"/>
    <w:rsid w:val="00811D4B"/>
    <w:rsid w:val="00811F70"/>
    <w:rsid w:val="00812096"/>
    <w:rsid w:val="00812532"/>
    <w:rsid w:val="008127E4"/>
    <w:rsid w:val="0081335F"/>
    <w:rsid w:val="00813481"/>
    <w:rsid w:val="008139DC"/>
    <w:rsid w:val="00813B81"/>
    <w:rsid w:val="00813DA4"/>
    <w:rsid w:val="00814478"/>
    <w:rsid w:val="00814583"/>
    <w:rsid w:val="00814EE2"/>
    <w:rsid w:val="00814F26"/>
    <w:rsid w:val="0081500A"/>
    <w:rsid w:val="00815420"/>
    <w:rsid w:val="008156D0"/>
    <w:rsid w:val="008158E1"/>
    <w:rsid w:val="0081598F"/>
    <w:rsid w:val="008159AA"/>
    <w:rsid w:val="00815B03"/>
    <w:rsid w:val="00815E7C"/>
    <w:rsid w:val="0081655E"/>
    <w:rsid w:val="00816C67"/>
    <w:rsid w:val="008172A0"/>
    <w:rsid w:val="00817B33"/>
    <w:rsid w:val="00817E81"/>
    <w:rsid w:val="00817EB8"/>
    <w:rsid w:val="00820CD1"/>
    <w:rsid w:val="00820D0B"/>
    <w:rsid w:val="00820F7C"/>
    <w:rsid w:val="00821326"/>
    <w:rsid w:val="00821782"/>
    <w:rsid w:val="00822209"/>
    <w:rsid w:val="0082253F"/>
    <w:rsid w:val="008230D1"/>
    <w:rsid w:val="0082319B"/>
    <w:rsid w:val="00823203"/>
    <w:rsid w:val="0082404B"/>
    <w:rsid w:val="008240FE"/>
    <w:rsid w:val="00824261"/>
    <w:rsid w:val="008242BE"/>
    <w:rsid w:val="00824883"/>
    <w:rsid w:val="008248BA"/>
    <w:rsid w:val="00824B82"/>
    <w:rsid w:val="00825F0F"/>
    <w:rsid w:val="00826C8A"/>
    <w:rsid w:val="00826CD0"/>
    <w:rsid w:val="00827337"/>
    <w:rsid w:val="008275BD"/>
    <w:rsid w:val="00827701"/>
    <w:rsid w:val="00827C61"/>
    <w:rsid w:val="0083029C"/>
    <w:rsid w:val="0083150D"/>
    <w:rsid w:val="008316C0"/>
    <w:rsid w:val="008316E1"/>
    <w:rsid w:val="00832947"/>
    <w:rsid w:val="00832E3A"/>
    <w:rsid w:val="008332E2"/>
    <w:rsid w:val="008333FE"/>
    <w:rsid w:val="00834FBC"/>
    <w:rsid w:val="00835437"/>
    <w:rsid w:val="00835774"/>
    <w:rsid w:val="008359E6"/>
    <w:rsid w:val="00835DA6"/>
    <w:rsid w:val="0083634A"/>
    <w:rsid w:val="0083663A"/>
    <w:rsid w:val="00836A08"/>
    <w:rsid w:val="00837E67"/>
    <w:rsid w:val="00837E91"/>
    <w:rsid w:val="00840230"/>
    <w:rsid w:val="008404B4"/>
    <w:rsid w:val="008406A5"/>
    <w:rsid w:val="00840A17"/>
    <w:rsid w:val="00840C37"/>
    <w:rsid w:val="00840F5B"/>
    <w:rsid w:val="00841347"/>
    <w:rsid w:val="0084148E"/>
    <w:rsid w:val="00841522"/>
    <w:rsid w:val="00841797"/>
    <w:rsid w:val="00841F12"/>
    <w:rsid w:val="0084286F"/>
    <w:rsid w:val="00842C0A"/>
    <w:rsid w:val="00843464"/>
    <w:rsid w:val="00843832"/>
    <w:rsid w:val="00843E80"/>
    <w:rsid w:val="00843F1B"/>
    <w:rsid w:val="0084422B"/>
    <w:rsid w:val="00844376"/>
    <w:rsid w:val="00844718"/>
    <w:rsid w:val="00844B6D"/>
    <w:rsid w:val="00844C07"/>
    <w:rsid w:val="00845017"/>
    <w:rsid w:val="008458B2"/>
    <w:rsid w:val="0084595A"/>
    <w:rsid w:val="0084602A"/>
    <w:rsid w:val="00846042"/>
    <w:rsid w:val="0084681E"/>
    <w:rsid w:val="0084686E"/>
    <w:rsid w:val="00846B45"/>
    <w:rsid w:val="00846D6F"/>
    <w:rsid w:val="00846FC3"/>
    <w:rsid w:val="00846FF9"/>
    <w:rsid w:val="00847337"/>
    <w:rsid w:val="00847496"/>
    <w:rsid w:val="00847975"/>
    <w:rsid w:val="00850498"/>
    <w:rsid w:val="00850542"/>
    <w:rsid w:val="00850625"/>
    <w:rsid w:val="00850F1D"/>
    <w:rsid w:val="008515C8"/>
    <w:rsid w:val="00851D6F"/>
    <w:rsid w:val="00851FC8"/>
    <w:rsid w:val="0085226F"/>
    <w:rsid w:val="00852CEC"/>
    <w:rsid w:val="00852D6D"/>
    <w:rsid w:val="0085311A"/>
    <w:rsid w:val="00854210"/>
    <w:rsid w:val="00854395"/>
    <w:rsid w:val="00854E1D"/>
    <w:rsid w:val="00854FE5"/>
    <w:rsid w:val="0085539C"/>
    <w:rsid w:val="00855728"/>
    <w:rsid w:val="00855BC1"/>
    <w:rsid w:val="00855C34"/>
    <w:rsid w:val="00855FD0"/>
    <w:rsid w:val="008565F7"/>
    <w:rsid w:val="00856708"/>
    <w:rsid w:val="00857126"/>
    <w:rsid w:val="0085753F"/>
    <w:rsid w:val="00857709"/>
    <w:rsid w:val="008578B8"/>
    <w:rsid w:val="00860B2E"/>
    <w:rsid w:val="00861007"/>
    <w:rsid w:val="0086153C"/>
    <w:rsid w:val="00862D2D"/>
    <w:rsid w:val="00862FEE"/>
    <w:rsid w:val="008630FC"/>
    <w:rsid w:val="00863273"/>
    <w:rsid w:val="008637AB"/>
    <w:rsid w:val="008637B9"/>
    <w:rsid w:val="00863A15"/>
    <w:rsid w:val="00863D92"/>
    <w:rsid w:val="008640AC"/>
    <w:rsid w:val="008645B2"/>
    <w:rsid w:val="0086461E"/>
    <w:rsid w:val="00864D32"/>
    <w:rsid w:val="00864D5E"/>
    <w:rsid w:val="00865BFE"/>
    <w:rsid w:val="00865E1E"/>
    <w:rsid w:val="00865EE6"/>
    <w:rsid w:val="00866C11"/>
    <w:rsid w:val="00867214"/>
    <w:rsid w:val="00867349"/>
    <w:rsid w:val="00867689"/>
    <w:rsid w:val="00867AD1"/>
    <w:rsid w:val="00867E63"/>
    <w:rsid w:val="00867EE4"/>
    <w:rsid w:val="008709FC"/>
    <w:rsid w:val="00870FA7"/>
    <w:rsid w:val="008711BF"/>
    <w:rsid w:val="008718F6"/>
    <w:rsid w:val="00871CA8"/>
    <w:rsid w:val="00872686"/>
    <w:rsid w:val="008726ED"/>
    <w:rsid w:val="008735AF"/>
    <w:rsid w:val="008735BC"/>
    <w:rsid w:val="00874475"/>
    <w:rsid w:val="00874C59"/>
    <w:rsid w:val="00874C67"/>
    <w:rsid w:val="00874D91"/>
    <w:rsid w:val="00874F9F"/>
    <w:rsid w:val="00875728"/>
    <w:rsid w:val="00875DD3"/>
    <w:rsid w:val="00875EF5"/>
    <w:rsid w:val="00876095"/>
    <w:rsid w:val="008762CE"/>
    <w:rsid w:val="0087680C"/>
    <w:rsid w:val="00876FCF"/>
    <w:rsid w:val="00880F4F"/>
    <w:rsid w:val="0088101F"/>
    <w:rsid w:val="008813E7"/>
    <w:rsid w:val="00881542"/>
    <w:rsid w:val="0088154A"/>
    <w:rsid w:val="00881AD3"/>
    <w:rsid w:val="00881B55"/>
    <w:rsid w:val="00881FBF"/>
    <w:rsid w:val="008822FB"/>
    <w:rsid w:val="008824B4"/>
    <w:rsid w:val="008824C8"/>
    <w:rsid w:val="00882EA8"/>
    <w:rsid w:val="0088392A"/>
    <w:rsid w:val="00883C67"/>
    <w:rsid w:val="008847EF"/>
    <w:rsid w:val="00885167"/>
    <w:rsid w:val="0088520C"/>
    <w:rsid w:val="008857DB"/>
    <w:rsid w:val="00885845"/>
    <w:rsid w:val="00885F80"/>
    <w:rsid w:val="00886BCF"/>
    <w:rsid w:val="0088741B"/>
    <w:rsid w:val="008879F3"/>
    <w:rsid w:val="00887ABD"/>
    <w:rsid w:val="00890D63"/>
    <w:rsid w:val="00890F43"/>
    <w:rsid w:val="0089117F"/>
    <w:rsid w:val="00891AE9"/>
    <w:rsid w:val="00891C86"/>
    <w:rsid w:val="008926F9"/>
    <w:rsid w:val="00892C64"/>
    <w:rsid w:val="00893C31"/>
    <w:rsid w:val="00893D46"/>
    <w:rsid w:val="0089409D"/>
    <w:rsid w:val="00894662"/>
    <w:rsid w:val="00894998"/>
    <w:rsid w:val="00895210"/>
    <w:rsid w:val="0089531F"/>
    <w:rsid w:val="00895E96"/>
    <w:rsid w:val="008968ED"/>
    <w:rsid w:val="00896937"/>
    <w:rsid w:val="00896B91"/>
    <w:rsid w:val="0089766A"/>
    <w:rsid w:val="00897702"/>
    <w:rsid w:val="00897752"/>
    <w:rsid w:val="00897AC3"/>
    <w:rsid w:val="008A016C"/>
    <w:rsid w:val="008A0440"/>
    <w:rsid w:val="008A0876"/>
    <w:rsid w:val="008A0A98"/>
    <w:rsid w:val="008A0BB4"/>
    <w:rsid w:val="008A17DE"/>
    <w:rsid w:val="008A19D7"/>
    <w:rsid w:val="008A2658"/>
    <w:rsid w:val="008A26D5"/>
    <w:rsid w:val="008A2AA2"/>
    <w:rsid w:val="008A2DF7"/>
    <w:rsid w:val="008A4220"/>
    <w:rsid w:val="008A48D1"/>
    <w:rsid w:val="008A51DB"/>
    <w:rsid w:val="008A53C3"/>
    <w:rsid w:val="008A5A5A"/>
    <w:rsid w:val="008A5B18"/>
    <w:rsid w:val="008A5E64"/>
    <w:rsid w:val="008A6259"/>
    <w:rsid w:val="008A63D3"/>
    <w:rsid w:val="008A69B0"/>
    <w:rsid w:val="008A6DC7"/>
    <w:rsid w:val="008A6F9E"/>
    <w:rsid w:val="008A70AF"/>
    <w:rsid w:val="008A7354"/>
    <w:rsid w:val="008A73AE"/>
    <w:rsid w:val="008A7CDF"/>
    <w:rsid w:val="008B0AE1"/>
    <w:rsid w:val="008B0B1D"/>
    <w:rsid w:val="008B0C9C"/>
    <w:rsid w:val="008B105D"/>
    <w:rsid w:val="008B150F"/>
    <w:rsid w:val="008B191F"/>
    <w:rsid w:val="008B22DE"/>
    <w:rsid w:val="008B2386"/>
    <w:rsid w:val="008B2DBD"/>
    <w:rsid w:val="008B35B1"/>
    <w:rsid w:val="008B3ADD"/>
    <w:rsid w:val="008B416F"/>
    <w:rsid w:val="008B432B"/>
    <w:rsid w:val="008B48E7"/>
    <w:rsid w:val="008B4B4F"/>
    <w:rsid w:val="008B51E7"/>
    <w:rsid w:val="008B5AB0"/>
    <w:rsid w:val="008B5B5B"/>
    <w:rsid w:val="008B5B84"/>
    <w:rsid w:val="008B602C"/>
    <w:rsid w:val="008B623C"/>
    <w:rsid w:val="008B66D5"/>
    <w:rsid w:val="008B6DA2"/>
    <w:rsid w:val="008B7053"/>
    <w:rsid w:val="008B70B2"/>
    <w:rsid w:val="008B7581"/>
    <w:rsid w:val="008B7C04"/>
    <w:rsid w:val="008B7D24"/>
    <w:rsid w:val="008B7F4D"/>
    <w:rsid w:val="008C010C"/>
    <w:rsid w:val="008C0113"/>
    <w:rsid w:val="008C0815"/>
    <w:rsid w:val="008C0E02"/>
    <w:rsid w:val="008C0E8A"/>
    <w:rsid w:val="008C1211"/>
    <w:rsid w:val="008C1249"/>
    <w:rsid w:val="008C13FA"/>
    <w:rsid w:val="008C174C"/>
    <w:rsid w:val="008C1B4D"/>
    <w:rsid w:val="008C1CCF"/>
    <w:rsid w:val="008C229F"/>
    <w:rsid w:val="008C2A70"/>
    <w:rsid w:val="008C33E0"/>
    <w:rsid w:val="008C41A9"/>
    <w:rsid w:val="008C4756"/>
    <w:rsid w:val="008C490E"/>
    <w:rsid w:val="008C54D2"/>
    <w:rsid w:val="008C55B0"/>
    <w:rsid w:val="008C6EA7"/>
    <w:rsid w:val="008C6EAA"/>
    <w:rsid w:val="008C799A"/>
    <w:rsid w:val="008D006F"/>
    <w:rsid w:val="008D0754"/>
    <w:rsid w:val="008D12E1"/>
    <w:rsid w:val="008D1651"/>
    <w:rsid w:val="008D1A30"/>
    <w:rsid w:val="008D22D7"/>
    <w:rsid w:val="008D2433"/>
    <w:rsid w:val="008D29C4"/>
    <w:rsid w:val="008D2DFB"/>
    <w:rsid w:val="008D2E33"/>
    <w:rsid w:val="008D2EBD"/>
    <w:rsid w:val="008D2FC8"/>
    <w:rsid w:val="008D3A40"/>
    <w:rsid w:val="008D3B53"/>
    <w:rsid w:val="008D3F04"/>
    <w:rsid w:val="008D42BA"/>
    <w:rsid w:val="008D4457"/>
    <w:rsid w:val="008D463C"/>
    <w:rsid w:val="008D4688"/>
    <w:rsid w:val="008D46B2"/>
    <w:rsid w:val="008D5399"/>
    <w:rsid w:val="008D572D"/>
    <w:rsid w:val="008D58DE"/>
    <w:rsid w:val="008D5CE8"/>
    <w:rsid w:val="008D5D7B"/>
    <w:rsid w:val="008D66C2"/>
    <w:rsid w:val="008D6ACC"/>
    <w:rsid w:val="008D7065"/>
    <w:rsid w:val="008D7973"/>
    <w:rsid w:val="008D79E6"/>
    <w:rsid w:val="008D7CBD"/>
    <w:rsid w:val="008D7D04"/>
    <w:rsid w:val="008E01D5"/>
    <w:rsid w:val="008E0433"/>
    <w:rsid w:val="008E050A"/>
    <w:rsid w:val="008E05F2"/>
    <w:rsid w:val="008E0C5D"/>
    <w:rsid w:val="008E1303"/>
    <w:rsid w:val="008E1392"/>
    <w:rsid w:val="008E18CB"/>
    <w:rsid w:val="008E1DE6"/>
    <w:rsid w:val="008E22BB"/>
    <w:rsid w:val="008E2394"/>
    <w:rsid w:val="008E2DE7"/>
    <w:rsid w:val="008E2F37"/>
    <w:rsid w:val="008E3E94"/>
    <w:rsid w:val="008E432A"/>
    <w:rsid w:val="008E4811"/>
    <w:rsid w:val="008E48E3"/>
    <w:rsid w:val="008E4A25"/>
    <w:rsid w:val="008E4A5B"/>
    <w:rsid w:val="008E4D75"/>
    <w:rsid w:val="008E52E7"/>
    <w:rsid w:val="008E5BC6"/>
    <w:rsid w:val="008E60E2"/>
    <w:rsid w:val="008E61E6"/>
    <w:rsid w:val="008E75BB"/>
    <w:rsid w:val="008E78E0"/>
    <w:rsid w:val="008E792E"/>
    <w:rsid w:val="008E7962"/>
    <w:rsid w:val="008E7A47"/>
    <w:rsid w:val="008E7D53"/>
    <w:rsid w:val="008F0635"/>
    <w:rsid w:val="008F076F"/>
    <w:rsid w:val="008F0B6F"/>
    <w:rsid w:val="008F0FB4"/>
    <w:rsid w:val="008F1192"/>
    <w:rsid w:val="008F11E5"/>
    <w:rsid w:val="008F11FF"/>
    <w:rsid w:val="008F14D3"/>
    <w:rsid w:val="008F150E"/>
    <w:rsid w:val="008F158E"/>
    <w:rsid w:val="008F1972"/>
    <w:rsid w:val="008F1AFE"/>
    <w:rsid w:val="008F2E05"/>
    <w:rsid w:val="008F3273"/>
    <w:rsid w:val="008F3274"/>
    <w:rsid w:val="008F34E7"/>
    <w:rsid w:val="008F403D"/>
    <w:rsid w:val="008F4068"/>
    <w:rsid w:val="008F4131"/>
    <w:rsid w:val="008F47CE"/>
    <w:rsid w:val="008F4EB9"/>
    <w:rsid w:val="008F58F8"/>
    <w:rsid w:val="008F5B82"/>
    <w:rsid w:val="008F6720"/>
    <w:rsid w:val="008F6E51"/>
    <w:rsid w:val="008F73CA"/>
    <w:rsid w:val="008F7BD1"/>
    <w:rsid w:val="008F7EB7"/>
    <w:rsid w:val="00900337"/>
    <w:rsid w:val="00900526"/>
    <w:rsid w:val="009005D3"/>
    <w:rsid w:val="00900661"/>
    <w:rsid w:val="00900716"/>
    <w:rsid w:val="00900FF8"/>
    <w:rsid w:val="009013EE"/>
    <w:rsid w:val="00901643"/>
    <w:rsid w:val="009018A5"/>
    <w:rsid w:val="00901EA9"/>
    <w:rsid w:val="00901F3F"/>
    <w:rsid w:val="0090204C"/>
    <w:rsid w:val="00902222"/>
    <w:rsid w:val="009023DE"/>
    <w:rsid w:val="00903AAE"/>
    <w:rsid w:val="00903C1B"/>
    <w:rsid w:val="00903CE6"/>
    <w:rsid w:val="00903EFA"/>
    <w:rsid w:val="00904091"/>
    <w:rsid w:val="0090446E"/>
    <w:rsid w:val="009048B7"/>
    <w:rsid w:val="00904CFF"/>
    <w:rsid w:val="00904D0E"/>
    <w:rsid w:val="0090501A"/>
    <w:rsid w:val="00905104"/>
    <w:rsid w:val="0090521D"/>
    <w:rsid w:val="00905389"/>
    <w:rsid w:val="009057A1"/>
    <w:rsid w:val="0090643D"/>
    <w:rsid w:val="00906D40"/>
    <w:rsid w:val="00907200"/>
    <w:rsid w:val="00907289"/>
    <w:rsid w:val="0090731C"/>
    <w:rsid w:val="009078D7"/>
    <w:rsid w:val="00910132"/>
    <w:rsid w:val="00910A36"/>
    <w:rsid w:val="00911D67"/>
    <w:rsid w:val="0091210B"/>
    <w:rsid w:val="009125BC"/>
    <w:rsid w:val="009126DD"/>
    <w:rsid w:val="009129B8"/>
    <w:rsid w:val="00912D7F"/>
    <w:rsid w:val="00912EE5"/>
    <w:rsid w:val="00912F85"/>
    <w:rsid w:val="00913052"/>
    <w:rsid w:val="00913A1B"/>
    <w:rsid w:val="00913C31"/>
    <w:rsid w:val="009142A9"/>
    <w:rsid w:val="009147D0"/>
    <w:rsid w:val="0091494B"/>
    <w:rsid w:val="009150AE"/>
    <w:rsid w:val="00915340"/>
    <w:rsid w:val="00915ABF"/>
    <w:rsid w:val="00916D30"/>
    <w:rsid w:val="00916D52"/>
    <w:rsid w:val="00917153"/>
    <w:rsid w:val="00917A3A"/>
    <w:rsid w:val="00917CCB"/>
    <w:rsid w:val="00917D9D"/>
    <w:rsid w:val="009205EC"/>
    <w:rsid w:val="00920C26"/>
    <w:rsid w:val="00921227"/>
    <w:rsid w:val="00921662"/>
    <w:rsid w:val="00921844"/>
    <w:rsid w:val="0092201F"/>
    <w:rsid w:val="009232C0"/>
    <w:rsid w:val="009247E7"/>
    <w:rsid w:val="0092507A"/>
    <w:rsid w:val="00925216"/>
    <w:rsid w:val="0092530E"/>
    <w:rsid w:val="0092566D"/>
    <w:rsid w:val="0092588F"/>
    <w:rsid w:val="0092589D"/>
    <w:rsid w:val="00925A89"/>
    <w:rsid w:val="00926A39"/>
    <w:rsid w:val="00927453"/>
    <w:rsid w:val="009274E8"/>
    <w:rsid w:val="0092751B"/>
    <w:rsid w:val="00927D4C"/>
    <w:rsid w:val="00927E0E"/>
    <w:rsid w:val="009304C3"/>
    <w:rsid w:val="00930F25"/>
    <w:rsid w:val="00930FB1"/>
    <w:rsid w:val="0093136A"/>
    <w:rsid w:val="00931CAF"/>
    <w:rsid w:val="00931D49"/>
    <w:rsid w:val="009323DE"/>
    <w:rsid w:val="0093271F"/>
    <w:rsid w:val="00932C30"/>
    <w:rsid w:val="00932F1A"/>
    <w:rsid w:val="009332C6"/>
    <w:rsid w:val="00933615"/>
    <w:rsid w:val="00934782"/>
    <w:rsid w:val="00934E83"/>
    <w:rsid w:val="0093543C"/>
    <w:rsid w:val="00935725"/>
    <w:rsid w:val="009367DC"/>
    <w:rsid w:val="00936981"/>
    <w:rsid w:val="00936F6E"/>
    <w:rsid w:val="0093749B"/>
    <w:rsid w:val="009374CA"/>
    <w:rsid w:val="009379EC"/>
    <w:rsid w:val="00937A7E"/>
    <w:rsid w:val="00937A9B"/>
    <w:rsid w:val="00937B7E"/>
    <w:rsid w:val="0094026B"/>
    <w:rsid w:val="00940470"/>
    <w:rsid w:val="00940B83"/>
    <w:rsid w:val="00941044"/>
    <w:rsid w:val="0094110B"/>
    <w:rsid w:val="0094123F"/>
    <w:rsid w:val="00941C0D"/>
    <w:rsid w:val="00941CDB"/>
    <w:rsid w:val="00941D03"/>
    <w:rsid w:val="00941E15"/>
    <w:rsid w:val="00942168"/>
    <w:rsid w:val="009421DE"/>
    <w:rsid w:val="0094227D"/>
    <w:rsid w:val="009423B0"/>
    <w:rsid w:val="0094246B"/>
    <w:rsid w:val="00942540"/>
    <w:rsid w:val="00943250"/>
    <w:rsid w:val="009432BD"/>
    <w:rsid w:val="00944803"/>
    <w:rsid w:val="00945384"/>
    <w:rsid w:val="009453BC"/>
    <w:rsid w:val="00945D66"/>
    <w:rsid w:val="00946226"/>
    <w:rsid w:val="00946C31"/>
    <w:rsid w:val="009472A3"/>
    <w:rsid w:val="00947721"/>
    <w:rsid w:val="009479EF"/>
    <w:rsid w:val="009501F5"/>
    <w:rsid w:val="009506CF"/>
    <w:rsid w:val="00950E55"/>
    <w:rsid w:val="00950E6F"/>
    <w:rsid w:val="009511CC"/>
    <w:rsid w:val="009518B8"/>
    <w:rsid w:val="009523D2"/>
    <w:rsid w:val="009523D4"/>
    <w:rsid w:val="00952DDA"/>
    <w:rsid w:val="0095370A"/>
    <w:rsid w:val="00953757"/>
    <w:rsid w:val="009538E9"/>
    <w:rsid w:val="00953B35"/>
    <w:rsid w:val="00954A83"/>
    <w:rsid w:val="00954ADE"/>
    <w:rsid w:val="00954D06"/>
    <w:rsid w:val="00955726"/>
    <w:rsid w:val="00955CA0"/>
    <w:rsid w:val="00956BB5"/>
    <w:rsid w:val="00956E7B"/>
    <w:rsid w:val="00956FCA"/>
    <w:rsid w:val="009571EC"/>
    <w:rsid w:val="0095738B"/>
    <w:rsid w:val="009574D6"/>
    <w:rsid w:val="00957C65"/>
    <w:rsid w:val="00957F24"/>
    <w:rsid w:val="00960331"/>
    <w:rsid w:val="00960DC7"/>
    <w:rsid w:val="009613FD"/>
    <w:rsid w:val="009616A5"/>
    <w:rsid w:val="0096216F"/>
    <w:rsid w:val="00962AE8"/>
    <w:rsid w:val="00963292"/>
    <w:rsid w:val="00963965"/>
    <w:rsid w:val="00963FB0"/>
    <w:rsid w:val="00964229"/>
    <w:rsid w:val="0096519D"/>
    <w:rsid w:val="0096558E"/>
    <w:rsid w:val="00965ACA"/>
    <w:rsid w:val="00965C96"/>
    <w:rsid w:val="00965FD0"/>
    <w:rsid w:val="00966462"/>
    <w:rsid w:val="00966AA3"/>
    <w:rsid w:val="00966C2B"/>
    <w:rsid w:val="00966FBD"/>
    <w:rsid w:val="009676A2"/>
    <w:rsid w:val="009679D2"/>
    <w:rsid w:val="00970F32"/>
    <w:rsid w:val="00970F96"/>
    <w:rsid w:val="00971838"/>
    <w:rsid w:val="00971B5B"/>
    <w:rsid w:val="00971F9A"/>
    <w:rsid w:val="00972415"/>
    <w:rsid w:val="009728B8"/>
    <w:rsid w:val="00972DB1"/>
    <w:rsid w:val="00972FAC"/>
    <w:rsid w:val="009733FF"/>
    <w:rsid w:val="00973812"/>
    <w:rsid w:val="00973CE5"/>
    <w:rsid w:val="00974B20"/>
    <w:rsid w:val="00974DF7"/>
    <w:rsid w:val="0097512F"/>
    <w:rsid w:val="0097547B"/>
    <w:rsid w:val="0097581C"/>
    <w:rsid w:val="00975A06"/>
    <w:rsid w:val="00975EA3"/>
    <w:rsid w:val="009763B4"/>
    <w:rsid w:val="00976951"/>
    <w:rsid w:val="00976AE4"/>
    <w:rsid w:val="00976EB5"/>
    <w:rsid w:val="00977EFB"/>
    <w:rsid w:val="0098000E"/>
    <w:rsid w:val="00980AED"/>
    <w:rsid w:val="009812B4"/>
    <w:rsid w:val="00981613"/>
    <w:rsid w:val="009819A2"/>
    <w:rsid w:val="00981B26"/>
    <w:rsid w:val="00982201"/>
    <w:rsid w:val="00982447"/>
    <w:rsid w:val="00982E96"/>
    <w:rsid w:val="00983175"/>
    <w:rsid w:val="009849D7"/>
    <w:rsid w:val="00984F3F"/>
    <w:rsid w:val="0098522B"/>
    <w:rsid w:val="009852AE"/>
    <w:rsid w:val="00985355"/>
    <w:rsid w:val="009862FA"/>
    <w:rsid w:val="009863B8"/>
    <w:rsid w:val="00986882"/>
    <w:rsid w:val="00986DF9"/>
    <w:rsid w:val="0098775B"/>
    <w:rsid w:val="00987AA7"/>
    <w:rsid w:val="00990335"/>
    <w:rsid w:val="0099034D"/>
    <w:rsid w:val="0099060A"/>
    <w:rsid w:val="009909D2"/>
    <w:rsid w:val="00990C55"/>
    <w:rsid w:val="0099100D"/>
    <w:rsid w:val="009911CE"/>
    <w:rsid w:val="009916BB"/>
    <w:rsid w:val="00991934"/>
    <w:rsid w:val="00991CBF"/>
    <w:rsid w:val="00991EA4"/>
    <w:rsid w:val="009922B9"/>
    <w:rsid w:val="00992589"/>
    <w:rsid w:val="00992EF5"/>
    <w:rsid w:val="009930E2"/>
    <w:rsid w:val="009936F3"/>
    <w:rsid w:val="00993C50"/>
    <w:rsid w:val="00993CE8"/>
    <w:rsid w:val="00994E67"/>
    <w:rsid w:val="00994FA4"/>
    <w:rsid w:val="0099503A"/>
    <w:rsid w:val="0099525D"/>
    <w:rsid w:val="009953AD"/>
    <w:rsid w:val="0099550F"/>
    <w:rsid w:val="0099582E"/>
    <w:rsid w:val="00995BB1"/>
    <w:rsid w:val="00996287"/>
    <w:rsid w:val="009965FB"/>
    <w:rsid w:val="00997028"/>
    <w:rsid w:val="009974B2"/>
    <w:rsid w:val="009974D5"/>
    <w:rsid w:val="0099773A"/>
    <w:rsid w:val="00997B70"/>
    <w:rsid w:val="009A1243"/>
    <w:rsid w:val="009A14C4"/>
    <w:rsid w:val="009A14FE"/>
    <w:rsid w:val="009A1506"/>
    <w:rsid w:val="009A2785"/>
    <w:rsid w:val="009A27FA"/>
    <w:rsid w:val="009A2BAD"/>
    <w:rsid w:val="009A2BD5"/>
    <w:rsid w:val="009A2C06"/>
    <w:rsid w:val="009A2F5F"/>
    <w:rsid w:val="009A30FB"/>
    <w:rsid w:val="009A35B3"/>
    <w:rsid w:val="009A36A6"/>
    <w:rsid w:val="009A3B4F"/>
    <w:rsid w:val="009A40FB"/>
    <w:rsid w:val="009A4497"/>
    <w:rsid w:val="009A48A1"/>
    <w:rsid w:val="009A48C5"/>
    <w:rsid w:val="009A495C"/>
    <w:rsid w:val="009A4A4B"/>
    <w:rsid w:val="009A5305"/>
    <w:rsid w:val="009A5529"/>
    <w:rsid w:val="009A554E"/>
    <w:rsid w:val="009A55FE"/>
    <w:rsid w:val="009A5EDB"/>
    <w:rsid w:val="009A6ACC"/>
    <w:rsid w:val="009A6B96"/>
    <w:rsid w:val="009A6D0D"/>
    <w:rsid w:val="009A753B"/>
    <w:rsid w:val="009A75D1"/>
    <w:rsid w:val="009A7CB6"/>
    <w:rsid w:val="009A7DF0"/>
    <w:rsid w:val="009B01E8"/>
    <w:rsid w:val="009B0753"/>
    <w:rsid w:val="009B113E"/>
    <w:rsid w:val="009B128F"/>
    <w:rsid w:val="009B1DB7"/>
    <w:rsid w:val="009B21D0"/>
    <w:rsid w:val="009B2254"/>
    <w:rsid w:val="009B2797"/>
    <w:rsid w:val="009B37D3"/>
    <w:rsid w:val="009B38A6"/>
    <w:rsid w:val="009B3B24"/>
    <w:rsid w:val="009B4334"/>
    <w:rsid w:val="009B4550"/>
    <w:rsid w:val="009B4D75"/>
    <w:rsid w:val="009B4F63"/>
    <w:rsid w:val="009B5030"/>
    <w:rsid w:val="009B5487"/>
    <w:rsid w:val="009B5662"/>
    <w:rsid w:val="009B5AD1"/>
    <w:rsid w:val="009B6AD2"/>
    <w:rsid w:val="009B6DBD"/>
    <w:rsid w:val="009B7436"/>
    <w:rsid w:val="009B7570"/>
    <w:rsid w:val="009B757A"/>
    <w:rsid w:val="009B78D8"/>
    <w:rsid w:val="009B7A57"/>
    <w:rsid w:val="009B7A65"/>
    <w:rsid w:val="009B7BC5"/>
    <w:rsid w:val="009B7F98"/>
    <w:rsid w:val="009C04C4"/>
    <w:rsid w:val="009C0535"/>
    <w:rsid w:val="009C0A4F"/>
    <w:rsid w:val="009C0ADB"/>
    <w:rsid w:val="009C0DBD"/>
    <w:rsid w:val="009C1196"/>
    <w:rsid w:val="009C190D"/>
    <w:rsid w:val="009C1A45"/>
    <w:rsid w:val="009C1BB7"/>
    <w:rsid w:val="009C261A"/>
    <w:rsid w:val="009C269F"/>
    <w:rsid w:val="009C2C67"/>
    <w:rsid w:val="009C3FBD"/>
    <w:rsid w:val="009C45E6"/>
    <w:rsid w:val="009C4DF2"/>
    <w:rsid w:val="009C4E71"/>
    <w:rsid w:val="009C4F6A"/>
    <w:rsid w:val="009C5152"/>
    <w:rsid w:val="009C51E8"/>
    <w:rsid w:val="009C595C"/>
    <w:rsid w:val="009C5C93"/>
    <w:rsid w:val="009C5FA8"/>
    <w:rsid w:val="009C6334"/>
    <w:rsid w:val="009C6AB9"/>
    <w:rsid w:val="009C6C53"/>
    <w:rsid w:val="009C71C2"/>
    <w:rsid w:val="009C7664"/>
    <w:rsid w:val="009C7CBC"/>
    <w:rsid w:val="009D0E73"/>
    <w:rsid w:val="009D1C5D"/>
    <w:rsid w:val="009D2D35"/>
    <w:rsid w:val="009D2F81"/>
    <w:rsid w:val="009D317C"/>
    <w:rsid w:val="009D32BD"/>
    <w:rsid w:val="009D3ADC"/>
    <w:rsid w:val="009D3E69"/>
    <w:rsid w:val="009D410D"/>
    <w:rsid w:val="009D47CC"/>
    <w:rsid w:val="009D47F3"/>
    <w:rsid w:val="009D4841"/>
    <w:rsid w:val="009D546A"/>
    <w:rsid w:val="009D5AB2"/>
    <w:rsid w:val="009D5FF2"/>
    <w:rsid w:val="009D6002"/>
    <w:rsid w:val="009D680F"/>
    <w:rsid w:val="009D68ED"/>
    <w:rsid w:val="009D6B1A"/>
    <w:rsid w:val="009D6C8A"/>
    <w:rsid w:val="009D7981"/>
    <w:rsid w:val="009D7BA9"/>
    <w:rsid w:val="009D7F37"/>
    <w:rsid w:val="009E044A"/>
    <w:rsid w:val="009E09CD"/>
    <w:rsid w:val="009E0DFA"/>
    <w:rsid w:val="009E0E89"/>
    <w:rsid w:val="009E1393"/>
    <w:rsid w:val="009E13B1"/>
    <w:rsid w:val="009E1773"/>
    <w:rsid w:val="009E1A1F"/>
    <w:rsid w:val="009E21B5"/>
    <w:rsid w:val="009E22BD"/>
    <w:rsid w:val="009E2385"/>
    <w:rsid w:val="009E2983"/>
    <w:rsid w:val="009E2D9D"/>
    <w:rsid w:val="009E2E6A"/>
    <w:rsid w:val="009E35E7"/>
    <w:rsid w:val="009E387E"/>
    <w:rsid w:val="009E3DCD"/>
    <w:rsid w:val="009E456F"/>
    <w:rsid w:val="009E45E9"/>
    <w:rsid w:val="009E507D"/>
    <w:rsid w:val="009E5CFC"/>
    <w:rsid w:val="009E610F"/>
    <w:rsid w:val="009E6444"/>
    <w:rsid w:val="009E66D6"/>
    <w:rsid w:val="009E6927"/>
    <w:rsid w:val="009E69FC"/>
    <w:rsid w:val="009E6F69"/>
    <w:rsid w:val="009E7405"/>
    <w:rsid w:val="009E77CA"/>
    <w:rsid w:val="009E7948"/>
    <w:rsid w:val="009E7DEE"/>
    <w:rsid w:val="009F05B0"/>
    <w:rsid w:val="009F067A"/>
    <w:rsid w:val="009F0BC1"/>
    <w:rsid w:val="009F0D5E"/>
    <w:rsid w:val="009F1432"/>
    <w:rsid w:val="009F14A5"/>
    <w:rsid w:val="009F195B"/>
    <w:rsid w:val="009F1E5D"/>
    <w:rsid w:val="009F2A66"/>
    <w:rsid w:val="009F3274"/>
    <w:rsid w:val="009F396A"/>
    <w:rsid w:val="009F3E14"/>
    <w:rsid w:val="009F4217"/>
    <w:rsid w:val="009F4269"/>
    <w:rsid w:val="009F4F9B"/>
    <w:rsid w:val="009F524A"/>
    <w:rsid w:val="009F5837"/>
    <w:rsid w:val="009F5912"/>
    <w:rsid w:val="009F5D97"/>
    <w:rsid w:val="009F5D98"/>
    <w:rsid w:val="009F5FEB"/>
    <w:rsid w:val="009F65E1"/>
    <w:rsid w:val="009F6708"/>
    <w:rsid w:val="009F715B"/>
    <w:rsid w:val="00A00025"/>
    <w:rsid w:val="00A00340"/>
    <w:rsid w:val="00A00344"/>
    <w:rsid w:val="00A0041D"/>
    <w:rsid w:val="00A009FC"/>
    <w:rsid w:val="00A00C42"/>
    <w:rsid w:val="00A01554"/>
    <w:rsid w:val="00A0202A"/>
    <w:rsid w:val="00A02185"/>
    <w:rsid w:val="00A0289B"/>
    <w:rsid w:val="00A035FD"/>
    <w:rsid w:val="00A0449D"/>
    <w:rsid w:val="00A044B3"/>
    <w:rsid w:val="00A046C2"/>
    <w:rsid w:val="00A050D8"/>
    <w:rsid w:val="00A05B92"/>
    <w:rsid w:val="00A05D8A"/>
    <w:rsid w:val="00A05F46"/>
    <w:rsid w:val="00A0633A"/>
    <w:rsid w:val="00A0675A"/>
    <w:rsid w:val="00A06A29"/>
    <w:rsid w:val="00A06E8A"/>
    <w:rsid w:val="00A072DB"/>
    <w:rsid w:val="00A10867"/>
    <w:rsid w:val="00A11147"/>
    <w:rsid w:val="00A1153F"/>
    <w:rsid w:val="00A116B2"/>
    <w:rsid w:val="00A11877"/>
    <w:rsid w:val="00A11BB9"/>
    <w:rsid w:val="00A12115"/>
    <w:rsid w:val="00A122BB"/>
    <w:rsid w:val="00A12627"/>
    <w:rsid w:val="00A12781"/>
    <w:rsid w:val="00A13107"/>
    <w:rsid w:val="00A13AA1"/>
    <w:rsid w:val="00A14115"/>
    <w:rsid w:val="00A141C1"/>
    <w:rsid w:val="00A142BE"/>
    <w:rsid w:val="00A1511B"/>
    <w:rsid w:val="00A15691"/>
    <w:rsid w:val="00A158ED"/>
    <w:rsid w:val="00A15DA9"/>
    <w:rsid w:val="00A15F1B"/>
    <w:rsid w:val="00A15F38"/>
    <w:rsid w:val="00A16331"/>
    <w:rsid w:val="00A16427"/>
    <w:rsid w:val="00A164A8"/>
    <w:rsid w:val="00A16720"/>
    <w:rsid w:val="00A167F0"/>
    <w:rsid w:val="00A16BF3"/>
    <w:rsid w:val="00A17058"/>
    <w:rsid w:val="00A200B4"/>
    <w:rsid w:val="00A201BE"/>
    <w:rsid w:val="00A20781"/>
    <w:rsid w:val="00A20C42"/>
    <w:rsid w:val="00A2136B"/>
    <w:rsid w:val="00A21696"/>
    <w:rsid w:val="00A217A3"/>
    <w:rsid w:val="00A22226"/>
    <w:rsid w:val="00A22471"/>
    <w:rsid w:val="00A226E4"/>
    <w:rsid w:val="00A227A3"/>
    <w:rsid w:val="00A22AEB"/>
    <w:rsid w:val="00A231DB"/>
    <w:rsid w:val="00A23411"/>
    <w:rsid w:val="00A23698"/>
    <w:rsid w:val="00A241FC"/>
    <w:rsid w:val="00A2477A"/>
    <w:rsid w:val="00A24CE4"/>
    <w:rsid w:val="00A2569F"/>
    <w:rsid w:val="00A25A0D"/>
    <w:rsid w:val="00A25AEE"/>
    <w:rsid w:val="00A25F0D"/>
    <w:rsid w:val="00A260F0"/>
    <w:rsid w:val="00A26430"/>
    <w:rsid w:val="00A26C65"/>
    <w:rsid w:val="00A271CE"/>
    <w:rsid w:val="00A27465"/>
    <w:rsid w:val="00A27990"/>
    <w:rsid w:val="00A27AC4"/>
    <w:rsid w:val="00A30186"/>
    <w:rsid w:val="00A309A8"/>
    <w:rsid w:val="00A30F5B"/>
    <w:rsid w:val="00A31BD5"/>
    <w:rsid w:val="00A320C8"/>
    <w:rsid w:val="00A327A4"/>
    <w:rsid w:val="00A32DC9"/>
    <w:rsid w:val="00A33925"/>
    <w:rsid w:val="00A34BC1"/>
    <w:rsid w:val="00A350AB"/>
    <w:rsid w:val="00A35118"/>
    <w:rsid w:val="00A35119"/>
    <w:rsid w:val="00A35456"/>
    <w:rsid w:val="00A35552"/>
    <w:rsid w:val="00A357FF"/>
    <w:rsid w:val="00A35D13"/>
    <w:rsid w:val="00A36592"/>
    <w:rsid w:val="00A36CA9"/>
    <w:rsid w:val="00A37157"/>
    <w:rsid w:val="00A37547"/>
    <w:rsid w:val="00A37558"/>
    <w:rsid w:val="00A37CB4"/>
    <w:rsid w:val="00A403C0"/>
    <w:rsid w:val="00A40757"/>
    <w:rsid w:val="00A414FD"/>
    <w:rsid w:val="00A41849"/>
    <w:rsid w:val="00A4193A"/>
    <w:rsid w:val="00A4257C"/>
    <w:rsid w:val="00A42A6F"/>
    <w:rsid w:val="00A436CF"/>
    <w:rsid w:val="00A437F6"/>
    <w:rsid w:val="00A43C6C"/>
    <w:rsid w:val="00A44882"/>
    <w:rsid w:val="00A44FCE"/>
    <w:rsid w:val="00A45812"/>
    <w:rsid w:val="00A4592E"/>
    <w:rsid w:val="00A45962"/>
    <w:rsid w:val="00A45DBF"/>
    <w:rsid w:val="00A469DB"/>
    <w:rsid w:val="00A47182"/>
    <w:rsid w:val="00A47487"/>
    <w:rsid w:val="00A47796"/>
    <w:rsid w:val="00A47983"/>
    <w:rsid w:val="00A47C81"/>
    <w:rsid w:val="00A47FC3"/>
    <w:rsid w:val="00A5007B"/>
    <w:rsid w:val="00A500AF"/>
    <w:rsid w:val="00A50152"/>
    <w:rsid w:val="00A505D1"/>
    <w:rsid w:val="00A50890"/>
    <w:rsid w:val="00A509BA"/>
    <w:rsid w:val="00A50A60"/>
    <w:rsid w:val="00A510EF"/>
    <w:rsid w:val="00A51EBF"/>
    <w:rsid w:val="00A51FA5"/>
    <w:rsid w:val="00A520AB"/>
    <w:rsid w:val="00A52596"/>
    <w:rsid w:val="00A528CD"/>
    <w:rsid w:val="00A52CB3"/>
    <w:rsid w:val="00A52FA9"/>
    <w:rsid w:val="00A5341F"/>
    <w:rsid w:val="00A53B06"/>
    <w:rsid w:val="00A53E22"/>
    <w:rsid w:val="00A54055"/>
    <w:rsid w:val="00A5422A"/>
    <w:rsid w:val="00A54D41"/>
    <w:rsid w:val="00A54EDE"/>
    <w:rsid w:val="00A55389"/>
    <w:rsid w:val="00A5787F"/>
    <w:rsid w:val="00A5797A"/>
    <w:rsid w:val="00A60085"/>
    <w:rsid w:val="00A60322"/>
    <w:rsid w:val="00A604D3"/>
    <w:rsid w:val="00A60E5F"/>
    <w:rsid w:val="00A61174"/>
    <w:rsid w:val="00A6172F"/>
    <w:rsid w:val="00A61884"/>
    <w:rsid w:val="00A61C33"/>
    <w:rsid w:val="00A61DCB"/>
    <w:rsid w:val="00A621C6"/>
    <w:rsid w:val="00A62674"/>
    <w:rsid w:val="00A62880"/>
    <w:rsid w:val="00A629BF"/>
    <w:rsid w:val="00A637A1"/>
    <w:rsid w:val="00A6385F"/>
    <w:rsid w:val="00A63888"/>
    <w:rsid w:val="00A63C55"/>
    <w:rsid w:val="00A63E98"/>
    <w:rsid w:val="00A6470B"/>
    <w:rsid w:val="00A648CD"/>
    <w:rsid w:val="00A64B15"/>
    <w:rsid w:val="00A65AB2"/>
    <w:rsid w:val="00A65B24"/>
    <w:rsid w:val="00A65E15"/>
    <w:rsid w:val="00A66CC7"/>
    <w:rsid w:val="00A670A5"/>
    <w:rsid w:val="00A67259"/>
    <w:rsid w:val="00A67762"/>
    <w:rsid w:val="00A700AA"/>
    <w:rsid w:val="00A703FD"/>
    <w:rsid w:val="00A70772"/>
    <w:rsid w:val="00A713C6"/>
    <w:rsid w:val="00A723A5"/>
    <w:rsid w:val="00A72503"/>
    <w:rsid w:val="00A72682"/>
    <w:rsid w:val="00A7298E"/>
    <w:rsid w:val="00A72A6F"/>
    <w:rsid w:val="00A72EC3"/>
    <w:rsid w:val="00A737A6"/>
    <w:rsid w:val="00A73EE2"/>
    <w:rsid w:val="00A74450"/>
    <w:rsid w:val="00A74904"/>
    <w:rsid w:val="00A74ADA"/>
    <w:rsid w:val="00A74AEC"/>
    <w:rsid w:val="00A74BBE"/>
    <w:rsid w:val="00A74BC6"/>
    <w:rsid w:val="00A761EF"/>
    <w:rsid w:val="00A76497"/>
    <w:rsid w:val="00A76E91"/>
    <w:rsid w:val="00A77BE9"/>
    <w:rsid w:val="00A77DB2"/>
    <w:rsid w:val="00A803E4"/>
    <w:rsid w:val="00A80703"/>
    <w:rsid w:val="00A8071F"/>
    <w:rsid w:val="00A80B7C"/>
    <w:rsid w:val="00A814D9"/>
    <w:rsid w:val="00A81E26"/>
    <w:rsid w:val="00A8246F"/>
    <w:rsid w:val="00A8285A"/>
    <w:rsid w:val="00A82D24"/>
    <w:rsid w:val="00A8348B"/>
    <w:rsid w:val="00A8437E"/>
    <w:rsid w:val="00A843BE"/>
    <w:rsid w:val="00A84A85"/>
    <w:rsid w:val="00A84FE1"/>
    <w:rsid w:val="00A857A2"/>
    <w:rsid w:val="00A85B5E"/>
    <w:rsid w:val="00A85C02"/>
    <w:rsid w:val="00A85FC7"/>
    <w:rsid w:val="00A86649"/>
    <w:rsid w:val="00A8670D"/>
    <w:rsid w:val="00A86EEB"/>
    <w:rsid w:val="00A87B97"/>
    <w:rsid w:val="00A901D5"/>
    <w:rsid w:val="00A9033A"/>
    <w:rsid w:val="00A90710"/>
    <w:rsid w:val="00A9155F"/>
    <w:rsid w:val="00A91567"/>
    <w:rsid w:val="00A9245A"/>
    <w:rsid w:val="00A9271B"/>
    <w:rsid w:val="00A92B0E"/>
    <w:rsid w:val="00A93098"/>
    <w:rsid w:val="00A9342B"/>
    <w:rsid w:val="00A935E1"/>
    <w:rsid w:val="00A93B82"/>
    <w:rsid w:val="00A93E20"/>
    <w:rsid w:val="00A94303"/>
    <w:rsid w:val="00A94D89"/>
    <w:rsid w:val="00A94E9F"/>
    <w:rsid w:val="00A950F8"/>
    <w:rsid w:val="00A9658F"/>
    <w:rsid w:val="00A96655"/>
    <w:rsid w:val="00A96C74"/>
    <w:rsid w:val="00A96D7D"/>
    <w:rsid w:val="00A96D89"/>
    <w:rsid w:val="00A96E89"/>
    <w:rsid w:val="00A97001"/>
    <w:rsid w:val="00A97431"/>
    <w:rsid w:val="00A978F2"/>
    <w:rsid w:val="00A97BE3"/>
    <w:rsid w:val="00AA0117"/>
    <w:rsid w:val="00AA023E"/>
    <w:rsid w:val="00AA1192"/>
    <w:rsid w:val="00AA1DAC"/>
    <w:rsid w:val="00AA2261"/>
    <w:rsid w:val="00AA2E1B"/>
    <w:rsid w:val="00AA31DE"/>
    <w:rsid w:val="00AA32D6"/>
    <w:rsid w:val="00AA341C"/>
    <w:rsid w:val="00AA3A90"/>
    <w:rsid w:val="00AA3C0B"/>
    <w:rsid w:val="00AA4499"/>
    <w:rsid w:val="00AA4502"/>
    <w:rsid w:val="00AA4607"/>
    <w:rsid w:val="00AA5E85"/>
    <w:rsid w:val="00AA60F0"/>
    <w:rsid w:val="00AA651D"/>
    <w:rsid w:val="00AA6C57"/>
    <w:rsid w:val="00AA6EB1"/>
    <w:rsid w:val="00AA70D7"/>
    <w:rsid w:val="00AA7241"/>
    <w:rsid w:val="00AA7599"/>
    <w:rsid w:val="00AA798E"/>
    <w:rsid w:val="00AB04C9"/>
    <w:rsid w:val="00AB09C5"/>
    <w:rsid w:val="00AB0BFF"/>
    <w:rsid w:val="00AB0F30"/>
    <w:rsid w:val="00AB1874"/>
    <w:rsid w:val="00AB1A26"/>
    <w:rsid w:val="00AB1C09"/>
    <w:rsid w:val="00AB1C1E"/>
    <w:rsid w:val="00AB267D"/>
    <w:rsid w:val="00AB2985"/>
    <w:rsid w:val="00AB2EFD"/>
    <w:rsid w:val="00AB2F22"/>
    <w:rsid w:val="00AB332B"/>
    <w:rsid w:val="00AB3414"/>
    <w:rsid w:val="00AB3779"/>
    <w:rsid w:val="00AB38DD"/>
    <w:rsid w:val="00AB3CCC"/>
    <w:rsid w:val="00AB3FC6"/>
    <w:rsid w:val="00AB480D"/>
    <w:rsid w:val="00AB4E7E"/>
    <w:rsid w:val="00AB51D9"/>
    <w:rsid w:val="00AB55A9"/>
    <w:rsid w:val="00AB5B0D"/>
    <w:rsid w:val="00AB5DD5"/>
    <w:rsid w:val="00AB5F00"/>
    <w:rsid w:val="00AB64C2"/>
    <w:rsid w:val="00AB6856"/>
    <w:rsid w:val="00AB7261"/>
    <w:rsid w:val="00AB7805"/>
    <w:rsid w:val="00AB7959"/>
    <w:rsid w:val="00AB7ACC"/>
    <w:rsid w:val="00AB7CC7"/>
    <w:rsid w:val="00AB7FF3"/>
    <w:rsid w:val="00AC0024"/>
    <w:rsid w:val="00AC01B7"/>
    <w:rsid w:val="00AC0491"/>
    <w:rsid w:val="00AC0C10"/>
    <w:rsid w:val="00AC123C"/>
    <w:rsid w:val="00AC1364"/>
    <w:rsid w:val="00AC177B"/>
    <w:rsid w:val="00AC1A63"/>
    <w:rsid w:val="00AC1CCA"/>
    <w:rsid w:val="00AC25D7"/>
    <w:rsid w:val="00AC2958"/>
    <w:rsid w:val="00AC3175"/>
    <w:rsid w:val="00AC36EE"/>
    <w:rsid w:val="00AC3FD6"/>
    <w:rsid w:val="00AC427C"/>
    <w:rsid w:val="00AC48C9"/>
    <w:rsid w:val="00AC5174"/>
    <w:rsid w:val="00AC52C8"/>
    <w:rsid w:val="00AC55BF"/>
    <w:rsid w:val="00AC5619"/>
    <w:rsid w:val="00AC5C15"/>
    <w:rsid w:val="00AC5E1B"/>
    <w:rsid w:val="00AC5E97"/>
    <w:rsid w:val="00AC6588"/>
    <w:rsid w:val="00AC6885"/>
    <w:rsid w:val="00AC6F2E"/>
    <w:rsid w:val="00AC7A8F"/>
    <w:rsid w:val="00AC7C80"/>
    <w:rsid w:val="00AD0E4D"/>
    <w:rsid w:val="00AD117A"/>
    <w:rsid w:val="00AD1807"/>
    <w:rsid w:val="00AD19B6"/>
    <w:rsid w:val="00AD25B5"/>
    <w:rsid w:val="00AD2D33"/>
    <w:rsid w:val="00AD34FA"/>
    <w:rsid w:val="00AD3772"/>
    <w:rsid w:val="00AD3CF1"/>
    <w:rsid w:val="00AD3D55"/>
    <w:rsid w:val="00AD3F39"/>
    <w:rsid w:val="00AD42FA"/>
    <w:rsid w:val="00AD433E"/>
    <w:rsid w:val="00AD48CE"/>
    <w:rsid w:val="00AD4B11"/>
    <w:rsid w:val="00AD4FD9"/>
    <w:rsid w:val="00AD58FE"/>
    <w:rsid w:val="00AD5BC3"/>
    <w:rsid w:val="00AD619C"/>
    <w:rsid w:val="00AD6A1E"/>
    <w:rsid w:val="00AD7713"/>
    <w:rsid w:val="00AD7791"/>
    <w:rsid w:val="00AE047B"/>
    <w:rsid w:val="00AE048E"/>
    <w:rsid w:val="00AE0910"/>
    <w:rsid w:val="00AE0D72"/>
    <w:rsid w:val="00AE1135"/>
    <w:rsid w:val="00AE1369"/>
    <w:rsid w:val="00AE19D4"/>
    <w:rsid w:val="00AE20F7"/>
    <w:rsid w:val="00AE37CB"/>
    <w:rsid w:val="00AE3C4D"/>
    <w:rsid w:val="00AE3DC7"/>
    <w:rsid w:val="00AE3E09"/>
    <w:rsid w:val="00AE4B0C"/>
    <w:rsid w:val="00AE4CD7"/>
    <w:rsid w:val="00AE4F8D"/>
    <w:rsid w:val="00AE5904"/>
    <w:rsid w:val="00AE66E0"/>
    <w:rsid w:val="00AE69C4"/>
    <w:rsid w:val="00AE6B0F"/>
    <w:rsid w:val="00AE7263"/>
    <w:rsid w:val="00AE7BB5"/>
    <w:rsid w:val="00AE7E1D"/>
    <w:rsid w:val="00AE7F7C"/>
    <w:rsid w:val="00AF0AC2"/>
    <w:rsid w:val="00AF15E0"/>
    <w:rsid w:val="00AF184F"/>
    <w:rsid w:val="00AF1DB5"/>
    <w:rsid w:val="00AF2A6F"/>
    <w:rsid w:val="00AF2CD2"/>
    <w:rsid w:val="00AF2D1E"/>
    <w:rsid w:val="00AF3192"/>
    <w:rsid w:val="00AF3D89"/>
    <w:rsid w:val="00AF3E85"/>
    <w:rsid w:val="00AF4125"/>
    <w:rsid w:val="00AF443D"/>
    <w:rsid w:val="00AF4D00"/>
    <w:rsid w:val="00AF66FB"/>
    <w:rsid w:val="00AF6853"/>
    <w:rsid w:val="00AF7344"/>
    <w:rsid w:val="00AF745D"/>
    <w:rsid w:val="00AF781C"/>
    <w:rsid w:val="00AF78B3"/>
    <w:rsid w:val="00AF7929"/>
    <w:rsid w:val="00AF798E"/>
    <w:rsid w:val="00AF7BD8"/>
    <w:rsid w:val="00AF7E77"/>
    <w:rsid w:val="00B00052"/>
    <w:rsid w:val="00B002E7"/>
    <w:rsid w:val="00B00468"/>
    <w:rsid w:val="00B0055E"/>
    <w:rsid w:val="00B00B43"/>
    <w:rsid w:val="00B00D0E"/>
    <w:rsid w:val="00B00E66"/>
    <w:rsid w:val="00B01325"/>
    <w:rsid w:val="00B01B34"/>
    <w:rsid w:val="00B01B93"/>
    <w:rsid w:val="00B0216A"/>
    <w:rsid w:val="00B02373"/>
    <w:rsid w:val="00B02376"/>
    <w:rsid w:val="00B0323F"/>
    <w:rsid w:val="00B0335A"/>
    <w:rsid w:val="00B037A4"/>
    <w:rsid w:val="00B03BA2"/>
    <w:rsid w:val="00B0433A"/>
    <w:rsid w:val="00B049BE"/>
    <w:rsid w:val="00B049D3"/>
    <w:rsid w:val="00B049EF"/>
    <w:rsid w:val="00B04BB0"/>
    <w:rsid w:val="00B04C07"/>
    <w:rsid w:val="00B04DDC"/>
    <w:rsid w:val="00B04F92"/>
    <w:rsid w:val="00B0500D"/>
    <w:rsid w:val="00B06091"/>
    <w:rsid w:val="00B061E7"/>
    <w:rsid w:val="00B06377"/>
    <w:rsid w:val="00B06808"/>
    <w:rsid w:val="00B06821"/>
    <w:rsid w:val="00B076E4"/>
    <w:rsid w:val="00B1087A"/>
    <w:rsid w:val="00B108AE"/>
    <w:rsid w:val="00B11651"/>
    <w:rsid w:val="00B11BAF"/>
    <w:rsid w:val="00B11D3B"/>
    <w:rsid w:val="00B12649"/>
    <w:rsid w:val="00B13276"/>
    <w:rsid w:val="00B13F81"/>
    <w:rsid w:val="00B14431"/>
    <w:rsid w:val="00B145A3"/>
    <w:rsid w:val="00B145BE"/>
    <w:rsid w:val="00B154E7"/>
    <w:rsid w:val="00B157C0"/>
    <w:rsid w:val="00B16D4E"/>
    <w:rsid w:val="00B16FBA"/>
    <w:rsid w:val="00B17A69"/>
    <w:rsid w:val="00B201DE"/>
    <w:rsid w:val="00B20806"/>
    <w:rsid w:val="00B20B73"/>
    <w:rsid w:val="00B218E8"/>
    <w:rsid w:val="00B21CF9"/>
    <w:rsid w:val="00B21DA2"/>
    <w:rsid w:val="00B23588"/>
    <w:rsid w:val="00B23593"/>
    <w:rsid w:val="00B23D25"/>
    <w:rsid w:val="00B246E8"/>
    <w:rsid w:val="00B24761"/>
    <w:rsid w:val="00B24B4B"/>
    <w:rsid w:val="00B251CA"/>
    <w:rsid w:val="00B26E04"/>
    <w:rsid w:val="00B2751E"/>
    <w:rsid w:val="00B276AD"/>
    <w:rsid w:val="00B278BD"/>
    <w:rsid w:val="00B27B03"/>
    <w:rsid w:val="00B300D2"/>
    <w:rsid w:val="00B3023E"/>
    <w:rsid w:val="00B30607"/>
    <w:rsid w:val="00B30716"/>
    <w:rsid w:val="00B30A78"/>
    <w:rsid w:val="00B31248"/>
    <w:rsid w:val="00B315EF"/>
    <w:rsid w:val="00B3166C"/>
    <w:rsid w:val="00B31C53"/>
    <w:rsid w:val="00B31D66"/>
    <w:rsid w:val="00B31DEF"/>
    <w:rsid w:val="00B321A5"/>
    <w:rsid w:val="00B321E5"/>
    <w:rsid w:val="00B329C7"/>
    <w:rsid w:val="00B32BBF"/>
    <w:rsid w:val="00B3348F"/>
    <w:rsid w:val="00B33748"/>
    <w:rsid w:val="00B33DF0"/>
    <w:rsid w:val="00B34AFD"/>
    <w:rsid w:val="00B35EF1"/>
    <w:rsid w:val="00B360A8"/>
    <w:rsid w:val="00B36188"/>
    <w:rsid w:val="00B364CE"/>
    <w:rsid w:val="00B36636"/>
    <w:rsid w:val="00B36BEB"/>
    <w:rsid w:val="00B36D05"/>
    <w:rsid w:val="00B376B1"/>
    <w:rsid w:val="00B378E9"/>
    <w:rsid w:val="00B40B5E"/>
    <w:rsid w:val="00B41FC1"/>
    <w:rsid w:val="00B425AC"/>
    <w:rsid w:val="00B42A1F"/>
    <w:rsid w:val="00B42E1A"/>
    <w:rsid w:val="00B43489"/>
    <w:rsid w:val="00B439B0"/>
    <w:rsid w:val="00B43BE1"/>
    <w:rsid w:val="00B43D06"/>
    <w:rsid w:val="00B4493F"/>
    <w:rsid w:val="00B452A4"/>
    <w:rsid w:val="00B45385"/>
    <w:rsid w:val="00B4561F"/>
    <w:rsid w:val="00B464A7"/>
    <w:rsid w:val="00B466A2"/>
    <w:rsid w:val="00B46DE4"/>
    <w:rsid w:val="00B47487"/>
    <w:rsid w:val="00B47692"/>
    <w:rsid w:val="00B47817"/>
    <w:rsid w:val="00B47B79"/>
    <w:rsid w:val="00B47C1F"/>
    <w:rsid w:val="00B47CD5"/>
    <w:rsid w:val="00B47FF7"/>
    <w:rsid w:val="00B50D98"/>
    <w:rsid w:val="00B50F01"/>
    <w:rsid w:val="00B515AC"/>
    <w:rsid w:val="00B51DC4"/>
    <w:rsid w:val="00B52514"/>
    <w:rsid w:val="00B52853"/>
    <w:rsid w:val="00B52C6C"/>
    <w:rsid w:val="00B53B50"/>
    <w:rsid w:val="00B54860"/>
    <w:rsid w:val="00B550F5"/>
    <w:rsid w:val="00B55693"/>
    <w:rsid w:val="00B55980"/>
    <w:rsid w:val="00B561FC"/>
    <w:rsid w:val="00B566A7"/>
    <w:rsid w:val="00B56FA7"/>
    <w:rsid w:val="00B5705E"/>
    <w:rsid w:val="00B57140"/>
    <w:rsid w:val="00B57157"/>
    <w:rsid w:val="00B57204"/>
    <w:rsid w:val="00B576A5"/>
    <w:rsid w:val="00B578B4"/>
    <w:rsid w:val="00B578B8"/>
    <w:rsid w:val="00B57B37"/>
    <w:rsid w:val="00B57C09"/>
    <w:rsid w:val="00B601E4"/>
    <w:rsid w:val="00B60209"/>
    <w:rsid w:val="00B6149A"/>
    <w:rsid w:val="00B6156D"/>
    <w:rsid w:val="00B61604"/>
    <w:rsid w:val="00B61A92"/>
    <w:rsid w:val="00B61FA4"/>
    <w:rsid w:val="00B62831"/>
    <w:rsid w:val="00B62B78"/>
    <w:rsid w:val="00B62C7A"/>
    <w:rsid w:val="00B6338A"/>
    <w:rsid w:val="00B6352F"/>
    <w:rsid w:val="00B63AB6"/>
    <w:rsid w:val="00B64005"/>
    <w:rsid w:val="00B647F3"/>
    <w:rsid w:val="00B649AF"/>
    <w:rsid w:val="00B6547C"/>
    <w:rsid w:val="00B6579C"/>
    <w:rsid w:val="00B657EA"/>
    <w:rsid w:val="00B65AA2"/>
    <w:rsid w:val="00B65B0F"/>
    <w:rsid w:val="00B661EE"/>
    <w:rsid w:val="00B666BA"/>
    <w:rsid w:val="00B668AE"/>
    <w:rsid w:val="00B66FBE"/>
    <w:rsid w:val="00B67023"/>
    <w:rsid w:val="00B67342"/>
    <w:rsid w:val="00B674D7"/>
    <w:rsid w:val="00B67C13"/>
    <w:rsid w:val="00B67CB6"/>
    <w:rsid w:val="00B700AD"/>
    <w:rsid w:val="00B70228"/>
    <w:rsid w:val="00B70DA0"/>
    <w:rsid w:val="00B71042"/>
    <w:rsid w:val="00B720FA"/>
    <w:rsid w:val="00B7243A"/>
    <w:rsid w:val="00B72475"/>
    <w:rsid w:val="00B73FD7"/>
    <w:rsid w:val="00B741A1"/>
    <w:rsid w:val="00B74F48"/>
    <w:rsid w:val="00B754A5"/>
    <w:rsid w:val="00B75C9B"/>
    <w:rsid w:val="00B76084"/>
    <w:rsid w:val="00B76311"/>
    <w:rsid w:val="00B7636E"/>
    <w:rsid w:val="00B77A7E"/>
    <w:rsid w:val="00B77FC8"/>
    <w:rsid w:val="00B807C4"/>
    <w:rsid w:val="00B8112D"/>
    <w:rsid w:val="00B81815"/>
    <w:rsid w:val="00B81B70"/>
    <w:rsid w:val="00B822A5"/>
    <w:rsid w:val="00B82627"/>
    <w:rsid w:val="00B83623"/>
    <w:rsid w:val="00B83EAA"/>
    <w:rsid w:val="00B84950"/>
    <w:rsid w:val="00B84D88"/>
    <w:rsid w:val="00B84E31"/>
    <w:rsid w:val="00B84EDB"/>
    <w:rsid w:val="00B855F1"/>
    <w:rsid w:val="00B85B55"/>
    <w:rsid w:val="00B85EB4"/>
    <w:rsid w:val="00B8617A"/>
    <w:rsid w:val="00B86318"/>
    <w:rsid w:val="00B863AF"/>
    <w:rsid w:val="00B86D69"/>
    <w:rsid w:val="00B86DB8"/>
    <w:rsid w:val="00B86EEE"/>
    <w:rsid w:val="00B871D2"/>
    <w:rsid w:val="00B875F2"/>
    <w:rsid w:val="00B9053F"/>
    <w:rsid w:val="00B906D4"/>
    <w:rsid w:val="00B90F16"/>
    <w:rsid w:val="00B910C2"/>
    <w:rsid w:val="00B911ED"/>
    <w:rsid w:val="00B9181A"/>
    <w:rsid w:val="00B91A69"/>
    <w:rsid w:val="00B91EEF"/>
    <w:rsid w:val="00B92133"/>
    <w:rsid w:val="00B9267C"/>
    <w:rsid w:val="00B92950"/>
    <w:rsid w:val="00B92A4B"/>
    <w:rsid w:val="00B92CEC"/>
    <w:rsid w:val="00B934CE"/>
    <w:rsid w:val="00B93A11"/>
    <w:rsid w:val="00B93B46"/>
    <w:rsid w:val="00B942B5"/>
    <w:rsid w:val="00B942BA"/>
    <w:rsid w:val="00B94898"/>
    <w:rsid w:val="00B94F1C"/>
    <w:rsid w:val="00B952BD"/>
    <w:rsid w:val="00B9568C"/>
    <w:rsid w:val="00B960C5"/>
    <w:rsid w:val="00B9682F"/>
    <w:rsid w:val="00B968D0"/>
    <w:rsid w:val="00B96B37"/>
    <w:rsid w:val="00B97A41"/>
    <w:rsid w:val="00B97A91"/>
    <w:rsid w:val="00BA0715"/>
    <w:rsid w:val="00BA0795"/>
    <w:rsid w:val="00BA0840"/>
    <w:rsid w:val="00BA0B08"/>
    <w:rsid w:val="00BA0C85"/>
    <w:rsid w:val="00BA0E47"/>
    <w:rsid w:val="00BA1082"/>
    <w:rsid w:val="00BA11A4"/>
    <w:rsid w:val="00BA12CA"/>
    <w:rsid w:val="00BA1643"/>
    <w:rsid w:val="00BA1830"/>
    <w:rsid w:val="00BA1BEE"/>
    <w:rsid w:val="00BA1E99"/>
    <w:rsid w:val="00BA2223"/>
    <w:rsid w:val="00BA271C"/>
    <w:rsid w:val="00BA2876"/>
    <w:rsid w:val="00BA2A70"/>
    <w:rsid w:val="00BA3128"/>
    <w:rsid w:val="00BA33D7"/>
    <w:rsid w:val="00BA3491"/>
    <w:rsid w:val="00BA3914"/>
    <w:rsid w:val="00BA3CBE"/>
    <w:rsid w:val="00BA46BF"/>
    <w:rsid w:val="00BA4853"/>
    <w:rsid w:val="00BA4A54"/>
    <w:rsid w:val="00BA53A1"/>
    <w:rsid w:val="00BA56E7"/>
    <w:rsid w:val="00BA5B32"/>
    <w:rsid w:val="00BA6248"/>
    <w:rsid w:val="00BA64EE"/>
    <w:rsid w:val="00BA6CC7"/>
    <w:rsid w:val="00BA71B6"/>
    <w:rsid w:val="00BA71B9"/>
    <w:rsid w:val="00BA726F"/>
    <w:rsid w:val="00BA75BC"/>
    <w:rsid w:val="00BA7A66"/>
    <w:rsid w:val="00BA7E15"/>
    <w:rsid w:val="00BB054F"/>
    <w:rsid w:val="00BB15EC"/>
    <w:rsid w:val="00BB17DE"/>
    <w:rsid w:val="00BB1B8C"/>
    <w:rsid w:val="00BB1E33"/>
    <w:rsid w:val="00BB2237"/>
    <w:rsid w:val="00BB2A36"/>
    <w:rsid w:val="00BB2AAC"/>
    <w:rsid w:val="00BB309C"/>
    <w:rsid w:val="00BB32AE"/>
    <w:rsid w:val="00BB36DE"/>
    <w:rsid w:val="00BB3B40"/>
    <w:rsid w:val="00BB45FB"/>
    <w:rsid w:val="00BB509C"/>
    <w:rsid w:val="00BB50CB"/>
    <w:rsid w:val="00BB5271"/>
    <w:rsid w:val="00BB5C18"/>
    <w:rsid w:val="00BB649D"/>
    <w:rsid w:val="00BB763F"/>
    <w:rsid w:val="00BB7B6C"/>
    <w:rsid w:val="00BB7BBF"/>
    <w:rsid w:val="00BB7FE2"/>
    <w:rsid w:val="00BC03AC"/>
    <w:rsid w:val="00BC0E55"/>
    <w:rsid w:val="00BC1254"/>
    <w:rsid w:val="00BC1B5C"/>
    <w:rsid w:val="00BC1C66"/>
    <w:rsid w:val="00BC1D6B"/>
    <w:rsid w:val="00BC1E2B"/>
    <w:rsid w:val="00BC21C6"/>
    <w:rsid w:val="00BC23F3"/>
    <w:rsid w:val="00BC2757"/>
    <w:rsid w:val="00BC2A1B"/>
    <w:rsid w:val="00BC31A8"/>
    <w:rsid w:val="00BC321A"/>
    <w:rsid w:val="00BC3461"/>
    <w:rsid w:val="00BC34B5"/>
    <w:rsid w:val="00BC3C2B"/>
    <w:rsid w:val="00BC42E2"/>
    <w:rsid w:val="00BC517B"/>
    <w:rsid w:val="00BC59E5"/>
    <w:rsid w:val="00BC5A09"/>
    <w:rsid w:val="00BC69B4"/>
    <w:rsid w:val="00BC6C14"/>
    <w:rsid w:val="00BC787F"/>
    <w:rsid w:val="00BC7C5A"/>
    <w:rsid w:val="00BC7DAD"/>
    <w:rsid w:val="00BD056D"/>
    <w:rsid w:val="00BD077E"/>
    <w:rsid w:val="00BD1958"/>
    <w:rsid w:val="00BD221D"/>
    <w:rsid w:val="00BD24E1"/>
    <w:rsid w:val="00BD2A20"/>
    <w:rsid w:val="00BD2AA9"/>
    <w:rsid w:val="00BD2EAF"/>
    <w:rsid w:val="00BD3CBC"/>
    <w:rsid w:val="00BD40E3"/>
    <w:rsid w:val="00BD42AF"/>
    <w:rsid w:val="00BD4651"/>
    <w:rsid w:val="00BD4792"/>
    <w:rsid w:val="00BD4A1A"/>
    <w:rsid w:val="00BD5113"/>
    <w:rsid w:val="00BD5306"/>
    <w:rsid w:val="00BD5400"/>
    <w:rsid w:val="00BD5761"/>
    <w:rsid w:val="00BD5B75"/>
    <w:rsid w:val="00BD6353"/>
    <w:rsid w:val="00BD6702"/>
    <w:rsid w:val="00BD6A72"/>
    <w:rsid w:val="00BD6BE9"/>
    <w:rsid w:val="00BD7C03"/>
    <w:rsid w:val="00BE05C9"/>
    <w:rsid w:val="00BE05F2"/>
    <w:rsid w:val="00BE09B9"/>
    <w:rsid w:val="00BE2463"/>
    <w:rsid w:val="00BE2497"/>
    <w:rsid w:val="00BE251D"/>
    <w:rsid w:val="00BE2E53"/>
    <w:rsid w:val="00BE3E82"/>
    <w:rsid w:val="00BE44F1"/>
    <w:rsid w:val="00BE46C3"/>
    <w:rsid w:val="00BE4980"/>
    <w:rsid w:val="00BE4E83"/>
    <w:rsid w:val="00BE5059"/>
    <w:rsid w:val="00BE553B"/>
    <w:rsid w:val="00BE56AD"/>
    <w:rsid w:val="00BE584F"/>
    <w:rsid w:val="00BE5894"/>
    <w:rsid w:val="00BE5AC7"/>
    <w:rsid w:val="00BE5D23"/>
    <w:rsid w:val="00BE5DA2"/>
    <w:rsid w:val="00BE6D3A"/>
    <w:rsid w:val="00BE6DDE"/>
    <w:rsid w:val="00BE7192"/>
    <w:rsid w:val="00BE7419"/>
    <w:rsid w:val="00BE78DA"/>
    <w:rsid w:val="00BF007F"/>
    <w:rsid w:val="00BF04B1"/>
    <w:rsid w:val="00BF07A3"/>
    <w:rsid w:val="00BF08E6"/>
    <w:rsid w:val="00BF0D1D"/>
    <w:rsid w:val="00BF180A"/>
    <w:rsid w:val="00BF1B2B"/>
    <w:rsid w:val="00BF248C"/>
    <w:rsid w:val="00BF2670"/>
    <w:rsid w:val="00BF2769"/>
    <w:rsid w:val="00BF2D3A"/>
    <w:rsid w:val="00BF2DE0"/>
    <w:rsid w:val="00BF3874"/>
    <w:rsid w:val="00BF3C08"/>
    <w:rsid w:val="00BF45EB"/>
    <w:rsid w:val="00BF46EE"/>
    <w:rsid w:val="00BF4B6D"/>
    <w:rsid w:val="00BF4C3A"/>
    <w:rsid w:val="00BF4F02"/>
    <w:rsid w:val="00BF559C"/>
    <w:rsid w:val="00BF5B1D"/>
    <w:rsid w:val="00BF5F98"/>
    <w:rsid w:val="00BF6107"/>
    <w:rsid w:val="00BF767D"/>
    <w:rsid w:val="00BF7FC1"/>
    <w:rsid w:val="00C00FE1"/>
    <w:rsid w:val="00C011DE"/>
    <w:rsid w:val="00C013A3"/>
    <w:rsid w:val="00C016A0"/>
    <w:rsid w:val="00C024AD"/>
    <w:rsid w:val="00C02596"/>
    <w:rsid w:val="00C029C9"/>
    <w:rsid w:val="00C03418"/>
    <w:rsid w:val="00C040BB"/>
    <w:rsid w:val="00C04903"/>
    <w:rsid w:val="00C04A31"/>
    <w:rsid w:val="00C04BAA"/>
    <w:rsid w:val="00C04D10"/>
    <w:rsid w:val="00C06298"/>
    <w:rsid w:val="00C062EA"/>
    <w:rsid w:val="00C07FFD"/>
    <w:rsid w:val="00C10299"/>
    <w:rsid w:val="00C106C8"/>
    <w:rsid w:val="00C109A8"/>
    <w:rsid w:val="00C10DB2"/>
    <w:rsid w:val="00C10FDD"/>
    <w:rsid w:val="00C110B5"/>
    <w:rsid w:val="00C11A1D"/>
    <w:rsid w:val="00C11C1A"/>
    <w:rsid w:val="00C11C8B"/>
    <w:rsid w:val="00C11ECB"/>
    <w:rsid w:val="00C121D0"/>
    <w:rsid w:val="00C13CFE"/>
    <w:rsid w:val="00C144F2"/>
    <w:rsid w:val="00C145E2"/>
    <w:rsid w:val="00C1487A"/>
    <w:rsid w:val="00C14C1A"/>
    <w:rsid w:val="00C154C4"/>
    <w:rsid w:val="00C159D2"/>
    <w:rsid w:val="00C15F10"/>
    <w:rsid w:val="00C164F4"/>
    <w:rsid w:val="00C165D5"/>
    <w:rsid w:val="00C174F5"/>
    <w:rsid w:val="00C17985"/>
    <w:rsid w:val="00C202EA"/>
    <w:rsid w:val="00C20A9C"/>
    <w:rsid w:val="00C212C0"/>
    <w:rsid w:val="00C215D6"/>
    <w:rsid w:val="00C21BDA"/>
    <w:rsid w:val="00C21FF5"/>
    <w:rsid w:val="00C23159"/>
    <w:rsid w:val="00C23437"/>
    <w:rsid w:val="00C2368E"/>
    <w:rsid w:val="00C2379B"/>
    <w:rsid w:val="00C23850"/>
    <w:rsid w:val="00C240C2"/>
    <w:rsid w:val="00C241E8"/>
    <w:rsid w:val="00C242EC"/>
    <w:rsid w:val="00C2436B"/>
    <w:rsid w:val="00C2528D"/>
    <w:rsid w:val="00C252C4"/>
    <w:rsid w:val="00C2582B"/>
    <w:rsid w:val="00C25A1F"/>
    <w:rsid w:val="00C25AF2"/>
    <w:rsid w:val="00C25EEF"/>
    <w:rsid w:val="00C26090"/>
    <w:rsid w:val="00C26C64"/>
    <w:rsid w:val="00C26C77"/>
    <w:rsid w:val="00C26DD6"/>
    <w:rsid w:val="00C277F3"/>
    <w:rsid w:val="00C27C0F"/>
    <w:rsid w:val="00C301AD"/>
    <w:rsid w:val="00C30831"/>
    <w:rsid w:val="00C30CAE"/>
    <w:rsid w:val="00C31072"/>
    <w:rsid w:val="00C31571"/>
    <w:rsid w:val="00C31F9F"/>
    <w:rsid w:val="00C32450"/>
    <w:rsid w:val="00C331AD"/>
    <w:rsid w:val="00C33502"/>
    <w:rsid w:val="00C336C6"/>
    <w:rsid w:val="00C33825"/>
    <w:rsid w:val="00C33B5D"/>
    <w:rsid w:val="00C33CDF"/>
    <w:rsid w:val="00C33EF4"/>
    <w:rsid w:val="00C341C0"/>
    <w:rsid w:val="00C349D4"/>
    <w:rsid w:val="00C34CF8"/>
    <w:rsid w:val="00C34EC1"/>
    <w:rsid w:val="00C351FA"/>
    <w:rsid w:val="00C3561D"/>
    <w:rsid w:val="00C35C52"/>
    <w:rsid w:val="00C35E9E"/>
    <w:rsid w:val="00C361BB"/>
    <w:rsid w:val="00C3655C"/>
    <w:rsid w:val="00C36820"/>
    <w:rsid w:val="00C3696A"/>
    <w:rsid w:val="00C36B2A"/>
    <w:rsid w:val="00C37B35"/>
    <w:rsid w:val="00C37F0E"/>
    <w:rsid w:val="00C40D11"/>
    <w:rsid w:val="00C40FF9"/>
    <w:rsid w:val="00C418A2"/>
    <w:rsid w:val="00C41CD3"/>
    <w:rsid w:val="00C41EA3"/>
    <w:rsid w:val="00C42000"/>
    <w:rsid w:val="00C42ADD"/>
    <w:rsid w:val="00C42BC1"/>
    <w:rsid w:val="00C42C84"/>
    <w:rsid w:val="00C42F84"/>
    <w:rsid w:val="00C4331F"/>
    <w:rsid w:val="00C43321"/>
    <w:rsid w:val="00C433AF"/>
    <w:rsid w:val="00C434B1"/>
    <w:rsid w:val="00C43BC4"/>
    <w:rsid w:val="00C43F84"/>
    <w:rsid w:val="00C4407B"/>
    <w:rsid w:val="00C441DB"/>
    <w:rsid w:val="00C444EC"/>
    <w:rsid w:val="00C4471A"/>
    <w:rsid w:val="00C447AE"/>
    <w:rsid w:val="00C44EAB"/>
    <w:rsid w:val="00C45417"/>
    <w:rsid w:val="00C45A60"/>
    <w:rsid w:val="00C45DFB"/>
    <w:rsid w:val="00C47052"/>
    <w:rsid w:val="00C47477"/>
    <w:rsid w:val="00C4765F"/>
    <w:rsid w:val="00C476C6"/>
    <w:rsid w:val="00C47D00"/>
    <w:rsid w:val="00C5040F"/>
    <w:rsid w:val="00C50419"/>
    <w:rsid w:val="00C50E72"/>
    <w:rsid w:val="00C50F6C"/>
    <w:rsid w:val="00C519B9"/>
    <w:rsid w:val="00C51B53"/>
    <w:rsid w:val="00C52514"/>
    <w:rsid w:val="00C5261F"/>
    <w:rsid w:val="00C526CB"/>
    <w:rsid w:val="00C528D7"/>
    <w:rsid w:val="00C52B1F"/>
    <w:rsid w:val="00C5313E"/>
    <w:rsid w:val="00C53351"/>
    <w:rsid w:val="00C53598"/>
    <w:rsid w:val="00C5374B"/>
    <w:rsid w:val="00C53937"/>
    <w:rsid w:val="00C53AEF"/>
    <w:rsid w:val="00C53D67"/>
    <w:rsid w:val="00C54727"/>
    <w:rsid w:val="00C5477F"/>
    <w:rsid w:val="00C548A5"/>
    <w:rsid w:val="00C549CC"/>
    <w:rsid w:val="00C54C3D"/>
    <w:rsid w:val="00C5518B"/>
    <w:rsid w:val="00C55408"/>
    <w:rsid w:val="00C55BC4"/>
    <w:rsid w:val="00C56788"/>
    <w:rsid w:val="00C57387"/>
    <w:rsid w:val="00C57AEB"/>
    <w:rsid w:val="00C6151C"/>
    <w:rsid w:val="00C61584"/>
    <w:rsid w:val="00C61AC7"/>
    <w:rsid w:val="00C61CE9"/>
    <w:rsid w:val="00C61F35"/>
    <w:rsid w:val="00C62102"/>
    <w:rsid w:val="00C62191"/>
    <w:rsid w:val="00C6271A"/>
    <w:rsid w:val="00C62CE3"/>
    <w:rsid w:val="00C6306D"/>
    <w:rsid w:val="00C63118"/>
    <w:rsid w:val="00C6349C"/>
    <w:rsid w:val="00C639BB"/>
    <w:rsid w:val="00C63D22"/>
    <w:rsid w:val="00C6421C"/>
    <w:rsid w:val="00C6483E"/>
    <w:rsid w:val="00C65109"/>
    <w:rsid w:val="00C65576"/>
    <w:rsid w:val="00C6586F"/>
    <w:rsid w:val="00C6681C"/>
    <w:rsid w:val="00C67AA8"/>
    <w:rsid w:val="00C70459"/>
    <w:rsid w:val="00C7053E"/>
    <w:rsid w:val="00C70E4C"/>
    <w:rsid w:val="00C70FAC"/>
    <w:rsid w:val="00C710E1"/>
    <w:rsid w:val="00C71205"/>
    <w:rsid w:val="00C71BBF"/>
    <w:rsid w:val="00C7228B"/>
    <w:rsid w:val="00C72D61"/>
    <w:rsid w:val="00C73334"/>
    <w:rsid w:val="00C73C84"/>
    <w:rsid w:val="00C73CA9"/>
    <w:rsid w:val="00C73DA2"/>
    <w:rsid w:val="00C74775"/>
    <w:rsid w:val="00C74C6E"/>
    <w:rsid w:val="00C74FCC"/>
    <w:rsid w:val="00C7594B"/>
    <w:rsid w:val="00C75A40"/>
    <w:rsid w:val="00C75A84"/>
    <w:rsid w:val="00C75AD0"/>
    <w:rsid w:val="00C75D1B"/>
    <w:rsid w:val="00C76196"/>
    <w:rsid w:val="00C7626A"/>
    <w:rsid w:val="00C76734"/>
    <w:rsid w:val="00C7676A"/>
    <w:rsid w:val="00C76E1C"/>
    <w:rsid w:val="00C76F94"/>
    <w:rsid w:val="00C7727E"/>
    <w:rsid w:val="00C77A34"/>
    <w:rsid w:val="00C77A93"/>
    <w:rsid w:val="00C808F3"/>
    <w:rsid w:val="00C811C6"/>
    <w:rsid w:val="00C81E60"/>
    <w:rsid w:val="00C82599"/>
    <w:rsid w:val="00C82BA8"/>
    <w:rsid w:val="00C83C72"/>
    <w:rsid w:val="00C83D26"/>
    <w:rsid w:val="00C84923"/>
    <w:rsid w:val="00C84C08"/>
    <w:rsid w:val="00C85772"/>
    <w:rsid w:val="00C869E2"/>
    <w:rsid w:val="00C8728E"/>
    <w:rsid w:val="00C878CD"/>
    <w:rsid w:val="00C90379"/>
    <w:rsid w:val="00C9061C"/>
    <w:rsid w:val="00C90845"/>
    <w:rsid w:val="00C914D8"/>
    <w:rsid w:val="00C921C2"/>
    <w:rsid w:val="00C92B7A"/>
    <w:rsid w:val="00C92DEB"/>
    <w:rsid w:val="00C92E30"/>
    <w:rsid w:val="00C933BE"/>
    <w:rsid w:val="00C934D0"/>
    <w:rsid w:val="00C941C2"/>
    <w:rsid w:val="00C945C6"/>
    <w:rsid w:val="00C94924"/>
    <w:rsid w:val="00C94A0D"/>
    <w:rsid w:val="00C94C95"/>
    <w:rsid w:val="00C953FD"/>
    <w:rsid w:val="00C95782"/>
    <w:rsid w:val="00C95958"/>
    <w:rsid w:val="00C96082"/>
    <w:rsid w:val="00C9616E"/>
    <w:rsid w:val="00C962BF"/>
    <w:rsid w:val="00CA0264"/>
    <w:rsid w:val="00CA0461"/>
    <w:rsid w:val="00CA07D9"/>
    <w:rsid w:val="00CA0DA1"/>
    <w:rsid w:val="00CA0DF3"/>
    <w:rsid w:val="00CA0EAF"/>
    <w:rsid w:val="00CA14AE"/>
    <w:rsid w:val="00CA1BAF"/>
    <w:rsid w:val="00CA2994"/>
    <w:rsid w:val="00CA2B72"/>
    <w:rsid w:val="00CA3240"/>
    <w:rsid w:val="00CA3431"/>
    <w:rsid w:val="00CA3478"/>
    <w:rsid w:val="00CA363D"/>
    <w:rsid w:val="00CA3A7A"/>
    <w:rsid w:val="00CA3B44"/>
    <w:rsid w:val="00CA40B5"/>
    <w:rsid w:val="00CA40EA"/>
    <w:rsid w:val="00CA4912"/>
    <w:rsid w:val="00CA4E85"/>
    <w:rsid w:val="00CA5234"/>
    <w:rsid w:val="00CA55BC"/>
    <w:rsid w:val="00CA5FFE"/>
    <w:rsid w:val="00CB05F2"/>
    <w:rsid w:val="00CB082F"/>
    <w:rsid w:val="00CB0F27"/>
    <w:rsid w:val="00CB0FF3"/>
    <w:rsid w:val="00CB1576"/>
    <w:rsid w:val="00CB18CA"/>
    <w:rsid w:val="00CB1AA2"/>
    <w:rsid w:val="00CB1C29"/>
    <w:rsid w:val="00CB1FED"/>
    <w:rsid w:val="00CB24D1"/>
    <w:rsid w:val="00CB2AF4"/>
    <w:rsid w:val="00CB3243"/>
    <w:rsid w:val="00CB328D"/>
    <w:rsid w:val="00CB345D"/>
    <w:rsid w:val="00CB3A5E"/>
    <w:rsid w:val="00CB43A3"/>
    <w:rsid w:val="00CB4CB0"/>
    <w:rsid w:val="00CB4DE8"/>
    <w:rsid w:val="00CB5341"/>
    <w:rsid w:val="00CB5692"/>
    <w:rsid w:val="00CB5D71"/>
    <w:rsid w:val="00CB6282"/>
    <w:rsid w:val="00CB66C6"/>
    <w:rsid w:val="00CB68A0"/>
    <w:rsid w:val="00CB7BE7"/>
    <w:rsid w:val="00CB7D3A"/>
    <w:rsid w:val="00CB7E02"/>
    <w:rsid w:val="00CB7F6D"/>
    <w:rsid w:val="00CC0970"/>
    <w:rsid w:val="00CC09B5"/>
    <w:rsid w:val="00CC109F"/>
    <w:rsid w:val="00CC12FD"/>
    <w:rsid w:val="00CC2564"/>
    <w:rsid w:val="00CC2657"/>
    <w:rsid w:val="00CC28FC"/>
    <w:rsid w:val="00CC29E8"/>
    <w:rsid w:val="00CC2C07"/>
    <w:rsid w:val="00CC3017"/>
    <w:rsid w:val="00CC33A5"/>
    <w:rsid w:val="00CC47D8"/>
    <w:rsid w:val="00CC4C01"/>
    <w:rsid w:val="00CC4D98"/>
    <w:rsid w:val="00CC52E9"/>
    <w:rsid w:val="00CC5429"/>
    <w:rsid w:val="00CC583D"/>
    <w:rsid w:val="00CC5A78"/>
    <w:rsid w:val="00CC5AA5"/>
    <w:rsid w:val="00CC5BA6"/>
    <w:rsid w:val="00CC5E7B"/>
    <w:rsid w:val="00CC62D7"/>
    <w:rsid w:val="00CC665D"/>
    <w:rsid w:val="00CC6822"/>
    <w:rsid w:val="00CC69D7"/>
    <w:rsid w:val="00CC6B29"/>
    <w:rsid w:val="00CC6D47"/>
    <w:rsid w:val="00CC795E"/>
    <w:rsid w:val="00CC7BDA"/>
    <w:rsid w:val="00CC7D8D"/>
    <w:rsid w:val="00CD0037"/>
    <w:rsid w:val="00CD0426"/>
    <w:rsid w:val="00CD0B88"/>
    <w:rsid w:val="00CD156F"/>
    <w:rsid w:val="00CD1AB5"/>
    <w:rsid w:val="00CD294B"/>
    <w:rsid w:val="00CD2C67"/>
    <w:rsid w:val="00CD3AE4"/>
    <w:rsid w:val="00CD3B9B"/>
    <w:rsid w:val="00CD3E83"/>
    <w:rsid w:val="00CD3E87"/>
    <w:rsid w:val="00CD40E5"/>
    <w:rsid w:val="00CD4A23"/>
    <w:rsid w:val="00CD4C85"/>
    <w:rsid w:val="00CD512F"/>
    <w:rsid w:val="00CD59D5"/>
    <w:rsid w:val="00CD5BA7"/>
    <w:rsid w:val="00CD5F46"/>
    <w:rsid w:val="00CD6376"/>
    <w:rsid w:val="00CD644E"/>
    <w:rsid w:val="00CD69FF"/>
    <w:rsid w:val="00CD6B74"/>
    <w:rsid w:val="00CD6DD8"/>
    <w:rsid w:val="00CD7319"/>
    <w:rsid w:val="00CD7655"/>
    <w:rsid w:val="00CD7F73"/>
    <w:rsid w:val="00CE01AA"/>
    <w:rsid w:val="00CE0391"/>
    <w:rsid w:val="00CE0AE8"/>
    <w:rsid w:val="00CE12CF"/>
    <w:rsid w:val="00CE1470"/>
    <w:rsid w:val="00CE151A"/>
    <w:rsid w:val="00CE18D1"/>
    <w:rsid w:val="00CE2000"/>
    <w:rsid w:val="00CE251E"/>
    <w:rsid w:val="00CE28E4"/>
    <w:rsid w:val="00CE299D"/>
    <w:rsid w:val="00CE3121"/>
    <w:rsid w:val="00CE3122"/>
    <w:rsid w:val="00CE3190"/>
    <w:rsid w:val="00CE3487"/>
    <w:rsid w:val="00CE419B"/>
    <w:rsid w:val="00CE429F"/>
    <w:rsid w:val="00CE68F7"/>
    <w:rsid w:val="00CE7376"/>
    <w:rsid w:val="00CE737E"/>
    <w:rsid w:val="00CE7555"/>
    <w:rsid w:val="00CE778D"/>
    <w:rsid w:val="00CE7A22"/>
    <w:rsid w:val="00CE7B6E"/>
    <w:rsid w:val="00CE7E6E"/>
    <w:rsid w:val="00CE7FEE"/>
    <w:rsid w:val="00CF04A3"/>
    <w:rsid w:val="00CF0530"/>
    <w:rsid w:val="00CF0548"/>
    <w:rsid w:val="00CF09BC"/>
    <w:rsid w:val="00CF1853"/>
    <w:rsid w:val="00CF2218"/>
    <w:rsid w:val="00CF2540"/>
    <w:rsid w:val="00CF25BF"/>
    <w:rsid w:val="00CF2E2D"/>
    <w:rsid w:val="00CF337B"/>
    <w:rsid w:val="00CF3A7D"/>
    <w:rsid w:val="00CF3C81"/>
    <w:rsid w:val="00CF43A1"/>
    <w:rsid w:val="00CF4D77"/>
    <w:rsid w:val="00CF5655"/>
    <w:rsid w:val="00CF5F13"/>
    <w:rsid w:val="00CF65CA"/>
    <w:rsid w:val="00CF6A9C"/>
    <w:rsid w:val="00CF6BFA"/>
    <w:rsid w:val="00CF6E70"/>
    <w:rsid w:val="00CF7547"/>
    <w:rsid w:val="00CF78C7"/>
    <w:rsid w:val="00CF7A2F"/>
    <w:rsid w:val="00CF7BE4"/>
    <w:rsid w:val="00D00572"/>
    <w:rsid w:val="00D011FE"/>
    <w:rsid w:val="00D01D77"/>
    <w:rsid w:val="00D0264B"/>
    <w:rsid w:val="00D028F4"/>
    <w:rsid w:val="00D02941"/>
    <w:rsid w:val="00D0296C"/>
    <w:rsid w:val="00D02EB0"/>
    <w:rsid w:val="00D03506"/>
    <w:rsid w:val="00D038B1"/>
    <w:rsid w:val="00D03D26"/>
    <w:rsid w:val="00D04C32"/>
    <w:rsid w:val="00D04F8F"/>
    <w:rsid w:val="00D04F9F"/>
    <w:rsid w:val="00D05254"/>
    <w:rsid w:val="00D05AEC"/>
    <w:rsid w:val="00D068B6"/>
    <w:rsid w:val="00D06CD3"/>
    <w:rsid w:val="00D071F4"/>
    <w:rsid w:val="00D072C8"/>
    <w:rsid w:val="00D07F33"/>
    <w:rsid w:val="00D10490"/>
    <w:rsid w:val="00D10ACD"/>
    <w:rsid w:val="00D10AFD"/>
    <w:rsid w:val="00D1149E"/>
    <w:rsid w:val="00D119BC"/>
    <w:rsid w:val="00D122C1"/>
    <w:rsid w:val="00D1238E"/>
    <w:rsid w:val="00D12C4F"/>
    <w:rsid w:val="00D12F59"/>
    <w:rsid w:val="00D13171"/>
    <w:rsid w:val="00D135E5"/>
    <w:rsid w:val="00D145F8"/>
    <w:rsid w:val="00D148EB"/>
    <w:rsid w:val="00D14CE7"/>
    <w:rsid w:val="00D157C5"/>
    <w:rsid w:val="00D1588D"/>
    <w:rsid w:val="00D15AA7"/>
    <w:rsid w:val="00D1621B"/>
    <w:rsid w:val="00D16AEF"/>
    <w:rsid w:val="00D17CA5"/>
    <w:rsid w:val="00D205D9"/>
    <w:rsid w:val="00D207C5"/>
    <w:rsid w:val="00D2158B"/>
    <w:rsid w:val="00D21DDD"/>
    <w:rsid w:val="00D22000"/>
    <w:rsid w:val="00D2298A"/>
    <w:rsid w:val="00D22C68"/>
    <w:rsid w:val="00D24062"/>
    <w:rsid w:val="00D24503"/>
    <w:rsid w:val="00D24AD5"/>
    <w:rsid w:val="00D25285"/>
    <w:rsid w:val="00D25344"/>
    <w:rsid w:val="00D2593F"/>
    <w:rsid w:val="00D25E48"/>
    <w:rsid w:val="00D2632B"/>
    <w:rsid w:val="00D278CE"/>
    <w:rsid w:val="00D27D85"/>
    <w:rsid w:val="00D30038"/>
    <w:rsid w:val="00D30136"/>
    <w:rsid w:val="00D306BD"/>
    <w:rsid w:val="00D30B5C"/>
    <w:rsid w:val="00D30C52"/>
    <w:rsid w:val="00D30F16"/>
    <w:rsid w:val="00D32065"/>
    <w:rsid w:val="00D32324"/>
    <w:rsid w:val="00D323C2"/>
    <w:rsid w:val="00D32B7C"/>
    <w:rsid w:val="00D32F0B"/>
    <w:rsid w:val="00D33398"/>
    <w:rsid w:val="00D34AD0"/>
    <w:rsid w:val="00D3503C"/>
    <w:rsid w:val="00D360F0"/>
    <w:rsid w:val="00D363D1"/>
    <w:rsid w:val="00D3651A"/>
    <w:rsid w:val="00D36B39"/>
    <w:rsid w:val="00D37177"/>
    <w:rsid w:val="00D37397"/>
    <w:rsid w:val="00D37E6C"/>
    <w:rsid w:val="00D37F0C"/>
    <w:rsid w:val="00D4038D"/>
    <w:rsid w:val="00D407F1"/>
    <w:rsid w:val="00D40D3D"/>
    <w:rsid w:val="00D415BA"/>
    <w:rsid w:val="00D41A40"/>
    <w:rsid w:val="00D41E4B"/>
    <w:rsid w:val="00D42145"/>
    <w:rsid w:val="00D4220D"/>
    <w:rsid w:val="00D42741"/>
    <w:rsid w:val="00D42975"/>
    <w:rsid w:val="00D42CB8"/>
    <w:rsid w:val="00D42E5A"/>
    <w:rsid w:val="00D43DA2"/>
    <w:rsid w:val="00D43EEC"/>
    <w:rsid w:val="00D44A4E"/>
    <w:rsid w:val="00D44CA1"/>
    <w:rsid w:val="00D44DEF"/>
    <w:rsid w:val="00D44EC7"/>
    <w:rsid w:val="00D454C6"/>
    <w:rsid w:val="00D456E9"/>
    <w:rsid w:val="00D45AC5"/>
    <w:rsid w:val="00D45E5A"/>
    <w:rsid w:val="00D45EA8"/>
    <w:rsid w:val="00D45FD3"/>
    <w:rsid w:val="00D45FE0"/>
    <w:rsid w:val="00D460AF"/>
    <w:rsid w:val="00D46635"/>
    <w:rsid w:val="00D46C6F"/>
    <w:rsid w:val="00D46DB5"/>
    <w:rsid w:val="00D473AB"/>
    <w:rsid w:val="00D47910"/>
    <w:rsid w:val="00D47B10"/>
    <w:rsid w:val="00D50997"/>
    <w:rsid w:val="00D50BF4"/>
    <w:rsid w:val="00D5100E"/>
    <w:rsid w:val="00D51B36"/>
    <w:rsid w:val="00D51CB6"/>
    <w:rsid w:val="00D5251A"/>
    <w:rsid w:val="00D52BAF"/>
    <w:rsid w:val="00D53222"/>
    <w:rsid w:val="00D53427"/>
    <w:rsid w:val="00D53595"/>
    <w:rsid w:val="00D5364F"/>
    <w:rsid w:val="00D53C0A"/>
    <w:rsid w:val="00D54447"/>
    <w:rsid w:val="00D54454"/>
    <w:rsid w:val="00D5463B"/>
    <w:rsid w:val="00D5481F"/>
    <w:rsid w:val="00D54A1C"/>
    <w:rsid w:val="00D551EB"/>
    <w:rsid w:val="00D551F1"/>
    <w:rsid w:val="00D55339"/>
    <w:rsid w:val="00D564DC"/>
    <w:rsid w:val="00D566D6"/>
    <w:rsid w:val="00D569CD"/>
    <w:rsid w:val="00D56C5C"/>
    <w:rsid w:val="00D57025"/>
    <w:rsid w:val="00D5716B"/>
    <w:rsid w:val="00D571A0"/>
    <w:rsid w:val="00D574A8"/>
    <w:rsid w:val="00D57511"/>
    <w:rsid w:val="00D6035B"/>
    <w:rsid w:val="00D60ED6"/>
    <w:rsid w:val="00D616B2"/>
    <w:rsid w:val="00D617B1"/>
    <w:rsid w:val="00D6195B"/>
    <w:rsid w:val="00D61B2F"/>
    <w:rsid w:val="00D61B96"/>
    <w:rsid w:val="00D61F8D"/>
    <w:rsid w:val="00D62828"/>
    <w:rsid w:val="00D62908"/>
    <w:rsid w:val="00D62B2F"/>
    <w:rsid w:val="00D62CFF"/>
    <w:rsid w:val="00D62F85"/>
    <w:rsid w:val="00D63584"/>
    <w:rsid w:val="00D6379A"/>
    <w:rsid w:val="00D63815"/>
    <w:rsid w:val="00D63C7C"/>
    <w:rsid w:val="00D63D2F"/>
    <w:rsid w:val="00D63DF0"/>
    <w:rsid w:val="00D64043"/>
    <w:rsid w:val="00D64B08"/>
    <w:rsid w:val="00D64CAE"/>
    <w:rsid w:val="00D653C7"/>
    <w:rsid w:val="00D654AF"/>
    <w:rsid w:val="00D655F6"/>
    <w:rsid w:val="00D65768"/>
    <w:rsid w:val="00D658E2"/>
    <w:rsid w:val="00D66160"/>
    <w:rsid w:val="00D67851"/>
    <w:rsid w:val="00D67B31"/>
    <w:rsid w:val="00D67FDC"/>
    <w:rsid w:val="00D7017F"/>
    <w:rsid w:val="00D70A62"/>
    <w:rsid w:val="00D70ED5"/>
    <w:rsid w:val="00D7123C"/>
    <w:rsid w:val="00D7157D"/>
    <w:rsid w:val="00D71B10"/>
    <w:rsid w:val="00D71D77"/>
    <w:rsid w:val="00D71DBD"/>
    <w:rsid w:val="00D71F3B"/>
    <w:rsid w:val="00D71F69"/>
    <w:rsid w:val="00D722F9"/>
    <w:rsid w:val="00D72783"/>
    <w:rsid w:val="00D729E2"/>
    <w:rsid w:val="00D72A7D"/>
    <w:rsid w:val="00D72D7D"/>
    <w:rsid w:val="00D72E4C"/>
    <w:rsid w:val="00D73827"/>
    <w:rsid w:val="00D73CD5"/>
    <w:rsid w:val="00D742F6"/>
    <w:rsid w:val="00D74693"/>
    <w:rsid w:val="00D747AF"/>
    <w:rsid w:val="00D7631B"/>
    <w:rsid w:val="00D76345"/>
    <w:rsid w:val="00D76426"/>
    <w:rsid w:val="00D765AC"/>
    <w:rsid w:val="00D765E5"/>
    <w:rsid w:val="00D76857"/>
    <w:rsid w:val="00D76F4E"/>
    <w:rsid w:val="00D77B3A"/>
    <w:rsid w:val="00D77EDA"/>
    <w:rsid w:val="00D77F11"/>
    <w:rsid w:val="00D77FE1"/>
    <w:rsid w:val="00D805C0"/>
    <w:rsid w:val="00D80C58"/>
    <w:rsid w:val="00D81C06"/>
    <w:rsid w:val="00D82028"/>
    <w:rsid w:val="00D82141"/>
    <w:rsid w:val="00D82226"/>
    <w:rsid w:val="00D8286B"/>
    <w:rsid w:val="00D82C3B"/>
    <w:rsid w:val="00D82F05"/>
    <w:rsid w:val="00D831AC"/>
    <w:rsid w:val="00D83B85"/>
    <w:rsid w:val="00D84545"/>
    <w:rsid w:val="00D84AAA"/>
    <w:rsid w:val="00D84BA9"/>
    <w:rsid w:val="00D84FAC"/>
    <w:rsid w:val="00D85441"/>
    <w:rsid w:val="00D8563B"/>
    <w:rsid w:val="00D857BA"/>
    <w:rsid w:val="00D859E2"/>
    <w:rsid w:val="00D85B3A"/>
    <w:rsid w:val="00D85EEC"/>
    <w:rsid w:val="00D860F4"/>
    <w:rsid w:val="00D8645A"/>
    <w:rsid w:val="00D87B85"/>
    <w:rsid w:val="00D87C1D"/>
    <w:rsid w:val="00D87EF4"/>
    <w:rsid w:val="00D90A60"/>
    <w:rsid w:val="00D90F82"/>
    <w:rsid w:val="00D91333"/>
    <w:rsid w:val="00D9195F"/>
    <w:rsid w:val="00D92087"/>
    <w:rsid w:val="00D923AF"/>
    <w:rsid w:val="00D923BC"/>
    <w:rsid w:val="00D931EF"/>
    <w:rsid w:val="00D933EF"/>
    <w:rsid w:val="00D935EE"/>
    <w:rsid w:val="00D9399E"/>
    <w:rsid w:val="00D93B79"/>
    <w:rsid w:val="00D93CCA"/>
    <w:rsid w:val="00D94093"/>
    <w:rsid w:val="00D943AE"/>
    <w:rsid w:val="00D943CB"/>
    <w:rsid w:val="00D94D23"/>
    <w:rsid w:val="00D95666"/>
    <w:rsid w:val="00D956B5"/>
    <w:rsid w:val="00D9584A"/>
    <w:rsid w:val="00D96010"/>
    <w:rsid w:val="00D96D93"/>
    <w:rsid w:val="00D97015"/>
    <w:rsid w:val="00D972F8"/>
    <w:rsid w:val="00D97D2E"/>
    <w:rsid w:val="00DA01BF"/>
    <w:rsid w:val="00DA02EB"/>
    <w:rsid w:val="00DA07B8"/>
    <w:rsid w:val="00DA13CE"/>
    <w:rsid w:val="00DA1AD5"/>
    <w:rsid w:val="00DA2756"/>
    <w:rsid w:val="00DA2951"/>
    <w:rsid w:val="00DA2AAB"/>
    <w:rsid w:val="00DA2B72"/>
    <w:rsid w:val="00DA2D97"/>
    <w:rsid w:val="00DA2FAB"/>
    <w:rsid w:val="00DA357F"/>
    <w:rsid w:val="00DA3931"/>
    <w:rsid w:val="00DA4485"/>
    <w:rsid w:val="00DA450C"/>
    <w:rsid w:val="00DA46B5"/>
    <w:rsid w:val="00DA46E7"/>
    <w:rsid w:val="00DA483D"/>
    <w:rsid w:val="00DA4A79"/>
    <w:rsid w:val="00DA4BE8"/>
    <w:rsid w:val="00DA4CA6"/>
    <w:rsid w:val="00DA4DAE"/>
    <w:rsid w:val="00DA5778"/>
    <w:rsid w:val="00DA599A"/>
    <w:rsid w:val="00DA5B48"/>
    <w:rsid w:val="00DA5DCB"/>
    <w:rsid w:val="00DA5E3D"/>
    <w:rsid w:val="00DA5F41"/>
    <w:rsid w:val="00DA6166"/>
    <w:rsid w:val="00DA6293"/>
    <w:rsid w:val="00DA6C99"/>
    <w:rsid w:val="00DA7171"/>
    <w:rsid w:val="00DA77AF"/>
    <w:rsid w:val="00DA78CF"/>
    <w:rsid w:val="00DB06C9"/>
    <w:rsid w:val="00DB0701"/>
    <w:rsid w:val="00DB0FC5"/>
    <w:rsid w:val="00DB1170"/>
    <w:rsid w:val="00DB126F"/>
    <w:rsid w:val="00DB13A6"/>
    <w:rsid w:val="00DB2097"/>
    <w:rsid w:val="00DB2C74"/>
    <w:rsid w:val="00DB2ED3"/>
    <w:rsid w:val="00DB2EF6"/>
    <w:rsid w:val="00DB30B1"/>
    <w:rsid w:val="00DB3248"/>
    <w:rsid w:val="00DB32EB"/>
    <w:rsid w:val="00DB3346"/>
    <w:rsid w:val="00DB3A4F"/>
    <w:rsid w:val="00DB3DB3"/>
    <w:rsid w:val="00DB3DFD"/>
    <w:rsid w:val="00DB426B"/>
    <w:rsid w:val="00DB45F4"/>
    <w:rsid w:val="00DB524D"/>
    <w:rsid w:val="00DB5410"/>
    <w:rsid w:val="00DB54A8"/>
    <w:rsid w:val="00DB572B"/>
    <w:rsid w:val="00DB5AE5"/>
    <w:rsid w:val="00DB5D77"/>
    <w:rsid w:val="00DB6C1A"/>
    <w:rsid w:val="00DB7025"/>
    <w:rsid w:val="00DB707A"/>
    <w:rsid w:val="00DC065D"/>
    <w:rsid w:val="00DC0807"/>
    <w:rsid w:val="00DC1798"/>
    <w:rsid w:val="00DC17B3"/>
    <w:rsid w:val="00DC204E"/>
    <w:rsid w:val="00DC234D"/>
    <w:rsid w:val="00DC2431"/>
    <w:rsid w:val="00DC2DC2"/>
    <w:rsid w:val="00DC3C05"/>
    <w:rsid w:val="00DC47A5"/>
    <w:rsid w:val="00DC4BC5"/>
    <w:rsid w:val="00DC52DB"/>
    <w:rsid w:val="00DC5363"/>
    <w:rsid w:val="00DC54F4"/>
    <w:rsid w:val="00DC5FAD"/>
    <w:rsid w:val="00DC6090"/>
    <w:rsid w:val="00DC70AB"/>
    <w:rsid w:val="00DC73A2"/>
    <w:rsid w:val="00DC78B0"/>
    <w:rsid w:val="00DD081D"/>
    <w:rsid w:val="00DD0914"/>
    <w:rsid w:val="00DD0C04"/>
    <w:rsid w:val="00DD2BA0"/>
    <w:rsid w:val="00DD36BF"/>
    <w:rsid w:val="00DD3E71"/>
    <w:rsid w:val="00DD4115"/>
    <w:rsid w:val="00DD41F3"/>
    <w:rsid w:val="00DD4458"/>
    <w:rsid w:val="00DD44EC"/>
    <w:rsid w:val="00DD46A6"/>
    <w:rsid w:val="00DD4B3A"/>
    <w:rsid w:val="00DD4B8A"/>
    <w:rsid w:val="00DD512D"/>
    <w:rsid w:val="00DD55A0"/>
    <w:rsid w:val="00DD5D14"/>
    <w:rsid w:val="00DD771E"/>
    <w:rsid w:val="00DE08C6"/>
    <w:rsid w:val="00DE0CD4"/>
    <w:rsid w:val="00DE0DE8"/>
    <w:rsid w:val="00DE0DF6"/>
    <w:rsid w:val="00DE1506"/>
    <w:rsid w:val="00DE155E"/>
    <w:rsid w:val="00DE16E6"/>
    <w:rsid w:val="00DE2CB0"/>
    <w:rsid w:val="00DE3489"/>
    <w:rsid w:val="00DE34B5"/>
    <w:rsid w:val="00DE34C0"/>
    <w:rsid w:val="00DE4860"/>
    <w:rsid w:val="00DE4A1A"/>
    <w:rsid w:val="00DE4B42"/>
    <w:rsid w:val="00DE579F"/>
    <w:rsid w:val="00DE5D1C"/>
    <w:rsid w:val="00DE5E38"/>
    <w:rsid w:val="00DE66B0"/>
    <w:rsid w:val="00DE72F6"/>
    <w:rsid w:val="00DE76AE"/>
    <w:rsid w:val="00DE78A9"/>
    <w:rsid w:val="00DE78F4"/>
    <w:rsid w:val="00DF0739"/>
    <w:rsid w:val="00DF0E5F"/>
    <w:rsid w:val="00DF101F"/>
    <w:rsid w:val="00DF1188"/>
    <w:rsid w:val="00DF13B3"/>
    <w:rsid w:val="00DF1983"/>
    <w:rsid w:val="00DF1F9B"/>
    <w:rsid w:val="00DF1FB2"/>
    <w:rsid w:val="00DF2688"/>
    <w:rsid w:val="00DF2949"/>
    <w:rsid w:val="00DF30B4"/>
    <w:rsid w:val="00DF3299"/>
    <w:rsid w:val="00DF3509"/>
    <w:rsid w:val="00DF3D58"/>
    <w:rsid w:val="00DF3DD3"/>
    <w:rsid w:val="00DF3FA2"/>
    <w:rsid w:val="00DF4749"/>
    <w:rsid w:val="00DF48A2"/>
    <w:rsid w:val="00DF4C82"/>
    <w:rsid w:val="00DF63BF"/>
    <w:rsid w:val="00DF6544"/>
    <w:rsid w:val="00DF670E"/>
    <w:rsid w:val="00DF6BFA"/>
    <w:rsid w:val="00DF6C9A"/>
    <w:rsid w:val="00DF6D74"/>
    <w:rsid w:val="00DF7B08"/>
    <w:rsid w:val="00DF7B6C"/>
    <w:rsid w:val="00E000A5"/>
    <w:rsid w:val="00E00E00"/>
    <w:rsid w:val="00E01D00"/>
    <w:rsid w:val="00E01F25"/>
    <w:rsid w:val="00E02003"/>
    <w:rsid w:val="00E02435"/>
    <w:rsid w:val="00E02941"/>
    <w:rsid w:val="00E02A74"/>
    <w:rsid w:val="00E02AAE"/>
    <w:rsid w:val="00E02D2E"/>
    <w:rsid w:val="00E030F2"/>
    <w:rsid w:val="00E034E6"/>
    <w:rsid w:val="00E036C0"/>
    <w:rsid w:val="00E03C4F"/>
    <w:rsid w:val="00E03D64"/>
    <w:rsid w:val="00E0460A"/>
    <w:rsid w:val="00E04B6F"/>
    <w:rsid w:val="00E051A9"/>
    <w:rsid w:val="00E05217"/>
    <w:rsid w:val="00E05F4F"/>
    <w:rsid w:val="00E060A3"/>
    <w:rsid w:val="00E061B5"/>
    <w:rsid w:val="00E063D2"/>
    <w:rsid w:val="00E068A1"/>
    <w:rsid w:val="00E06D81"/>
    <w:rsid w:val="00E070EA"/>
    <w:rsid w:val="00E0751D"/>
    <w:rsid w:val="00E077D7"/>
    <w:rsid w:val="00E07A92"/>
    <w:rsid w:val="00E07E5D"/>
    <w:rsid w:val="00E07EA1"/>
    <w:rsid w:val="00E07FD0"/>
    <w:rsid w:val="00E103EC"/>
    <w:rsid w:val="00E10D88"/>
    <w:rsid w:val="00E11034"/>
    <w:rsid w:val="00E119C2"/>
    <w:rsid w:val="00E11BB6"/>
    <w:rsid w:val="00E1208E"/>
    <w:rsid w:val="00E1231D"/>
    <w:rsid w:val="00E1242B"/>
    <w:rsid w:val="00E126AF"/>
    <w:rsid w:val="00E12DA0"/>
    <w:rsid w:val="00E1352E"/>
    <w:rsid w:val="00E13F43"/>
    <w:rsid w:val="00E1401F"/>
    <w:rsid w:val="00E141F6"/>
    <w:rsid w:val="00E14586"/>
    <w:rsid w:val="00E1595B"/>
    <w:rsid w:val="00E159AE"/>
    <w:rsid w:val="00E16124"/>
    <w:rsid w:val="00E16CE9"/>
    <w:rsid w:val="00E16D33"/>
    <w:rsid w:val="00E16F06"/>
    <w:rsid w:val="00E17202"/>
    <w:rsid w:val="00E17B6F"/>
    <w:rsid w:val="00E20646"/>
    <w:rsid w:val="00E2078D"/>
    <w:rsid w:val="00E2096C"/>
    <w:rsid w:val="00E210B2"/>
    <w:rsid w:val="00E21860"/>
    <w:rsid w:val="00E21AE1"/>
    <w:rsid w:val="00E21E86"/>
    <w:rsid w:val="00E22130"/>
    <w:rsid w:val="00E222EC"/>
    <w:rsid w:val="00E22B59"/>
    <w:rsid w:val="00E22F16"/>
    <w:rsid w:val="00E23213"/>
    <w:rsid w:val="00E23812"/>
    <w:rsid w:val="00E23A9B"/>
    <w:rsid w:val="00E23C99"/>
    <w:rsid w:val="00E246DB"/>
    <w:rsid w:val="00E24883"/>
    <w:rsid w:val="00E249C1"/>
    <w:rsid w:val="00E25170"/>
    <w:rsid w:val="00E25842"/>
    <w:rsid w:val="00E25AA6"/>
    <w:rsid w:val="00E269D6"/>
    <w:rsid w:val="00E26A6B"/>
    <w:rsid w:val="00E27D87"/>
    <w:rsid w:val="00E3002C"/>
    <w:rsid w:val="00E300FF"/>
    <w:rsid w:val="00E302E0"/>
    <w:rsid w:val="00E307E9"/>
    <w:rsid w:val="00E30835"/>
    <w:rsid w:val="00E30876"/>
    <w:rsid w:val="00E30CFF"/>
    <w:rsid w:val="00E3109E"/>
    <w:rsid w:val="00E3164F"/>
    <w:rsid w:val="00E318E7"/>
    <w:rsid w:val="00E3191C"/>
    <w:rsid w:val="00E31F1C"/>
    <w:rsid w:val="00E33463"/>
    <w:rsid w:val="00E33B07"/>
    <w:rsid w:val="00E34128"/>
    <w:rsid w:val="00E3423D"/>
    <w:rsid w:val="00E343C2"/>
    <w:rsid w:val="00E3532F"/>
    <w:rsid w:val="00E3538D"/>
    <w:rsid w:val="00E353FB"/>
    <w:rsid w:val="00E35442"/>
    <w:rsid w:val="00E356E1"/>
    <w:rsid w:val="00E359AB"/>
    <w:rsid w:val="00E35B88"/>
    <w:rsid w:val="00E35C84"/>
    <w:rsid w:val="00E35D17"/>
    <w:rsid w:val="00E35E45"/>
    <w:rsid w:val="00E3600E"/>
    <w:rsid w:val="00E36065"/>
    <w:rsid w:val="00E375B3"/>
    <w:rsid w:val="00E3783E"/>
    <w:rsid w:val="00E40224"/>
    <w:rsid w:val="00E40D10"/>
    <w:rsid w:val="00E40F14"/>
    <w:rsid w:val="00E4113B"/>
    <w:rsid w:val="00E4151E"/>
    <w:rsid w:val="00E41AB4"/>
    <w:rsid w:val="00E41BE9"/>
    <w:rsid w:val="00E41CCA"/>
    <w:rsid w:val="00E42517"/>
    <w:rsid w:val="00E42B43"/>
    <w:rsid w:val="00E42C82"/>
    <w:rsid w:val="00E42F6F"/>
    <w:rsid w:val="00E4314C"/>
    <w:rsid w:val="00E43178"/>
    <w:rsid w:val="00E438BE"/>
    <w:rsid w:val="00E43AA2"/>
    <w:rsid w:val="00E43CC1"/>
    <w:rsid w:val="00E43EE1"/>
    <w:rsid w:val="00E4411D"/>
    <w:rsid w:val="00E4428C"/>
    <w:rsid w:val="00E44475"/>
    <w:rsid w:val="00E44ABF"/>
    <w:rsid w:val="00E44D27"/>
    <w:rsid w:val="00E453F2"/>
    <w:rsid w:val="00E4554C"/>
    <w:rsid w:val="00E45695"/>
    <w:rsid w:val="00E45F60"/>
    <w:rsid w:val="00E46199"/>
    <w:rsid w:val="00E46446"/>
    <w:rsid w:val="00E46FA2"/>
    <w:rsid w:val="00E47AD3"/>
    <w:rsid w:val="00E47EB2"/>
    <w:rsid w:val="00E504BA"/>
    <w:rsid w:val="00E50900"/>
    <w:rsid w:val="00E50D68"/>
    <w:rsid w:val="00E51229"/>
    <w:rsid w:val="00E51CF2"/>
    <w:rsid w:val="00E51CFC"/>
    <w:rsid w:val="00E52A4D"/>
    <w:rsid w:val="00E532B1"/>
    <w:rsid w:val="00E538C1"/>
    <w:rsid w:val="00E53D59"/>
    <w:rsid w:val="00E53EC5"/>
    <w:rsid w:val="00E53ED3"/>
    <w:rsid w:val="00E53F48"/>
    <w:rsid w:val="00E547EF"/>
    <w:rsid w:val="00E54DFD"/>
    <w:rsid w:val="00E54E69"/>
    <w:rsid w:val="00E54F30"/>
    <w:rsid w:val="00E55527"/>
    <w:rsid w:val="00E5572C"/>
    <w:rsid w:val="00E5587C"/>
    <w:rsid w:val="00E558FB"/>
    <w:rsid w:val="00E55D78"/>
    <w:rsid w:val="00E55D9B"/>
    <w:rsid w:val="00E56233"/>
    <w:rsid w:val="00E56995"/>
    <w:rsid w:val="00E56FE5"/>
    <w:rsid w:val="00E57273"/>
    <w:rsid w:val="00E57809"/>
    <w:rsid w:val="00E57B84"/>
    <w:rsid w:val="00E57E10"/>
    <w:rsid w:val="00E6012C"/>
    <w:rsid w:val="00E6017F"/>
    <w:rsid w:val="00E603AA"/>
    <w:rsid w:val="00E607B3"/>
    <w:rsid w:val="00E608E6"/>
    <w:rsid w:val="00E61BC4"/>
    <w:rsid w:val="00E6203D"/>
    <w:rsid w:val="00E62B3D"/>
    <w:rsid w:val="00E6369C"/>
    <w:rsid w:val="00E63D8C"/>
    <w:rsid w:val="00E648E4"/>
    <w:rsid w:val="00E64A21"/>
    <w:rsid w:val="00E64C82"/>
    <w:rsid w:val="00E654E6"/>
    <w:rsid w:val="00E655AA"/>
    <w:rsid w:val="00E65B07"/>
    <w:rsid w:val="00E669C9"/>
    <w:rsid w:val="00E66E15"/>
    <w:rsid w:val="00E67A2D"/>
    <w:rsid w:val="00E67F76"/>
    <w:rsid w:val="00E70363"/>
    <w:rsid w:val="00E70390"/>
    <w:rsid w:val="00E70D9B"/>
    <w:rsid w:val="00E70EB8"/>
    <w:rsid w:val="00E71055"/>
    <w:rsid w:val="00E71A1F"/>
    <w:rsid w:val="00E71DC4"/>
    <w:rsid w:val="00E7267F"/>
    <w:rsid w:val="00E72700"/>
    <w:rsid w:val="00E72B7E"/>
    <w:rsid w:val="00E72BBC"/>
    <w:rsid w:val="00E72CA0"/>
    <w:rsid w:val="00E72D4E"/>
    <w:rsid w:val="00E72E73"/>
    <w:rsid w:val="00E734B0"/>
    <w:rsid w:val="00E735E6"/>
    <w:rsid w:val="00E737F3"/>
    <w:rsid w:val="00E73870"/>
    <w:rsid w:val="00E738D7"/>
    <w:rsid w:val="00E73E23"/>
    <w:rsid w:val="00E73FAD"/>
    <w:rsid w:val="00E746B5"/>
    <w:rsid w:val="00E751CE"/>
    <w:rsid w:val="00E7520B"/>
    <w:rsid w:val="00E75614"/>
    <w:rsid w:val="00E75A24"/>
    <w:rsid w:val="00E767D1"/>
    <w:rsid w:val="00E76DE1"/>
    <w:rsid w:val="00E771BC"/>
    <w:rsid w:val="00E779EF"/>
    <w:rsid w:val="00E77E38"/>
    <w:rsid w:val="00E80B96"/>
    <w:rsid w:val="00E80C09"/>
    <w:rsid w:val="00E81007"/>
    <w:rsid w:val="00E81111"/>
    <w:rsid w:val="00E81A02"/>
    <w:rsid w:val="00E82290"/>
    <w:rsid w:val="00E82B23"/>
    <w:rsid w:val="00E82D83"/>
    <w:rsid w:val="00E82D88"/>
    <w:rsid w:val="00E83313"/>
    <w:rsid w:val="00E83714"/>
    <w:rsid w:val="00E83A83"/>
    <w:rsid w:val="00E84019"/>
    <w:rsid w:val="00E84A1A"/>
    <w:rsid w:val="00E84FA6"/>
    <w:rsid w:val="00E850BF"/>
    <w:rsid w:val="00E85259"/>
    <w:rsid w:val="00E85778"/>
    <w:rsid w:val="00E859EC"/>
    <w:rsid w:val="00E85F1A"/>
    <w:rsid w:val="00E8647D"/>
    <w:rsid w:val="00E866D0"/>
    <w:rsid w:val="00E87247"/>
    <w:rsid w:val="00E8729E"/>
    <w:rsid w:val="00E87EAB"/>
    <w:rsid w:val="00E900AB"/>
    <w:rsid w:val="00E91957"/>
    <w:rsid w:val="00E919EF"/>
    <w:rsid w:val="00E91AD7"/>
    <w:rsid w:val="00E91CCA"/>
    <w:rsid w:val="00E91D14"/>
    <w:rsid w:val="00E922A0"/>
    <w:rsid w:val="00E93058"/>
    <w:rsid w:val="00E9414D"/>
    <w:rsid w:val="00E949B1"/>
    <w:rsid w:val="00E949DD"/>
    <w:rsid w:val="00E9503B"/>
    <w:rsid w:val="00E9527F"/>
    <w:rsid w:val="00E9589F"/>
    <w:rsid w:val="00E959BD"/>
    <w:rsid w:val="00E95A85"/>
    <w:rsid w:val="00E95BF9"/>
    <w:rsid w:val="00E95C76"/>
    <w:rsid w:val="00E95E80"/>
    <w:rsid w:val="00E95ED3"/>
    <w:rsid w:val="00E961CD"/>
    <w:rsid w:val="00E9692C"/>
    <w:rsid w:val="00E972EC"/>
    <w:rsid w:val="00E97E38"/>
    <w:rsid w:val="00EA0495"/>
    <w:rsid w:val="00EA0675"/>
    <w:rsid w:val="00EA0A6B"/>
    <w:rsid w:val="00EA0CC2"/>
    <w:rsid w:val="00EA0E04"/>
    <w:rsid w:val="00EA0E32"/>
    <w:rsid w:val="00EA11BF"/>
    <w:rsid w:val="00EA1F1A"/>
    <w:rsid w:val="00EA23C6"/>
    <w:rsid w:val="00EA251B"/>
    <w:rsid w:val="00EA3085"/>
    <w:rsid w:val="00EA3FE5"/>
    <w:rsid w:val="00EA45F9"/>
    <w:rsid w:val="00EA4E5E"/>
    <w:rsid w:val="00EA5274"/>
    <w:rsid w:val="00EA52E5"/>
    <w:rsid w:val="00EA5422"/>
    <w:rsid w:val="00EA55A2"/>
    <w:rsid w:val="00EA6201"/>
    <w:rsid w:val="00EA6B09"/>
    <w:rsid w:val="00EA7103"/>
    <w:rsid w:val="00EA7174"/>
    <w:rsid w:val="00EA7B76"/>
    <w:rsid w:val="00EA7EB0"/>
    <w:rsid w:val="00EB02C8"/>
    <w:rsid w:val="00EB05C8"/>
    <w:rsid w:val="00EB0D29"/>
    <w:rsid w:val="00EB14F1"/>
    <w:rsid w:val="00EB1699"/>
    <w:rsid w:val="00EB23BD"/>
    <w:rsid w:val="00EB23EF"/>
    <w:rsid w:val="00EB272C"/>
    <w:rsid w:val="00EB28F6"/>
    <w:rsid w:val="00EB2BE2"/>
    <w:rsid w:val="00EB2D12"/>
    <w:rsid w:val="00EB2F02"/>
    <w:rsid w:val="00EB32A2"/>
    <w:rsid w:val="00EB35F4"/>
    <w:rsid w:val="00EB35F7"/>
    <w:rsid w:val="00EB362C"/>
    <w:rsid w:val="00EB3768"/>
    <w:rsid w:val="00EB39D7"/>
    <w:rsid w:val="00EB411F"/>
    <w:rsid w:val="00EB4264"/>
    <w:rsid w:val="00EB47AE"/>
    <w:rsid w:val="00EB4AAB"/>
    <w:rsid w:val="00EB4FA0"/>
    <w:rsid w:val="00EB5063"/>
    <w:rsid w:val="00EB5422"/>
    <w:rsid w:val="00EB6100"/>
    <w:rsid w:val="00EB65C4"/>
    <w:rsid w:val="00EB67C4"/>
    <w:rsid w:val="00EB6A0B"/>
    <w:rsid w:val="00EB6BE2"/>
    <w:rsid w:val="00EB721A"/>
    <w:rsid w:val="00EB7EA6"/>
    <w:rsid w:val="00EC030E"/>
    <w:rsid w:val="00EC0873"/>
    <w:rsid w:val="00EC087A"/>
    <w:rsid w:val="00EC088C"/>
    <w:rsid w:val="00EC0A54"/>
    <w:rsid w:val="00EC0BD8"/>
    <w:rsid w:val="00EC1599"/>
    <w:rsid w:val="00EC1A23"/>
    <w:rsid w:val="00EC1B9C"/>
    <w:rsid w:val="00EC1BBA"/>
    <w:rsid w:val="00EC1F8E"/>
    <w:rsid w:val="00EC2158"/>
    <w:rsid w:val="00EC2471"/>
    <w:rsid w:val="00EC2D95"/>
    <w:rsid w:val="00EC2DDA"/>
    <w:rsid w:val="00EC39B8"/>
    <w:rsid w:val="00EC39EE"/>
    <w:rsid w:val="00EC3E1C"/>
    <w:rsid w:val="00EC40B0"/>
    <w:rsid w:val="00EC44A8"/>
    <w:rsid w:val="00EC4E9D"/>
    <w:rsid w:val="00EC5276"/>
    <w:rsid w:val="00EC52A0"/>
    <w:rsid w:val="00EC5359"/>
    <w:rsid w:val="00EC5698"/>
    <w:rsid w:val="00EC5867"/>
    <w:rsid w:val="00EC5963"/>
    <w:rsid w:val="00EC5D7B"/>
    <w:rsid w:val="00EC64DF"/>
    <w:rsid w:val="00EC690F"/>
    <w:rsid w:val="00EC72F8"/>
    <w:rsid w:val="00EC7998"/>
    <w:rsid w:val="00EC7A23"/>
    <w:rsid w:val="00EC7E55"/>
    <w:rsid w:val="00EC7E7F"/>
    <w:rsid w:val="00ED05FF"/>
    <w:rsid w:val="00ED0790"/>
    <w:rsid w:val="00ED1576"/>
    <w:rsid w:val="00ED18D2"/>
    <w:rsid w:val="00ED1926"/>
    <w:rsid w:val="00ED1BA8"/>
    <w:rsid w:val="00ED3052"/>
    <w:rsid w:val="00ED30B1"/>
    <w:rsid w:val="00ED393B"/>
    <w:rsid w:val="00ED3AF2"/>
    <w:rsid w:val="00ED40B8"/>
    <w:rsid w:val="00ED4135"/>
    <w:rsid w:val="00ED554A"/>
    <w:rsid w:val="00ED5C72"/>
    <w:rsid w:val="00ED6222"/>
    <w:rsid w:val="00ED64FC"/>
    <w:rsid w:val="00ED6589"/>
    <w:rsid w:val="00ED6858"/>
    <w:rsid w:val="00ED68AB"/>
    <w:rsid w:val="00ED6A31"/>
    <w:rsid w:val="00ED6BA8"/>
    <w:rsid w:val="00ED6ED2"/>
    <w:rsid w:val="00ED70FC"/>
    <w:rsid w:val="00ED7327"/>
    <w:rsid w:val="00ED7790"/>
    <w:rsid w:val="00ED7930"/>
    <w:rsid w:val="00EE07E5"/>
    <w:rsid w:val="00EE0CA7"/>
    <w:rsid w:val="00EE130C"/>
    <w:rsid w:val="00EE1709"/>
    <w:rsid w:val="00EE1746"/>
    <w:rsid w:val="00EE1C10"/>
    <w:rsid w:val="00EE1D1D"/>
    <w:rsid w:val="00EE21D2"/>
    <w:rsid w:val="00EE2A38"/>
    <w:rsid w:val="00EE3491"/>
    <w:rsid w:val="00EE42FC"/>
    <w:rsid w:val="00EE45C3"/>
    <w:rsid w:val="00EE4714"/>
    <w:rsid w:val="00EE49B1"/>
    <w:rsid w:val="00EE4F9A"/>
    <w:rsid w:val="00EE5532"/>
    <w:rsid w:val="00EE6CA0"/>
    <w:rsid w:val="00EE72B1"/>
    <w:rsid w:val="00EE730F"/>
    <w:rsid w:val="00EF02F9"/>
    <w:rsid w:val="00EF05C3"/>
    <w:rsid w:val="00EF063F"/>
    <w:rsid w:val="00EF0F2B"/>
    <w:rsid w:val="00EF17B8"/>
    <w:rsid w:val="00EF1AB5"/>
    <w:rsid w:val="00EF1C46"/>
    <w:rsid w:val="00EF1D07"/>
    <w:rsid w:val="00EF23C7"/>
    <w:rsid w:val="00EF2C89"/>
    <w:rsid w:val="00EF3311"/>
    <w:rsid w:val="00EF36FA"/>
    <w:rsid w:val="00EF3CEC"/>
    <w:rsid w:val="00EF3D70"/>
    <w:rsid w:val="00EF428A"/>
    <w:rsid w:val="00EF483E"/>
    <w:rsid w:val="00EF4B74"/>
    <w:rsid w:val="00EF4EAB"/>
    <w:rsid w:val="00EF503E"/>
    <w:rsid w:val="00EF5446"/>
    <w:rsid w:val="00EF54B7"/>
    <w:rsid w:val="00EF55A2"/>
    <w:rsid w:val="00EF584E"/>
    <w:rsid w:val="00EF59FF"/>
    <w:rsid w:val="00EF5DAE"/>
    <w:rsid w:val="00EF610C"/>
    <w:rsid w:val="00EF6AF8"/>
    <w:rsid w:val="00EF6B28"/>
    <w:rsid w:val="00EF6FE9"/>
    <w:rsid w:val="00EF7906"/>
    <w:rsid w:val="00EF7B64"/>
    <w:rsid w:val="00F0002A"/>
    <w:rsid w:val="00F001EC"/>
    <w:rsid w:val="00F00426"/>
    <w:rsid w:val="00F00430"/>
    <w:rsid w:val="00F0044A"/>
    <w:rsid w:val="00F00531"/>
    <w:rsid w:val="00F006F8"/>
    <w:rsid w:val="00F00876"/>
    <w:rsid w:val="00F00DD7"/>
    <w:rsid w:val="00F00F4E"/>
    <w:rsid w:val="00F01406"/>
    <w:rsid w:val="00F01B4D"/>
    <w:rsid w:val="00F01B52"/>
    <w:rsid w:val="00F022F7"/>
    <w:rsid w:val="00F03615"/>
    <w:rsid w:val="00F03960"/>
    <w:rsid w:val="00F03E27"/>
    <w:rsid w:val="00F0434E"/>
    <w:rsid w:val="00F044AE"/>
    <w:rsid w:val="00F0471F"/>
    <w:rsid w:val="00F04778"/>
    <w:rsid w:val="00F04BCF"/>
    <w:rsid w:val="00F04CD2"/>
    <w:rsid w:val="00F057FA"/>
    <w:rsid w:val="00F0602F"/>
    <w:rsid w:val="00F06083"/>
    <w:rsid w:val="00F063AB"/>
    <w:rsid w:val="00F06A65"/>
    <w:rsid w:val="00F06D5C"/>
    <w:rsid w:val="00F06E05"/>
    <w:rsid w:val="00F07B30"/>
    <w:rsid w:val="00F07E1C"/>
    <w:rsid w:val="00F10435"/>
    <w:rsid w:val="00F10640"/>
    <w:rsid w:val="00F1072F"/>
    <w:rsid w:val="00F1081B"/>
    <w:rsid w:val="00F10BC4"/>
    <w:rsid w:val="00F110F8"/>
    <w:rsid w:val="00F1162C"/>
    <w:rsid w:val="00F119A1"/>
    <w:rsid w:val="00F11D47"/>
    <w:rsid w:val="00F127FA"/>
    <w:rsid w:val="00F12A3C"/>
    <w:rsid w:val="00F12C0C"/>
    <w:rsid w:val="00F12C3F"/>
    <w:rsid w:val="00F12D6E"/>
    <w:rsid w:val="00F1323B"/>
    <w:rsid w:val="00F133B0"/>
    <w:rsid w:val="00F13647"/>
    <w:rsid w:val="00F138A2"/>
    <w:rsid w:val="00F139A1"/>
    <w:rsid w:val="00F13C2F"/>
    <w:rsid w:val="00F13F9F"/>
    <w:rsid w:val="00F1446C"/>
    <w:rsid w:val="00F14766"/>
    <w:rsid w:val="00F152C3"/>
    <w:rsid w:val="00F1536D"/>
    <w:rsid w:val="00F156DE"/>
    <w:rsid w:val="00F16477"/>
    <w:rsid w:val="00F167F1"/>
    <w:rsid w:val="00F16FAD"/>
    <w:rsid w:val="00F174E2"/>
    <w:rsid w:val="00F179AB"/>
    <w:rsid w:val="00F20DFA"/>
    <w:rsid w:val="00F21210"/>
    <w:rsid w:val="00F21C0D"/>
    <w:rsid w:val="00F21D58"/>
    <w:rsid w:val="00F223C8"/>
    <w:rsid w:val="00F22BD9"/>
    <w:rsid w:val="00F23415"/>
    <w:rsid w:val="00F23451"/>
    <w:rsid w:val="00F239C4"/>
    <w:rsid w:val="00F239E3"/>
    <w:rsid w:val="00F24DD8"/>
    <w:rsid w:val="00F253D4"/>
    <w:rsid w:val="00F25C9D"/>
    <w:rsid w:val="00F26399"/>
    <w:rsid w:val="00F269AD"/>
    <w:rsid w:val="00F26DF4"/>
    <w:rsid w:val="00F26EFA"/>
    <w:rsid w:val="00F26F30"/>
    <w:rsid w:val="00F27075"/>
    <w:rsid w:val="00F278D1"/>
    <w:rsid w:val="00F27AD1"/>
    <w:rsid w:val="00F30293"/>
    <w:rsid w:val="00F3138D"/>
    <w:rsid w:val="00F3146F"/>
    <w:rsid w:val="00F31873"/>
    <w:rsid w:val="00F31FEC"/>
    <w:rsid w:val="00F32740"/>
    <w:rsid w:val="00F32A06"/>
    <w:rsid w:val="00F32AC2"/>
    <w:rsid w:val="00F32D5F"/>
    <w:rsid w:val="00F332F7"/>
    <w:rsid w:val="00F34127"/>
    <w:rsid w:val="00F34408"/>
    <w:rsid w:val="00F34948"/>
    <w:rsid w:val="00F34DFC"/>
    <w:rsid w:val="00F34E30"/>
    <w:rsid w:val="00F34FC6"/>
    <w:rsid w:val="00F35012"/>
    <w:rsid w:val="00F3506D"/>
    <w:rsid w:val="00F350AA"/>
    <w:rsid w:val="00F353B1"/>
    <w:rsid w:val="00F35EC0"/>
    <w:rsid w:val="00F36006"/>
    <w:rsid w:val="00F360B1"/>
    <w:rsid w:val="00F360C8"/>
    <w:rsid w:val="00F37990"/>
    <w:rsid w:val="00F37D98"/>
    <w:rsid w:val="00F37FD9"/>
    <w:rsid w:val="00F407A5"/>
    <w:rsid w:val="00F407F0"/>
    <w:rsid w:val="00F40B30"/>
    <w:rsid w:val="00F412FE"/>
    <w:rsid w:val="00F41B27"/>
    <w:rsid w:val="00F41FE5"/>
    <w:rsid w:val="00F42139"/>
    <w:rsid w:val="00F42D22"/>
    <w:rsid w:val="00F43198"/>
    <w:rsid w:val="00F433D0"/>
    <w:rsid w:val="00F443C7"/>
    <w:rsid w:val="00F4441A"/>
    <w:rsid w:val="00F4489F"/>
    <w:rsid w:val="00F44E85"/>
    <w:rsid w:val="00F451D0"/>
    <w:rsid w:val="00F453C8"/>
    <w:rsid w:val="00F45C26"/>
    <w:rsid w:val="00F45D45"/>
    <w:rsid w:val="00F45F46"/>
    <w:rsid w:val="00F4639E"/>
    <w:rsid w:val="00F47DAA"/>
    <w:rsid w:val="00F47E46"/>
    <w:rsid w:val="00F5029C"/>
    <w:rsid w:val="00F5042D"/>
    <w:rsid w:val="00F50E0B"/>
    <w:rsid w:val="00F51095"/>
    <w:rsid w:val="00F5119B"/>
    <w:rsid w:val="00F5174B"/>
    <w:rsid w:val="00F51D76"/>
    <w:rsid w:val="00F52156"/>
    <w:rsid w:val="00F522E4"/>
    <w:rsid w:val="00F527D7"/>
    <w:rsid w:val="00F52C0E"/>
    <w:rsid w:val="00F52E58"/>
    <w:rsid w:val="00F52E9F"/>
    <w:rsid w:val="00F53E44"/>
    <w:rsid w:val="00F54DD5"/>
    <w:rsid w:val="00F55242"/>
    <w:rsid w:val="00F55536"/>
    <w:rsid w:val="00F555F7"/>
    <w:rsid w:val="00F559AC"/>
    <w:rsid w:val="00F55B9E"/>
    <w:rsid w:val="00F55C6B"/>
    <w:rsid w:val="00F56682"/>
    <w:rsid w:val="00F56FE9"/>
    <w:rsid w:val="00F5721C"/>
    <w:rsid w:val="00F57DE8"/>
    <w:rsid w:val="00F57FCE"/>
    <w:rsid w:val="00F60D10"/>
    <w:rsid w:val="00F60E59"/>
    <w:rsid w:val="00F60F6F"/>
    <w:rsid w:val="00F6101A"/>
    <w:rsid w:val="00F616CE"/>
    <w:rsid w:val="00F61B54"/>
    <w:rsid w:val="00F61FE8"/>
    <w:rsid w:val="00F62A1A"/>
    <w:rsid w:val="00F62FAC"/>
    <w:rsid w:val="00F63799"/>
    <w:rsid w:val="00F63F88"/>
    <w:rsid w:val="00F6406F"/>
    <w:rsid w:val="00F64B5E"/>
    <w:rsid w:val="00F64D30"/>
    <w:rsid w:val="00F65AA4"/>
    <w:rsid w:val="00F65CC1"/>
    <w:rsid w:val="00F65E0B"/>
    <w:rsid w:val="00F65EA9"/>
    <w:rsid w:val="00F65FFF"/>
    <w:rsid w:val="00F661B3"/>
    <w:rsid w:val="00F66FB5"/>
    <w:rsid w:val="00F6714D"/>
    <w:rsid w:val="00F67267"/>
    <w:rsid w:val="00F673E7"/>
    <w:rsid w:val="00F673FF"/>
    <w:rsid w:val="00F6741D"/>
    <w:rsid w:val="00F6772F"/>
    <w:rsid w:val="00F67C97"/>
    <w:rsid w:val="00F67CC0"/>
    <w:rsid w:val="00F67E20"/>
    <w:rsid w:val="00F7012B"/>
    <w:rsid w:val="00F70152"/>
    <w:rsid w:val="00F70275"/>
    <w:rsid w:val="00F71974"/>
    <w:rsid w:val="00F72223"/>
    <w:rsid w:val="00F724ED"/>
    <w:rsid w:val="00F7256E"/>
    <w:rsid w:val="00F7308D"/>
    <w:rsid w:val="00F73A54"/>
    <w:rsid w:val="00F73B1E"/>
    <w:rsid w:val="00F73CE0"/>
    <w:rsid w:val="00F73F91"/>
    <w:rsid w:val="00F75091"/>
    <w:rsid w:val="00F75414"/>
    <w:rsid w:val="00F75682"/>
    <w:rsid w:val="00F756A0"/>
    <w:rsid w:val="00F75F99"/>
    <w:rsid w:val="00F76677"/>
    <w:rsid w:val="00F7674E"/>
    <w:rsid w:val="00F7693F"/>
    <w:rsid w:val="00F76AD0"/>
    <w:rsid w:val="00F77154"/>
    <w:rsid w:val="00F776A3"/>
    <w:rsid w:val="00F777D7"/>
    <w:rsid w:val="00F77CC6"/>
    <w:rsid w:val="00F77CEB"/>
    <w:rsid w:val="00F804E3"/>
    <w:rsid w:val="00F80F1A"/>
    <w:rsid w:val="00F81071"/>
    <w:rsid w:val="00F815F5"/>
    <w:rsid w:val="00F81CC1"/>
    <w:rsid w:val="00F81F80"/>
    <w:rsid w:val="00F8236B"/>
    <w:rsid w:val="00F83A11"/>
    <w:rsid w:val="00F8497B"/>
    <w:rsid w:val="00F8538E"/>
    <w:rsid w:val="00F866BA"/>
    <w:rsid w:val="00F86D23"/>
    <w:rsid w:val="00F87201"/>
    <w:rsid w:val="00F8735A"/>
    <w:rsid w:val="00F87523"/>
    <w:rsid w:val="00F876C2"/>
    <w:rsid w:val="00F8778A"/>
    <w:rsid w:val="00F87A7A"/>
    <w:rsid w:val="00F87AFE"/>
    <w:rsid w:val="00F87BBC"/>
    <w:rsid w:val="00F87C80"/>
    <w:rsid w:val="00F900B1"/>
    <w:rsid w:val="00F90349"/>
    <w:rsid w:val="00F904F5"/>
    <w:rsid w:val="00F90549"/>
    <w:rsid w:val="00F90F29"/>
    <w:rsid w:val="00F90F57"/>
    <w:rsid w:val="00F90FD2"/>
    <w:rsid w:val="00F911D9"/>
    <w:rsid w:val="00F91245"/>
    <w:rsid w:val="00F91347"/>
    <w:rsid w:val="00F9232B"/>
    <w:rsid w:val="00F92A9E"/>
    <w:rsid w:val="00F92D7A"/>
    <w:rsid w:val="00F93008"/>
    <w:rsid w:val="00F9374F"/>
    <w:rsid w:val="00F94113"/>
    <w:rsid w:val="00F94B63"/>
    <w:rsid w:val="00F95457"/>
    <w:rsid w:val="00F956D0"/>
    <w:rsid w:val="00F95E29"/>
    <w:rsid w:val="00F967EB"/>
    <w:rsid w:val="00F977C8"/>
    <w:rsid w:val="00F97E0B"/>
    <w:rsid w:val="00F97ED5"/>
    <w:rsid w:val="00FA0096"/>
    <w:rsid w:val="00FA0884"/>
    <w:rsid w:val="00FA0A7F"/>
    <w:rsid w:val="00FA126E"/>
    <w:rsid w:val="00FA1727"/>
    <w:rsid w:val="00FA183C"/>
    <w:rsid w:val="00FA1CCF"/>
    <w:rsid w:val="00FA1E24"/>
    <w:rsid w:val="00FA1F81"/>
    <w:rsid w:val="00FA3942"/>
    <w:rsid w:val="00FA46AA"/>
    <w:rsid w:val="00FA5001"/>
    <w:rsid w:val="00FA50A9"/>
    <w:rsid w:val="00FA5297"/>
    <w:rsid w:val="00FA59DF"/>
    <w:rsid w:val="00FA5B55"/>
    <w:rsid w:val="00FA5B9D"/>
    <w:rsid w:val="00FA65BB"/>
    <w:rsid w:val="00FA694B"/>
    <w:rsid w:val="00FA6A6A"/>
    <w:rsid w:val="00FA6F17"/>
    <w:rsid w:val="00FA71B3"/>
    <w:rsid w:val="00FA71B5"/>
    <w:rsid w:val="00FA7BBC"/>
    <w:rsid w:val="00FB0409"/>
    <w:rsid w:val="00FB05FD"/>
    <w:rsid w:val="00FB0C93"/>
    <w:rsid w:val="00FB1887"/>
    <w:rsid w:val="00FB2504"/>
    <w:rsid w:val="00FB2B80"/>
    <w:rsid w:val="00FB2D24"/>
    <w:rsid w:val="00FB3096"/>
    <w:rsid w:val="00FB33C6"/>
    <w:rsid w:val="00FB3772"/>
    <w:rsid w:val="00FB38D2"/>
    <w:rsid w:val="00FB3B94"/>
    <w:rsid w:val="00FB3DC3"/>
    <w:rsid w:val="00FB3EF6"/>
    <w:rsid w:val="00FB478F"/>
    <w:rsid w:val="00FB55DB"/>
    <w:rsid w:val="00FB60B4"/>
    <w:rsid w:val="00FB666D"/>
    <w:rsid w:val="00FB6847"/>
    <w:rsid w:val="00FB6972"/>
    <w:rsid w:val="00FB6DC6"/>
    <w:rsid w:val="00FB7B60"/>
    <w:rsid w:val="00FB7CDA"/>
    <w:rsid w:val="00FB7E92"/>
    <w:rsid w:val="00FC0800"/>
    <w:rsid w:val="00FC0D42"/>
    <w:rsid w:val="00FC16A6"/>
    <w:rsid w:val="00FC16E0"/>
    <w:rsid w:val="00FC199C"/>
    <w:rsid w:val="00FC2725"/>
    <w:rsid w:val="00FC2731"/>
    <w:rsid w:val="00FC2E31"/>
    <w:rsid w:val="00FC2EC7"/>
    <w:rsid w:val="00FC31DE"/>
    <w:rsid w:val="00FC3813"/>
    <w:rsid w:val="00FC3E0D"/>
    <w:rsid w:val="00FC496D"/>
    <w:rsid w:val="00FC4CE5"/>
    <w:rsid w:val="00FC4D1D"/>
    <w:rsid w:val="00FC5394"/>
    <w:rsid w:val="00FC543D"/>
    <w:rsid w:val="00FC5552"/>
    <w:rsid w:val="00FC5A63"/>
    <w:rsid w:val="00FC6114"/>
    <w:rsid w:val="00FC73E7"/>
    <w:rsid w:val="00FD06F3"/>
    <w:rsid w:val="00FD0CA3"/>
    <w:rsid w:val="00FD139D"/>
    <w:rsid w:val="00FD1461"/>
    <w:rsid w:val="00FD1537"/>
    <w:rsid w:val="00FD1F66"/>
    <w:rsid w:val="00FD2617"/>
    <w:rsid w:val="00FD2995"/>
    <w:rsid w:val="00FD2F91"/>
    <w:rsid w:val="00FD3716"/>
    <w:rsid w:val="00FD3F01"/>
    <w:rsid w:val="00FD5165"/>
    <w:rsid w:val="00FD52DB"/>
    <w:rsid w:val="00FD571D"/>
    <w:rsid w:val="00FD5ADF"/>
    <w:rsid w:val="00FD6744"/>
    <w:rsid w:val="00FD7912"/>
    <w:rsid w:val="00FD7B99"/>
    <w:rsid w:val="00FD7C9A"/>
    <w:rsid w:val="00FD7D7C"/>
    <w:rsid w:val="00FD7E92"/>
    <w:rsid w:val="00FD7F2A"/>
    <w:rsid w:val="00FE0066"/>
    <w:rsid w:val="00FE1244"/>
    <w:rsid w:val="00FE12AD"/>
    <w:rsid w:val="00FE1E9E"/>
    <w:rsid w:val="00FE3089"/>
    <w:rsid w:val="00FE32C0"/>
    <w:rsid w:val="00FE3D09"/>
    <w:rsid w:val="00FE41E1"/>
    <w:rsid w:val="00FE4271"/>
    <w:rsid w:val="00FE433C"/>
    <w:rsid w:val="00FE49AF"/>
    <w:rsid w:val="00FE5420"/>
    <w:rsid w:val="00FE5795"/>
    <w:rsid w:val="00FE619B"/>
    <w:rsid w:val="00FE64D2"/>
    <w:rsid w:val="00FE67BA"/>
    <w:rsid w:val="00FE6A08"/>
    <w:rsid w:val="00FE6B3B"/>
    <w:rsid w:val="00FE6CB3"/>
    <w:rsid w:val="00FE6E0C"/>
    <w:rsid w:val="00FE71FD"/>
    <w:rsid w:val="00FE72F8"/>
    <w:rsid w:val="00FF047C"/>
    <w:rsid w:val="00FF0652"/>
    <w:rsid w:val="00FF086B"/>
    <w:rsid w:val="00FF095C"/>
    <w:rsid w:val="00FF098E"/>
    <w:rsid w:val="00FF11DB"/>
    <w:rsid w:val="00FF1A7A"/>
    <w:rsid w:val="00FF1AE2"/>
    <w:rsid w:val="00FF1B0F"/>
    <w:rsid w:val="00FF218C"/>
    <w:rsid w:val="00FF2F39"/>
    <w:rsid w:val="00FF311C"/>
    <w:rsid w:val="00FF3186"/>
    <w:rsid w:val="00FF33F8"/>
    <w:rsid w:val="00FF34F4"/>
    <w:rsid w:val="00FF35B5"/>
    <w:rsid w:val="00FF37F7"/>
    <w:rsid w:val="00FF390B"/>
    <w:rsid w:val="00FF3A42"/>
    <w:rsid w:val="00FF3D38"/>
    <w:rsid w:val="00FF3DD3"/>
    <w:rsid w:val="00FF4015"/>
    <w:rsid w:val="00FF41F6"/>
    <w:rsid w:val="00FF46F0"/>
    <w:rsid w:val="00FF480E"/>
    <w:rsid w:val="00FF4B6D"/>
    <w:rsid w:val="00FF52E8"/>
    <w:rsid w:val="00FF5B25"/>
    <w:rsid w:val="00FF6465"/>
    <w:rsid w:val="00FF699B"/>
    <w:rsid w:val="00FF6C67"/>
    <w:rsid w:val="00FF7615"/>
    <w:rsid w:val="00FF7AB0"/>
    <w:rsid w:val="00FF7B61"/>
    <w:rsid w:val="00FF7CBA"/>
    <w:rsid w:val="0125170E"/>
    <w:rsid w:val="01334275"/>
    <w:rsid w:val="013C6486"/>
    <w:rsid w:val="017850B9"/>
    <w:rsid w:val="022B4FD8"/>
    <w:rsid w:val="02406349"/>
    <w:rsid w:val="026A328E"/>
    <w:rsid w:val="03150F85"/>
    <w:rsid w:val="034020D3"/>
    <w:rsid w:val="038347E6"/>
    <w:rsid w:val="03DF6773"/>
    <w:rsid w:val="04544062"/>
    <w:rsid w:val="05CB4E1C"/>
    <w:rsid w:val="05D806F6"/>
    <w:rsid w:val="065D66ED"/>
    <w:rsid w:val="06616734"/>
    <w:rsid w:val="068C367D"/>
    <w:rsid w:val="06BA00D7"/>
    <w:rsid w:val="06F713BA"/>
    <w:rsid w:val="072016D4"/>
    <w:rsid w:val="07442D97"/>
    <w:rsid w:val="077F3CE2"/>
    <w:rsid w:val="078F174F"/>
    <w:rsid w:val="079A2D09"/>
    <w:rsid w:val="07A268B9"/>
    <w:rsid w:val="088D29A5"/>
    <w:rsid w:val="08DA3820"/>
    <w:rsid w:val="08E94A35"/>
    <w:rsid w:val="08ED6B1B"/>
    <w:rsid w:val="0918748A"/>
    <w:rsid w:val="09591A17"/>
    <w:rsid w:val="09721E46"/>
    <w:rsid w:val="09A336F0"/>
    <w:rsid w:val="09C82A0B"/>
    <w:rsid w:val="09D52AB8"/>
    <w:rsid w:val="0A053246"/>
    <w:rsid w:val="0A0F0814"/>
    <w:rsid w:val="0A3D5D67"/>
    <w:rsid w:val="0A64791A"/>
    <w:rsid w:val="0A681FDB"/>
    <w:rsid w:val="0A7E3F74"/>
    <w:rsid w:val="0A984992"/>
    <w:rsid w:val="0ABC0EAC"/>
    <w:rsid w:val="0ACB61B6"/>
    <w:rsid w:val="0AD91D00"/>
    <w:rsid w:val="0AF511E7"/>
    <w:rsid w:val="0B285980"/>
    <w:rsid w:val="0B3A4146"/>
    <w:rsid w:val="0BA927B8"/>
    <w:rsid w:val="0BAD024B"/>
    <w:rsid w:val="0BBB09BC"/>
    <w:rsid w:val="0BD3026F"/>
    <w:rsid w:val="0BFD4A48"/>
    <w:rsid w:val="0C4E2E6A"/>
    <w:rsid w:val="0C765D06"/>
    <w:rsid w:val="0C7718A6"/>
    <w:rsid w:val="0C8F7865"/>
    <w:rsid w:val="0CAE2578"/>
    <w:rsid w:val="0D310421"/>
    <w:rsid w:val="0D394C02"/>
    <w:rsid w:val="0D825B87"/>
    <w:rsid w:val="0DAF1861"/>
    <w:rsid w:val="0DCE2405"/>
    <w:rsid w:val="0DE10D58"/>
    <w:rsid w:val="0DEA6A86"/>
    <w:rsid w:val="0E11732A"/>
    <w:rsid w:val="0E1564A0"/>
    <w:rsid w:val="0E280742"/>
    <w:rsid w:val="0E4F50D3"/>
    <w:rsid w:val="0E8F5DBD"/>
    <w:rsid w:val="0EBE546C"/>
    <w:rsid w:val="0ED16175"/>
    <w:rsid w:val="0EEB27E3"/>
    <w:rsid w:val="0F0164A6"/>
    <w:rsid w:val="0F6A238F"/>
    <w:rsid w:val="0F7D38CF"/>
    <w:rsid w:val="0F8B6E52"/>
    <w:rsid w:val="0FB5680A"/>
    <w:rsid w:val="0FF23DEC"/>
    <w:rsid w:val="103F4523"/>
    <w:rsid w:val="10495FB4"/>
    <w:rsid w:val="10650E80"/>
    <w:rsid w:val="10DD3F71"/>
    <w:rsid w:val="117F146B"/>
    <w:rsid w:val="11C8189A"/>
    <w:rsid w:val="11EA7B37"/>
    <w:rsid w:val="11EC5C80"/>
    <w:rsid w:val="121E16E6"/>
    <w:rsid w:val="127E07F7"/>
    <w:rsid w:val="128C32CE"/>
    <w:rsid w:val="12BF7CA5"/>
    <w:rsid w:val="130D7E3A"/>
    <w:rsid w:val="13151BB0"/>
    <w:rsid w:val="137F4F05"/>
    <w:rsid w:val="14621E75"/>
    <w:rsid w:val="146C3DA4"/>
    <w:rsid w:val="14D6291C"/>
    <w:rsid w:val="152A2D38"/>
    <w:rsid w:val="15812ACB"/>
    <w:rsid w:val="159E1801"/>
    <w:rsid w:val="15B822F1"/>
    <w:rsid w:val="15F94317"/>
    <w:rsid w:val="163E4937"/>
    <w:rsid w:val="164A11F5"/>
    <w:rsid w:val="16F02EA9"/>
    <w:rsid w:val="174C7EBF"/>
    <w:rsid w:val="17603E97"/>
    <w:rsid w:val="178229B3"/>
    <w:rsid w:val="178F18AF"/>
    <w:rsid w:val="17C41FC5"/>
    <w:rsid w:val="17C47DCF"/>
    <w:rsid w:val="180821E0"/>
    <w:rsid w:val="181D3856"/>
    <w:rsid w:val="188728D5"/>
    <w:rsid w:val="18872B6C"/>
    <w:rsid w:val="1970092B"/>
    <w:rsid w:val="198736F2"/>
    <w:rsid w:val="1AF215CA"/>
    <w:rsid w:val="1BA12CA3"/>
    <w:rsid w:val="1BF167C6"/>
    <w:rsid w:val="1C5B2679"/>
    <w:rsid w:val="1CAA0C53"/>
    <w:rsid w:val="1CEB2EA0"/>
    <w:rsid w:val="1D664F63"/>
    <w:rsid w:val="1D847FA5"/>
    <w:rsid w:val="1E181937"/>
    <w:rsid w:val="1E977B78"/>
    <w:rsid w:val="1EB36ACE"/>
    <w:rsid w:val="1EC17315"/>
    <w:rsid w:val="1F895B0E"/>
    <w:rsid w:val="1F94105D"/>
    <w:rsid w:val="1F9B1ACE"/>
    <w:rsid w:val="1FC81299"/>
    <w:rsid w:val="1FD73EFA"/>
    <w:rsid w:val="20F64398"/>
    <w:rsid w:val="21101E0C"/>
    <w:rsid w:val="21137843"/>
    <w:rsid w:val="213E7865"/>
    <w:rsid w:val="21677D7B"/>
    <w:rsid w:val="21A04886"/>
    <w:rsid w:val="21A66B44"/>
    <w:rsid w:val="21CB2451"/>
    <w:rsid w:val="21ED395D"/>
    <w:rsid w:val="21F4483F"/>
    <w:rsid w:val="22452D25"/>
    <w:rsid w:val="224F53B1"/>
    <w:rsid w:val="22662188"/>
    <w:rsid w:val="226C2221"/>
    <w:rsid w:val="227D14F3"/>
    <w:rsid w:val="22B01A1B"/>
    <w:rsid w:val="22FF102F"/>
    <w:rsid w:val="23210CE9"/>
    <w:rsid w:val="23246560"/>
    <w:rsid w:val="235B22F8"/>
    <w:rsid w:val="23A9072F"/>
    <w:rsid w:val="244205B6"/>
    <w:rsid w:val="249B31B8"/>
    <w:rsid w:val="24A530E8"/>
    <w:rsid w:val="24FE21BC"/>
    <w:rsid w:val="25F84282"/>
    <w:rsid w:val="26210828"/>
    <w:rsid w:val="26A83E83"/>
    <w:rsid w:val="26F82FA7"/>
    <w:rsid w:val="28190453"/>
    <w:rsid w:val="28AC1683"/>
    <w:rsid w:val="28B62C3F"/>
    <w:rsid w:val="28BB5A44"/>
    <w:rsid w:val="28E95625"/>
    <w:rsid w:val="290272A5"/>
    <w:rsid w:val="2941353C"/>
    <w:rsid w:val="29923AD8"/>
    <w:rsid w:val="29A91EF7"/>
    <w:rsid w:val="29F66DE1"/>
    <w:rsid w:val="2A0A6F35"/>
    <w:rsid w:val="2A2103A9"/>
    <w:rsid w:val="2A920521"/>
    <w:rsid w:val="2AFB540A"/>
    <w:rsid w:val="2B097728"/>
    <w:rsid w:val="2B1B762C"/>
    <w:rsid w:val="2B3E6A9D"/>
    <w:rsid w:val="2B5F53A7"/>
    <w:rsid w:val="2C20526E"/>
    <w:rsid w:val="2C3E081B"/>
    <w:rsid w:val="2C4F681A"/>
    <w:rsid w:val="2CD66170"/>
    <w:rsid w:val="2D767DBA"/>
    <w:rsid w:val="2D7A00FF"/>
    <w:rsid w:val="2D7A1655"/>
    <w:rsid w:val="2E347893"/>
    <w:rsid w:val="2E446D32"/>
    <w:rsid w:val="2EA40F4F"/>
    <w:rsid w:val="2EB20922"/>
    <w:rsid w:val="2F9D63F7"/>
    <w:rsid w:val="2FB90572"/>
    <w:rsid w:val="2FFE75E5"/>
    <w:rsid w:val="303F5411"/>
    <w:rsid w:val="30AB4075"/>
    <w:rsid w:val="31551E60"/>
    <w:rsid w:val="31712316"/>
    <w:rsid w:val="319C722D"/>
    <w:rsid w:val="31C92BCC"/>
    <w:rsid w:val="32266A3C"/>
    <w:rsid w:val="32CC3261"/>
    <w:rsid w:val="32D95547"/>
    <w:rsid w:val="335D1C2B"/>
    <w:rsid w:val="337C19FC"/>
    <w:rsid w:val="337C7AE2"/>
    <w:rsid w:val="33C00DE5"/>
    <w:rsid w:val="342344CD"/>
    <w:rsid w:val="34706279"/>
    <w:rsid w:val="34837CA4"/>
    <w:rsid w:val="34E4384D"/>
    <w:rsid w:val="354638CF"/>
    <w:rsid w:val="35B6324B"/>
    <w:rsid w:val="360866FE"/>
    <w:rsid w:val="361A4084"/>
    <w:rsid w:val="36201F7D"/>
    <w:rsid w:val="3651136F"/>
    <w:rsid w:val="365D272B"/>
    <w:rsid w:val="36D54828"/>
    <w:rsid w:val="372D49BB"/>
    <w:rsid w:val="372E1E69"/>
    <w:rsid w:val="37575BC7"/>
    <w:rsid w:val="37836BF8"/>
    <w:rsid w:val="3786350F"/>
    <w:rsid w:val="37A818DC"/>
    <w:rsid w:val="38214F43"/>
    <w:rsid w:val="385A449B"/>
    <w:rsid w:val="38D37B2B"/>
    <w:rsid w:val="38E33D49"/>
    <w:rsid w:val="396679C3"/>
    <w:rsid w:val="39787C03"/>
    <w:rsid w:val="3A2E4A7C"/>
    <w:rsid w:val="3A5F2671"/>
    <w:rsid w:val="3A910FBD"/>
    <w:rsid w:val="3ABE4FDE"/>
    <w:rsid w:val="3AD14770"/>
    <w:rsid w:val="3AFD0FB6"/>
    <w:rsid w:val="3BBD54A1"/>
    <w:rsid w:val="3BEB09FE"/>
    <w:rsid w:val="3C082B2F"/>
    <w:rsid w:val="3C915A92"/>
    <w:rsid w:val="3CAB18E3"/>
    <w:rsid w:val="3CCC37E9"/>
    <w:rsid w:val="3D27350F"/>
    <w:rsid w:val="3D484B54"/>
    <w:rsid w:val="3D503D1B"/>
    <w:rsid w:val="3DBB03A2"/>
    <w:rsid w:val="3DD31F97"/>
    <w:rsid w:val="3DF14B75"/>
    <w:rsid w:val="3E0C3481"/>
    <w:rsid w:val="3E2B538B"/>
    <w:rsid w:val="3E3F7AAB"/>
    <w:rsid w:val="3F0874CF"/>
    <w:rsid w:val="3F347327"/>
    <w:rsid w:val="3F4C5168"/>
    <w:rsid w:val="3F792236"/>
    <w:rsid w:val="3F8A109F"/>
    <w:rsid w:val="3FAE2F24"/>
    <w:rsid w:val="3FCB4933"/>
    <w:rsid w:val="40084756"/>
    <w:rsid w:val="406E4103"/>
    <w:rsid w:val="40713EBE"/>
    <w:rsid w:val="409A248A"/>
    <w:rsid w:val="40CF7669"/>
    <w:rsid w:val="41657581"/>
    <w:rsid w:val="416D78DD"/>
    <w:rsid w:val="41E25A40"/>
    <w:rsid w:val="41E85E9A"/>
    <w:rsid w:val="41FD2066"/>
    <w:rsid w:val="4253182A"/>
    <w:rsid w:val="429049B9"/>
    <w:rsid w:val="430F66EE"/>
    <w:rsid w:val="433427B4"/>
    <w:rsid w:val="439410A4"/>
    <w:rsid w:val="43AF59CC"/>
    <w:rsid w:val="440A4BB7"/>
    <w:rsid w:val="449C0A57"/>
    <w:rsid w:val="45006FB3"/>
    <w:rsid w:val="451332B0"/>
    <w:rsid w:val="45AB782F"/>
    <w:rsid w:val="45D6765D"/>
    <w:rsid w:val="46125E4E"/>
    <w:rsid w:val="467F64EE"/>
    <w:rsid w:val="468F76E1"/>
    <w:rsid w:val="46AB4865"/>
    <w:rsid w:val="46E83A68"/>
    <w:rsid w:val="472F586D"/>
    <w:rsid w:val="47B77DC5"/>
    <w:rsid w:val="47C2447E"/>
    <w:rsid w:val="47D04EEB"/>
    <w:rsid w:val="47D607EA"/>
    <w:rsid w:val="47E90505"/>
    <w:rsid w:val="480E1D0B"/>
    <w:rsid w:val="48691B91"/>
    <w:rsid w:val="49D51CB6"/>
    <w:rsid w:val="49DE0848"/>
    <w:rsid w:val="4A013CF6"/>
    <w:rsid w:val="4A021F9D"/>
    <w:rsid w:val="4A1319EA"/>
    <w:rsid w:val="4A254278"/>
    <w:rsid w:val="4ABA4F8A"/>
    <w:rsid w:val="4ACC22A4"/>
    <w:rsid w:val="4AD241DD"/>
    <w:rsid w:val="4B242688"/>
    <w:rsid w:val="4B636582"/>
    <w:rsid w:val="4B7216E3"/>
    <w:rsid w:val="4B7838EE"/>
    <w:rsid w:val="4B992114"/>
    <w:rsid w:val="4BCE7E50"/>
    <w:rsid w:val="4C073A69"/>
    <w:rsid w:val="4C563002"/>
    <w:rsid w:val="4C5D0283"/>
    <w:rsid w:val="4C985E75"/>
    <w:rsid w:val="4D444CC7"/>
    <w:rsid w:val="4DEA1505"/>
    <w:rsid w:val="4E657E96"/>
    <w:rsid w:val="4EBE5CE8"/>
    <w:rsid w:val="4ECE024C"/>
    <w:rsid w:val="4ED12D29"/>
    <w:rsid w:val="4F0D74F0"/>
    <w:rsid w:val="4F354E0F"/>
    <w:rsid w:val="4FA33BC0"/>
    <w:rsid w:val="4FBC6173"/>
    <w:rsid w:val="4FD70A00"/>
    <w:rsid w:val="4FE93C49"/>
    <w:rsid w:val="4FF715A0"/>
    <w:rsid w:val="50730437"/>
    <w:rsid w:val="50AB09BA"/>
    <w:rsid w:val="515141AE"/>
    <w:rsid w:val="518B6C5C"/>
    <w:rsid w:val="51A24DD5"/>
    <w:rsid w:val="51E915B7"/>
    <w:rsid w:val="51F91079"/>
    <w:rsid w:val="51FB1390"/>
    <w:rsid w:val="521A4F58"/>
    <w:rsid w:val="52BA266E"/>
    <w:rsid w:val="52D558C2"/>
    <w:rsid w:val="52D659F3"/>
    <w:rsid w:val="533A2057"/>
    <w:rsid w:val="53653A1C"/>
    <w:rsid w:val="536D3476"/>
    <w:rsid w:val="53C752B8"/>
    <w:rsid w:val="53E46B7E"/>
    <w:rsid w:val="541762BB"/>
    <w:rsid w:val="54340151"/>
    <w:rsid w:val="54E74864"/>
    <w:rsid w:val="551D4BD2"/>
    <w:rsid w:val="55621FAE"/>
    <w:rsid w:val="566D25DF"/>
    <w:rsid w:val="5683098D"/>
    <w:rsid w:val="569C305F"/>
    <w:rsid w:val="56B34E25"/>
    <w:rsid w:val="575012CA"/>
    <w:rsid w:val="57766233"/>
    <w:rsid w:val="578153BC"/>
    <w:rsid w:val="57F64B85"/>
    <w:rsid w:val="586129FC"/>
    <w:rsid w:val="58CE5E2F"/>
    <w:rsid w:val="59055506"/>
    <w:rsid w:val="59166E54"/>
    <w:rsid w:val="59A42B41"/>
    <w:rsid w:val="59E65F4F"/>
    <w:rsid w:val="59F3499B"/>
    <w:rsid w:val="5A877142"/>
    <w:rsid w:val="5A8D401A"/>
    <w:rsid w:val="5AE83B29"/>
    <w:rsid w:val="5AFA58C7"/>
    <w:rsid w:val="5B7102B4"/>
    <w:rsid w:val="5B951B4B"/>
    <w:rsid w:val="5BA320C9"/>
    <w:rsid w:val="5BDA28CF"/>
    <w:rsid w:val="5BE3369C"/>
    <w:rsid w:val="5C0E0CF8"/>
    <w:rsid w:val="5C622FE2"/>
    <w:rsid w:val="5CC977D5"/>
    <w:rsid w:val="5D12294C"/>
    <w:rsid w:val="5E3138D2"/>
    <w:rsid w:val="5E3E62D2"/>
    <w:rsid w:val="5E8E1085"/>
    <w:rsid w:val="5EE72DE2"/>
    <w:rsid w:val="5EF41967"/>
    <w:rsid w:val="5F6C7BBD"/>
    <w:rsid w:val="5FCC50A2"/>
    <w:rsid w:val="5FE15B5A"/>
    <w:rsid w:val="5FEB0C42"/>
    <w:rsid w:val="60382C1B"/>
    <w:rsid w:val="605A3B58"/>
    <w:rsid w:val="609B408E"/>
    <w:rsid w:val="60A4585F"/>
    <w:rsid w:val="60D535BE"/>
    <w:rsid w:val="61113A4E"/>
    <w:rsid w:val="61606993"/>
    <w:rsid w:val="618D390A"/>
    <w:rsid w:val="61FA243C"/>
    <w:rsid w:val="623C10E3"/>
    <w:rsid w:val="627C78B3"/>
    <w:rsid w:val="62B47FF9"/>
    <w:rsid w:val="62C05515"/>
    <w:rsid w:val="62C14F2A"/>
    <w:rsid w:val="62CA47F5"/>
    <w:rsid w:val="6304101A"/>
    <w:rsid w:val="635335C6"/>
    <w:rsid w:val="638664A2"/>
    <w:rsid w:val="638B6A1F"/>
    <w:rsid w:val="63924C42"/>
    <w:rsid w:val="63C36A0D"/>
    <w:rsid w:val="63C3778E"/>
    <w:rsid w:val="640D5D23"/>
    <w:rsid w:val="64522083"/>
    <w:rsid w:val="64CB4C74"/>
    <w:rsid w:val="64E60025"/>
    <w:rsid w:val="65AE4742"/>
    <w:rsid w:val="65D00792"/>
    <w:rsid w:val="66277EB4"/>
    <w:rsid w:val="662A355F"/>
    <w:rsid w:val="663C1AE8"/>
    <w:rsid w:val="66BC44AC"/>
    <w:rsid w:val="66C6038C"/>
    <w:rsid w:val="67196F0F"/>
    <w:rsid w:val="67427925"/>
    <w:rsid w:val="67A5437B"/>
    <w:rsid w:val="682E1E6C"/>
    <w:rsid w:val="68A21EFF"/>
    <w:rsid w:val="68CB30C6"/>
    <w:rsid w:val="6A073245"/>
    <w:rsid w:val="6A08265E"/>
    <w:rsid w:val="6B1C13C2"/>
    <w:rsid w:val="6B27743A"/>
    <w:rsid w:val="6BAF1C94"/>
    <w:rsid w:val="6C541596"/>
    <w:rsid w:val="6C5A0FD0"/>
    <w:rsid w:val="6C687A30"/>
    <w:rsid w:val="6C81338D"/>
    <w:rsid w:val="6CDF25E1"/>
    <w:rsid w:val="6D1028C3"/>
    <w:rsid w:val="6D27113A"/>
    <w:rsid w:val="6D3827B4"/>
    <w:rsid w:val="6D547762"/>
    <w:rsid w:val="6DF61AE0"/>
    <w:rsid w:val="6E273363"/>
    <w:rsid w:val="6E9357D5"/>
    <w:rsid w:val="6ED609A2"/>
    <w:rsid w:val="6F2D33F4"/>
    <w:rsid w:val="6F993C96"/>
    <w:rsid w:val="7035251F"/>
    <w:rsid w:val="705355C1"/>
    <w:rsid w:val="70980D27"/>
    <w:rsid w:val="70FB2FE8"/>
    <w:rsid w:val="719C09E9"/>
    <w:rsid w:val="71DA0695"/>
    <w:rsid w:val="71E60098"/>
    <w:rsid w:val="72547BAE"/>
    <w:rsid w:val="72970505"/>
    <w:rsid w:val="72BA6C17"/>
    <w:rsid w:val="73302752"/>
    <w:rsid w:val="7338742B"/>
    <w:rsid w:val="73802E4A"/>
    <w:rsid w:val="73BC335D"/>
    <w:rsid w:val="74F6147C"/>
    <w:rsid w:val="75261B2F"/>
    <w:rsid w:val="75EC1897"/>
    <w:rsid w:val="765D4849"/>
    <w:rsid w:val="76A31C27"/>
    <w:rsid w:val="76CC74B4"/>
    <w:rsid w:val="77422280"/>
    <w:rsid w:val="77484D86"/>
    <w:rsid w:val="77940077"/>
    <w:rsid w:val="78242050"/>
    <w:rsid w:val="78275624"/>
    <w:rsid w:val="78321785"/>
    <w:rsid w:val="78341702"/>
    <w:rsid w:val="78576ECC"/>
    <w:rsid w:val="787A0703"/>
    <w:rsid w:val="78855ED4"/>
    <w:rsid w:val="78D244C1"/>
    <w:rsid w:val="791575A1"/>
    <w:rsid w:val="79362D45"/>
    <w:rsid w:val="796F5310"/>
    <w:rsid w:val="79BC0E4D"/>
    <w:rsid w:val="79E11406"/>
    <w:rsid w:val="7A111F64"/>
    <w:rsid w:val="7A3C5437"/>
    <w:rsid w:val="7A673729"/>
    <w:rsid w:val="7A9122F3"/>
    <w:rsid w:val="7AAC7AF2"/>
    <w:rsid w:val="7B83623C"/>
    <w:rsid w:val="7BF669F1"/>
    <w:rsid w:val="7C8F6B05"/>
    <w:rsid w:val="7CDF0D94"/>
    <w:rsid w:val="7CF40FF8"/>
    <w:rsid w:val="7D171802"/>
    <w:rsid w:val="7D443ED3"/>
    <w:rsid w:val="7DBD423E"/>
    <w:rsid w:val="7DE36840"/>
    <w:rsid w:val="7E2C2C71"/>
    <w:rsid w:val="7E3F6624"/>
    <w:rsid w:val="7E757983"/>
    <w:rsid w:val="7EB02E98"/>
    <w:rsid w:val="7EC36856"/>
    <w:rsid w:val="7EF03E66"/>
    <w:rsid w:val="7FDF173D"/>
    <w:rsid w:val="7FEA7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qFormat="1" w:unhideWhenUsed="0" w:uiPriority="0" w:semiHidden="0" w:name="List 2"/>
    <w:lsdException w:uiPriority="99"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nhideWhenUsed="0" w:uiPriority="0" w:semiHidden="0"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3">
    <w:name w:val="heading 1"/>
    <w:basedOn w:val="1"/>
    <w:next w:val="1"/>
    <w:link w:val="93"/>
    <w:qFormat/>
    <w:uiPriority w:val="0"/>
    <w:pPr>
      <w:outlineLvl w:val="0"/>
    </w:pPr>
  </w:style>
  <w:style w:type="paragraph" w:styleId="4">
    <w:name w:val="heading 2"/>
    <w:basedOn w:val="1"/>
    <w:next w:val="1"/>
    <w:link w:val="75"/>
    <w:qFormat/>
    <w:uiPriority w:val="0"/>
    <w:pPr>
      <w:outlineLvl w:val="1"/>
    </w:pPr>
  </w:style>
  <w:style w:type="paragraph" w:styleId="5">
    <w:name w:val="heading 3"/>
    <w:basedOn w:val="1"/>
    <w:next w:val="1"/>
    <w:link w:val="122"/>
    <w:qFormat/>
    <w:uiPriority w:val="0"/>
    <w:pPr>
      <w:outlineLvl w:val="2"/>
    </w:pPr>
  </w:style>
  <w:style w:type="paragraph" w:styleId="6">
    <w:name w:val="heading 4"/>
    <w:basedOn w:val="1"/>
    <w:next w:val="1"/>
    <w:link w:val="136"/>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129"/>
    <w:qFormat/>
    <w:uiPriority w:val="0"/>
    <w:pPr>
      <w:keepNext/>
      <w:widowControl/>
      <w:tabs>
        <w:tab w:val="left" w:pos="1008"/>
      </w:tabs>
      <w:overflowPunct w:val="0"/>
      <w:spacing w:line="360" w:lineRule="auto"/>
      <w:ind w:left="1008" w:hanging="1008"/>
      <w:jc w:val="center"/>
      <w:textAlignment w:val="baseline"/>
      <w:outlineLvl w:val="4"/>
    </w:pPr>
    <w:rPr>
      <w:rFonts w:ascii="楷体_GB2312" w:eastAsia="楷体_GB2312"/>
      <w:szCs w:val="20"/>
    </w:rPr>
  </w:style>
  <w:style w:type="paragraph" w:styleId="9">
    <w:name w:val="heading 6"/>
    <w:basedOn w:val="1"/>
    <w:next w:val="1"/>
    <w:link w:val="114"/>
    <w:qFormat/>
    <w:uiPriority w:val="0"/>
    <w:pPr>
      <w:keepNext/>
      <w:keepLines/>
      <w:widowControl/>
      <w:tabs>
        <w:tab w:val="left" w:pos="1152"/>
      </w:tabs>
      <w:overflowPunct w:val="0"/>
      <w:spacing w:before="240" w:after="64" w:line="320" w:lineRule="auto"/>
      <w:ind w:left="1152" w:hanging="1152"/>
      <w:textAlignment w:val="baseline"/>
      <w:outlineLvl w:val="5"/>
    </w:pPr>
    <w:rPr>
      <w:rFonts w:ascii="Arial" w:hAnsi="Arial" w:eastAsia="黑体"/>
      <w:b/>
      <w:szCs w:val="20"/>
    </w:rPr>
  </w:style>
  <w:style w:type="paragraph" w:styleId="10">
    <w:name w:val="heading 7"/>
    <w:basedOn w:val="1"/>
    <w:next w:val="8"/>
    <w:link w:val="79"/>
    <w:qFormat/>
    <w:uiPriority w:val="0"/>
    <w:pPr>
      <w:keepNext/>
      <w:keepLines/>
      <w:widowControl/>
      <w:tabs>
        <w:tab w:val="left" w:pos="1296"/>
      </w:tabs>
      <w:overflowPunct w:val="0"/>
      <w:spacing w:before="240" w:after="64" w:line="320" w:lineRule="auto"/>
      <w:ind w:left="1296" w:hanging="1296"/>
      <w:textAlignment w:val="baseline"/>
      <w:outlineLvl w:val="6"/>
    </w:pPr>
    <w:rPr>
      <w:rFonts w:ascii="楷体_GB2312" w:eastAsia="楷体_GB2312"/>
      <w:b/>
      <w:szCs w:val="20"/>
    </w:rPr>
  </w:style>
  <w:style w:type="paragraph" w:styleId="11">
    <w:name w:val="heading 8"/>
    <w:basedOn w:val="1"/>
    <w:next w:val="8"/>
    <w:link w:val="118"/>
    <w:qFormat/>
    <w:uiPriority w:val="0"/>
    <w:pPr>
      <w:keepNext/>
      <w:keepLines/>
      <w:widowControl/>
      <w:tabs>
        <w:tab w:val="left" w:pos="1440"/>
      </w:tabs>
      <w:overflowPunct w:val="0"/>
      <w:spacing w:before="240" w:after="64" w:line="320" w:lineRule="auto"/>
      <w:ind w:left="1440" w:hanging="1440"/>
      <w:textAlignment w:val="baseline"/>
      <w:outlineLvl w:val="7"/>
    </w:pPr>
    <w:rPr>
      <w:rFonts w:ascii="Arial" w:hAnsi="Arial" w:eastAsia="黑体"/>
      <w:szCs w:val="20"/>
    </w:rPr>
  </w:style>
  <w:style w:type="paragraph" w:styleId="12">
    <w:name w:val="heading 9"/>
    <w:basedOn w:val="1"/>
    <w:next w:val="8"/>
    <w:link w:val="58"/>
    <w:qFormat/>
    <w:uiPriority w:val="0"/>
    <w:pPr>
      <w:keepNext/>
      <w:keepLines/>
      <w:widowControl/>
      <w:tabs>
        <w:tab w:val="left" w:pos="1584"/>
      </w:tabs>
      <w:overflowPunct w:val="0"/>
      <w:spacing w:before="240" w:after="64" w:line="320" w:lineRule="auto"/>
      <w:ind w:left="1584" w:hanging="1584"/>
      <w:textAlignment w:val="baseline"/>
      <w:outlineLvl w:val="8"/>
    </w:pPr>
    <w:rPr>
      <w:rFonts w:ascii="Arial" w:hAnsi="Arial" w:eastAsia="黑体"/>
      <w:sz w:val="21"/>
      <w:szCs w:val="20"/>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customStyle="1" w:styleId="2">
    <w:name w:val="文档正文"/>
    <w:basedOn w:val="1"/>
    <w:qFormat/>
    <w:uiPriority w:val="0"/>
    <w:pPr>
      <w:spacing w:line="360" w:lineRule="auto"/>
    </w:pPr>
    <w:rPr>
      <w:rFonts w:cs="Arial"/>
      <w:bCs/>
    </w:rPr>
  </w:style>
  <w:style w:type="paragraph" w:styleId="8">
    <w:name w:val="Normal Indent"/>
    <w:basedOn w:val="1"/>
    <w:link w:val="60"/>
    <w:qFormat/>
    <w:uiPriority w:val="0"/>
    <w:pPr>
      <w:widowControl/>
      <w:autoSpaceDE/>
      <w:autoSpaceDN/>
      <w:adjustRightInd/>
      <w:ind w:firstLine="420" w:firstLineChars="200"/>
    </w:pPr>
    <w:rPr>
      <w:rFonts w:ascii="Times New Roman"/>
      <w:sz w:val="20"/>
      <w:szCs w:val="20"/>
    </w:rPr>
  </w:style>
  <w:style w:type="paragraph" w:styleId="13">
    <w:name w:val="toc 7"/>
    <w:basedOn w:val="1"/>
    <w:next w:val="1"/>
    <w:unhideWhenUsed/>
    <w:qFormat/>
    <w:uiPriority w:val="39"/>
    <w:pPr>
      <w:ind w:left="1440"/>
    </w:pPr>
    <w:rPr>
      <w:rFonts w:ascii="Calibri" w:hAnsi="Calibri" w:cs="Calibri"/>
      <w:sz w:val="18"/>
      <w:szCs w:val="18"/>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link w:val="72"/>
    <w:semiHidden/>
    <w:qFormat/>
    <w:uiPriority w:val="0"/>
    <w:pPr>
      <w:shd w:val="clear" w:color="auto" w:fill="000080"/>
    </w:pPr>
  </w:style>
  <w:style w:type="paragraph" w:styleId="16">
    <w:name w:val="toa heading"/>
    <w:basedOn w:val="1"/>
    <w:next w:val="1"/>
    <w:qFormat/>
    <w:uiPriority w:val="0"/>
    <w:pPr>
      <w:snapToGrid w:val="0"/>
      <w:spacing w:before="120" w:line="360" w:lineRule="auto"/>
      <w:jc w:val="both"/>
    </w:pPr>
    <w:rPr>
      <w:rFonts w:ascii="Arial" w:hAnsi="Arial"/>
      <w:snapToGrid w:val="0"/>
      <w:color w:val="000000"/>
      <w:sz w:val="21"/>
      <w:szCs w:val="20"/>
    </w:rPr>
  </w:style>
  <w:style w:type="paragraph" w:styleId="17">
    <w:name w:val="annotation text"/>
    <w:basedOn w:val="1"/>
    <w:link w:val="96"/>
    <w:qFormat/>
    <w:uiPriority w:val="99"/>
  </w:style>
  <w:style w:type="paragraph" w:styleId="18">
    <w:name w:val="Body Text 3"/>
    <w:basedOn w:val="1"/>
    <w:link w:val="71"/>
    <w:qFormat/>
    <w:uiPriority w:val="0"/>
    <w:pPr>
      <w:ind w:right="-26"/>
      <w:jc w:val="center"/>
    </w:pPr>
    <w:rPr>
      <w:b/>
      <w:bCs/>
      <w:color w:val="3366FF"/>
      <w:sz w:val="52"/>
      <w:szCs w:val="52"/>
      <w:lang w:val="zh-CN"/>
    </w:rPr>
  </w:style>
  <w:style w:type="paragraph" w:styleId="19">
    <w:name w:val="Body Text"/>
    <w:basedOn w:val="1"/>
    <w:next w:val="20"/>
    <w:link w:val="125"/>
    <w:qFormat/>
    <w:uiPriority w:val="0"/>
    <w:pPr>
      <w:ind w:right="-26"/>
      <w:jc w:val="center"/>
    </w:pPr>
    <w:rPr>
      <w:b/>
      <w:bCs/>
      <w:sz w:val="84"/>
      <w:szCs w:val="84"/>
      <w:lang w:val="zh-CN"/>
    </w:rPr>
  </w:style>
  <w:style w:type="paragraph" w:styleId="20">
    <w:name w:val="Body Text First Indent"/>
    <w:basedOn w:val="19"/>
    <w:link w:val="61"/>
    <w:qFormat/>
    <w:uiPriority w:val="0"/>
    <w:pPr>
      <w:autoSpaceDE/>
      <w:autoSpaceDN/>
      <w:adjustRightInd/>
      <w:spacing w:after="120"/>
      <w:ind w:right="0" w:firstLine="420" w:firstLineChars="100"/>
      <w:jc w:val="both"/>
    </w:pPr>
    <w:rPr>
      <w:rFonts w:ascii="Times New Roman"/>
      <w:b w:val="0"/>
      <w:bCs w:val="0"/>
      <w:kern w:val="2"/>
      <w:sz w:val="21"/>
      <w:szCs w:val="24"/>
    </w:rPr>
  </w:style>
  <w:style w:type="paragraph" w:styleId="21">
    <w:name w:val="Body Text Indent"/>
    <w:basedOn w:val="1"/>
    <w:link w:val="108"/>
    <w:qFormat/>
    <w:uiPriority w:val="0"/>
    <w:pPr>
      <w:autoSpaceDE/>
      <w:autoSpaceDN/>
      <w:adjustRightInd/>
      <w:ind w:left="567" w:leftChars="270"/>
      <w:jc w:val="both"/>
    </w:pPr>
    <w:rPr>
      <w:rFonts w:ascii="Times New Roman"/>
      <w:sz w:val="20"/>
      <w:szCs w:val="20"/>
    </w:rPr>
  </w:style>
  <w:style w:type="paragraph" w:styleId="22">
    <w:name w:val="List 2"/>
    <w:basedOn w:val="1"/>
    <w:qFormat/>
    <w:uiPriority w:val="0"/>
    <w:pPr>
      <w:autoSpaceDE/>
      <w:autoSpaceDN/>
      <w:adjustRightInd/>
      <w:jc w:val="distribute"/>
    </w:pPr>
    <w:rPr>
      <w:rFonts w:ascii="Arial" w:hAnsi="Arial"/>
      <w:color w:val="993300"/>
      <w:kern w:val="2"/>
      <w:sz w:val="21"/>
    </w:rPr>
  </w:style>
  <w:style w:type="paragraph" w:styleId="23">
    <w:name w:val="Block Text"/>
    <w:basedOn w:val="1"/>
    <w:qFormat/>
    <w:uiPriority w:val="0"/>
    <w:pPr>
      <w:spacing w:after="120"/>
      <w:ind w:left="1440" w:leftChars="700" w:right="1440" w:rightChars="700"/>
    </w:pPr>
  </w:style>
  <w:style w:type="paragraph" w:styleId="24">
    <w:name w:val="toc 5"/>
    <w:basedOn w:val="1"/>
    <w:next w:val="1"/>
    <w:unhideWhenUsed/>
    <w:qFormat/>
    <w:uiPriority w:val="39"/>
    <w:pPr>
      <w:ind w:left="960"/>
    </w:pPr>
    <w:rPr>
      <w:rFonts w:ascii="Calibri" w:hAnsi="Calibri" w:cs="Calibri"/>
      <w:sz w:val="18"/>
      <w:szCs w:val="18"/>
    </w:rPr>
  </w:style>
  <w:style w:type="paragraph" w:styleId="25">
    <w:name w:val="toc 3"/>
    <w:basedOn w:val="1"/>
    <w:next w:val="1"/>
    <w:qFormat/>
    <w:uiPriority w:val="39"/>
    <w:pPr>
      <w:spacing w:line="360" w:lineRule="exact"/>
      <w:ind w:left="482"/>
    </w:pPr>
    <w:rPr>
      <w:rFonts w:ascii="Calibri" w:hAnsi="Calibri" w:cs="Calibri"/>
      <w:iCs/>
      <w:sz w:val="21"/>
      <w:szCs w:val="20"/>
    </w:rPr>
  </w:style>
  <w:style w:type="paragraph" w:styleId="26">
    <w:name w:val="Plain Text"/>
    <w:basedOn w:val="1"/>
    <w:link w:val="112"/>
    <w:qFormat/>
    <w:uiPriority w:val="0"/>
    <w:pPr>
      <w:autoSpaceDE/>
      <w:autoSpaceDN/>
      <w:adjustRightInd/>
      <w:jc w:val="both"/>
    </w:pPr>
    <w:rPr>
      <w:rFonts w:hAnsi="Courier New"/>
      <w:sz w:val="20"/>
      <w:szCs w:val="20"/>
    </w:rPr>
  </w:style>
  <w:style w:type="paragraph" w:styleId="27">
    <w:name w:val="toc 8"/>
    <w:basedOn w:val="1"/>
    <w:next w:val="1"/>
    <w:unhideWhenUsed/>
    <w:qFormat/>
    <w:uiPriority w:val="39"/>
    <w:pPr>
      <w:ind w:left="1680"/>
    </w:pPr>
    <w:rPr>
      <w:rFonts w:ascii="Calibri" w:hAnsi="Calibri" w:cs="Calibri"/>
      <w:sz w:val="18"/>
      <w:szCs w:val="18"/>
    </w:rPr>
  </w:style>
  <w:style w:type="paragraph" w:styleId="28">
    <w:name w:val="Date"/>
    <w:basedOn w:val="1"/>
    <w:next w:val="1"/>
    <w:link w:val="121"/>
    <w:qFormat/>
    <w:uiPriority w:val="0"/>
    <w:pPr>
      <w:ind w:left="100" w:leftChars="2500"/>
    </w:pPr>
    <w:rPr>
      <w:b/>
      <w:bCs/>
      <w:sz w:val="20"/>
      <w:szCs w:val="21"/>
      <w:lang w:val="zh-CN"/>
    </w:rPr>
  </w:style>
  <w:style w:type="paragraph" w:styleId="29">
    <w:name w:val="Body Text Indent 2"/>
    <w:basedOn w:val="1"/>
    <w:link w:val="133"/>
    <w:qFormat/>
    <w:uiPriority w:val="0"/>
    <w:pPr>
      <w:tabs>
        <w:tab w:val="left" w:pos="8640"/>
      </w:tabs>
      <w:autoSpaceDE/>
      <w:autoSpaceDN/>
      <w:adjustRightInd/>
      <w:ind w:left="1260"/>
      <w:jc w:val="both"/>
    </w:pPr>
    <w:rPr>
      <w:sz w:val="20"/>
      <w:szCs w:val="20"/>
    </w:rPr>
  </w:style>
  <w:style w:type="paragraph" w:styleId="30">
    <w:name w:val="Balloon Text"/>
    <w:basedOn w:val="1"/>
    <w:link w:val="82"/>
    <w:qFormat/>
    <w:uiPriority w:val="0"/>
    <w:pPr>
      <w:autoSpaceDE/>
      <w:autoSpaceDN/>
      <w:adjustRightInd/>
      <w:jc w:val="both"/>
    </w:pPr>
    <w:rPr>
      <w:rFonts w:ascii="Times New Roman"/>
      <w:sz w:val="18"/>
      <w:szCs w:val="18"/>
    </w:rPr>
  </w:style>
  <w:style w:type="paragraph" w:styleId="31">
    <w:name w:val="footer"/>
    <w:basedOn w:val="1"/>
    <w:link w:val="68"/>
    <w:qFormat/>
    <w:uiPriority w:val="99"/>
    <w:pPr>
      <w:tabs>
        <w:tab w:val="center" w:pos="4153"/>
        <w:tab w:val="right" w:pos="8306"/>
      </w:tabs>
      <w:snapToGrid w:val="0"/>
    </w:pPr>
    <w:rPr>
      <w:sz w:val="18"/>
      <w:szCs w:val="18"/>
    </w:rPr>
  </w:style>
  <w:style w:type="paragraph" w:styleId="32">
    <w:name w:val="header"/>
    <w:basedOn w:val="1"/>
    <w:link w:val="85"/>
    <w:qFormat/>
    <w:uiPriority w:val="0"/>
    <w:pPr>
      <w:pBdr>
        <w:bottom w:val="single" w:color="auto" w:sz="6" w:space="1"/>
      </w:pBdr>
      <w:tabs>
        <w:tab w:val="center" w:pos="4153"/>
        <w:tab w:val="right" w:pos="8306"/>
      </w:tabs>
      <w:snapToGrid w:val="0"/>
      <w:jc w:val="center"/>
    </w:pPr>
    <w:rPr>
      <w:sz w:val="18"/>
      <w:szCs w:val="18"/>
    </w:rPr>
  </w:style>
  <w:style w:type="paragraph" w:styleId="33">
    <w:name w:val="Signature"/>
    <w:basedOn w:val="19"/>
    <w:link w:val="128"/>
    <w:qFormat/>
    <w:uiPriority w:val="0"/>
    <w:pPr>
      <w:keepNext/>
      <w:keepLines/>
      <w:widowControl/>
      <w:autoSpaceDE/>
      <w:autoSpaceDN/>
      <w:adjustRightInd/>
      <w:spacing w:before="660" w:line="240" w:lineRule="atLeast"/>
      <w:ind w:right="0"/>
      <w:jc w:val="both"/>
    </w:pPr>
    <w:rPr>
      <w:rFonts w:ascii="Garamond" w:hAnsi="Garamond"/>
      <w:b w:val="0"/>
      <w:bCs w:val="0"/>
      <w:spacing w:val="-5"/>
      <w:sz w:val="24"/>
      <w:szCs w:val="20"/>
    </w:rPr>
  </w:style>
  <w:style w:type="paragraph" w:styleId="34">
    <w:name w:val="toc 1"/>
    <w:basedOn w:val="1"/>
    <w:next w:val="1"/>
    <w:qFormat/>
    <w:uiPriority w:val="39"/>
    <w:pPr>
      <w:spacing w:line="360" w:lineRule="exact"/>
    </w:pPr>
    <w:rPr>
      <w:rFonts w:ascii="Calibri" w:hAnsi="Calibri" w:cs="Calibri"/>
      <w:b/>
      <w:bCs/>
      <w:caps/>
      <w:sz w:val="21"/>
      <w:szCs w:val="20"/>
    </w:rPr>
  </w:style>
  <w:style w:type="paragraph" w:styleId="35">
    <w:name w:val="toc 4"/>
    <w:basedOn w:val="1"/>
    <w:next w:val="1"/>
    <w:unhideWhenUsed/>
    <w:qFormat/>
    <w:uiPriority w:val="39"/>
    <w:pPr>
      <w:ind w:left="720"/>
    </w:pPr>
    <w:rPr>
      <w:rFonts w:ascii="Calibri" w:hAnsi="Calibri" w:cs="Calibri"/>
      <w:sz w:val="18"/>
      <w:szCs w:val="18"/>
    </w:rPr>
  </w:style>
  <w:style w:type="paragraph" w:styleId="36">
    <w:name w:val="Subtitle"/>
    <w:basedOn w:val="1"/>
    <w:next w:val="1"/>
    <w:link w:val="86"/>
    <w:qFormat/>
    <w:uiPriority w:val="11"/>
    <w:pPr>
      <w:spacing w:before="240" w:after="60" w:line="312" w:lineRule="auto"/>
      <w:jc w:val="center"/>
      <w:outlineLvl w:val="1"/>
    </w:pPr>
    <w:rPr>
      <w:rFonts w:ascii="Cambria" w:hAnsi="Cambria"/>
      <w:b/>
      <w:bCs/>
      <w:kern w:val="28"/>
      <w:sz w:val="32"/>
      <w:szCs w:val="32"/>
    </w:rPr>
  </w:style>
  <w:style w:type="paragraph" w:styleId="37">
    <w:name w:val="List"/>
    <w:basedOn w:val="1"/>
    <w:unhideWhenUsed/>
    <w:qFormat/>
    <w:uiPriority w:val="0"/>
    <w:pPr>
      <w:ind w:left="200" w:hanging="200" w:hangingChars="200"/>
      <w:contextualSpacing/>
    </w:pPr>
  </w:style>
  <w:style w:type="paragraph" w:styleId="38">
    <w:name w:val="toc 6"/>
    <w:basedOn w:val="1"/>
    <w:next w:val="1"/>
    <w:unhideWhenUsed/>
    <w:qFormat/>
    <w:uiPriority w:val="39"/>
    <w:pPr>
      <w:ind w:left="1200"/>
    </w:pPr>
    <w:rPr>
      <w:rFonts w:ascii="Calibri" w:hAnsi="Calibri" w:cs="Calibri"/>
      <w:sz w:val="18"/>
      <w:szCs w:val="18"/>
    </w:rPr>
  </w:style>
  <w:style w:type="paragraph" w:styleId="39">
    <w:name w:val="Body Text Indent 3"/>
    <w:basedOn w:val="1"/>
    <w:link w:val="59"/>
    <w:qFormat/>
    <w:uiPriority w:val="0"/>
    <w:pPr>
      <w:spacing w:line="360" w:lineRule="auto"/>
      <w:ind w:firstLine="480" w:firstLineChars="200"/>
    </w:pPr>
  </w:style>
  <w:style w:type="paragraph" w:styleId="40">
    <w:name w:val="toc 2"/>
    <w:basedOn w:val="1"/>
    <w:next w:val="1"/>
    <w:qFormat/>
    <w:uiPriority w:val="39"/>
    <w:pPr>
      <w:tabs>
        <w:tab w:val="left" w:pos="750"/>
        <w:tab w:val="right" w:leader="dot" w:pos="9394"/>
      </w:tabs>
      <w:spacing w:line="360" w:lineRule="exact"/>
      <w:ind w:left="238"/>
    </w:pPr>
    <w:rPr>
      <w:rFonts w:ascii="Calibri" w:hAnsi="Calibri" w:cs="Calibri"/>
      <w:smallCaps/>
      <w:sz w:val="21"/>
      <w:szCs w:val="20"/>
    </w:rPr>
  </w:style>
  <w:style w:type="paragraph" w:styleId="41">
    <w:name w:val="toc 9"/>
    <w:basedOn w:val="1"/>
    <w:next w:val="1"/>
    <w:unhideWhenUsed/>
    <w:qFormat/>
    <w:uiPriority w:val="39"/>
    <w:pPr>
      <w:ind w:left="1920"/>
    </w:pPr>
    <w:rPr>
      <w:rFonts w:ascii="Calibri" w:hAnsi="Calibri" w:cs="Calibri"/>
      <w:sz w:val="18"/>
      <w:szCs w:val="18"/>
    </w:rPr>
  </w:style>
  <w:style w:type="paragraph" w:styleId="42">
    <w:name w:val="Body Text 2"/>
    <w:basedOn w:val="1"/>
    <w:link w:val="63"/>
    <w:qFormat/>
    <w:uiPriority w:val="0"/>
    <w:pPr>
      <w:tabs>
        <w:tab w:val="left" w:pos="0"/>
      </w:tabs>
      <w:autoSpaceDE/>
      <w:autoSpaceDN/>
      <w:adjustRightInd/>
      <w:spacing w:line="400" w:lineRule="atLeast"/>
      <w:jc w:val="both"/>
    </w:pPr>
    <w:rPr>
      <w:rFonts w:ascii="Arial" w:hAnsi="Arial"/>
      <w:color w:val="000000"/>
      <w:sz w:val="20"/>
    </w:rPr>
  </w:style>
  <w:style w:type="paragraph" w:styleId="43">
    <w:name w:val="List 4"/>
    <w:basedOn w:val="1"/>
    <w:qFormat/>
    <w:uiPriority w:val="0"/>
    <w:pPr>
      <w:tabs>
        <w:tab w:val="left" w:pos="750"/>
      </w:tabs>
      <w:autoSpaceDE/>
      <w:autoSpaceDN/>
      <w:adjustRightInd/>
      <w:ind w:left="750" w:hanging="750"/>
      <w:jc w:val="both"/>
    </w:pPr>
    <w:rPr>
      <w:rFonts w:ascii="Times New Roman"/>
      <w:b/>
      <w:kern w:val="2"/>
      <w:sz w:val="21"/>
      <w:szCs w:val="20"/>
    </w:rPr>
  </w:style>
  <w:style w:type="paragraph" w:styleId="44">
    <w:name w:val="HTML Preformatted"/>
    <w:basedOn w:val="1"/>
    <w:link w:val="95"/>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30" w:lineRule="atLeast"/>
    </w:pPr>
    <w:rPr>
      <w:rFonts w:ascii="Arial" w:hAnsi="Arial"/>
      <w:sz w:val="20"/>
      <w:szCs w:val="21"/>
    </w:rPr>
  </w:style>
  <w:style w:type="paragraph" w:styleId="45">
    <w:name w:val="Normal (Web)"/>
    <w:basedOn w:val="1"/>
    <w:link w:val="64"/>
    <w:qFormat/>
    <w:uiPriority w:val="0"/>
    <w:pPr>
      <w:widowControl/>
      <w:autoSpaceDE/>
      <w:autoSpaceDN/>
      <w:adjustRightInd/>
      <w:spacing w:before="100" w:beforeAutospacing="1" w:after="100" w:afterAutospacing="1"/>
    </w:pPr>
    <w:rPr>
      <w:rFonts w:hAnsi="宋体"/>
      <w:sz w:val="15"/>
      <w:szCs w:val="15"/>
    </w:rPr>
  </w:style>
  <w:style w:type="paragraph" w:styleId="46">
    <w:name w:val="Title"/>
    <w:basedOn w:val="1"/>
    <w:next w:val="1"/>
    <w:link w:val="84"/>
    <w:qFormat/>
    <w:uiPriority w:val="10"/>
    <w:pPr>
      <w:spacing w:before="240" w:after="60"/>
      <w:jc w:val="center"/>
      <w:outlineLvl w:val="0"/>
    </w:pPr>
    <w:rPr>
      <w:rFonts w:ascii="Cambria" w:hAnsi="Cambria"/>
      <w:b/>
      <w:bCs/>
      <w:sz w:val="32"/>
      <w:szCs w:val="32"/>
    </w:rPr>
  </w:style>
  <w:style w:type="paragraph" w:styleId="47">
    <w:name w:val="annotation subject"/>
    <w:basedOn w:val="17"/>
    <w:next w:val="17"/>
    <w:link w:val="123"/>
    <w:qFormat/>
    <w:uiPriority w:val="0"/>
    <w:rPr>
      <w:b/>
      <w:bCs/>
    </w:rPr>
  </w:style>
  <w:style w:type="table" w:styleId="49">
    <w:name w:val="Table Grid"/>
    <w:basedOn w:val="4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1">
    <w:name w:val="Strong"/>
    <w:qFormat/>
    <w:uiPriority w:val="22"/>
    <w:rPr>
      <w:b/>
      <w:bCs/>
    </w:rPr>
  </w:style>
  <w:style w:type="character" w:styleId="52">
    <w:name w:val="page number"/>
    <w:qFormat/>
    <w:uiPriority w:val="0"/>
  </w:style>
  <w:style w:type="character" w:styleId="53">
    <w:name w:val="FollowedHyperlink"/>
    <w:qFormat/>
    <w:uiPriority w:val="0"/>
    <w:rPr>
      <w:color w:val="000000"/>
      <w:u w:val="none"/>
    </w:rPr>
  </w:style>
  <w:style w:type="character" w:styleId="54">
    <w:name w:val="Emphasis"/>
    <w:qFormat/>
    <w:uiPriority w:val="20"/>
    <w:rPr>
      <w:i/>
      <w:iCs/>
    </w:rPr>
  </w:style>
  <w:style w:type="character" w:styleId="55">
    <w:name w:val="Hyperlink"/>
    <w:qFormat/>
    <w:uiPriority w:val="99"/>
    <w:rPr>
      <w:color w:val="000000"/>
      <w:u w:val="none"/>
    </w:rPr>
  </w:style>
  <w:style w:type="character" w:styleId="56">
    <w:name w:val="HTML Code"/>
    <w:qFormat/>
    <w:uiPriority w:val="0"/>
    <w:rPr>
      <w:rFonts w:ascii="宋体" w:hAnsi="宋体" w:eastAsia="宋体" w:cs="宋体"/>
      <w:sz w:val="24"/>
      <w:szCs w:val="24"/>
    </w:rPr>
  </w:style>
  <w:style w:type="character" w:styleId="57">
    <w:name w:val="annotation reference"/>
    <w:qFormat/>
    <w:uiPriority w:val="99"/>
    <w:rPr>
      <w:sz w:val="21"/>
      <w:szCs w:val="21"/>
    </w:rPr>
  </w:style>
  <w:style w:type="character" w:customStyle="1" w:styleId="58">
    <w:name w:val="标题 9 Char"/>
    <w:link w:val="12"/>
    <w:qFormat/>
    <w:uiPriority w:val="0"/>
    <w:rPr>
      <w:rFonts w:ascii="Arial" w:hAnsi="Arial" w:eastAsia="黑体"/>
      <w:sz w:val="21"/>
    </w:rPr>
  </w:style>
  <w:style w:type="character" w:customStyle="1" w:styleId="59">
    <w:name w:val="正文文本缩进 3 Char"/>
    <w:link w:val="39"/>
    <w:qFormat/>
    <w:uiPriority w:val="0"/>
    <w:rPr>
      <w:rFonts w:ascii="宋体" w:hAnsi="Times New Roman" w:eastAsia="宋体" w:cs="Times New Roman"/>
      <w:kern w:val="0"/>
      <w:sz w:val="24"/>
      <w:szCs w:val="24"/>
      <w:lang w:val="en-US" w:eastAsia="zh-CN"/>
    </w:rPr>
  </w:style>
  <w:style w:type="character" w:customStyle="1" w:styleId="60">
    <w:name w:val="正文缩进 Char"/>
    <w:link w:val="8"/>
    <w:qFormat/>
    <w:uiPriority w:val="0"/>
    <w:rPr>
      <w:rFonts w:ascii="Times New Roman" w:hAnsi="Times New Roman" w:eastAsia="宋体" w:cs="Times New Roman"/>
      <w:kern w:val="0"/>
      <w:sz w:val="20"/>
      <w:szCs w:val="20"/>
      <w:lang w:val="en-US" w:eastAsia="zh-CN"/>
    </w:rPr>
  </w:style>
  <w:style w:type="character" w:customStyle="1" w:styleId="61">
    <w:name w:val="正文首行缩进 Char"/>
    <w:link w:val="20"/>
    <w:qFormat/>
    <w:uiPriority w:val="0"/>
    <w:rPr>
      <w:rFonts w:ascii="Times New Roman" w:hAnsi="Times New Roman" w:eastAsia="宋体" w:cs="Times New Roman"/>
      <w:kern w:val="2"/>
      <w:sz w:val="21"/>
      <w:szCs w:val="24"/>
      <w:lang w:val="zh-CN" w:eastAsia="zh-CN"/>
    </w:rPr>
  </w:style>
  <w:style w:type="character" w:customStyle="1" w:styleId="62">
    <w:name w:val="正文文本 + MingLiU"/>
    <w:qFormat/>
    <w:uiPriority w:val="0"/>
    <w:rPr>
      <w:rFonts w:ascii="MingLiU" w:hAnsi="MingLiU" w:eastAsia="MingLiU" w:cs="MingLiU"/>
      <w:color w:val="000000"/>
      <w:spacing w:val="0"/>
      <w:w w:val="100"/>
      <w:position w:val="0"/>
      <w:sz w:val="19"/>
      <w:szCs w:val="19"/>
      <w:u w:val="none"/>
      <w:lang w:val="zh-CN"/>
    </w:rPr>
  </w:style>
  <w:style w:type="character" w:customStyle="1" w:styleId="63">
    <w:name w:val="正文文本 2 Char"/>
    <w:link w:val="42"/>
    <w:qFormat/>
    <w:uiPriority w:val="0"/>
    <w:rPr>
      <w:rFonts w:ascii="Arial" w:hAnsi="Arial" w:eastAsia="宋体" w:cs="Times New Roman"/>
      <w:color w:val="000000"/>
      <w:szCs w:val="24"/>
      <w:lang w:val="en-US" w:eastAsia="zh-CN"/>
    </w:rPr>
  </w:style>
  <w:style w:type="character" w:customStyle="1" w:styleId="64">
    <w:name w:val="普通(网站) Char"/>
    <w:link w:val="45"/>
    <w:qFormat/>
    <w:locked/>
    <w:uiPriority w:val="0"/>
    <w:rPr>
      <w:rFonts w:ascii="宋体" w:hAnsi="宋体" w:eastAsia="宋体" w:cs="Times New Roman"/>
      <w:kern w:val="0"/>
      <w:sz w:val="15"/>
      <w:szCs w:val="15"/>
      <w:lang w:val="en-US" w:eastAsia="zh-CN"/>
    </w:rPr>
  </w:style>
  <w:style w:type="character" w:customStyle="1" w:styleId="65">
    <w:name w:val="font31"/>
    <w:qFormat/>
    <w:uiPriority w:val="0"/>
    <w:rPr>
      <w:rFonts w:hint="default" w:ascii="微软雅黑 Light" w:hAnsi="微软雅黑 Light" w:eastAsia="微软雅黑 Light" w:cs="微软雅黑 Light"/>
      <w:color w:val="000000"/>
      <w:sz w:val="20"/>
      <w:szCs w:val="20"/>
      <w:u w:val="none"/>
      <w:vertAlign w:val="superscript"/>
    </w:rPr>
  </w:style>
  <w:style w:type="character" w:customStyle="1" w:styleId="66">
    <w:name w:val="HTML Markup"/>
    <w:qFormat/>
    <w:uiPriority w:val="0"/>
    <w:rPr>
      <w:vanish/>
      <w:color w:val="FF0000"/>
    </w:rPr>
  </w:style>
  <w:style w:type="character" w:customStyle="1" w:styleId="67">
    <w:name w:val="批注主题 Char"/>
    <w:qFormat/>
    <w:uiPriority w:val="0"/>
    <w:rPr>
      <w:rFonts w:ascii="宋体" w:hAnsi="Times New Roman" w:eastAsia="宋体" w:cs="Times New Roman"/>
      <w:b/>
      <w:bCs/>
      <w:kern w:val="2"/>
      <w:sz w:val="24"/>
      <w:szCs w:val="24"/>
      <w:lang w:val="en-US" w:eastAsia="zh-CN"/>
    </w:rPr>
  </w:style>
  <w:style w:type="character" w:customStyle="1" w:styleId="68">
    <w:name w:val="页脚 Char1"/>
    <w:link w:val="31"/>
    <w:qFormat/>
    <w:uiPriority w:val="99"/>
    <w:rPr>
      <w:rFonts w:ascii="宋体" w:hAnsi="Times New Roman" w:eastAsia="宋体" w:cs="Times New Roman"/>
      <w:kern w:val="0"/>
      <w:sz w:val="18"/>
      <w:szCs w:val="18"/>
      <w:lang w:val="en-US" w:eastAsia="zh-CN"/>
    </w:rPr>
  </w:style>
  <w:style w:type="character" w:customStyle="1" w:styleId="69">
    <w:name w:val="style61"/>
    <w:qFormat/>
    <w:uiPriority w:val="0"/>
    <w:rPr>
      <w:b/>
      <w:bCs/>
    </w:rPr>
  </w:style>
  <w:style w:type="character" w:customStyle="1" w:styleId="70">
    <w:name w:val="font11"/>
    <w:qFormat/>
    <w:uiPriority w:val="0"/>
    <w:rPr>
      <w:rFonts w:hint="default" w:ascii="微软雅黑 Light" w:hAnsi="微软雅黑 Light" w:eastAsia="微软雅黑 Light" w:cs="微软雅黑 Light"/>
      <w:color w:val="000000"/>
      <w:sz w:val="20"/>
      <w:szCs w:val="20"/>
      <w:u w:val="none"/>
      <w:vertAlign w:val="superscript"/>
    </w:rPr>
  </w:style>
  <w:style w:type="character" w:customStyle="1" w:styleId="71">
    <w:name w:val="正文文本 3 Char"/>
    <w:link w:val="18"/>
    <w:qFormat/>
    <w:uiPriority w:val="0"/>
    <w:rPr>
      <w:rFonts w:ascii="宋体" w:hAnsi="Times New Roman" w:eastAsia="宋体" w:cs="Times New Roman"/>
      <w:b/>
      <w:bCs/>
      <w:color w:val="3366FF"/>
      <w:sz w:val="52"/>
      <w:szCs w:val="52"/>
      <w:lang w:val="zh-CN" w:eastAsia="zh-CN"/>
    </w:rPr>
  </w:style>
  <w:style w:type="character" w:customStyle="1" w:styleId="72">
    <w:name w:val="文档结构图 Char"/>
    <w:link w:val="15"/>
    <w:semiHidden/>
    <w:qFormat/>
    <w:uiPriority w:val="0"/>
    <w:rPr>
      <w:rFonts w:ascii="宋体" w:hAnsi="Times New Roman" w:eastAsia="宋体" w:cs="Times New Roman"/>
      <w:kern w:val="0"/>
      <w:sz w:val="24"/>
      <w:szCs w:val="24"/>
      <w:shd w:val="clear" w:color="auto" w:fill="000080"/>
      <w:lang w:val="en-US" w:eastAsia="zh-CN"/>
    </w:rPr>
  </w:style>
  <w:style w:type="character" w:customStyle="1" w:styleId="73">
    <w:name w:val="font21"/>
    <w:qFormat/>
    <w:uiPriority w:val="0"/>
    <w:rPr>
      <w:rFonts w:hint="eastAsia" w:ascii="宋体" w:hAnsi="宋体" w:eastAsia="宋体" w:cs="宋体"/>
      <w:color w:val="000000"/>
      <w:sz w:val="20"/>
      <w:szCs w:val="20"/>
      <w:u w:val="none"/>
    </w:rPr>
  </w:style>
  <w:style w:type="character" w:customStyle="1" w:styleId="74">
    <w:name w:val="小 Char"/>
    <w:qFormat/>
    <w:uiPriority w:val="0"/>
    <w:rPr>
      <w:rFonts w:ascii="宋体" w:hAnsi="Courier New" w:eastAsia="宋体"/>
      <w:kern w:val="2"/>
      <w:sz w:val="21"/>
      <w:lang w:val="en-US" w:eastAsia="zh-CN" w:bidi="ar-SA"/>
    </w:rPr>
  </w:style>
  <w:style w:type="character" w:customStyle="1" w:styleId="75">
    <w:name w:val="标题 2 Char"/>
    <w:link w:val="4"/>
    <w:qFormat/>
    <w:uiPriority w:val="0"/>
    <w:rPr>
      <w:rFonts w:ascii="宋体" w:hAnsi="Times New Roman" w:eastAsia="宋体" w:cs="Times New Roman"/>
      <w:kern w:val="0"/>
      <w:sz w:val="24"/>
      <w:szCs w:val="24"/>
      <w:lang w:val="en-US" w:eastAsia="zh-CN"/>
    </w:rPr>
  </w:style>
  <w:style w:type="character" w:customStyle="1" w:styleId="76">
    <w:name w:val="doc_title"/>
    <w:qFormat/>
    <w:uiPriority w:val="0"/>
  </w:style>
  <w:style w:type="character" w:customStyle="1" w:styleId="77">
    <w:name w:val="apple-style-span"/>
    <w:qFormat/>
    <w:uiPriority w:val="0"/>
  </w:style>
  <w:style w:type="character" w:customStyle="1" w:styleId="78">
    <w:name w:val="批注文字 Char2"/>
    <w:qFormat/>
    <w:uiPriority w:val="99"/>
    <w:rPr>
      <w:rFonts w:ascii="宋体" w:hAnsi="Times New Roman" w:eastAsia="宋体" w:cs="Times New Roman"/>
      <w:kern w:val="0"/>
      <w:sz w:val="24"/>
      <w:szCs w:val="24"/>
      <w:lang w:val="en-US" w:eastAsia="zh-CN"/>
    </w:rPr>
  </w:style>
  <w:style w:type="character" w:customStyle="1" w:styleId="79">
    <w:name w:val="标题 7 Char"/>
    <w:link w:val="10"/>
    <w:qFormat/>
    <w:uiPriority w:val="0"/>
    <w:rPr>
      <w:rFonts w:ascii="楷体_GB2312" w:eastAsia="楷体_GB2312"/>
      <w:b/>
      <w:sz w:val="24"/>
    </w:rPr>
  </w:style>
  <w:style w:type="character" w:customStyle="1" w:styleId="80">
    <w:name w:val="标题 3.1 Char"/>
    <w:link w:val="81"/>
    <w:qFormat/>
    <w:uiPriority w:val="0"/>
    <w:rPr>
      <w:rFonts w:ascii="宋体" w:hAnsi="宋体" w:eastAsia="宋体" w:cs="Times New Roman"/>
      <w:b/>
      <w:bCs/>
      <w:sz w:val="32"/>
      <w:szCs w:val="32"/>
      <w:lang w:val="en-US" w:eastAsia="zh-CN"/>
    </w:rPr>
  </w:style>
  <w:style w:type="paragraph" w:customStyle="1" w:styleId="81">
    <w:name w:val="标题 3.1"/>
    <w:basedOn w:val="5"/>
    <w:link w:val="80"/>
    <w:qFormat/>
    <w:uiPriority w:val="0"/>
    <w:pPr>
      <w:pageBreakBefore/>
      <w:tabs>
        <w:tab w:val="left" w:pos="1440"/>
        <w:tab w:val="left" w:pos="1620"/>
      </w:tabs>
      <w:autoSpaceDE/>
      <w:autoSpaceDN/>
      <w:adjustRightInd/>
      <w:spacing w:line="360" w:lineRule="auto"/>
      <w:jc w:val="both"/>
    </w:pPr>
    <w:rPr>
      <w:rFonts w:hAnsi="宋体"/>
      <w:b/>
      <w:bCs/>
      <w:sz w:val="32"/>
      <w:szCs w:val="32"/>
    </w:rPr>
  </w:style>
  <w:style w:type="character" w:customStyle="1" w:styleId="82">
    <w:name w:val="批注框文本 Char1"/>
    <w:link w:val="30"/>
    <w:qFormat/>
    <w:uiPriority w:val="0"/>
    <w:rPr>
      <w:rFonts w:ascii="Times New Roman" w:hAnsi="Times New Roman" w:eastAsia="宋体" w:cs="Times New Roman"/>
      <w:sz w:val="18"/>
      <w:szCs w:val="18"/>
      <w:lang w:val="en-US" w:eastAsia="zh-CN"/>
    </w:rPr>
  </w:style>
  <w:style w:type="character" w:customStyle="1" w:styleId="83">
    <w:name w:val="纯文本 Char"/>
    <w:qFormat/>
    <w:uiPriority w:val="0"/>
    <w:rPr>
      <w:rFonts w:ascii="宋体" w:hAnsi="Courier New" w:eastAsia="宋体" w:cs="Times New Roman"/>
      <w:szCs w:val="20"/>
      <w:lang w:val="en-US" w:eastAsia="zh-CN"/>
    </w:rPr>
  </w:style>
  <w:style w:type="character" w:customStyle="1" w:styleId="84">
    <w:name w:val="标题 Char"/>
    <w:link w:val="46"/>
    <w:qFormat/>
    <w:uiPriority w:val="10"/>
    <w:rPr>
      <w:rFonts w:ascii="Cambria" w:hAnsi="Cambria" w:eastAsia="宋体" w:cs="Times New Roman"/>
      <w:b/>
      <w:bCs/>
      <w:kern w:val="0"/>
      <w:sz w:val="32"/>
      <w:szCs w:val="32"/>
      <w:lang w:val="en-US" w:eastAsia="zh-CN"/>
    </w:rPr>
  </w:style>
  <w:style w:type="character" w:customStyle="1" w:styleId="85">
    <w:name w:val="页眉 Char1"/>
    <w:link w:val="32"/>
    <w:qFormat/>
    <w:uiPriority w:val="0"/>
    <w:rPr>
      <w:rFonts w:ascii="宋体" w:hAnsi="Times New Roman" w:eastAsia="宋体" w:cs="Times New Roman"/>
      <w:kern w:val="0"/>
      <w:sz w:val="18"/>
      <w:szCs w:val="18"/>
      <w:lang w:val="en-US" w:eastAsia="zh-CN"/>
    </w:rPr>
  </w:style>
  <w:style w:type="character" w:customStyle="1" w:styleId="86">
    <w:name w:val="副标题 Char"/>
    <w:link w:val="36"/>
    <w:qFormat/>
    <w:uiPriority w:val="11"/>
    <w:rPr>
      <w:rFonts w:ascii="Cambria" w:hAnsi="Cambria" w:eastAsia="宋体" w:cs="Times New Roman"/>
      <w:b/>
      <w:bCs/>
      <w:kern w:val="28"/>
      <w:sz w:val="32"/>
      <w:szCs w:val="32"/>
      <w:lang w:val="en-US" w:eastAsia="zh-CN"/>
    </w:rPr>
  </w:style>
  <w:style w:type="character" w:customStyle="1" w:styleId="87">
    <w:name w:val="正文缩进2格 Char"/>
    <w:link w:val="88"/>
    <w:qFormat/>
    <w:uiPriority w:val="0"/>
    <w:rPr>
      <w:rFonts w:ascii="仿宋_GB2312" w:hAnsi="宋体" w:eastAsia="仿宋_GB2312" w:cs="Times New Roman"/>
      <w:sz w:val="31"/>
      <w:szCs w:val="28"/>
      <w:lang w:val="en-US" w:eastAsia="zh-CN"/>
    </w:rPr>
  </w:style>
  <w:style w:type="paragraph" w:customStyle="1" w:styleId="88">
    <w:name w:val="正文缩进2格"/>
    <w:basedOn w:val="1"/>
    <w:link w:val="87"/>
    <w:qFormat/>
    <w:uiPriority w:val="0"/>
    <w:pPr>
      <w:autoSpaceDE/>
      <w:autoSpaceDN/>
      <w:adjustRightInd/>
      <w:spacing w:line="600" w:lineRule="exact"/>
      <w:ind w:firstLine="639" w:firstLineChars="206"/>
      <w:jc w:val="both"/>
    </w:pPr>
    <w:rPr>
      <w:rFonts w:ascii="仿宋_GB2312" w:hAnsi="宋体" w:eastAsia="仿宋_GB2312"/>
      <w:sz w:val="31"/>
      <w:szCs w:val="28"/>
    </w:rPr>
  </w:style>
  <w:style w:type="character" w:customStyle="1" w:styleId="89">
    <w:name w:val="列出段落 Char"/>
    <w:qFormat/>
    <w:uiPriority w:val="34"/>
    <w:rPr>
      <w:rFonts w:ascii="宋体" w:hAnsi="Times New Roman"/>
      <w:sz w:val="24"/>
      <w:szCs w:val="24"/>
    </w:rPr>
  </w:style>
  <w:style w:type="character" w:customStyle="1" w:styleId="90">
    <w:name w:val="spantable1"/>
    <w:qFormat/>
    <w:uiPriority w:val="0"/>
    <w:rPr>
      <w:rFonts w:hint="default"/>
      <w:sz w:val="18"/>
      <w:szCs w:val="18"/>
    </w:rPr>
  </w:style>
  <w:style w:type="character" w:customStyle="1" w:styleId="91">
    <w:name w:val="正文文本_"/>
    <w:link w:val="92"/>
    <w:qFormat/>
    <w:uiPriority w:val="0"/>
    <w:rPr>
      <w:rFonts w:ascii="Times New Roman" w:hAnsi="Times New Roman" w:eastAsia="Times New Roman"/>
      <w:shd w:val="clear" w:color="auto" w:fill="FFFFFF"/>
    </w:rPr>
  </w:style>
  <w:style w:type="paragraph" w:customStyle="1" w:styleId="92">
    <w:name w:val="正文文本1"/>
    <w:basedOn w:val="1"/>
    <w:link w:val="91"/>
    <w:qFormat/>
    <w:uiPriority w:val="0"/>
    <w:pPr>
      <w:shd w:val="clear" w:color="auto" w:fill="FFFFFF"/>
      <w:autoSpaceDE/>
      <w:autoSpaceDN/>
      <w:adjustRightInd/>
    </w:pPr>
    <w:rPr>
      <w:rFonts w:ascii="Times New Roman" w:eastAsia="Times New Roman"/>
      <w:sz w:val="20"/>
      <w:szCs w:val="20"/>
    </w:rPr>
  </w:style>
  <w:style w:type="character" w:customStyle="1" w:styleId="93">
    <w:name w:val="标题 1 Char"/>
    <w:link w:val="3"/>
    <w:qFormat/>
    <w:uiPriority w:val="0"/>
    <w:rPr>
      <w:rFonts w:ascii="宋体" w:hAnsi="Times New Roman" w:eastAsia="宋体" w:cs="Times New Roman"/>
      <w:kern w:val="0"/>
      <w:sz w:val="24"/>
      <w:szCs w:val="24"/>
      <w:lang w:val="en-US" w:eastAsia="zh-CN"/>
    </w:rPr>
  </w:style>
  <w:style w:type="character" w:customStyle="1" w:styleId="94">
    <w:name w:val="页眉 Char"/>
    <w:qFormat/>
    <w:uiPriority w:val="0"/>
    <w:rPr>
      <w:rFonts w:cs="Times New Roman"/>
      <w:kern w:val="2"/>
      <w:sz w:val="18"/>
      <w:szCs w:val="18"/>
    </w:rPr>
  </w:style>
  <w:style w:type="character" w:customStyle="1" w:styleId="95">
    <w:name w:val="HTML 预设格式 Char"/>
    <w:link w:val="44"/>
    <w:qFormat/>
    <w:uiPriority w:val="0"/>
    <w:rPr>
      <w:rFonts w:ascii="Arial" w:hAnsi="Arial" w:eastAsia="宋体" w:cs="Arial"/>
      <w:kern w:val="0"/>
      <w:szCs w:val="21"/>
      <w:lang w:val="en-US" w:eastAsia="zh-CN"/>
    </w:rPr>
  </w:style>
  <w:style w:type="character" w:customStyle="1" w:styleId="96">
    <w:name w:val="批注文字 Char3"/>
    <w:link w:val="17"/>
    <w:qFormat/>
    <w:uiPriority w:val="99"/>
    <w:rPr>
      <w:rFonts w:ascii="宋体" w:hAnsi="Times New Roman" w:eastAsia="宋体" w:cs="Times New Roman"/>
      <w:kern w:val="0"/>
      <w:sz w:val="24"/>
      <w:szCs w:val="24"/>
      <w:lang w:val="en-US" w:eastAsia="zh-CN"/>
    </w:rPr>
  </w:style>
  <w:style w:type="character" w:customStyle="1" w:styleId="97">
    <w:name w:val="ca-3"/>
    <w:qFormat/>
    <w:uiPriority w:val="0"/>
    <w:rPr>
      <w:rFonts w:cs="Times New Roman"/>
    </w:rPr>
  </w:style>
  <w:style w:type="character" w:customStyle="1" w:styleId="98">
    <w:name w:val="彩色列表 - 强调文字颜色 1 Char"/>
    <w:link w:val="99"/>
    <w:qFormat/>
    <w:uiPriority w:val="0"/>
    <w:rPr>
      <w:rFonts w:ascii="宋体"/>
      <w:sz w:val="24"/>
      <w:szCs w:val="24"/>
    </w:rPr>
  </w:style>
  <w:style w:type="paragraph" w:customStyle="1" w:styleId="99">
    <w:name w:val="彩色列表 - 强调文字颜色 11"/>
    <w:basedOn w:val="1"/>
    <w:link w:val="98"/>
    <w:qFormat/>
    <w:uiPriority w:val="0"/>
    <w:pPr>
      <w:ind w:firstLine="420" w:firstLineChars="200"/>
    </w:pPr>
  </w:style>
  <w:style w:type="character" w:customStyle="1" w:styleId="100">
    <w:name w:val="DAS正文 Char"/>
    <w:qFormat/>
    <w:uiPriority w:val="0"/>
    <w:rPr>
      <w:rFonts w:ascii="Verdana" w:hAnsi="Verdana" w:eastAsia="宋体"/>
      <w:kern w:val="2"/>
      <w:sz w:val="21"/>
      <w:szCs w:val="21"/>
      <w:lang w:val="en-US" w:eastAsia="zh-CN" w:bidi="ar-SA"/>
    </w:rPr>
  </w:style>
  <w:style w:type="character" w:customStyle="1" w:styleId="101">
    <w:name w:val="列出段落 Char1"/>
    <w:link w:val="102"/>
    <w:qFormat/>
    <w:uiPriority w:val="34"/>
    <w:rPr>
      <w:rFonts w:ascii="宋体"/>
      <w:sz w:val="24"/>
      <w:szCs w:val="24"/>
    </w:rPr>
  </w:style>
  <w:style w:type="paragraph" w:styleId="102">
    <w:name w:val="List Paragraph"/>
    <w:basedOn w:val="1"/>
    <w:link w:val="101"/>
    <w:qFormat/>
    <w:uiPriority w:val="34"/>
    <w:pPr>
      <w:ind w:firstLine="420" w:firstLineChars="200"/>
    </w:pPr>
  </w:style>
  <w:style w:type="character" w:customStyle="1" w:styleId="103">
    <w:name w:val="15"/>
    <w:qFormat/>
    <w:uiPriority w:val="0"/>
    <w:rPr>
      <w:rFonts w:hint="default" w:ascii="Times New Roman" w:hAnsi="Times New Roman"/>
    </w:rPr>
  </w:style>
  <w:style w:type="character" w:customStyle="1" w:styleId="104">
    <w:name w:val="批注框文本 Char"/>
    <w:qFormat/>
    <w:uiPriority w:val="0"/>
    <w:rPr>
      <w:rFonts w:cs="Times New Roman"/>
      <w:kern w:val="2"/>
      <w:sz w:val="18"/>
      <w:szCs w:val="18"/>
    </w:rPr>
  </w:style>
  <w:style w:type="character" w:customStyle="1" w:styleId="105">
    <w:name w:val="批注文字 Char"/>
    <w:qFormat/>
    <w:uiPriority w:val="99"/>
    <w:rPr>
      <w:rFonts w:ascii="宋体" w:hAnsi="Times New Roman" w:eastAsia="宋体" w:cs="Times New Roman"/>
      <w:kern w:val="0"/>
      <w:sz w:val="24"/>
      <w:szCs w:val="24"/>
      <w:lang w:val="en-US" w:eastAsia="zh-CN"/>
    </w:rPr>
  </w:style>
  <w:style w:type="character" w:customStyle="1" w:styleId="106">
    <w:name w:val="ca-7"/>
    <w:qFormat/>
    <w:uiPriority w:val="0"/>
    <w:rPr>
      <w:rFonts w:cs="Times New Roman"/>
    </w:rPr>
  </w:style>
  <w:style w:type="character" w:customStyle="1" w:styleId="107">
    <w:name w:val="keyfeatures1"/>
    <w:qFormat/>
    <w:uiPriority w:val="0"/>
    <w:rPr>
      <w:rFonts w:hint="default" w:ascii="Arial" w:hAnsi="Arial" w:cs="Arial"/>
      <w:color w:val="003366"/>
      <w:sz w:val="17"/>
      <w:szCs w:val="17"/>
      <w:u w:val="none"/>
    </w:rPr>
  </w:style>
  <w:style w:type="character" w:customStyle="1" w:styleId="108">
    <w:name w:val="正文文本缩进 Char"/>
    <w:link w:val="21"/>
    <w:qFormat/>
    <w:uiPriority w:val="0"/>
    <w:rPr>
      <w:rFonts w:ascii="Times New Roman" w:hAnsi="Times New Roman" w:eastAsia="宋体" w:cs="Times New Roman"/>
      <w:szCs w:val="20"/>
      <w:lang w:val="en-US" w:eastAsia="zh-CN"/>
    </w:rPr>
  </w:style>
  <w:style w:type="character" w:customStyle="1" w:styleId="109">
    <w:name w:val="正文文本缩进 字符"/>
    <w:qFormat/>
    <w:uiPriority w:val="0"/>
    <w:rPr>
      <w:rFonts w:ascii="Times New Roman" w:hAnsi="Times New Roman" w:eastAsia="宋体" w:cs="Times New Roman"/>
      <w:szCs w:val="20"/>
      <w:lang w:val="en-US" w:eastAsia="zh-CN"/>
    </w:rPr>
  </w:style>
  <w:style w:type="character" w:customStyle="1" w:styleId="110">
    <w:name w:val="无间隔 Char"/>
    <w:link w:val="111"/>
    <w:qFormat/>
    <w:uiPriority w:val="1"/>
    <w:rPr>
      <w:rFonts w:ascii="Calibri" w:hAnsi="Calibri"/>
      <w:kern w:val="2"/>
      <w:sz w:val="21"/>
      <w:szCs w:val="22"/>
      <w:lang w:val="en-US" w:eastAsia="zh-CN" w:bidi="ar-SA"/>
    </w:rPr>
  </w:style>
  <w:style w:type="paragraph" w:styleId="111">
    <w:name w:val="No Spacing"/>
    <w:link w:val="110"/>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112">
    <w:name w:val="纯文本 Char1"/>
    <w:link w:val="26"/>
    <w:qFormat/>
    <w:uiPriority w:val="0"/>
    <w:rPr>
      <w:rFonts w:ascii="宋体" w:hAnsi="Courier New" w:eastAsia="宋体" w:cs="Times New Roman"/>
      <w:szCs w:val="20"/>
      <w:lang w:val="en-US" w:eastAsia="zh-CN"/>
    </w:rPr>
  </w:style>
  <w:style w:type="character" w:customStyle="1" w:styleId="113">
    <w:name w:val="apple-converted-space"/>
    <w:qFormat/>
    <w:uiPriority w:val="0"/>
  </w:style>
  <w:style w:type="character" w:customStyle="1" w:styleId="114">
    <w:name w:val="标题 6 Char"/>
    <w:link w:val="9"/>
    <w:qFormat/>
    <w:uiPriority w:val="0"/>
    <w:rPr>
      <w:rFonts w:ascii="Arial" w:hAnsi="Arial" w:eastAsia="黑体"/>
      <w:b/>
      <w:sz w:val="24"/>
    </w:rPr>
  </w:style>
  <w:style w:type="character" w:customStyle="1" w:styleId="115">
    <w:name w:val="neir1"/>
    <w:qFormat/>
    <w:uiPriority w:val="0"/>
    <w:rPr>
      <w:rFonts w:hint="default" w:ascii="ˎ̥" w:hAnsi="ˎ̥"/>
      <w:color w:val="333333"/>
      <w:sz w:val="21"/>
      <w:szCs w:val="21"/>
      <w:u w:val="none"/>
    </w:rPr>
  </w:style>
  <w:style w:type="character" w:customStyle="1" w:styleId="116">
    <w:name w:val="Char Char2"/>
    <w:qFormat/>
    <w:uiPriority w:val="0"/>
    <w:rPr>
      <w:kern w:val="2"/>
      <w:sz w:val="21"/>
      <w:szCs w:val="24"/>
    </w:rPr>
  </w:style>
  <w:style w:type="character" w:customStyle="1" w:styleId="117">
    <w:name w:val="huei12b1"/>
    <w:qFormat/>
    <w:uiPriority w:val="0"/>
    <w:rPr>
      <w:b/>
      <w:bCs/>
      <w:color w:val="333333"/>
      <w:sz w:val="18"/>
      <w:szCs w:val="18"/>
    </w:rPr>
  </w:style>
  <w:style w:type="character" w:customStyle="1" w:styleId="118">
    <w:name w:val="标题 8 Char"/>
    <w:link w:val="11"/>
    <w:qFormat/>
    <w:uiPriority w:val="0"/>
    <w:rPr>
      <w:rFonts w:ascii="Arial" w:hAnsi="Arial" w:eastAsia="黑体"/>
      <w:sz w:val="24"/>
    </w:rPr>
  </w:style>
  <w:style w:type="character" w:customStyle="1" w:styleId="119">
    <w:name w:val="p105"/>
    <w:qFormat/>
    <w:uiPriority w:val="0"/>
  </w:style>
  <w:style w:type="character" w:customStyle="1" w:styleId="120">
    <w:name w:val="font41"/>
    <w:qFormat/>
    <w:uiPriority w:val="0"/>
    <w:rPr>
      <w:rFonts w:hint="default" w:ascii="微软雅黑 Light" w:hAnsi="微软雅黑 Light" w:eastAsia="微软雅黑 Light" w:cs="微软雅黑 Light"/>
      <w:color w:val="000000"/>
      <w:sz w:val="20"/>
      <w:szCs w:val="20"/>
      <w:u w:val="none"/>
    </w:rPr>
  </w:style>
  <w:style w:type="character" w:customStyle="1" w:styleId="121">
    <w:name w:val="日期 Char"/>
    <w:link w:val="28"/>
    <w:qFormat/>
    <w:uiPriority w:val="0"/>
    <w:rPr>
      <w:rFonts w:ascii="宋体" w:hAnsi="Times New Roman" w:eastAsia="宋体" w:cs="Times New Roman"/>
      <w:b/>
      <w:bCs/>
      <w:szCs w:val="21"/>
      <w:lang w:val="zh-CN" w:eastAsia="zh-CN"/>
    </w:rPr>
  </w:style>
  <w:style w:type="character" w:customStyle="1" w:styleId="122">
    <w:name w:val="标题 3 Char"/>
    <w:link w:val="5"/>
    <w:qFormat/>
    <w:uiPriority w:val="0"/>
    <w:rPr>
      <w:rFonts w:ascii="宋体" w:hAnsi="Times New Roman" w:eastAsia="宋体" w:cs="Times New Roman"/>
      <w:kern w:val="0"/>
      <w:sz w:val="24"/>
      <w:szCs w:val="24"/>
      <w:lang w:val="en-US" w:eastAsia="zh-CN"/>
    </w:rPr>
  </w:style>
  <w:style w:type="character" w:customStyle="1" w:styleId="123">
    <w:name w:val="批注主题 Char1"/>
    <w:link w:val="47"/>
    <w:semiHidden/>
    <w:qFormat/>
    <w:uiPriority w:val="0"/>
    <w:rPr>
      <w:rFonts w:ascii="宋体" w:hAnsi="Times New Roman" w:eastAsia="宋体" w:cs="Times New Roman"/>
      <w:b/>
      <w:bCs/>
      <w:kern w:val="0"/>
      <w:sz w:val="24"/>
      <w:szCs w:val="24"/>
      <w:lang w:val="en-US" w:eastAsia="zh-CN"/>
    </w:rPr>
  </w:style>
  <w:style w:type="character" w:customStyle="1" w:styleId="124">
    <w:name w:val="页脚 Char"/>
    <w:qFormat/>
    <w:uiPriority w:val="0"/>
    <w:rPr>
      <w:rFonts w:cs="Times New Roman"/>
      <w:kern w:val="2"/>
      <w:sz w:val="18"/>
      <w:szCs w:val="18"/>
    </w:rPr>
  </w:style>
  <w:style w:type="character" w:customStyle="1" w:styleId="125">
    <w:name w:val="正文文本 Char"/>
    <w:link w:val="19"/>
    <w:qFormat/>
    <w:uiPriority w:val="0"/>
    <w:rPr>
      <w:rFonts w:ascii="宋体" w:hAnsi="Times New Roman" w:eastAsia="宋体" w:cs="Times New Roman"/>
      <w:b/>
      <w:bCs/>
      <w:sz w:val="84"/>
      <w:szCs w:val="84"/>
      <w:lang w:val="zh-CN" w:eastAsia="zh-CN"/>
    </w:rPr>
  </w:style>
  <w:style w:type="character" w:customStyle="1" w:styleId="126">
    <w:name w:val="批注文字 字符2"/>
    <w:qFormat/>
    <w:uiPriority w:val="99"/>
    <w:rPr>
      <w:rFonts w:ascii="宋体" w:hAnsi="Times New Roman" w:eastAsia="宋体" w:cs="Times New Roman"/>
      <w:kern w:val="0"/>
      <w:sz w:val="24"/>
      <w:szCs w:val="24"/>
    </w:rPr>
  </w:style>
  <w:style w:type="character" w:customStyle="1" w:styleId="127">
    <w:name w:val="16"/>
    <w:qFormat/>
    <w:uiPriority w:val="0"/>
    <w:rPr>
      <w:rFonts w:hint="default" w:ascii="Times New Roman" w:hAnsi="Times New Roman"/>
    </w:rPr>
  </w:style>
  <w:style w:type="character" w:customStyle="1" w:styleId="128">
    <w:name w:val="签名 Char"/>
    <w:link w:val="33"/>
    <w:qFormat/>
    <w:uiPriority w:val="0"/>
    <w:rPr>
      <w:rFonts w:ascii="Garamond" w:hAnsi="Garamond" w:eastAsia="宋体" w:cs="Times New Roman"/>
      <w:spacing w:val="-5"/>
      <w:kern w:val="0"/>
      <w:sz w:val="24"/>
      <w:szCs w:val="20"/>
    </w:rPr>
  </w:style>
  <w:style w:type="character" w:customStyle="1" w:styleId="129">
    <w:name w:val="标题 5 Char"/>
    <w:link w:val="7"/>
    <w:qFormat/>
    <w:uiPriority w:val="0"/>
    <w:rPr>
      <w:rFonts w:ascii="楷体_GB2312" w:eastAsia="楷体_GB2312"/>
      <w:sz w:val="24"/>
    </w:rPr>
  </w:style>
  <w:style w:type="character" w:customStyle="1" w:styleId="130">
    <w:name w:val="正文缩进2格 Char Char"/>
    <w:qFormat/>
    <w:uiPriority w:val="0"/>
    <w:rPr>
      <w:rFonts w:ascii="仿宋_GB2312" w:hAnsi="宋体" w:eastAsia="仿宋_GB2312"/>
      <w:kern w:val="2"/>
      <w:sz w:val="31"/>
      <w:szCs w:val="28"/>
      <w:lang w:val="en-US" w:eastAsia="zh-CN" w:bidi="ar-SA"/>
    </w:rPr>
  </w:style>
  <w:style w:type="character" w:customStyle="1" w:styleId="131">
    <w:name w:val="无间距字符"/>
    <w:link w:val="132"/>
    <w:qFormat/>
    <w:uiPriority w:val="1"/>
    <w:rPr>
      <w:kern w:val="2"/>
      <w:sz w:val="21"/>
      <w:szCs w:val="22"/>
      <w:lang w:val="en-US" w:eastAsia="zh-CN" w:bidi="ar-SA"/>
    </w:rPr>
  </w:style>
  <w:style w:type="paragraph" w:customStyle="1" w:styleId="132">
    <w:name w:val="无间距"/>
    <w:link w:val="131"/>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133">
    <w:name w:val="正文文本缩进 2 Char"/>
    <w:link w:val="29"/>
    <w:qFormat/>
    <w:uiPriority w:val="0"/>
    <w:rPr>
      <w:rFonts w:ascii="宋体" w:hAnsi="Times New Roman" w:eastAsia="宋体" w:cs="Times New Roman"/>
      <w:szCs w:val="20"/>
      <w:lang w:val="en-US" w:eastAsia="zh-CN"/>
    </w:rPr>
  </w:style>
  <w:style w:type="character" w:customStyle="1" w:styleId="134">
    <w:name w:val="批注文字 Char1"/>
    <w:qFormat/>
    <w:uiPriority w:val="0"/>
    <w:rPr>
      <w:rFonts w:ascii="Times New Roman" w:hAnsi="Times New Roman" w:eastAsia="楷体_GB2312" w:cs="Times New Roman"/>
      <w:spacing w:val="-20"/>
      <w:sz w:val="32"/>
      <w:szCs w:val="20"/>
    </w:rPr>
  </w:style>
  <w:style w:type="character" w:customStyle="1" w:styleId="135">
    <w:name w:val="纯文本 字符"/>
    <w:qFormat/>
    <w:uiPriority w:val="0"/>
    <w:rPr>
      <w:rFonts w:ascii="宋体" w:hAnsi="Courier New" w:eastAsia="宋体" w:cs="Times New Roman"/>
      <w:szCs w:val="20"/>
    </w:rPr>
  </w:style>
  <w:style w:type="character" w:customStyle="1" w:styleId="136">
    <w:name w:val="标题 4 Char"/>
    <w:link w:val="6"/>
    <w:qFormat/>
    <w:uiPriority w:val="0"/>
    <w:rPr>
      <w:rFonts w:ascii="Arial" w:hAnsi="Arial" w:eastAsia="黑体" w:cs="Times New Roman"/>
      <w:b/>
      <w:bCs/>
      <w:kern w:val="0"/>
      <w:sz w:val="28"/>
      <w:szCs w:val="28"/>
      <w:lang w:val="en-US" w:eastAsia="zh-CN"/>
    </w:rPr>
  </w:style>
  <w:style w:type="paragraph" w:customStyle="1" w:styleId="137">
    <w:name w:val="+标题1"/>
    <w:basedOn w:val="3"/>
    <w:qFormat/>
    <w:uiPriority w:val="0"/>
    <w:pPr>
      <w:keepNext/>
      <w:keepLines/>
      <w:pageBreakBefore/>
      <w:tabs>
        <w:tab w:val="left" w:pos="432"/>
      </w:tabs>
      <w:autoSpaceDE/>
      <w:autoSpaceDN/>
      <w:adjustRightInd/>
      <w:spacing w:before="240" w:after="240" w:line="360" w:lineRule="auto"/>
      <w:ind w:left="432" w:hanging="632"/>
      <w:jc w:val="center"/>
    </w:pPr>
    <w:rPr>
      <w:rFonts w:ascii="Times New Roman" w:eastAsia="黑体"/>
      <w:b/>
      <w:bCs/>
      <w:kern w:val="32"/>
      <w:sz w:val="32"/>
      <w:szCs w:val="32"/>
    </w:rPr>
  </w:style>
  <w:style w:type="paragraph" w:customStyle="1" w:styleId="138">
    <w:name w:val="正文缩进4格"/>
    <w:basedOn w:val="88"/>
    <w:qFormat/>
    <w:uiPriority w:val="0"/>
    <w:pPr>
      <w:tabs>
        <w:tab w:val="left" w:pos="426"/>
      </w:tabs>
      <w:spacing w:line="360" w:lineRule="auto"/>
      <w:ind w:left="644" w:hanging="360" w:firstLineChars="0"/>
    </w:pPr>
    <w:rPr>
      <w:rFonts w:ascii="宋体" w:eastAsia="宋体"/>
      <w:kern w:val="2"/>
      <w:sz w:val="21"/>
      <w:szCs w:val="21"/>
      <w:lang w:val="zh-CN"/>
    </w:rPr>
  </w:style>
  <w:style w:type="paragraph" w:customStyle="1" w:styleId="139">
    <w:name w:val="xl26"/>
    <w:basedOn w:val="1"/>
    <w:qFormat/>
    <w:uiPriority w:val="0"/>
    <w:pPr>
      <w:widowControl/>
      <w:autoSpaceDE/>
      <w:autoSpaceDN/>
      <w:adjustRightInd/>
      <w:spacing w:before="100" w:beforeAutospacing="1" w:after="100" w:afterAutospacing="1"/>
      <w:jc w:val="center"/>
    </w:pPr>
    <w:rPr>
      <w:rFonts w:hint="eastAsia" w:ascii="仿宋_GB2312" w:hAnsi="宋体" w:eastAsia="仿宋_GB2312"/>
    </w:rPr>
  </w:style>
  <w:style w:type="paragraph" w:customStyle="1" w:styleId="140">
    <w:name w:val="i."/>
    <w:basedOn w:val="1"/>
    <w:qFormat/>
    <w:uiPriority w:val="0"/>
    <w:pPr>
      <w:tabs>
        <w:tab w:val="left" w:pos="2268"/>
      </w:tabs>
      <w:autoSpaceDE/>
      <w:autoSpaceDN/>
      <w:adjustRightInd/>
      <w:spacing w:line="264" w:lineRule="auto"/>
      <w:jc w:val="both"/>
    </w:pPr>
    <w:rPr>
      <w:rFonts w:ascii="Times New Roman"/>
      <w:kern w:val="2"/>
    </w:rPr>
  </w:style>
  <w:style w:type="paragraph" w:customStyle="1" w:styleId="141">
    <w:name w:val="reader-word-layer"/>
    <w:basedOn w:val="1"/>
    <w:qFormat/>
    <w:uiPriority w:val="0"/>
    <w:pPr>
      <w:widowControl/>
      <w:autoSpaceDE/>
      <w:autoSpaceDN/>
      <w:adjustRightInd/>
      <w:spacing w:before="100" w:beforeAutospacing="1" w:after="100" w:afterAutospacing="1"/>
    </w:pPr>
    <w:rPr>
      <w:rFonts w:hAnsi="宋体" w:cs="宋体"/>
    </w:rPr>
  </w:style>
  <w:style w:type="paragraph" w:customStyle="1" w:styleId="142">
    <w:name w:val="列出段落1"/>
    <w:basedOn w:val="1"/>
    <w:qFormat/>
    <w:uiPriority w:val="34"/>
    <w:pPr>
      <w:autoSpaceDE/>
      <w:autoSpaceDN/>
      <w:adjustRightInd/>
      <w:ind w:firstLine="420" w:firstLineChars="200"/>
      <w:jc w:val="both"/>
    </w:pPr>
    <w:rPr>
      <w:rFonts w:ascii="Calibri" w:hAnsi="Calibri"/>
      <w:kern w:val="2"/>
      <w:sz w:val="21"/>
      <w:szCs w:val="22"/>
    </w:rPr>
  </w:style>
  <w:style w:type="paragraph" w:customStyle="1" w:styleId="143">
    <w:name w:val="默认段落字体 Para Char"/>
    <w:basedOn w:val="1"/>
    <w:qFormat/>
    <w:uiPriority w:val="0"/>
    <w:pPr>
      <w:autoSpaceDE/>
      <w:autoSpaceDN/>
      <w:spacing w:line="360" w:lineRule="auto"/>
      <w:jc w:val="both"/>
    </w:pPr>
    <w:rPr>
      <w:rFonts w:ascii="Times New Roman"/>
      <w:szCs w:val="20"/>
    </w:rPr>
  </w:style>
  <w:style w:type="paragraph" w:customStyle="1" w:styleId="144">
    <w:name w:val="列出段落2"/>
    <w:basedOn w:val="1"/>
    <w:unhideWhenUsed/>
    <w:qFormat/>
    <w:uiPriority w:val="99"/>
    <w:pPr>
      <w:autoSpaceDE/>
      <w:autoSpaceDN/>
      <w:adjustRightInd/>
      <w:snapToGrid w:val="0"/>
      <w:spacing w:line="400" w:lineRule="exact"/>
      <w:ind w:firstLine="420" w:firstLineChars="200"/>
      <w:jc w:val="both"/>
    </w:pPr>
    <w:rPr>
      <w:rFonts w:ascii="Times New Roman"/>
      <w:kern w:val="2"/>
    </w:rPr>
  </w:style>
  <w:style w:type="paragraph" w:customStyle="1" w:styleId="145">
    <w:name w:val="方案标题3"/>
    <w:basedOn w:val="1"/>
    <w:next w:val="1"/>
    <w:qFormat/>
    <w:uiPriority w:val="0"/>
    <w:pPr>
      <w:keepLines/>
      <w:tabs>
        <w:tab w:val="left" w:pos="360"/>
        <w:tab w:val="left" w:pos="3300"/>
      </w:tabs>
      <w:autoSpaceDE/>
      <w:autoSpaceDN/>
      <w:spacing w:before="200" w:after="40"/>
      <w:ind w:left="3300" w:hanging="360"/>
      <w:jc w:val="both"/>
      <w:outlineLvl w:val="2"/>
    </w:pPr>
    <w:rPr>
      <w:rFonts w:ascii="Arial" w:hAnsi="Arial" w:eastAsia="黑体"/>
      <w:spacing w:val="14"/>
      <w:sz w:val="28"/>
      <w:szCs w:val="20"/>
    </w:rPr>
  </w:style>
  <w:style w:type="paragraph" w:customStyle="1" w:styleId="146">
    <w:name w:val="1."/>
    <w:basedOn w:val="1"/>
    <w:qFormat/>
    <w:uiPriority w:val="0"/>
    <w:pPr>
      <w:autoSpaceDE/>
      <w:autoSpaceDN/>
      <w:adjustRightInd/>
      <w:spacing w:line="264" w:lineRule="auto"/>
      <w:jc w:val="both"/>
    </w:pPr>
    <w:rPr>
      <w:rFonts w:ascii="Times New Roman"/>
      <w:kern w:val="2"/>
    </w:rPr>
  </w:style>
  <w:style w:type="paragraph" w:customStyle="1" w:styleId="147">
    <w:name w:val="首行缩进"/>
    <w:basedOn w:val="1"/>
    <w:qFormat/>
    <w:uiPriority w:val="0"/>
    <w:pPr>
      <w:ind w:firstLine="480" w:firstLineChars="200"/>
    </w:pPr>
    <w:rPr>
      <w:lang w:val="zh-CN"/>
    </w:rPr>
  </w:style>
  <w:style w:type="paragraph" w:customStyle="1" w:styleId="148">
    <w:name w:val="表正文"/>
    <w:basedOn w:val="1"/>
    <w:next w:val="23"/>
    <w:qFormat/>
    <w:uiPriority w:val="0"/>
    <w:pPr>
      <w:autoSpaceDE/>
      <w:autoSpaceDN/>
      <w:adjustRightInd/>
      <w:spacing w:line="360" w:lineRule="auto"/>
      <w:ind w:left="180" w:leftChars="85" w:right="2" w:hanging="2"/>
      <w:jc w:val="both"/>
    </w:pPr>
    <w:rPr>
      <w:rFonts w:ascii="Arial" w:hAnsi="Arial"/>
      <w:kern w:val="2"/>
      <w:sz w:val="21"/>
      <w:szCs w:val="20"/>
    </w:rPr>
  </w:style>
  <w:style w:type="paragraph" w:customStyle="1" w:styleId="149">
    <w:name w:val="正文缩进6格"/>
    <w:basedOn w:val="138"/>
    <w:qFormat/>
    <w:uiPriority w:val="0"/>
    <w:pPr>
      <w:ind w:left="1758" w:leftChars="854"/>
    </w:pPr>
  </w:style>
  <w:style w:type="paragraph" w:customStyle="1" w:styleId="150">
    <w:name w:val="正文 + 仿宋_GB2312"/>
    <w:basedOn w:val="1"/>
    <w:qFormat/>
    <w:uiPriority w:val="0"/>
    <w:pPr>
      <w:tabs>
        <w:tab w:val="left" w:pos="-720"/>
      </w:tabs>
      <w:spacing w:line="360" w:lineRule="auto"/>
      <w:ind w:firstLine="620"/>
    </w:pPr>
    <w:rPr>
      <w:rFonts w:ascii="仿宋_GB2312" w:hAnsi="宋体" w:cs="宋体"/>
      <w:bCs/>
      <w:sz w:val="31"/>
      <w:szCs w:val="31"/>
    </w:rPr>
  </w:style>
  <w:style w:type="paragraph" w:customStyle="1" w:styleId="151">
    <w:name w:val="默认段落字体 Para Char Char Char Char Char Char Char Char Char Char Char Char Char Char Char Char Char Char Char"/>
    <w:basedOn w:val="1"/>
    <w:qFormat/>
    <w:uiPriority w:val="0"/>
    <w:pPr>
      <w:autoSpaceDE/>
      <w:autoSpaceDN/>
      <w:adjustRightInd/>
      <w:jc w:val="both"/>
    </w:pPr>
    <w:rPr>
      <w:rFonts w:ascii="Tahoma" w:hAnsi="Tahoma"/>
      <w:kern w:val="2"/>
      <w:szCs w:val="20"/>
    </w:rPr>
  </w:style>
  <w:style w:type="paragraph" w:customStyle="1" w:styleId="152">
    <w:name w:val="space"/>
    <w:qFormat/>
    <w:uiPriority w:val="0"/>
    <w:rPr>
      <w:rFonts w:ascii="Times New Roman" w:hAnsi="Times New Roman" w:eastAsia="宋体" w:cs="Times New Roman"/>
      <w:caps/>
      <w:lang w:val="en-US" w:eastAsia="zh-CN" w:bidi="ar-SA"/>
    </w:rPr>
  </w:style>
  <w:style w:type="paragraph" w:customStyle="1" w:styleId="153">
    <w:name w:val="默认段落字体 Para Char Char Char Char Char Char Char"/>
    <w:basedOn w:val="1"/>
    <w:qFormat/>
    <w:uiPriority w:val="0"/>
    <w:pPr>
      <w:autoSpaceDE/>
      <w:autoSpaceDN/>
      <w:adjustRightInd/>
      <w:spacing w:line="360" w:lineRule="auto"/>
      <w:jc w:val="both"/>
    </w:pPr>
    <w:rPr>
      <w:rFonts w:ascii="Tahoma" w:hAnsi="Tahoma"/>
      <w:kern w:val="2"/>
      <w:szCs w:val="20"/>
    </w:rPr>
  </w:style>
  <w:style w:type="paragraph" w:customStyle="1" w:styleId="154">
    <w:name w:val="BodyText"/>
    <w:basedOn w:val="1"/>
    <w:next w:val="1"/>
    <w:qFormat/>
    <w:uiPriority w:val="0"/>
    <w:pPr>
      <w:spacing w:line="360" w:lineRule="auto"/>
      <w:jc w:val="both"/>
      <w:textAlignment w:val="baseline"/>
    </w:pPr>
    <w:rPr>
      <w:b/>
    </w:rPr>
  </w:style>
  <w:style w:type="paragraph" w:customStyle="1" w:styleId="155">
    <w:name w:val="pa-3"/>
    <w:basedOn w:val="1"/>
    <w:qFormat/>
    <w:uiPriority w:val="0"/>
    <w:pPr>
      <w:widowControl/>
      <w:autoSpaceDE/>
      <w:autoSpaceDN/>
      <w:adjustRightInd/>
      <w:spacing w:line="360" w:lineRule="atLeast"/>
      <w:ind w:firstLine="640"/>
      <w:jc w:val="both"/>
    </w:pPr>
    <w:rPr>
      <w:rFonts w:hAnsi="宋体" w:cs="宋体"/>
    </w:rPr>
  </w:style>
  <w:style w:type="paragraph" w:customStyle="1" w:styleId="156">
    <w:name w:val="标题 3.5"/>
    <w:basedOn w:val="5"/>
    <w:qFormat/>
    <w:uiPriority w:val="0"/>
    <w:pPr>
      <w:autoSpaceDE/>
      <w:autoSpaceDN/>
      <w:adjustRightInd/>
      <w:spacing w:line="600" w:lineRule="exact"/>
      <w:jc w:val="both"/>
      <w:outlineLvl w:val="9"/>
    </w:pPr>
    <w:rPr>
      <w:rFonts w:ascii="Times New Roman" w:eastAsia="仿宋_GB2312"/>
      <w:kern w:val="2"/>
      <w:sz w:val="31"/>
    </w:rPr>
  </w:style>
  <w:style w:type="paragraph" w:customStyle="1" w:styleId="157">
    <w:name w:val="图"/>
    <w:basedOn w:val="1"/>
    <w:qFormat/>
    <w:uiPriority w:val="0"/>
    <w:pPr>
      <w:keepNext/>
      <w:autoSpaceDE/>
      <w:autoSpaceDN/>
      <w:spacing w:before="60" w:after="60" w:line="300" w:lineRule="auto"/>
      <w:jc w:val="center"/>
      <w:textAlignment w:val="center"/>
    </w:pPr>
    <w:rPr>
      <w:rFonts w:ascii="Times New Roman"/>
      <w:snapToGrid w:val="0"/>
      <w:spacing w:val="20"/>
      <w:szCs w:val="20"/>
    </w:rPr>
  </w:style>
  <w:style w:type="paragraph" w:customStyle="1" w:styleId="158">
    <w:name w:val="+标题4"/>
    <w:basedOn w:val="6"/>
    <w:qFormat/>
    <w:uiPriority w:val="0"/>
    <w:pPr>
      <w:tabs>
        <w:tab w:val="left" w:pos="338"/>
      </w:tabs>
      <w:autoSpaceDE/>
      <w:autoSpaceDN/>
      <w:adjustRightInd/>
      <w:spacing w:before="120" w:after="120" w:line="360" w:lineRule="auto"/>
      <w:ind w:left="338"/>
      <w:jc w:val="both"/>
    </w:pPr>
    <w:rPr>
      <w:rFonts w:ascii="Times New Roman" w:hAnsi="Times New Roman" w:eastAsia="宋体"/>
      <w:color w:val="000000"/>
      <w:kern w:val="2"/>
      <w:sz w:val="24"/>
    </w:rPr>
  </w:style>
  <w:style w:type="paragraph" w:customStyle="1" w:styleId="159">
    <w:name w:val="标题1"/>
    <w:basedOn w:val="1"/>
    <w:qFormat/>
    <w:uiPriority w:val="0"/>
    <w:pPr>
      <w:widowControl/>
      <w:autoSpaceDE/>
      <w:autoSpaceDN/>
      <w:adjustRightInd/>
      <w:spacing w:line="360" w:lineRule="auto"/>
      <w:jc w:val="center"/>
    </w:pPr>
    <w:rPr>
      <w:rFonts w:ascii="黑体" w:eastAsia="黑体"/>
      <w:b/>
      <w:sz w:val="44"/>
      <w:szCs w:val="20"/>
    </w:rPr>
  </w:style>
  <w:style w:type="paragraph" w:customStyle="1" w:styleId="160">
    <w:name w:val="Blockquote"/>
    <w:basedOn w:val="1"/>
    <w:qFormat/>
    <w:uiPriority w:val="0"/>
    <w:pPr>
      <w:spacing w:before="100" w:after="100"/>
      <w:ind w:left="360" w:right="360"/>
    </w:pPr>
    <w:rPr>
      <w:rFonts w:ascii="Times New Roman"/>
      <w:szCs w:val="20"/>
    </w:rPr>
  </w:style>
  <w:style w:type="paragraph" w:customStyle="1" w:styleId="161">
    <w:name w:val="Table Paragraph"/>
    <w:basedOn w:val="1"/>
    <w:qFormat/>
    <w:uiPriority w:val="1"/>
    <w:rPr>
      <w:rFonts w:hAnsi="宋体" w:cs="宋体"/>
      <w:lang w:val="zh-CN" w:bidi="zh-CN"/>
    </w:rPr>
  </w:style>
  <w:style w:type="paragraph" w:customStyle="1" w:styleId="162">
    <w:name w:val="Char Char Char Char"/>
    <w:basedOn w:val="1"/>
    <w:qFormat/>
    <w:uiPriority w:val="0"/>
    <w:pPr>
      <w:widowControl/>
      <w:autoSpaceDE/>
      <w:autoSpaceDN/>
      <w:adjustRightInd/>
      <w:spacing w:after="160" w:line="240" w:lineRule="exact"/>
    </w:pPr>
    <w:rPr>
      <w:rFonts w:ascii="Times New Roman"/>
      <w:kern w:val="2"/>
      <w:sz w:val="21"/>
      <w:szCs w:val="20"/>
    </w:rPr>
  </w:style>
  <w:style w:type="paragraph" w:customStyle="1" w:styleId="163">
    <w:name w:val="标题4"/>
    <w:basedOn w:val="88"/>
    <w:qFormat/>
    <w:uiPriority w:val="0"/>
    <w:pPr>
      <w:spacing w:line="540" w:lineRule="exact"/>
      <w:ind w:firstLine="0" w:firstLineChars="0"/>
    </w:pPr>
    <w:rPr>
      <w:rFonts w:hAnsi="Times New Roman"/>
      <w:szCs w:val="24"/>
    </w:rPr>
  </w:style>
  <w:style w:type="paragraph" w:customStyle="1" w:styleId="164">
    <w:name w:val="A."/>
    <w:basedOn w:val="1"/>
    <w:qFormat/>
    <w:uiPriority w:val="0"/>
    <w:pPr>
      <w:widowControl/>
      <w:autoSpaceDE/>
      <w:autoSpaceDN/>
      <w:adjustRightInd/>
      <w:spacing w:line="264" w:lineRule="auto"/>
      <w:jc w:val="both"/>
    </w:pPr>
    <w:rPr>
      <w:rFonts w:ascii="Times New Roman"/>
      <w:kern w:val="2"/>
    </w:rPr>
  </w:style>
  <w:style w:type="paragraph" w:customStyle="1" w:styleId="165">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66">
    <w:name w:val="默认段落字体 Para Char Char Char Char"/>
    <w:basedOn w:val="1"/>
    <w:qFormat/>
    <w:uiPriority w:val="0"/>
    <w:pPr>
      <w:autoSpaceDE/>
      <w:autoSpaceDN/>
      <w:adjustRightInd/>
      <w:jc w:val="both"/>
    </w:pPr>
    <w:rPr>
      <w:rFonts w:ascii="Arial" w:hAnsi="Arial" w:cs="Arial"/>
      <w:kern w:val="2"/>
      <w:sz w:val="21"/>
      <w:szCs w:val="21"/>
    </w:rPr>
  </w:style>
  <w:style w:type="paragraph" w:customStyle="1" w:styleId="167">
    <w:name w:val="网格表 31"/>
    <w:basedOn w:val="3"/>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68">
    <w:name w:val="0"/>
    <w:basedOn w:val="1"/>
    <w:qFormat/>
    <w:uiPriority w:val="0"/>
    <w:pPr>
      <w:widowControl/>
      <w:autoSpaceDE/>
      <w:autoSpaceDN/>
      <w:adjustRightInd/>
      <w:snapToGrid w:val="0"/>
      <w:jc w:val="both"/>
    </w:pPr>
    <w:rPr>
      <w:rFonts w:ascii="Times New Roman"/>
      <w:sz w:val="21"/>
      <w:szCs w:val="21"/>
    </w:rPr>
  </w:style>
  <w:style w:type="paragraph" w:customStyle="1" w:styleId="169">
    <w:name w:val="+正文"/>
    <w:basedOn w:val="1"/>
    <w:qFormat/>
    <w:uiPriority w:val="0"/>
    <w:pPr>
      <w:autoSpaceDE/>
      <w:autoSpaceDN/>
      <w:adjustRightInd/>
      <w:spacing w:line="360" w:lineRule="auto"/>
      <w:ind w:firstLine="200" w:firstLineChars="200"/>
      <w:jc w:val="both"/>
    </w:pPr>
    <w:rPr>
      <w:rFonts w:ascii="Times New Roman"/>
      <w:kern w:val="2"/>
      <w:szCs w:val="28"/>
    </w:rPr>
  </w:style>
  <w:style w:type="paragraph" w:customStyle="1" w:styleId="170">
    <w:name w:val="样式－1"/>
    <w:basedOn w:val="3"/>
    <w:qFormat/>
    <w:uiPriority w:val="0"/>
    <w:pPr>
      <w:keepNext/>
      <w:keepLines/>
      <w:tabs>
        <w:tab w:val="left" w:pos="425"/>
      </w:tabs>
      <w:autoSpaceDE/>
      <w:autoSpaceDN/>
      <w:adjustRightInd/>
      <w:snapToGrid w:val="0"/>
      <w:spacing w:line="480" w:lineRule="atLeast"/>
      <w:ind w:left="425" w:hanging="425"/>
      <w:jc w:val="center"/>
    </w:pPr>
    <w:rPr>
      <w:rFonts w:ascii="Times New Roman"/>
      <w:b/>
      <w:bCs/>
      <w:color w:val="000000"/>
      <w:kern w:val="44"/>
      <w:szCs w:val="28"/>
    </w:rPr>
  </w:style>
  <w:style w:type="paragraph" w:customStyle="1" w:styleId="171">
    <w:name w:val="基准标题"/>
    <w:basedOn w:val="19"/>
    <w:next w:val="19"/>
    <w:qFormat/>
    <w:uiPriority w:val="0"/>
    <w:pPr>
      <w:keepNext/>
      <w:keepLines/>
      <w:widowControl/>
      <w:autoSpaceDE/>
      <w:autoSpaceDN/>
      <w:adjustRightInd/>
      <w:spacing w:line="240" w:lineRule="atLeast"/>
      <w:ind w:right="0"/>
      <w:jc w:val="left"/>
    </w:pPr>
    <w:rPr>
      <w:rFonts w:ascii="Garamond" w:hAnsi="Garamond"/>
      <w:b w:val="0"/>
      <w:bCs w:val="0"/>
      <w:spacing w:val="-5"/>
      <w:kern w:val="20"/>
      <w:sz w:val="24"/>
      <w:szCs w:val="20"/>
      <w:lang w:val="en-US"/>
    </w:rPr>
  </w:style>
  <w:style w:type="paragraph" w:customStyle="1" w:styleId="172">
    <w:name w:val="Char1"/>
    <w:basedOn w:val="15"/>
    <w:qFormat/>
    <w:uiPriority w:val="0"/>
    <w:pPr>
      <w:autoSpaceDE/>
      <w:autoSpaceDN/>
      <w:adjustRightInd/>
      <w:jc w:val="both"/>
    </w:pPr>
    <w:rPr>
      <w:rFonts w:ascii="Tahoma" w:hAnsi="Tahoma"/>
      <w:kern w:val="2"/>
    </w:rPr>
  </w:style>
  <w:style w:type="paragraph" w:customStyle="1" w:styleId="173">
    <w:name w:val="表标题"/>
    <w:basedOn w:val="1"/>
    <w:next w:val="1"/>
    <w:qFormat/>
    <w:uiPriority w:val="0"/>
    <w:pPr>
      <w:autoSpaceDE/>
      <w:autoSpaceDN/>
      <w:adjustRightInd/>
      <w:spacing w:before="80" w:after="80"/>
      <w:jc w:val="center"/>
    </w:pPr>
    <w:rPr>
      <w:rFonts w:ascii="Times New Roman"/>
      <w:kern w:val="2"/>
    </w:rPr>
  </w:style>
  <w:style w:type="paragraph" w:customStyle="1" w:styleId="174">
    <w:name w:val="Char Char3"/>
    <w:basedOn w:val="1"/>
    <w:qFormat/>
    <w:uiPriority w:val="0"/>
    <w:pPr>
      <w:widowControl/>
      <w:autoSpaceDE/>
      <w:autoSpaceDN/>
      <w:adjustRightInd/>
      <w:spacing w:after="160" w:line="240" w:lineRule="exact"/>
      <w:jc w:val="center"/>
    </w:pPr>
    <w:rPr>
      <w:rFonts w:ascii="Tahoma" w:hAnsi="Tahoma"/>
      <w:kern w:val="2"/>
    </w:rPr>
  </w:style>
  <w:style w:type="paragraph" w:customStyle="1" w:styleId="175">
    <w:name w:val="Char1 Char Char Char1 Char Char Char"/>
    <w:basedOn w:val="1"/>
    <w:qFormat/>
    <w:uiPriority w:val="0"/>
    <w:pPr>
      <w:autoSpaceDE/>
      <w:autoSpaceDN/>
      <w:adjustRightInd/>
      <w:spacing w:line="360" w:lineRule="auto"/>
    </w:pPr>
    <w:rPr>
      <w:rFonts w:ascii="Times New Roman"/>
      <w:kern w:val="2"/>
      <w:sz w:val="21"/>
    </w:rPr>
  </w:style>
  <w:style w:type="paragraph" w:customStyle="1" w:styleId="176">
    <w:name w:val="+标题3"/>
    <w:basedOn w:val="5"/>
    <w:qFormat/>
    <w:uiPriority w:val="0"/>
    <w:pPr>
      <w:keepNext/>
      <w:keepLines/>
      <w:tabs>
        <w:tab w:val="left" w:pos="1055"/>
      </w:tabs>
      <w:autoSpaceDE/>
      <w:autoSpaceDN/>
      <w:adjustRightInd/>
      <w:spacing w:before="120" w:after="120" w:line="360" w:lineRule="auto"/>
      <w:ind w:left="1055" w:hanging="833"/>
      <w:jc w:val="both"/>
    </w:pPr>
    <w:rPr>
      <w:rFonts w:ascii="Times New Roman"/>
      <w:b/>
      <w:bCs/>
      <w:szCs w:val="28"/>
    </w:rPr>
  </w:style>
  <w:style w:type="paragraph" w:customStyle="1" w:styleId="177">
    <w:name w:val="保留正文"/>
    <w:basedOn w:val="19"/>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78">
    <w:name w:val="D标3"/>
    <w:basedOn w:val="5"/>
    <w:qFormat/>
    <w:uiPriority w:val="0"/>
    <w:pPr>
      <w:tabs>
        <w:tab w:val="left" w:pos="786"/>
      </w:tabs>
      <w:spacing w:before="120" w:line="480" w:lineRule="atLeast"/>
      <w:ind w:left="786" w:hanging="360"/>
      <w:jc w:val="both"/>
    </w:pPr>
    <w:rPr>
      <w:szCs w:val="20"/>
    </w:rPr>
  </w:style>
  <w:style w:type="paragraph" w:customStyle="1" w:styleId="179">
    <w:name w:val="d"/>
    <w:basedOn w:val="1"/>
    <w:qFormat/>
    <w:uiPriority w:val="0"/>
    <w:pPr>
      <w:autoSpaceDE/>
      <w:autoSpaceDN/>
      <w:snapToGrid w:val="0"/>
      <w:spacing w:line="360" w:lineRule="auto"/>
      <w:ind w:firstLine="420" w:firstLineChars="200"/>
      <w:jc w:val="both"/>
    </w:pPr>
    <w:rPr>
      <w:rFonts w:hAnsi="宋体" w:cs="Arial"/>
      <w:snapToGrid w:val="0"/>
      <w:sz w:val="21"/>
      <w:szCs w:val="18"/>
    </w:rPr>
  </w:style>
  <w:style w:type="paragraph" w:customStyle="1" w:styleId="180">
    <w:name w:val="Default Paragraph Font Para Char"/>
    <w:basedOn w:val="1"/>
    <w:qFormat/>
    <w:uiPriority w:val="0"/>
    <w:pPr>
      <w:widowControl/>
      <w:autoSpaceDE/>
      <w:autoSpaceDN/>
      <w:adjustRightInd/>
      <w:spacing w:after="160" w:line="240" w:lineRule="exact"/>
    </w:pPr>
    <w:rPr>
      <w:rFonts w:ascii="Times New Roman"/>
      <w:kern w:val="2"/>
      <w:sz w:val="21"/>
    </w:rPr>
  </w:style>
  <w:style w:type="paragraph" w:customStyle="1" w:styleId="181">
    <w:name w:val="Char Char Char Char Char Char Char Char Char Char"/>
    <w:basedOn w:val="1"/>
    <w:qFormat/>
    <w:uiPriority w:val="0"/>
    <w:pPr>
      <w:widowControl/>
      <w:autoSpaceDE/>
      <w:autoSpaceDN/>
      <w:adjustRightInd/>
      <w:spacing w:after="160" w:line="240" w:lineRule="exact"/>
    </w:pPr>
    <w:rPr>
      <w:rFonts w:ascii="Verdana" w:hAnsi="Verdana" w:cs="Verdana"/>
      <w:sz w:val="20"/>
      <w:szCs w:val="20"/>
      <w:lang w:eastAsia="en-US"/>
    </w:rPr>
  </w:style>
  <w:style w:type="paragraph" w:customStyle="1" w:styleId="182">
    <w:name w:val="a)"/>
    <w:basedOn w:val="1"/>
    <w:qFormat/>
    <w:uiPriority w:val="0"/>
    <w:pPr>
      <w:autoSpaceDE/>
      <w:autoSpaceDN/>
      <w:adjustRightInd/>
      <w:spacing w:line="264" w:lineRule="auto"/>
      <w:jc w:val="both"/>
    </w:pPr>
    <w:rPr>
      <w:rFonts w:ascii="Times New Roman"/>
      <w:kern w:val="2"/>
    </w:rPr>
  </w:style>
  <w:style w:type="paragraph" w:customStyle="1" w:styleId="183">
    <w:name w:val="+标题2"/>
    <w:basedOn w:val="4"/>
    <w:qFormat/>
    <w:uiPriority w:val="0"/>
    <w:pPr>
      <w:keepNext/>
      <w:keepLines/>
      <w:tabs>
        <w:tab w:val="left" w:pos="431"/>
      </w:tabs>
      <w:autoSpaceDE/>
      <w:autoSpaceDN/>
      <w:adjustRightInd/>
      <w:spacing w:before="120" w:after="120" w:line="360" w:lineRule="auto"/>
      <w:ind w:left="431" w:hanging="431"/>
      <w:jc w:val="both"/>
    </w:pPr>
    <w:rPr>
      <w:rFonts w:ascii="Times New Roman"/>
      <w:b/>
      <w:bCs/>
      <w:szCs w:val="28"/>
    </w:rPr>
  </w:style>
  <w:style w:type="paragraph" w:customStyle="1" w:styleId="184">
    <w:name w:val="DAS正文"/>
    <w:basedOn w:val="1"/>
    <w:qFormat/>
    <w:uiPriority w:val="0"/>
    <w:pPr>
      <w:autoSpaceDE/>
      <w:autoSpaceDN/>
      <w:adjustRightInd/>
      <w:spacing w:line="360" w:lineRule="exact"/>
      <w:jc w:val="both"/>
    </w:pPr>
    <w:rPr>
      <w:rFonts w:ascii="Verdana" w:hAnsi="Verdana"/>
      <w:kern w:val="2"/>
      <w:sz w:val="21"/>
      <w:szCs w:val="21"/>
    </w:rPr>
  </w:style>
  <w:style w:type="paragraph" w:customStyle="1" w:styleId="185">
    <w:name w:val="p0"/>
    <w:basedOn w:val="1"/>
    <w:qFormat/>
    <w:uiPriority w:val="0"/>
    <w:pPr>
      <w:widowControl/>
      <w:autoSpaceDE/>
      <w:autoSpaceDN/>
      <w:adjustRightInd/>
      <w:jc w:val="both"/>
    </w:pPr>
    <w:rPr>
      <w:rFonts w:ascii="Calibri" w:hAnsi="Calibri"/>
      <w:sz w:val="21"/>
      <w:szCs w:val="20"/>
    </w:rPr>
  </w:style>
  <w:style w:type="paragraph" w:customStyle="1" w:styleId="186">
    <w:name w:val="修订1"/>
    <w:unhideWhenUsed/>
    <w:qFormat/>
    <w:uiPriority w:val="99"/>
    <w:rPr>
      <w:rFonts w:ascii="Times New Roman" w:hAnsi="Times New Roman" w:eastAsia="宋体" w:cs="Times New Roman"/>
      <w:kern w:val="2"/>
      <w:sz w:val="24"/>
      <w:szCs w:val="24"/>
      <w:lang w:val="en-US" w:eastAsia="zh-CN" w:bidi="ar-SA"/>
    </w:rPr>
  </w:style>
  <w:style w:type="paragraph" w:customStyle="1" w:styleId="187">
    <w:name w:val="Char11"/>
    <w:basedOn w:val="15"/>
    <w:qFormat/>
    <w:uiPriority w:val="0"/>
    <w:pPr>
      <w:autoSpaceDE/>
      <w:autoSpaceDN/>
      <w:adjustRightInd/>
      <w:jc w:val="both"/>
    </w:pPr>
    <w:rPr>
      <w:rFonts w:ascii="Tahoma" w:hAnsi="Tahoma"/>
      <w:kern w:val="2"/>
    </w:rPr>
  </w:style>
  <w:style w:type="paragraph" w:customStyle="1" w:styleId="188">
    <w:name w:val="纯文本1"/>
    <w:basedOn w:val="1"/>
    <w:qFormat/>
    <w:uiPriority w:val="0"/>
    <w:pPr>
      <w:autoSpaceDE/>
      <w:autoSpaceDN/>
      <w:jc w:val="both"/>
      <w:textAlignment w:val="baseline"/>
    </w:pPr>
    <w:rPr>
      <w:rFonts w:hAnsi="Courier New" w:eastAsia="楷体_GB2312"/>
      <w:kern w:val="2"/>
      <w:sz w:val="26"/>
      <w:szCs w:val="20"/>
    </w:rPr>
  </w:style>
  <w:style w:type="paragraph" w:customStyle="1" w:styleId="189">
    <w:name w:val="Char1 Char Char Char Char Char Char1"/>
    <w:basedOn w:val="1"/>
    <w:qFormat/>
    <w:uiPriority w:val="0"/>
    <w:pPr>
      <w:widowControl/>
      <w:autoSpaceDE/>
      <w:autoSpaceDN/>
      <w:adjustRightInd/>
      <w:spacing w:line="400" w:lineRule="exact"/>
      <w:jc w:val="center"/>
    </w:pPr>
    <w:rPr>
      <w:rFonts w:ascii="Verdana" w:hAnsi="Verdana"/>
      <w:sz w:val="21"/>
      <w:szCs w:val="20"/>
      <w:lang w:eastAsia="en-US"/>
    </w:rPr>
  </w:style>
  <w:style w:type="paragraph" w:customStyle="1" w:styleId="190">
    <w:name w:val="正文楷 Char"/>
    <w:basedOn w:val="1"/>
    <w:qFormat/>
    <w:uiPriority w:val="0"/>
    <w:pPr>
      <w:autoSpaceDE/>
      <w:autoSpaceDN/>
      <w:adjustRightInd/>
      <w:spacing w:line="500" w:lineRule="exact"/>
      <w:ind w:firstLine="560" w:firstLineChars="200"/>
      <w:jc w:val="both"/>
    </w:pPr>
    <w:rPr>
      <w:rFonts w:ascii="楷体_GB2312" w:hAnsi="楷体_GB2312" w:eastAsia="楷体_GB2312" w:cs="宋体"/>
      <w:kern w:val="2"/>
      <w:sz w:val="28"/>
      <w:szCs w:val="20"/>
    </w:rPr>
  </w:style>
  <w:style w:type="paragraph" w:customStyle="1" w:styleId="191">
    <w:name w:val="xl39"/>
    <w:basedOn w:val="1"/>
    <w:qFormat/>
    <w:uiPriority w:val="0"/>
    <w:pPr>
      <w:widowControl/>
      <w:pBdr>
        <w:right w:val="single" w:color="auto" w:sz="4" w:space="0"/>
      </w:pBdr>
      <w:autoSpaceDE/>
      <w:autoSpaceDN/>
      <w:adjustRightInd/>
      <w:spacing w:before="100" w:beforeAutospacing="1" w:after="100" w:afterAutospacing="1"/>
      <w:jc w:val="center"/>
      <w:textAlignment w:val="center"/>
    </w:pPr>
    <w:rPr>
      <w:rFonts w:ascii="Times New Roman"/>
      <w:sz w:val="21"/>
      <w:szCs w:val="21"/>
    </w:rPr>
  </w:style>
  <w:style w:type="paragraph" w:customStyle="1" w:styleId="192">
    <w:name w:val="样式4"/>
    <w:basedOn w:val="1"/>
    <w:qFormat/>
    <w:uiPriority w:val="0"/>
    <w:pPr>
      <w:tabs>
        <w:tab w:val="left" w:pos="851"/>
        <w:tab w:val="left" w:pos="1984"/>
      </w:tabs>
      <w:autoSpaceDE/>
      <w:autoSpaceDN/>
      <w:adjustRightInd/>
      <w:ind w:left="851" w:hanging="851"/>
      <w:jc w:val="both"/>
    </w:pPr>
    <w:rPr>
      <w:rFonts w:ascii="Times New Roman"/>
      <w:kern w:val="2"/>
      <w:sz w:val="21"/>
    </w:rPr>
  </w:style>
  <w:style w:type="paragraph" w:customStyle="1" w:styleId="193">
    <w:name w:val="默认段落字体 Para Char Char Char Char Char Char Char Char Char1 Char Char Char Char Char Char Char"/>
    <w:basedOn w:val="15"/>
    <w:qFormat/>
    <w:uiPriority w:val="0"/>
    <w:pPr>
      <w:autoSpaceDE/>
      <w:autoSpaceDN/>
      <w:adjustRightInd/>
      <w:jc w:val="both"/>
    </w:pPr>
    <w:rPr>
      <w:rFonts w:ascii="Tahoma" w:hAnsi="Tahoma"/>
      <w:kern w:val="2"/>
    </w:rPr>
  </w:style>
  <w:style w:type="paragraph" w:customStyle="1" w:styleId="194">
    <w:name w:val="Char Char Char Char Char Char Char"/>
    <w:basedOn w:val="1"/>
    <w:qFormat/>
    <w:uiPriority w:val="0"/>
    <w:pPr>
      <w:autoSpaceDE/>
      <w:autoSpaceDN/>
      <w:adjustRightInd/>
      <w:jc w:val="both"/>
    </w:pPr>
    <w:rPr>
      <w:rFonts w:ascii="Times New Roman"/>
      <w:kern w:val="2"/>
      <w:sz w:val="21"/>
    </w:rPr>
  </w:style>
  <w:style w:type="paragraph" w:customStyle="1" w:styleId="195">
    <w:name w:val="日期右"/>
    <w:basedOn w:val="28"/>
    <w:qFormat/>
    <w:uiPriority w:val="0"/>
    <w:pPr>
      <w:autoSpaceDE/>
      <w:autoSpaceDN/>
      <w:adjustRightInd/>
      <w:spacing w:line="600" w:lineRule="exact"/>
      <w:ind w:left="0" w:leftChars="0"/>
      <w:jc w:val="right"/>
    </w:pPr>
    <w:rPr>
      <w:rFonts w:ascii="Times New Roman" w:eastAsia="仿宋_GB2312"/>
      <w:b w:val="0"/>
      <w:bCs w:val="0"/>
      <w:sz w:val="31"/>
      <w:szCs w:val="24"/>
      <w:lang w:val="en-US"/>
    </w:rPr>
  </w:style>
  <w:style w:type="paragraph" w:customStyle="1" w:styleId="196">
    <w:name w:val="表头"/>
    <w:basedOn w:val="14"/>
    <w:qFormat/>
    <w:uiPriority w:val="0"/>
    <w:pPr>
      <w:keepNext/>
      <w:keepLines/>
      <w:widowControl/>
      <w:autoSpaceDE/>
      <w:autoSpaceDN/>
      <w:adjustRightInd/>
      <w:spacing w:before="120" w:after="120" w:line="300" w:lineRule="auto"/>
      <w:jc w:val="center"/>
      <w:textAlignment w:val="baseline"/>
    </w:pPr>
    <w:rPr>
      <w:rFonts w:cs="Times New Roman"/>
      <w:sz w:val="21"/>
    </w:rPr>
  </w:style>
  <w:style w:type="paragraph" w:customStyle="1" w:styleId="197">
    <w:name w:val="列表4"/>
    <w:basedOn w:val="1"/>
    <w:qFormat/>
    <w:uiPriority w:val="0"/>
    <w:pPr>
      <w:autoSpaceDE/>
      <w:autoSpaceDN/>
      <w:adjustRightInd/>
      <w:snapToGrid w:val="0"/>
      <w:jc w:val="both"/>
    </w:pPr>
    <w:rPr>
      <w:rFonts w:ascii="Times New Roman"/>
      <w:kern w:val="2"/>
      <w:sz w:val="28"/>
      <w:szCs w:val="20"/>
    </w:rPr>
  </w:style>
  <w:style w:type="paragraph" w:customStyle="1" w:styleId="198">
    <w:name w:val="正文无缩进"/>
    <w:basedOn w:val="88"/>
    <w:qFormat/>
    <w:uiPriority w:val="0"/>
    <w:pPr>
      <w:ind w:firstLine="0" w:firstLineChars="0"/>
    </w:pPr>
  </w:style>
  <w:style w:type="paragraph" w:customStyle="1" w:styleId="199">
    <w:name w:val="_Style 21"/>
    <w:basedOn w:val="15"/>
    <w:qFormat/>
    <w:uiPriority w:val="0"/>
    <w:pPr>
      <w:snapToGrid w:val="0"/>
      <w:spacing w:line="360" w:lineRule="auto"/>
    </w:pPr>
    <w:rPr>
      <w:rFonts w:ascii="Tahoma" w:hAnsi="Tahoma"/>
      <w:kern w:val="2"/>
    </w:rPr>
  </w:style>
  <w:style w:type="paragraph" w:customStyle="1" w:styleId="200">
    <w:name w:val="Char2"/>
    <w:basedOn w:val="1"/>
    <w:qFormat/>
    <w:uiPriority w:val="0"/>
    <w:pPr>
      <w:widowControl/>
      <w:autoSpaceDE/>
      <w:autoSpaceDN/>
      <w:adjustRightInd/>
      <w:spacing w:after="160" w:line="240" w:lineRule="exact"/>
      <w:jc w:val="center"/>
    </w:pPr>
    <w:rPr>
      <w:rFonts w:ascii="黑体" w:hAnsi="Verdana" w:eastAsia="黑体"/>
      <w:sz w:val="32"/>
      <w:szCs w:val="32"/>
      <w:lang w:eastAsia="en-US"/>
    </w:rPr>
  </w:style>
  <w:style w:type="paragraph" w:customStyle="1" w:styleId="201">
    <w:name w:val="样式1"/>
    <w:basedOn w:val="1"/>
    <w:qFormat/>
    <w:uiPriority w:val="0"/>
    <w:pPr>
      <w:autoSpaceDE/>
      <w:autoSpaceDN/>
      <w:adjustRightInd/>
      <w:jc w:val="both"/>
    </w:pPr>
    <w:rPr>
      <w:rFonts w:ascii="Times New Roman"/>
      <w:kern w:val="2"/>
      <w:szCs w:val="20"/>
    </w:rPr>
  </w:style>
  <w:style w:type="paragraph" w:customStyle="1" w:styleId="202">
    <w:name w:val="Revision"/>
    <w:unhideWhenUsed/>
    <w:qFormat/>
    <w:uiPriority w:val="99"/>
    <w:rPr>
      <w:rFonts w:ascii="宋体" w:hAnsi="Times New Roman" w:eastAsia="宋体" w:cs="Times New Roman"/>
      <w:sz w:val="24"/>
      <w:szCs w:val="24"/>
      <w:lang w:val="en-US" w:eastAsia="zh-CN" w:bidi="ar-SA"/>
    </w:rPr>
  </w:style>
  <w:style w:type="paragraph" w:customStyle="1" w:styleId="203">
    <w:name w:val="样式 标题 2标题 2 Char Char Char Char标题 2 Char Char Char Char Char C..."/>
    <w:basedOn w:val="4"/>
    <w:qFormat/>
    <w:uiPriority w:val="0"/>
    <w:pPr>
      <w:keepNext/>
      <w:keepLines/>
      <w:autoSpaceDE/>
      <w:autoSpaceDN/>
      <w:adjustRightInd/>
      <w:snapToGrid w:val="0"/>
      <w:jc w:val="both"/>
    </w:pPr>
    <w:rPr>
      <w:rFonts w:ascii="黑体" w:eastAsia="黑体"/>
      <w:color w:val="000000"/>
      <w:spacing w:val="2"/>
      <w:szCs w:val="30"/>
    </w:rPr>
  </w:style>
  <w:style w:type="paragraph" w:customStyle="1" w:styleId="204">
    <w:name w:val="表中文字"/>
    <w:basedOn w:val="1"/>
    <w:qFormat/>
    <w:uiPriority w:val="0"/>
    <w:pPr>
      <w:spacing w:line="400" w:lineRule="atLeast"/>
      <w:ind w:left="35" w:leftChars="14" w:hanging="1"/>
      <w:jc w:val="center"/>
      <w:textAlignment w:val="baseline"/>
    </w:pPr>
    <w:rPr>
      <w:rFonts w:ascii="Verdana" w:hAnsi="Verdana"/>
      <w:sz w:val="21"/>
      <w:szCs w:val="28"/>
    </w:rPr>
  </w:style>
  <w:style w:type="paragraph" w:customStyle="1" w:styleId="205">
    <w:name w:val="样式 加粗 段前: 7.8 磅 段后: 7.8 磅 行距: 固定值 20 磅"/>
    <w:basedOn w:val="1"/>
    <w:qFormat/>
    <w:uiPriority w:val="0"/>
    <w:pPr>
      <w:autoSpaceDE/>
      <w:autoSpaceDN/>
      <w:adjustRightInd/>
      <w:spacing w:before="60" w:after="60" w:line="360" w:lineRule="exact"/>
      <w:jc w:val="both"/>
    </w:pPr>
    <w:rPr>
      <w:rFonts w:ascii="Times New Roman" w:cs="宋体"/>
      <w:b/>
      <w:bCs/>
      <w:spacing w:val="-2"/>
      <w:kern w:val="2"/>
      <w:szCs w:val="20"/>
    </w:rPr>
  </w:style>
  <w:style w:type="paragraph" w:customStyle="1" w:styleId="206">
    <w:name w:val="Char1 Char Char Char"/>
    <w:basedOn w:val="1"/>
    <w:qFormat/>
    <w:uiPriority w:val="0"/>
    <w:pPr>
      <w:tabs>
        <w:tab w:val="left" w:pos="360"/>
      </w:tabs>
      <w:autoSpaceDE/>
      <w:autoSpaceDN/>
      <w:adjustRightInd/>
      <w:ind w:left="340" w:hanging="340"/>
      <w:jc w:val="both"/>
    </w:pPr>
    <w:rPr>
      <w:rFonts w:ascii="Times New Roman"/>
      <w:kern w:val="2"/>
    </w:rPr>
  </w:style>
  <w:style w:type="paragraph" w:customStyle="1" w:styleId="207">
    <w:name w:val="Char Char1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customStyle="1" w:styleId="208">
    <w:name w:val="1)"/>
    <w:basedOn w:val="1"/>
    <w:qFormat/>
    <w:uiPriority w:val="0"/>
    <w:pPr>
      <w:autoSpaceDE/>
      <w:autoSpaceDN/>
      <w:adjustRightInd/>
      <w:spacing w:line="264" w:lineRule="auto"/>
      <w:jc w:val="both"/>
    </w:pPr>
    <w:rPr>
      <w:rFonts w:ascii="Times New Roman"/>
      <w:kern w:val="2"/>
    </w:rPr>
  </w:style>
  <w:style w:type="paragraph" w:customStyle="1" w:styleId="209">
    <w:name w:val="修订版本号"/>
    <w:semiHidden/>
    <w:qFormat/>
    <w:uiPriority w:val="99"/>
    <w:rPr>
      <w:rFonts w:ascii="宋体" w:hAnsi="Times New Roman" w:eastAsia="宋体" w:cs="Times New Roman"/>
      <w:sz w:val="24"/>
      <w:szCs w:val="24"/>
      <w:lang w:val="en-US" w:eastAsia="zh-CN" w:bidi="ar-SA"/>
    </w:rPr>
  </w:style>
  <w:style w:type="paragraph" w:customStyle="1" w:styleId="210">
    <w:name w:val="Char Char1 Char Char Char Char Char Char Char Char Char Char Char Char Char"/>
    <w:basedOn w:val="1"/>
    <w:qFormat/>
    <w:uiPriority w:val="0"/>
    <w:pPr>
      <w:widowControl/>
      <w:autoSpaceDE/>
      <w:autoSpaceDN/>
      <w:adjustRightInd/>
      <w:spacing w:after="160" w:line="360" w:lineRule="auto"/>
    </w:pPr>
    <w:rPr>
      <w:rFonts w:ascii="Verdana" w:hAnsi="Verdana"/>
      <w:sz w:val="21"/>
      <w:szCs w:val="20"/>
      <w:lang w:eastAsia="en-US"/>
    </w:rPr>
  </w:style>
  <w:style w:type="paragraph" w:customStyle="1" w:styleId="211">
    <w:name w:val="样式3"/>
    <w:basedOn w:val="26"/>
    <w:qFormat/>
    <w:uiPriority w:val="0"/>
    <w:pPr>
      <w:spacing w:line="0" w:lineRule="atLeast"/>
      <w:outlineLvl w:val="0"/>
    </w:pPr>
    <w:rPr>
      <w:sz w:val="28"/>
    </w:rPr>
  </w:style>
  <w:style w:type="paragraph" w:customStyle="1" w:styleId="212">
    <w:name w:val="Char Char Char Char1"/>
    <w:basedOn w:val="1"/>
    <w:qFormat/>
    <w:uiPriority w:val="0"/>
    <w:pPr>
      <w:tabs>
        <w:tab w:val="left" w:pos="284"/>
      </w:tabs>
      <w:autoSpaceDE/>
      <w:autoSpaceDN/>
      <w:adjustRightInd/>
      <w:jc w:val="both"/>
    </w:pPr>
    <w:rPr>
      <w:rFonts w:ascii="Times New Roman"/>
      <w:kern w:val="2"/>
      <w:sz w:val="21"/>
    </w:rPr>
  </w:style>
  <w:style w:type="paragraph" w:customStyle="1" w:styleId="213">
    <w:name w:val="样式 样式 小四 首行缩进:  0.85 厘米 + 首行缩进:  2 字符"/>
    <w:basedOn w:val="1"/>
    <w:qFormat/>
    <w:uiPriority w:val="0"/>
    <w:pPr>
      <w:autoSpaceDE/>
      <w:autoSpaceDN/>
      <w:snapToGrid w:val="0"/>
      <w:spacing w:line="360" w:lineRule="auto"/>
      <w:ind w:firstLine="584" w:firstLineChars="200"/>
      <w:jc w:val="both"/>
    </w:pPr>
    <w:rPr>
      <w:rFonts w:ascii="Times New Roman" w:cs="宋体"/>
      <w:snapToGrid w:val="0"/>
      <w:sz w:val="28"/>
      <w:szCs w:val="28"/>
    </w:rPr>
  </w:style>
  <w:style w:type="paragraph" w:customStyle="1" w:styleId="214">
    <w:name w:val="Char Char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customStyle="1" w:styleId="215">
    <w:name w:val="Char1 Char Char Char Char Char Char"/>
    <w:basedOn w:val="1"/>
    <w:qFormat/>
    <w:uiPriority w:val="0"/>
    <w:pPr>
      <w:widowControl/>
      <w:autoSpaceDE/>
      <w:autoSpaceDN/>
      <w:adjustRightInd/>
      <w:spacing w:line="400" w:lineRule="exact"/>
      <w:jc w:val="center"/>
    </w:pPr>
    <w:rPr>
      <w:rFonts w:ascii="Verdana" w:hAnsi="Verdana"/>
      <w:sz w:val="21"/>
      <w:szCs w:val="20"/>
      <w:lang w:eastAsia="en-US"/>
    </w:rPr>
  </w:style>
  <w:style w:type="paragraph" w:customStyle="1" w:styleId="216">
    <w:name w:val="表格字体"/>
    <w:basedOn w:val="1"/>
    <w:qFormat/>
    <w:uiPriority w:val="0"/>
    <w:pPr>
      <w:autoSpaceDE/>
      <w:autoSpaceDN/>
      <w:snapToGrid w:val="0"/>
    </w:pPr>
    <w:rPr>
      <w:rFonts w:ascii="微软雅黑" w:hAnsi="微软雅黑" w:eastAsia="仿宋"/>
      <w:kern w:val="2"/>
      <w:sz w:val="20"/>
      <w:szCs w:val="22"/>
    </w:rPr>
  </w:style>
  <w:style w:type="paragraph" w:customStyle="1" w:styleId="217">
    <w:name w:val="样式 正文缩进首行缩进两字 + 左侧:  0.99 厘米 首行缩进:  0.99 厘米"/>
    <w:basedOn w:val="8"/>
    <w:qFormat/>
    <w:uiPriority w:val="0"/>
    <w:pPr>
      <w:widowControl w:val="0"/>
      <w:adjustRightInd w:val="0"/>
      <w:snapToGrid w:val="0"/>
      <w:spacing w:line="360" w:lineRule="auto"/>
      <w:ind w:left="113" w:firstLine="561" w:firstLineChars="0"/>
      <w:jc w:val="both"/>
    </w:pPr>
    <w:rPr>
      <w:rFonts w:ascii="宋体" w:cs="宋体"/>
      <w:kern w:val="2"/>
      <w:sz w:val="28"/>
    </w:rPr>
  </w:style>
  <w:style w:type="paragraph" w:customStyle="1" w:styleId="218">
    <w:name w:val="Char"/>
    <w:basedOn w:val="1"/>
    <w:qFormat/>
    <w:uiPriority w:val="0"/>
    <w:pPr>
      <w:widowControl/>
      <w:autoSpaceDE/>
      <w:autoSpaceDN/>
      <w:adjustRightInd/>
      <w:spacing w:after="160" w:line="240" w:lineRule="exact"/>
      <w:jc w:val="center"/>
    </w:pPr>
    <w:rPr>
      <w:rFonts w:ascii="黑体" w:hAnsi="Verdana" w:eastAsia="黑体"/>
      <w:sz w:val="32"/>
      <w:szCs w:val="32"/>
      <w:lang w:eastAsia="en-US"/>
    </w:rPr>
  </w:style>
  <w:style w:type="table" w:customStyle="1" w:styleId="219">
    <w:name w:val="网格型1"/>
    <w:basedOn w:val="4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99</Pages>
  <Words>8970</Words>
  <Characters>51130</Characters>
  <Lines>426</Lines>
  <Paragraphs>119</Paragraphs>
  <TotalTime>113</TotalTime>
  <ScaleCrop>false</ScaleCrop>
  <LinksUpToDate>false</LinksUpToDate>
  <CharactersWithSpaces>59981</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2021-10-30T09:17:00Z</dcterms:created>
  <dc:creator>张丙钊</dc:creator>
  <cp:lastModifiedBy>许丽明</cp:lastModifiedBy>
  <cp:lastPrinted>2021-12-23T09:50:00Z</cp:lastPrinted>
  <dcterms:modified xsi:type="dcterms:W3CDTF">2021-12-27T06:13:52Z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9194DA71C47D4A2D91A318231CCFB31E</vt:lpwstr>
  </property>
</Properties>
</file>