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 xml:space="preserve">  </w:t>
      </w:r>
    </w:p>
    <w:p>
      <w:pPr>
        <w:pStyle w:val="2"/>
        <w:spacing w:line="360" w:lineRule="auto"/>
        <w:rPr>
          <w:rFonts w:ascii="Times New Roman" w:hAnsi="Times New Roman" w:cs="Times New Roman"/>
          <w:color w:val="auto"/>
          <w:highlight w:val="none"/>
        </w:rPr>
      </w:pPr>
    </w:p>
    <w:p>
      <w:pPr>
        <w:pStyle w:val="2"/>
        <w:spacing w:line="360" w:lineRule="auto"/>
        <w:rPr>
          <w:rFonts w:ascii="Times New Roman" w:hAnsi="Times New Roman" w:cs="Times New Roman"/>
          <w:color w:val="auto"/>
          <w:highlight w:val="none"/>
        </w:rPr>
      </w:pPr>
    </w:p>
    <w:p>
      <w:pPr>
        <w:pStyle w:val="2"/>
        <w:spacing w:line="360" w:lineRule="auto"/>
        <w:rPr>
          <w:rFonts w:ascii="Times New Roman" w:hAnsi="Times New Roman" w:cs="Times New Roman"/>
          <w:color w:val="auto"/>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spacing w:line="360" w:lineRule="auto"/>
        <w:jc w:val="center"/>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东莞市水务集团</w:t>
      </w:r>
      <w:r>
        <w:rPr>
          <w:rFonts w:hint="eastAsia" w:ascii="Times New Roman" w:hAnsi="Times New Roman" w:eastAsia="宋体" w:cs="Times New Roman"/>
          <w:b/>
          <w:bCs/>
          <w:color w:val="auto"/>
          <w:sz w:val="44"/>
          <w:szCs w:val="44"/>
          <w:highlight w:val="none"/>
        </w:rPr>
        <w:t>管</w:t>
      </w:r>
      <w:r>
        <w:rPr>
          <w:rFonts w:ascii="Times New Roman" w:hAnsi="Times New Roman" w:eastAsia="宋体" w:cs="Times New Roman"/>
          <w:b/>
          <w:bCs/>
          <w:color w:val="auto"/>
          <w:sz w:val="44"/>
          <w:szCs w:val="44"/>
          <w:highlight w:val="none"/>
        </w:rPr>
        <w:t>网有限公司</w:t>
      </w:r>
      <w:r>
        <w:rPr>
          <w:rFonts w:hint="eastAsia" w:ascii="Times New Roman" w:hAnsi="Times New Roman" w:eastAsia="宋体" w:cs="Times New Roman"/>
          <w:b/>
          <w:bCs/>
          <w:color w:val="auto"/>
          <w:sz w:val="44"/>
          <w:szCs w:val="44"/>
          <w:highlight w:val="none"/>
        </w:rPr>
        <w:t>机电设备维修供应商库（二次征集）</w:t>
      </w:r>
    </w:p>
    <w:p>
      <w:pPr>
        <w:spacing w:line="360" w:lineRule="auto"/>
        <w:jc w:val="center"/>
        <w:rPr>
          <w:rFonts w:ascii="Times New Roman" w:hAnsi="Times New Roman" w:eastAsia="宋体" w:cs="Times New Roman"/>
          <w:b/>
          <w:bCs/>
          <w:color w:val="auto"/>
          <w:sz w:val="44"/>
          <w:szCs w:val="44"/>
          <w:highlight w:val="none"/>
        </w:rPr>
      </w:pPr>
    </w:p>
    <w:p>
      <w:pPr>
        <w:spacing w:line="360" w:lineRule="auto"/>
        <w:jc w:val="center"/>
        <w:rPr>
          <w:rFonts w:ascii="Times New Roman" w:hAnsi="Times New Roman" w:eastAsia="宋体" w:cs="Times New Roman"/>
          <w:b/>
          <w:bCs/>
          <w:color w:val="auto"/>
          <w:sz w:val="44"/>
          <w:szCs w:val="44"/>
          <w:highlight w:val="none"/>
        </w:rPr>
      </w:pPr>
    </w:p>
    <w:p>
      <w:pPr>
        <w:pStyle w:val="2"/>
        <w:spacing w:line="360" w:lineRule="auto"/>
        <w:rPr>
          <w:rFonts w:ascii="Times New Roman" w:hAnsi="Times New Roman" w:cs="Times New Roman"/>
          <w:color w:val="auto"/>
          <w:highlight w:val="none"/>
        </w:rPr>
      </w:pPr>
    </w:p>
    <w:p>
      <w:pPr>
        <w:spacing w:line="360" w:lineRule="auto"/>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征集</w:t>
      </w:r>
      <w:r>
        <w:rPr>
          <w:rFonts w:ascii="Times New Roman" w:hAnsi="Times New Roman" w:eastAsia="宋体" w:cs="Times New Roman"/>
          <w:b/>
          <w:bCs/>
          <w:color w:val="auto"/>
          <w:sz w:val="44"/>
          <w:szCs w:val="44"/>
          <w:highlight w:val="none"/>
        </w:rPr>
        <w:t>文件</w:t>
      </w:r>
    </w:p>
    <w:p>
      <w:pPr>
        <w:spacing w:line="360" w:lineRule="auto"/>
        <w:jc w:val="center"/>
        <w:rPr>
          <w:rFonts w:ascii="Times New Roman" w:hAnsi="Times New Roman" w:eastAsia="宋体" w:cs="Times New Roman"/>
          <w:b/>
          <w:bCs/>
          <w:color w:val="auto"/>
          <w:szCs w:val="21"/>
          <w:highlight w:val="none"/>
        </w:rPr>
      </w:pPr>
    </w:p>
    <w:p>
      <w:pPr>
        <w:spacing w:line="360" w:lineRule="auto"/>
        <w:jc w:val="center"/>
        <w:rPr>
          <w:rFonts w:ascii="Times New Roman" w:hAnsi="Times New Roman" w:eastAsia="宋体" w:cs="Times New Roman"/>
          <w:b/>
          <w:bCs/>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spacing w:line="360" w:lineRule="auto"/>
        <w:ind w:firstLine="755" w:firstLineChars="235"/>
        <w:rPr>
          <w:rFonts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征集人</w:t>
      </w:r>
      <w:r>
        <w:rPr>
          <w:rFonts w:ascii="Times New Roman" w:hAnsi="Times New Roman" w:eastAsia="宋体" w:cs="Times New Roman"/>
          <w:b/>
          <w:bCs/>
          <w:color w:val="auto"/>
          <w:sz w:val="32"/>
          <w:szCs w:val="32"/>
          <w:highlight w:val="none"/>
        </w:rPr>
        <w:t>：</w:t>
      </w:r>
      <w:r>
        <w:rPr>
          <w:rFonts w:ascii="Times New Roman" w:hAnsi="Times New Roman" w:eastAsia="宋体" w:cs="Times New Roman"/>
          <w:b/>
          <w:bCs/>
          <w:color w:val="auto"/>
          <w:sz w:val="32"/>
          <w:szCs w:val="32"/>
          <w:highlight w:val="none"/>
          <w:u w:val="single"/>
        </w:rPr>
        <w:t xml:space="preserve"> </w:t>
      </w:r>
      <w:r>
        <w:rPr>
          <w:rFonts w:ascii="Times New Roman" w:hAnsi="Times New Roman" w:eastAsia="宋体" w:cs="Times New Roman"/>
          <w:b/>
          <w:bCs/>
          <w:color w:val="auto"/>
          <w:spacing w:val="28"/>
          <w:sz w:val="32"/>
          <w:szCs w:val="32"/>
          <w:highlight w:val="none"/>
          <w:u w:val="single"/>
        </w:rPr>
        <w:t>东莞市水务集团</w:t>
      </w:r>
      <w:r>
        <w:rPr>
          <w:rFonts w:hint="eastAsia" w:ascii="Times New Roman" w:hAnsi="Times New Roman" w:eastAsia="宋体" w:cs="Times New Roman"/>
          <w:b/>
          <w:bCs/>
          <w:color w:val="auto"/>
          <w:spacing w:val="28"/>
          <w:sz w:val="32"/>
          <w:szCs w:val="32"/>
          <w:highlight w:val="none"/>
          <w:u w:val="single"/>
        </w:rPr>
        <w:t>管网</w:t>
      </w:r>
      <w:r>
        <w:rPr>
          <w:rFonts w:ascii="Times New Roman" w:hAnsi="Times New Roman" w:eastAsia="宋体" w:cs="Times New Roman"/>
          <w:b/>
          <w:bCs/>
          <w:color w:val="auto"/>
          <w:spacing w:val="28"/>
          <w:sz w:val="32"/>
          <w:szCs w:val="32"/>
          <w:highlight w:val="none"/>
          <w:u w:val="single"/>
        </w:rPr>
        <w:t>有限公司</w:t>
      </w:r>
    </w:p>
    <w:p>
      <w:pPr>
        <w:spacing w:line="360" w:lineRule="auto"/>
        <w:ind w:right="-26"/>
        <w:jc w:val="center"/>
        <w:rPr>
          <w:rFonts w:ascii="Times New Roman" w:hAnsi="Times New Roman" w:eastAsia="宋体" w:cs="Times New Roman"/>
          <w:b/>
          <w:bCs/>
          <w:color w:val="auto"/>
          <w:sz w:val="32"/>
          <w:szCs w:val="32"/>
          <w:highlight w:val="none"/>
          <w:lang w:val="zh-CN"/>
        </w:rPr>
      </w:pPr>
    </w:p>
    <w:p>
      <w:pPr>
        <w:spacing w:line="360" w:lineRule="auto"/>
        <w:ind w:right="-26"/>
        <w:jc w:val="center"/>
        <w:rPr>
          <w:rFonts w:ascii="Times New Roman" w:hAnsi="Times New Roman" w:eastAsia="宋体" w:cs="Times New Roman"/>
          <w:b/>
          <w:bCs/>
          <w:color w:val="auto"/>
          <w:sz w:val="32"/>
          <w:szCs w:val="32"/>
          <w:highlight w:val="none"/>
          <w:lang w:val="zh-CN"/>
        </w:rPr>
      </w:pPr>
      <w:r>
        <w:rPr>
          <w:rFonts w:ascii="Times New Roman" w:hAnsi="Times New Roman" w:eastAsia="宋体" w:cs="Times New Roman"/>
          <w:b/>
          <w:bCs/>
          <w:color w:val="auto"/>
          <w:sz w:val="32"/>
          <w:szCs w:val="32"/>
          <w:highlight w:val="none"/>
          <w:lang w:val="zh-CN"/>
        </w:rPr>
        <w:t>2020年</w:t>
      </w:r>
      <w:r>
        <w:rPr>
          <w:rFonts w:hint="eastAsia" w:ascii="Times New Roman" w:hAnsi="Times New Roman" w:eastAsia="宋体" w:cs="Times New Roman"/>
          <w:b/>
          <w:bCs/>
          <w:color w:val="auto"/>
          <w:sz w:val="32"/>
          <w:szCs w:val="32"/>
          <w:highlight w:val="none"/>
          <w:lang w:val="en-US" w:eastAsia="zh-CN"/>
        </w:rPr>
        <w:t>7</w:t>
      </w:r>
      <w:r>
        <w:rPr>
          <w:rFonts w:ascii="Times New Roman" w:hAnsi="Times New Roman" w:eastAsia="宋体" w:cs="Times New Roman"/>
          <w:b/>
          <w:bCs/>
          <w:color w:val="auto"/>
          <w:sz w:val="32"/>
          <w:szCs w:val="32"/>
          <w:highlight w:val="none"/>
          <w:lang w:val="zh-CN"/>
        </w:rPr>
        <w:t>月</w:t>
      </w:r>
    </w:p>
    <w:p>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bCs/>
          <w:color w:val="auto"/>
          <w:sz w:val="36"/>
          <w:szCs w:val="36"/>
          <w:highlight w:val="none"/>
        </w:rPr>
        <w:br w:type="page"/>
      </w:r>
    </w:p>
    <w:sdt>
      <w:sdtPr>
        <w:rPr>
          <w:rFonts w:ascii="宋体" w:hAnsi="宋体" w:eastAsia="宋体" w:cstheme="minorBidi"/>
          <w:b/>
          <w:bCs/>
          <w:color w:val="auto"/>
          <w:kern w:val="2"/>
          <w:sz w:val="28"/>
          <w:szCs w:val="28"/>
          <w:highlight w:val="none"/>
          <w:lang w:val="zh-CN"/>
        </w:rPr>
        <w:id w:val="-687293933"/>
        <w:docPartObj>
          <w:docPartGallery w:val="Table of Contents"/>
          <w:docPartUnique/>
        </w:docPartObj>
      </w:sdtPr>
      <w:sdtEndPr>
        <w:rPr>
          <w:rFonts w:asciiTheme="minorHAnsi" w:hAnsiTheme="minorHAnsi" w:eastAsiaTheme="minorEastAsia" w:cstheme="minorBidi"/>
          <w:b/>
          <w:bCs/>
          <w:color w:val="auto"/>
          <w:kern w:val="2"/>
          <w:sz w:val="21"/>
          <w:szCs w:val="24"/>
          <w:highlight w:val="none"/>
          <w:lang w:val="zh-CN"/>
        </w:rPr>
      </w:sdtEndPr>
      <w:sdtContent>
        <w:p>
          <w:pPr>
            <w:pStyle w:val="72"/>
            <w:jc w:val="center"/>
            <w:rPr>
              <w:rFonts w:ascii="宋体" w:hAnsi="宋体" w:eastAsia="宋体"/>
              <w:b/>
              <w:bCs/>
              <w:color w:val="auto"/>
              <w:sz w:val="28"/>
              <w:szCs w:val="28"/>
              <w:highlight w:val="none"/>
              <w:lang w:val="zh-CN"/>
            </w:rPr>
          </w:pPr>
        </w:p>
        <w:p>
          <w:pPr>
            <w:pStyle w:val="72"/>
            <w:jc w:val="center"/>
            <w:rPr>
              <w:rFonts w:ascii="宋体" w:hAnsi="宋体" w:eastAsia="宋体"/>
              <w:b/>
              <w:bCs/>
              <w:color w:val="auto"/>
              <w:sz w:val="28"/>
              <w:szCs w:val="28"/>
              <w:highlight w:val="none"/>
            </w:rPr>
          </w:pPr>
          <w:r>
            <w:rPr>
              <w:rFonts w:ascii="宋体" w:hAnsi="宋体" w:eastAsia="宋体"/>
              <w:b/>
              <w:bCs/>
              <w:color w:val="auto"/>
              <w:sz w:val="28"/>
              <w:szCs w:val="28"/>
              <w:highlight w:val="none"/>
              <w:lang w:val="zh-CN"/>
            </w:rPr>
            <w:t>目</w:t>
          </w:r>
          <w:r>
            <w:rPr>
              <w:rFonts w:hint="eastAsia" w:ascii="宋体" w:hAnsi="宋体" w:eastAsia="宋体"/>
              <w:b/>
              <w:bCs/>
              <w:color w:val="auto"/>
              <w:sz w:val="28"/>
              <w:szCs w:val="28"/>
              <w:highlight w:val="none"/>
              <w:lang w:val="zh-CN"/>
            </w:rPr>
            <w:t xml:space="preserve"> </w:t>
          </w:r>
          <w:r>
            <w:rPr>
              <w:rFonts w:ascii="宋体" w:hAnsi="宋体" w:eastAsia="宋体"/>
              <w:b/>
              <w:bCs/>
              <w:color w:val="auto"/>
              <w:sz w:val="28"/>
              <w:szCs w:val="28"/>
              <w:highlight w:val="none"/>
              <w:lang w:val="zh-CN"/>
            </w:rPr>
            <w:t xml:space="preserve">  录</w:t>
          </w:r>
        </w:p>
        <w:p>
          <w:pPr>
            <w:pStyle w:val="33"/>
            <w:tabs>
              <w:tab w:val="right" w:leader="dot" w:pos="8306"/>
            </w:tabs>
            <w:rPr>
              <w:rFonts w:hint="eastAsia" w:ascii="宋体" w:hAnsi="宋体" w:eastAsia="宋体" w:cs="宋体"/>
              <w:color w:val="auto"/>
              <w:sz w:val="24"/>
              <w:szCs w:val="32"/>
              <w:highlight w:val="none"/>
            </w:rPr>
          </w:pPr>
          <w:r>
            <w:rPr>
              <w:rFonts w:ascii="宋体" w:hAnsi="宋体" w:eastAsia="宋体"/>
              <w:color w:val="auto"/>
              <w:sz w:val="36"/>
              <w:szCs w:val="36"/>
              <w:highlight w:val="none"/>
            </w:rPr>
            <w:fldChar w:fldCharType="begin"/>
          </w:r>
          <w:r>
            <w:rPr>
              <w:rFonts w:ascii="宋体" w:hAnsi="宋体" w:eastAsia="宋体"/>
              <w:color w:val="auto"/>
              <w:sz w:val="36"/>
              <w:szCs w:val="36"/>
              <w:highlight w:val="none"/>
            </w:rPr>
            <w:instrText xml:space="preserve"> TOC \o "1-3" \h \z \u </w:instrText>
          </w:r>
          <w:r>
            <w:rPr>
              <w:rFonts w:ascii="宋体" w:hAnsi="宋体" w:eastAsia="宋体"/>
              <w:color w:val="auto"/>
              <w:sz w:val="36"/>
              <w:szCs w:val="36"/>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32"/>
              <w:highlight w:val="none"/>
            </w:rPr>
            <w:t>第一部分 报名邀请函</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_Toc14211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33"/>
            <w:tabs>
              <w:tab w:val="right" w:leader="dot" w:pos="8306"/>
            </w:tabs>
            <w:rPr>
              <w:rFonts w:hint="eastAsia" w:ascii="宋体" w:hAnsi="宋体" w:eastAsia="宋体" w:cs="宋体"/>
              <w:color w:val="auto"/>
              <w:sz w:val="24"/>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"_Toc22139"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32"/>
              <w:highlight w:val="none"/>
            </w:rPr>
            <w:t>第二部分 报名人须知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_Toc22139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33"/>
            <w:tabs>
              <w:tab w:val="right" w:leader="dot" w:pos="8306"/>
            </w:tabs>
            <w:rPr>
              <w:rFonts w:hint="eastAsia" w:ascii="宋体" w:hAnsi="宋体" w:eastAsia="宋体" w:cs="宋体"/>
              <w:color w:val="auto"/>
              <w:sz w:val="24"/>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"_Toc24260"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32"/>
              <w:highlight w:val="none"/>
            </w:rPr>
            <w:t>第三部分 报名文件格式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_Toc24260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39</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33"/>
            <w:tabs>
              <w:tab w:val="right" w:leader="dot" w:pos="8306"/>
            </w:tabs>
            <w:rPr>
              <w:color w:val="auto"/>
              <w:sz w:val="24"/>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"_Toc8110"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32"/>
              <w:highlight w:val="none"/>
            </w:rPr>
            <w:t>第四部分 合同条款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_Toc8110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rPr>
              <w:color w:val="auto"/>
              <w:highlight w:val="none"/>
            </w:rPr>
          </w:pPr>
          <w:r>
            <w:rPr>
              <w:rFonts w:ascii="宋体" w:hAnsi="宋体" w:eastAsia="宋体"/>
              <w:b/>
              <w:bCs/>
              <w:color w:val="auto"/>
              <w:sz w:val="36"/>
              <w:szCs w:val="36"/>
              <w:highlight w:val="none"/>
              <w:lang w:val="zh-CN"/>
            </w:rPr>
            <w:fldChar w:fldCharType="end"/>
          </w:r>
        </w:p>
      </w:sdtContent>
    </w:sdt>
    <w:p>
      <w:pPr>
        <w:spacing w:line="360" w:lineRule="auto"/>
        <w:rPr>
          <w:rFonts w:ascii="Times New Roman" w:hAnsi="Times New Roman" w:eastAsia="宋体" w:cs="Times New Roman"/>
          <w:b/>
          <w:color w:val="auto"/>
          <w:szCs w:val="21"/>
          <w:highlight w:val="none"/>
        </w:rPr>
      </w:pPr>
    </w:p>
    <w:p>
      <w:pPr>
        <w:spacing w:line="360" w:lineRule="auto"/>
        <w:rPr>
          <w:rFonts w:ascii="Times New Roman" w:hAnsi="Times New Roman" w:eastAsia="宋体" w:cs="Times New Roman"/>
          <w:color w:val="auto"/>
          <w:szCs w:val="21"/>
          <w:highlight w:val="none"/>
        </w:rPr>
      </w:pPr>
    </w:p>
    <w:p>
      <w:pPr>
        <w:pStyle w:val="4"/>
        <w:rPr>
          <w:rFonts w:ascii="Times New Roman" w:hAnsi="Times New Roman" w:cs="Times New Roman"/>
          <w:color w:val="auto"/>
          <w:highlight w:val="none"/>
        </w:rPr>
        <w:sectPr>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cs="Times New Roman"/>
          <w:color w:val="auto"/>
          <w:highlight w:val="none"/>
        </w:rPr>
      </w:pPr>
      <w:bookmarkStart w:id="0" w:name="_Toc54190056"/>
    </w:p>
    <w:p>
      <w:pPr>
        <w:pStyle w:val="4"/>
        <w:rPr>
          <w:rFonts w:ascii="Times New Roman" w:hAnsi="Times New Roman" w:cs="Times New Roman"/>
          <w:color w:val="auto"/>
          <w:highlight w:val="none"/>
        </w:rPr>
      </w:pPr>
      <w:bookmarkStart w:id="1" w:name="_Toc14211"/>
      <w:r>
        <w:rPr>
          <w:rFonts w:ascii="Times New Roman" w:hAnsi="Times New Roman" w:cs="Times New Roman"/>
          <w:color w:val="auto"/>
          <w:highlight w:val="none"/>
        </w:rPr>
        <w:t>第一部分 报</w:t>
      </w:r>
      <w:r>
        <w:rPr>
          <w:rFonts w:hint="eastAsia" w:ascii="Times New Roman" w:hAnsi="Times New Roman" w:cs="Times New Roman"/>
          <w:color w:val="auto"/>
          <w:highlight w:val="none"/>
        </w:rPr>
        <w:t>名</w:t>
      </w:r>
      <w:r>
        <w:rPr>
          <w:rFonts w:ascii="Times New Roman" w:hAnsi="Times New Roman" w:cs="Times New Roman"/>
          <w:color w:val="auto"/>
          <w:highlight w:val="none"/>
        </w:rPr>
        <w:t>邀请函</w:t>
      </w:r>
      <w:bookmarkEnd w:id="0"/>
      <w:bookmarkEnd w:id="1"/>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东莞市水务集团管网有限公司机电设备维修供应商库（二次征集）需征集供应</w:t>
      </w:r>
      <w:r>
        <w:rPr>
          <w:rFonts w:ascii="Times New Roman" w:hAnsi="Times New Roman" w:eastAsia="宋体" w:cs="Times New Roman"/>
          <w:color w:val="auto"/>
          <w:szCs w:val="21"/>
          <w:highlight w:val="none"/>
        </w:rPr>
        <w:t>商，邀请合格的</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提交</w:t>
      </w:r>
      <w:r>
        <w:rPr>
          <w:rFonts w:hint="eastAsia" w:ascii="Times New Roman" w:hAnsi="Times New Roman" w:eastAsia="宋体" w:cs="Times New Roman"/>
          <w:color w:val="auto"/>
          <w:szCs w:val="21"/>
          <w:highlight w:val="none"/>
        </w:rPr>
        <w:t>报名文件。</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2、项目内容：</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（1）东莞市水务集团管网有限公司</w:t>
      </w:r>
      <w:r>
        <w:rPr>
          <w:rFonts w:ascii="Times New Roman" w:hAnsi="Times New Roman" w:eastAsia="宋体" w:cs="Times New Roman"/>
          <w:color w:val="auto"/>
          <w:szCs w:val="21"/>
          <w:highlight w:val="none"/>
        </w:rPr>
        <w:t>机电设备、设施（指机电安装专业为主的设施，不包括全土建专业的或土建专业为主的设施）的维修、技术改造、重置、应急抢修、设备拆卸、零配件加工及修复等技术服务项目，对于上述工作而引发的开挖、井室修复及改造、管道接合、路面恢复等零星</w:t>
      </w:r>
      <w:r>
        <w:rPr>
          <w:rFonts w:hint="eastAsia" w:ascii="Times New Roman" w:hAnsi="Times New Roman" w:eastAsia="宋体" w:cs="Times New Roman"/>
          <w:color w:val="auto"/>
          <w:szCs w:val="21"/>
          <w:highlight w:val="none"/>
        </w:rPr>
        <w:t>土建工作也在本次范围内。</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（2）目前东莞市水务集团管网有限公司机电设备维修供应商库中在库供应商数量为</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家。</w:t>
      </w:r>
      <w:r>
        <w:rPr>
          <w:rFonts w:hint="eastAsia" w:ascii="Times New Roman" w:hAnsi="Times New Roman" w:eastAsia="宋体" w:cs="Times New Roman"/>
          <w:color w:val="auto"/>
          <w:szCs w:val="21"/>
          <w:highlight w:val="none"/>
        </w:rPr>
        <w:t>本次征集最多征集4家在库供应商，5家候选供应商。</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库的</w:t>
      </w:r>
      <w:r>
        <w:rPr>
          <w:rFonts w:ascii="Times New Roman" w:hAnsi="Times New Roman" w:eastAsia="宋体" w:cs="Times New Roman"/>
          <w:color w:val="auto"/>
          <w:szCs w:val="21"/>
          <w:highlight w:val="none"/>
        </w:rPr>
        <w:t>使用：</w:t>
      </w:r>
      <w:bookmarkStart w:id="2" w:name="_Hlk54191097"/>
    </w:p>
    <w:bookmarkEnd w:id="2"/>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估算（</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预算）10万元（不含）以下的</w:t>
      </w:r>
      <w:r>
        <w:rPr>
          <w:rFonts w:hint="eastAsia" w:ascii="Times New Roman" w:hAnsi="Times New Roman" w:eastAsia="宋体" w:cs="Times New Roman"/>
          <w:color w:val="auto"/>
          <w:szCs w:val="21"/>
          <w:highlight w:val="none"/>
        </w:rPr>
        <w:t>机电设备维修</w:t>
      </w:r>
      <w:r>
        <w:rPr>
          <w:rFonts w:ascii="Times New Roman" w:hAnsi="Times New Roman" w:eastAsia="宋体" w:cs="Times New Roman"/>
          <w:color w:val="auto"/>
          <w:szCs w:val="21"/>
          <w:highlight w:val="none"/>
        </w:rPr>
        <w:t>类项目，在设置项目估算（</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预算）并统一下浮6.3%后，采用循环排号法（轮候派单）的方式确定单项项目的维修单位，并根据项目的实施情况按实结算。</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估算（</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预算）100万元（不含）以下10万</w:t>
      </w:r>
      <w:r>
        <w:rPr>
          <w:rFonts w:hint="eastAsia" w:ascii="Times New Roman" w:hAnsi="Times New Roman" w:eastAsia="宋体" w:cs="Times New Roman"/>
          <w:color w:val="auto"/>
          <w:szCs w:val="21"/>
          <w:highlight w:val="none"/>
        </w:rPr>
        <w:t>元</w:t>
      </w:r>
      <w:r>
        <w:rPr>
          <w:rFonts w:ascii="Times New Roman" w:hAnsi="Times New Roman" w:eastAsia="宋体" w:cs="Times New Roman"/>
          <w:color w:val="auto"/>
          <w:szCs w:val="21"/>
          <w:highlight w:val="none"/>
        </w:rPr>
        <w:t>（含）以上的</w:t>
      </w:r>
      <w:r>
        <w:rPr>
          <w:rFonts w:hint="eastAsia" w:ascii="Times New Roman" w:hAnsi="Times New Roman" w:eastAsia="宋体" w:cs="Times New Roman"/>
          <w:color w:val="auto"/>
          <w:szCs w:val="21"/>
          <w:highlight w:val="none"/>
        </w:rPr>
        <w:t>机电设备维修</w:t>
      </w:r>
      <w:r>
        <w:rPr>
          <w:rFonts w:ascii="Times New Roman" w:hAnsi="Times New Roman" w:eastAsia="宋体" w:cs="Times New Roman"/>
          <w:color w:val="auto"/>
          <w:szCs w:val="21"/>
          <w:highlight w:val="none"/>
        </w:rPr>
        <w:t>类项目，在设置项目估算（</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预算）后，</w:t>
      </w:r>
      <w:r>
        <w:rPr>
          <w:rFonts w:hint="eastAsia" w:ascii="Times New Roman" w:hAnsi="Times New Roman" w:eastAsia="宋体" w:cs="Times New Roman"/>
          <w:color w:val="auto"/>
          <w:szCs w:val="21"/>
          <w:highlight w:val="none"/>
        </w:rPr>
        <w:t>由公司</w:t>
      </w:r>
      <w:r>
        <w:rPr>
          <w:rFonts w:ascii="Times New Roman" w:hAnsi="Times New Roman" w:eastAsia="宋体" w:cs="Times New Roman"/>
          <w:color w:val="auto"/>
          <w:szCs w:val="21"/>
          <w:highlight w:val="none"/>
        </w:rPr>
        <w:t>向在库供应商发出询价邀请，</w:t>
      </w:r>
      <w:r>
        <w:rPr>
          <w:rFonts w:hint="eastAsia" w:ascii="Times New Roman" w:hAnsi="Times New Roman" w:eastAsia="宋体" w:cs="Times New Roman"/>
          <w:color w:val="auto"/>
          <w:szCs w:val="21"/>
          <w:highlight w:val="none"/>
        </w:rPr>
        <w:t>在库</w:t>
      </w:r>
      <w:r>
        <w:rPr>
          <w:rFonts w:ascii="Times New Roman" w:hAnsi="Times New Roman" w:eastAsia="宋体" w:cs="Times New Roman"/>
          <w:color w:val="auto"/>
          <w:szCs w:val="21"/>
          <w:highlight w:val="none"/>
        </w:rPr>
        <w:t>供应商采用竞下浮率的方式竞价（下浮率不得低于6.3%），下浮最大者确定为单项项目的服务单位，依据所报价格根据项目实施签证按实结算。若最低报价相同的，相同的供应商再次报价或直接抽签</w:t>
      </w:r>
      <w:r>
        <w:rPr>
          <w:rFonts w:hint="eastAsia" w:ascii="Times New Roman" w:hAnsi="Times New Roman" w:eastAsia="宋体" w:cs="Times New Roman"/>
          <w:color w:val="auto"/>
          <w:szCs w:val="21"/>
          <w:highlight w:val="none"/>
        </w:rPr>
        <w:t>或选取供应商积分较高者</w:t>
      </w:r>
      <w:r>
        <w:rPr>
          <w:rFonts w:ascii="Times New Roman" w:hAnsi="Times New Roman" w:eastAsia="宋体" w:cs="Times New Roman"/>
          <w:color w:val="auto"/>
          <w:szCs w:val="21"/>
          <w:highlight w:val="none"/>
        </w:rPr>
        <w:t>，直到确认单项项目的服务单位为止。</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4、服务期：</w:t>
      </w:r>
      <w:r>
        <w:rPr>
          <w:rFonts w:hint="eastAsia" w:ascii="Times New Roman" w:hAnsi="Times New Roman" w:eastAsia="宋体" w:cs="Times New Roman"/>
          <w:color w:val="auto"/>
          <w:szCs w:val="21"/>
          <w:highlight w:val="none"/>
        </w:rPr>
        <w:t>自签订合同之日起至2022年6月8日</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5、2020年管网公司共实施机电设备维修项目约70个，累计发生金额约为600万元。</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、合格的报名人</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（1）在中华人民共和国境内登记注册的，具有独立承担民事责任能力的法人或其他组织。</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）本项目不接受联合体</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获取</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文件的时间、方式：</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（1）获取</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文件时间：</w:t>
      </w:r>
      <w:r>
        <w:rPr>
          <w:rFonts w:hint="eastAsia" w:ascii="Times New Roman" w:hAnsi="Times New Roman" w:eastAsia="宋体" w:cs="Times New Roman"/>
          <w:color w:val="auto"/>
          <w:szCs w:val="21"/>
          <w:highlight w:val="none"/>
        </w:rPr>
        <w:t>2021年</w:t>
      </w:r>
      <w:r>
        <w:rPr>
          <w:rFonts w:hint="eastAsia" w:ascii="Times New Roman" w:hAnsi="Times New Roman" w:eastAsia="宋体" w:cs="Times New Roman"/>
          <w:color w:val="auto"/>
          <w:szCs w:val="21"/>
          <w:highlight w:val="none"/>
          <w:lang w:val="en-US" w:eastAsia="zh-CN"/>
        </w:rPr>
        <w:t>7</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19</w:t>
      </w:r>
      <w:r>
        <w:rPr>
          <w:rFonts w:hint="eastAsia" w:ascii="Times New Roman" w:hAnsi="Times New Roman" w:eastAsia="宋体" w:cs="Times New Roman"/>
          <w:color w:val="auto"/>
          <w:szCs w:val="21"/>
          <w:highlight w:val="none"/>
        </w:rPr>
        <w:t>日至2021 年</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（2）获取征集文件方式：报名人</w:t>
      </w:r>
      <w:r>
        <w:rPr>
          <w:rFonts w:hint="eastAsia" w:ascii="Times New Roman" w:hAnsi="Times New Roman" w:eastAsia="宋体" w:cs="Times New Roman"/>
          <w:color w:val="auto"/>
          <w:szCs w:val="21"/>
          <w:highlight w:val="none"/>
        </w:rPr>
        <w:t>直接在</w:t>
      </w:r>
      <w:r>
        <w:rPr>
          <w:rFonts w:ascii="Times New Roman" w:hAnsi="Times New Roman" w:eastAsia="宋体" w:cs="Times New Roman"/>
          <w:color w:val="auto"/>
          <w:szCs w:val="21"/>
          <w:highlight w:val="none"/>
        </w:rPr>
        <w:t>网上下载征集文件</w:t>
      </w:r>
      <w:r>
        <w:rPr>
          <w:rFonts w:hint="eastAsia"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文件的递交时间、递交截止时间和递交地点：</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（1）递交时间：</w:t>
      </w:r>
      <w:r>
        <w:rPr>
          <w:rFonts w:hint="eastAsia" w:ascii="Times New Roman" w:hAnsi="Times New Roman" w:eastAsia="宋体" w:cs="Times New Roman"/>
          <w:color w:val="auto"/>
          <w:szCs w:val="21"/>
          <w:highlight w:val="none"/>
        </w:rPr>
        <w:t>2021年</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rPr>
        <w:t>日8:30-17:30至2021年</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rPr>
        <w:t>日8:30-17:30</w:t>
      </w:r>
      <w:r>
        <w:rPr>
          <w:rFonts w:ascii="Times New Roman" w:hAnsi="Times New Roman" w:eastAsia="宋体" w:cs="Times New Roman"/>
          <w:b/>
          <w:bCs/>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（2）递交地点：</w:t>
      </w:r>
      <w:r>
        <w:rPr>
          <w:rFonts w:hint="eastAsia" w:ascii="Times New Roman" w:hAnsi="Times New Roman" w:eastAsia="宋体" w:cs="Times New Roman"/>
          <w:color w:val="auto"/>
          <w:szCs w:val="21"/>
          <w:highlight w:val="none"/>
        </w:rPr>
        <w:t>东莞市东城街道东城运河路5号</w:t>
      </w:r>
      <w:r>
        <w:rPr>
          <w:rFonts w:ascii="Times New Roman" w:hAnsi="Times New Roman" w:eastAsia="宋体" w:cs="Times New Roman"/>
          <w:color w:val="auto"/>
          <w:szCs w:val="21"/>
          <w:highlight w:val="none"/>
        </w:rPr>
        <w:t>东莞市水务集团管网有限公司</w:t>
      </w:r>
      <w:r>
        <w:rPr>
          <w:rFonts w:hint="eastAsia" w:ascii="Times New Roman" w:hAnsi="Times New Roman" w:eastAsia="宋体" w:cs="Times New Roman"/>
          <w:color w:val="auto"/>
          <w:szCs w:val="21"/>
          <w:highlight w:val="none"/>
        </w:rPr>
        <w:t>301室</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递交截止时间</w:t>
      </w:r>
      <w:r>
        <w:rPr>
          <w:rFonts w:ascii="Times New Roman" w:hAnsi="Times New Roman" w:eastAsia="宋体" w:cs="Times New Roman"/>
          <w:color w:val="auto"/>
          <w:szCs w:val="21"/>
          <w:highlight w:val="none"/>
        </w:rPr>
        <w:t>后，</w:t>
      </w:r>
      <w:r>
        <w:rPr>
          <w:rFonts w:hint="eastAsia" w:ascii="Times New Roman" w:hAnsi="Times New Roman" w:eastAsia="宋体" w:cs="Times New Roman"/>
          <w:color w:val="auto"/>
          <w:szCs w:val="21"/>
          <w:highlight w:val="none"/>
        </w:rPr>
        <w:t>征集人可视情况延长征集时间。</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应承担</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文件和递交报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文件以及参加本次</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活动所发生的任何成本或费用。</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人联系方式</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联系人：</w:t>
      </w:r>
      <w:r>
        <w:rPr>
          <w:rFonts w:hint="eastAsia" w:ascii="Times New Roman" w:hAnsi="Times New Roman" w:eastAsia="宋体" w:cs="Times New Roman"/>
          <w:color w:val="auto"/>
          <w:szCs w:val="21"/>
          <w:highlight w:val="none"/>
        </w:rPr>
        <w:t xml:space="preserve">陈工        </w:t>
      </w:r>
      <w:r>
        <w:rPr>
          <w:rFonts w:ascii="Times New Roman" w:hAnsi="Times New Roman" w:eastAsia="宋体" w:cs="Times New Roman"/>
          <w:color w:val="auto"/>
          <w:szCs w:val="21"/>
          <w:highlight w:val="none"/>
        </w:rPr>
        <w:t>电话：</w:t>
      </w:r>
      <w:r>
        <w:rPr>
          <w:rFonts w:hint="eastAsia" w:ascii="Times New Roman" w:hAnsi="Times New Roman" w:eastAsia="宋体" w:cs="Times New Roman"/>
          <w:color w:val="auto"/>
          <w:szCs w:val="21"/>
          <w:highlight w:val="none"/>
        </w:rPr>
        <w:t>0769-22016861</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hint="eastAsia" w:ascii="Times New Roman" w:hAnsi="Times New Roman" w:eastAsia="宋体" w:cs="Times New Roman"/>
          <w:color w:val="auto"/>
          <w:szCs w:val="21"/>
          <w:highlight w:val="none"/>
        </w:rPr>
        <w:t>东莞市东城街道东城运河路5</w:t>
      </w:r>
      <w:r>
        <w:rPr>
          <w:rFonts w:ascii="Times New Roman" w:hAnsi="Times New Roman" w:eastAsia="宋体" w:cs="Times New Roman"/>
          <w:color w:val="auto"/>
          <w:szCs w:val="21"/>
          <w:highlight w:val="none"/>
        </w:rPr>
        <w:t>号（大王洲桥东侧</w:t>
      </w:r>
      <w:r>
        <w:rPr>
          <w:rFonts w:hint="eastAsia" w:ascii="Times New Roman" w:hAnsi="Times New Roman" w:eastAsia="宋体" w:cs="Times New Roman"/>
          <w:color w:val="auto"/>
          <w:szCs w:val="21"/>
          <w:highlight w:val="none"/>
        </w:rPr>
        <w:t>东莞市水务集团管网有限公司</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pPr>
        <w:pStyle w:val="2"/>
        <w:rPr>
          <w:color w:val="auto"/>
          <w:highlight w:val="none"/>
        </w:rPr>
      </w:pPr>
    </w:p>
    <w:p>
      <w:pPr>
        <w:spacing w:line="400" w:lineRule="exact"/>
        <w:ind w:firstLine="5250" w:firstLineChars="25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东莞市水务集团管网有限公司</w:t>
      </w:r>
    </w:p>
    <w:p>
      <w:pPr>
        <w:spacing w:line="400" w:lineRule="exact"/>
        <w:ind w:firstLine="5880" w:firstLineChars="28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20</w:t>
      </w:r>
      <w:r>
        <w:rPr>
          <w:rFonts w:hint="eastAsia" w:ascii="Times New Roman" w:hAnsi="Times New Roman" w:eastAsia="宋体" w:cs="Times New Roman"/>
          <w:color w:val="auto"/>
          <w:szCs w:val="21"/>
          <w:highlight w:val="none"/>
        </w:rPr>
        <w:t>21</w:t>
      </w:r>
      <w:r>
        <w:rPr>
          <w:rFonts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lang w:val="en-US" w:eastAsia="zh-CN"/>
        </w:rPr>
        <w:t>7</w:t>
      </w:r>
      <w:r>
        <w:rPr>
          <w:rFonts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19</w:t>
      </w:r>
      <w:bookmarkStart w:id="24" w:name="_GoBack"/>
      <w:bookmarkEnd w:id="24"/>
      <w:r>
        <w:rPr>
          <w:rFonts w:ascii="Times New Roman" w:hAnsi="Times New Roman" w:eastAsia="宋体" w:cs="Times New Roman"/>
          <w:color w:val="auto"/>
          <w:szCs w:val="21"/>
          <w:highlight w:val="none"/>
        </w:rPr>
        <w:t>日</w:t>
      </w:r>
    </w:p>
    <w:p>
      <w:pPr>
        <w:rPr>
          <w:rFonts w:ascii="Times New Roman" w:hAnsi="Times New Roman" w:cs="Times New Roman"/>
          <w:color w:val="auto"/>
          <w:highlight w:val="none"/>
        </w:rPr>
      </w:pPr>
      <w:bookmarkStart w:id="3" w:name="_Toc54190057"/>
      <w:bookmarkStart w:id="4" w:name="_Toc22139"/>
      <w:r>
        <w:rPr>
          <w:rFonts w:ascii="Times New Roman" w:hAnsi="Times New Roman" w:cs="Times New Roman"/>
          <w:color w:val="auto"/>
          <w:highlight w:val="none"/>
        </w:rPr>
        <w:br w:type="page"/>
      </w:r>
    </w:p>
    <w:p>
      <w:pPr>
        <w:pStyle w:val="4"/>
        <w:rPr>
          <w:rFonts w:ascii="Times New Roman" w:hAnsi="Times New Roman" w:cs="Times New Roman"/>
          <w:color w:val="auto"/>
          <w:highlight w:val="none"/>
        </w:rPr>
      </w:pPr>
      <w:r>
        <w:rPr>
          <w:rFonts w:ascii="Times New Roman" w:hAnsi="Times New Roman" w:cs="Times New Roman"/>
          <w:color w:val="auto"/>
          <w:highlight w:val="none"/>
        </w:rPr>
        <w:t>第二部分 报</w:t>
      </w:r>
      <w:r>
        <w:rPr>
          <w:rFonts w:hint="eastAsia" w:ascii="Times New Roman" w:hAnsi="Times New Roman" w:cs="Times New Roman"/>
          <w:color w:val="auto"/>
          <w:highlight w:val="none"/>
        </w:rPr>
        <w:t>名</w:t>
      </w:r>
      <w:r>
        <w:rPr>
          <w:rFonts w:ascii="Times New Roman" w:hAnsi="Times New Roman" w:cs="Times New Roman"/>
          <w:color w:val="auto"/>
          <w:highlight w:val="none"/>
        </w:rPr>
        <w:t>人须知</w:t>
      </w:r>
      <w:bookmarkEnd w:id="3"/>
      <w:bookmarkEnd w:id="4"/>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一、说明</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1.1本项目资金来源：自筹资金。</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1.2定义</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东莞市水务集团管网有限公司</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人：指提交报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文件的法人、其他组织。</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1.3合格的报名人</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1.3.1合格的报名人条件见第</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部分《</w:t>
      </w:r>
      <w:r>
        <w:rPr>
          <w:rFonts w:hint="eastAsia" w:ascii="Times New Roman" w:hAnsi="Times New Roman" w:eastAsia="宋体" w:cs="Times New Roman"/>
          <w:color w:val="auto"/>
          <w:szCs w:val="21"/>
          <w:highlight w:val="none"/>
        </w:rPr>
        <w:t>报名邀请函</w:t>
      </w:r>
      <w:r>
        <w:rPr>
          <w:rFonts w:ascii="Times New Roman" w:hAnsi="Times New Roman" w:eastAsia="宋体" w:cs="Times New Roman"/>
          <w:color w:val="auto"/>
          <w:szCs w:val="21"/>
          <w:highlight w:val="none"/>
        </w:rPr>
        <w:t>》中第</w:t>
      </w:r>
      <w:r>
        <w:rPr>
          <w:rFonts w:hint="eastAsia" w:ascii="Times New Roman" w:hAnsi="Times New Roman" w:eastAsia="宋体" w:cs="Times New Roman"/>
          <w:color w:val="auto"/>
          <w:szCs w:val="21"/>
          <w:highlight w:val="none"/>
          <w:lang w:val="en-US" w:eastAsia="zh-CN"/>
        </w:rPr>
        <w:t>6</w:t>
      </w:r>
      <w:r>
        <w:rPr>
          <w:rFonts w:ascii="Times New Roman" w:hAnsi="Times New Roman" w:eastAsia="宋体" w:cs="Times New Roman"/>
          <w:color w:val="auto"/>
          <w:szCs w:val="21"/>
          <w:highlight w:val="none"/>
        </w:rPr>
        <w:t>款的“</w:t>
      </w:r>
      <w:r>
        <w:rPr>
          <w:rFonts w:hint="eastAsia" w:ascii="Times New Roman" w:hAnsi="Times New Roman" w:eastAsia="宋体" w:cs="Times New Roman"/>
          <w:color w:val="auto"/>
          <w:szCs w:val="21"/>
          <w:highlight w:val="none"/>
        </w:rPr>
        <w:t>合格的报名人</w:t>
      </w:r>
      <w:r>
        <w:rPr>
          <w:rFonts w:ascii="Times New Roman" w:hAnsi="Times New Roman" w:eastAsia="宋体" w:cs="Times New Roman"/>
          <w:color w:val="auto"/>
          <w:szCs w:val="21"/>
          <w:highlight w:val="none"/>
        </w:rPr>
        <w:t>”及本条以下</w:t>
      </w:r>
      <w:r>
        <w:rPr>
          <w:rFonts w:hint="eastAsia" w:ascii="Times New Roman" w:hAnsi="Times New Roman" w:eastAsia="宋体" w:cs="Times New Roman"/>
          <w:color w:val="auto"/>
          <w:szCs w:val="21"/>
          <w:highlight w:val="none"/>
        </w:rPr>
        <w:t>1.3.2</w:t>
      </w:r>
      <w:r>
        <w:rPr>
          <w:rFonts w:ascii="Times New Roman" w:hAnsi="Times New Roman" w:eastAsia="宋体" w:cs="Times New Roman"/>
          <w:color w:val="auto"/>
          <w:szCs w:val="21"/>
          <w:highlight w:val="none"/>
        </w:rPr>
        <w:t>款至</w:t>
      </w:r>
      <w:r>
        <w:rPr>
          <w:rFonts w:hint="eastAsia" w:ascii="Times New Roman" w:hAnsi="Times New Roman" w:eastAsia="宋体" w:cs="Times New Roman"/>
          <w:color w:val="auto"/>
          <w:szCs w:val="21"/>
          <w:highlight w:val="none"/>
        </w:rPr>
        <w:t>1.3.</w:t>
      </w:r>
      <w:r>
        <w:rPr>
          <w:rFonts w:hint="eastAsia" w:ascii="Times New Roman" w:hAnsi="Times New Roman" w:eastAsia="宋体" w:cs="Times New Roman"/>
          <w:color w:val="auto"/>
          <w:szCs w:val="21"/>
          <w:highlight w:val="none"/>
          <w:lang w:val="en-US" w:eastAsia="zh-CN"/>
        </w:rPr>
        <w:t>7</w:t>
      </w:r>
      <w:r>
        <w:rPr>
          <w:rFonts w:ascii="Times New Roman" w:hAnsi="Times New Roman" w:eastAsia="宋体" w:cs="Times New Roman"/>
          <w:color w:val="auto"/>
          <w:szCs w:val="21"/>
          <w:highlight w:val="none"/>
        </w:rPr>
        <w:t>款的通用要求。</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1.3.2报名人在参加本项目</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前的三年内，不得在</w:t>
      </w:r>
      <w:r>
        <w:rPr>
          <w:rFonts w:hint="eastAsia" w:ascii="Times New Roman" w:hAnsi="Times New Roman" w:eastAsia="宋体" w:cs="Times New Roman"/>
          <w:color w:val="auto"/>
          <w:szCs w:val="21"/>
          <w:highlight w:val="none"/>
        </w:rPr>
        <w:t>其他</w:t>
      </w:r>
      <w:r>
        <w:rPr>
          <w:rFonts w:ascii="Times New Roman" w:hAnsi="Times New Roman" w:eastAsia="宋体" w:cs="Times New Roman"/>
          <w:color w:val="auto"/>
          <w:szCs w:val="21"/>
          <w:highlight w:val="none"/>
        </w:rPr>
        <w:t>投标活动中存在违反《中华人民共和国招标投标法》第五十三条、第五十四条、第六十条、《中华人民共和国招标投标法实施条例》第七十六条、第七十七条规定，而受到各级管理部门的处罚。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1.3.3报名人在报名文件中必须主动按征集文件的要求填报“最近3年报名人牵涉的主要诉讼案件或其他处罚（失信和违法）说明格式”，如果不主动填报而被事后发现的，将取消其资格，并按有关规定从重处理。</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1.3.4报名人符合《中华人民共和国招标投标法》第二十六条的规定。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1.3.5根据《中华人民共和国招标投标法实施条例》第三十四条规定，与征集人存在利害关系可能影响公正性的法人、其他组织或者个人，不得参加</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；报名人负责人为同一人或者存在控股、管理关系的不同报名人，不得参加同一项目</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。上述情况一经发现，相关</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均无效</w:t>
      </w:r>
      <w:r>
        <w:rPr>
          <w:rFonts w:hint="eastAsia" w:ascii="Times New Roman" w:hAnsi="Times New Roman" w:eastAsia="宋体" w:cs="Times New Roman"/>
          <w:color w:val="auto"/>
          <w:szCs w:val="21"/>
          <w:highlight w:val="none"/>
        </w:rPr>
        <w:t>，并将相关单位上报集团列入集团黑名单</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1.3.6报名人（含其不具有独立法人资格的分支机构）未被列入“信用中国”网站（ www.creditchina.gov.cn）失信被执行人、重大税收违法案件当事人名单、严重违法失信行为记录名单（处罚期限届满的除外）。</w:t>
      </w:r>
    </w:p>
    <w:p>
      <w:pPr>
        <w:pStyle w:val="2"/>
        <w:spacing w:line="360" w:lineRule="auto"/>
        <w:ind w:firstLine="422" w:firstLineChars="201"/>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1.3.7 不存在</w:t>
      </w:r>
      <w:r>
        <w:rPr>
          <w:rFonts w:hint="eastAsia" w:ascii="Times New Roman" w:hAnsi="Times New Roman" w:eastAsia="宋体" w:cs="Times New Roman"/>
          <w:color w:val="auto"/>
          <w:szCs w:val="21"/>
          <w:highlight w:val="none"/>
          <w:lang w:val="en-US" w:eastAsia="zh-CN"/>
        </w:rPr>
        <w:t>报名</w:t>
      </w:r>
      <w:r>
        <w:rPr>
          <w:rFonts w:hint="default" w:ascii="Times New Roman" w:hAnsi="Times New Roman" w:eastAsia="宋体" w:cs="Times New Roman"/>
          <w:color w:val="auto"/>
          <w:szCs w:val="21"/>
          <w:highlight w:val="none"/>
          <w:lang w:val="en-US" w:eastAsia="zh-CN"/>
        </w:rPr>
        <w:t>人或其关联公司曾与东莞市水务集团有限公司及其下属企业签订合同，且在履约过程中因</w:t>
      </w:r>
      <w:r>
        <w:rPr>
          <w:rFonts w:hint="eastAsia" w:ascii="Times New Roman" w:hAnsi="Times New Roman" w:eastAsia="宋体" w:cs="Times New Roman"/>
          <w:color w:val="auto"/>
          <w:szCs w:val="21"/>
          <w:highlight w:val="none"/>
          <w:lang w:val="en-US" w:eastAsia="zh-CN"/>
        </w:rPr>
        <w:t>报名</w:t>
      </w:r>
      <w:r>
        <w:rPr>
          <w:rFonts w:hint="default" w:ascii="Times New Roman" w:hAnsi="Times New Roman" w:eastAsia="宋体" w:cs="Times New Roman"/>
          <w:color w:val="auto"/>
          <w:szCs w:val="21"/>
          <w:highlight w:val="none"/>
          <w:lang w:val="en-US" w:eastAsia="zh-CN"/>
        </w:rPr>
        <w:t>人或其关联公司严重违约而导致合同变更、中止、解除的情形。</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1.4报名人参加</w:t>
      </w:r>
      <w:r>
        <w:rPr>
          <w:rFonts w:ascii="Times New Roman" w:hAnsi="Times New Roman" w:eastAsia="宋体" w:cs="Times New Roman"/>
          <w:color w:val="auto"/>
          <w:szCs w:val="21"/>
          <w:highlight w:val="none"/>
        </w:rPr>
        <w:t>本次报名，视为</w:t>
      </w:r>
      <w:r>
        <w:rPr>
          <w:rFonts w:hint="eastAsia" w:ascii="Times New Roman" w:hAnsi="Times New Roman" w:eastAsia="宋体" w:cs="Times New Roman"/>
          <w:color w:val="auto"/>
          <w:szCs w:val="21"/>
          <w:highlight w:val="none"/>
        </w:rPr>
        <w:t>承诺已详细研究了征集文件的所有内容包括修正文（如有）和所有已提供的参考资料以及有关附件（承诺</w:t>
      </w:r>
      <w:r>
        <w:rPr>
          <w:rFonts w:ascii="Times New Roman" w:hAnsi="Times New Roman" w:eastAsia="宋体" w:cs="Times New Roman"/>
          <w:color w:val="auto"/>
          <w:szCs w:val="21"/>
          <w:highlight w:val="none"/>
        </w:rPr>
        <w:t>书、</w:t>
      </w:r>
      <w:r>
        <w:rPr>
          <w:rFonts w:hint="eastAsia" w:ascii="Times New Roman" w:hAnsi="Times New Roman" w:eastAsia="宋体" w:cs="Times New Roman"/>
          <w:color w:val="auto"/>
          <w:szCs w:val="21"/>
          <w:highlight w:val="none"/>
        </w:rPr>
        <w:t>东莞市水务集团管网有限公司机电设备维修供应商库管理办法（试行）、框架合同等），并完全明白、</w:t>
      </w:r>
      <w:r>
        <w:rPr>
          <w:rFonts w:ascii="Times New Roman" w:hAnsi="Times New Roman" w:eastAsia="宋体" w:cs="Times New Roman"/>
          <w:color w:val="auto"/>
          <w:szCs w:val="21"/>
          <w:highlight w:val="none"/>
        </w:rPr>
        <w:t>接受上述全部内容</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后</w:t>
      </w:r>
      <w:r>
        <w:rPr>
          <w:rFonts w:hint="eastAsia" w:ascii="Times New Roman" w:hAnsi="Times New Roman" w:eastAsia="宋体" w:cs="Times New Roman"/>
          <w:color w:val="auto"/>
          <w:szCs w:val="21"/>
          <w:highlight w:val="none"/>
        </w:rPr>
        <w:t>放弃在此方面提出含糊意见或误解的一切权力，</w:t>
      </w:r>
      <w:r>
        <w:rPr>
          <w:rFonts w:ascii="Times New Roman" w:hAnsi="Times New Roman" w:eastAsia="宋体" w:cs="Times New Roman"/>
          <w:color w:val="auto"/>
          <w:szCs w:val="21"/>
          <w:highlight w:val="none"/>
        </w:rPr>
        <w:t>并承诺</w:t>
      </w:r>
      <w:r>
        <w:rPr>
          <w:rFonts w:hint="eastAsia" w:ascii="Times New Roman" w:hAnsi="Times New Roman" w:eastAsia="宋体" w:cs="Times New Roman"/>
          <w:color w:val="auto"/>
          <w:szCs w:val="21"/>
          <w:highlight w:val="none"/>
        </w:rPr>
        <w:t>服从《东莞市水务集团管网有限公司机电设备维修供应商库管理办法（试行）》</w:t>
      </w:r>
      <w:r>
        <w:rPr>
          <w:rFonts w:ascii="Times New Roman" w:hAnsi="Times New Roman" w:eastAsia="宋体" w:cs="Times New Roman"/>
          <w:color w:val="auto"/>
          <w:szCs w:val="21"/>
          <w:highlight w:val="none"/>
        </w:rPr>
        <w:t>管理</w:t>
      </w:r>
      <w:r>
        <w:rPr>
          <w:rFonts w:hint="eastAsia" w:ascii="Times New Roman" w:hAnsi="Times New Roman" w:eastAsia="宋体" w:cs="Times New Roman"/>
          <w:color w:val="auto"/>
          <w:szCs w:val="21"/>
          <w:highlight w:val="none"/>
        </w:rPr>
        <w:t>。</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二、报</w:t>
      </w:r>
      <w:r>
        <w:rPr>
          <w:rFonts w:hint="eastAsia" w:ascii="Times New Roman" w:hAnsi="Times New Roman" w:eastAsia="宋体" w:cs="Times New Roman"/>
          <w:b/>
          <w:bCs/>
          <w:color w:val="auto"/>
          <w:szCs w:val="21"/>
          <w:highlight w:val="none"/>
        </w:rPr>
        <w:t>名</w:t>
      </w:r>
      <w:r>
        <w:rPr>
          <w:rFonts w:ascii="Times New Roman" w:hAnsi="Times New Roman" w:eastAsia="宋体" w:cs="Times New Roman"/>
          <w:b/>
          <w:bCs/>
          <w:color w:val="auto"/>
          <w:szCs w:val="21"/>
          <w:highlight w:val="none"/>
        </w:rPr>
        <w:t>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文件的编写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人应仔细阅读</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文件的所有内容，并按其规定的内容和格式，提交完整的报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2.2报名文件的构成</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资格证明文件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法定代表人身份证明书及授权书格式（法定代表人</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时只提供法定代表人身份证明书，委托他人为</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代表时同时提供法定代表人授权书）；</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多证合一营业执照（或事业单位法人证书）复印件；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开户许可证（基本存款账户）复印件，如</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人企业银行账户开户所在地区已取消企业银行账户许可，</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人应提供基本存款账户开户名称、开户银行、账号、编号等信息及相关备案证明（如有）或其他能证明其为基本存款账户的资料复印件；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④</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最近3年</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人牵涉的主要诉讼案件或其他（失信和违法）处罚说明</w:t>
      </w:r>
      <w:r>
        <w:rPr>
          <w:rFonts w:hint="eastAsia"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（2）报名人基本情况一览表</w:t>
      </w:r>
    </w:p>
    <w:p>
      <w:pPr>
        <w:pStyle w:val="2"/>
        <w:spacing w:line="400" w:lineRule="exact"/>
        <w:ind w:firstLine="422" w:firstLineChars="201"/>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）报名人财务状况表格式</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）报名人业绩表格式</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）拟投入本项目的项目负责人简历表</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6</w:t>
      </w:r>
      <w:r>
        <w:rPr>
          <w:rFonts w:hint="eastAsia" w:ascii="Times New Roman" w:hAnsi="Times New Roman" w:eastAsia="宋体" w:cs="Times New Roman"/>
          <w:color w:val="auto"/>
          <w:szCs w:val="21"/>
          <w:highlight w:val="none"/>
        </w:rPr>
        <w:t>）拟投入本项目人员情况一览表格式</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拟投入本项目机械设备情况一览表格式</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）总体实施方案</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rPr>
        <w:t>）应急处理方案</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）有限空间作业实施方案</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）合同条款偏离表格式</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2</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反映报名人信誉和能力的其他资料</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具体详见征集文件“第三</w:t>
      </w:r>
      <w:r>
        <w:rPr>
          <w:rFonts w:ascii="Times New Roman" w:hAnsi="Times New Roman" w:eastAsia="宋体" w:cs="Times New Roman"/>
          <w:color w:val="auto"/>
          <w:szCs w:val="21"/>
          <w:highlight w:val="none"/>
        </w:rPr>
        <w:t>部分 报名文件格式</w:t>
      </w:r>
      <w:r>
        <w:rPr>
          <w:rFonts w:hint="eastAsia"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2.3报名文件的式样和签署</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2.3.1报名人应准备一份“报名文件电子文件”</w:t>
      </w:r>
      <w:r>
        <w:rPr>
          <w:rFonts w:hint="eastAsia" w:ascii="Times New Roman" w:hAnsi="Times New Roman" w:eastAsia="宋体" w:cs="Times New Roman"/>
          <w:color w:val="auto"/>
          <w:szCs w:val="21"/>
          <w:highlight w:val="none"/>
        </w:rPr>
        <w:t>（单独密封提交）</w:t>
      </w:r>
      <w:r>
        <w:rPr>
          <w:rFonts w:ascii="Times New Roman" w:hAnsi="Times New Roman" w:eastAsia="宋体" w:cs="Times New Roman"/>
          <w:color w:val="auto"/>
          <w:szCs w:val="21"/>
          <w:highlight w:val="none"/>
        </w:rPr>
        <w:t>、一份正本和</w:t>
      </w:r>
      <w:r>
        <w:rPr>
          <w:rFonts w:hint="eastAsia" w:ascii="Times New Roman" w:hAnsi="Times New Roman" w:eastAsia="宋体" w:cs="Times New Roman"/>
          <w:color w:val="auto"/>
          <w:szCs w:val="21"/>
          <w:highlight w:val="none"/>
        </w:rPr>
        <w:t>七</w:t>
      </w:r>
      <w:r>
        <w:rPr>
          <w:rFonts w:ascii="Times New Roman" w:hAnsi="Times New Roman" w:eastAsia="宋体" w:cs="Times New Roman"/>
          <w:color w:val="auto"/>
          <w:szCs w:val="21"/>
          <w:highlight w:val="none"/>
        </w:rPr>
        <w:t>份副本“报名文件”。在每一份报名文件上编上目录（目录内的页码必须与实际内容对应）、页次，装订成册（不允许使用活页夹），并要明确注明“正本”或“副本”，一旦正本和副本发现差异，以正本为准。</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2.3.2报名文件正本和副本须打印或用不褪色墨水书写，征集文件提供的格式文件或报名文件中明确要求签署的，应相应加法人公章或签署。其中签署应由报名人法定代表人或其授权代表签字（或盖私章），后者须将“法人授权委托证明书”以书面形式附在报名文件中。副本文件可由正本文件复印而成。</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2.3.3除报名人对错处作必要修改外，报名文件中不许有加行、涂抹或改写。若有修改须由签署报名文件的人进行签字（或盖私章），并加盖报名人法人公章。</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2.3.4报名文件的封面应注明“项目名称、报名人名称、</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日期等”。</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2.3.5报名文件电子文件内容包括：报名文件电子文件不可设置密码，用</w:t>
      </w:r>
      <w:r>
        <w:rPr>
          <w:rFonts w:hint="eastAsia" w:ascii="Times New Roman" w:hAnsi="Times New Roman" w:eastAsia="宋体" w:cs="Times New Roman"/>
          <w:color w:val="auto"/>
          <w:szCs w:val="21"/>
          <w:highlight w:val="none"/>
        </w:rPr>
        <w:t>U盘等移动</w:t>
      </w:r>
      <w:r>
        <w:rPr>
          <w:rFonts w:ascii="Times New Roman" w:hAnsi="Times New Roman" w:eastAsia="宋体" w:cs="Times New Roman"/>
          <w:color w:val="auto"/>
          <w:szCs w:val="21"/>
          <w:highlight w:val="none"/>
        </w:rPr>
        <w:t>储存</w:t>
      </w:r>
      <w:r>
        <w:rPr>
          <w:rFonts w:hint="eastAsia" w:ascii="Times New Roman" w:hAnsi="Times New Roman" w:eastAsia="宋体" w:cs="Times New Roman"/>
          <w:color w:val="auto"/>
          <w:szCs w:val="21"/>
          <w:highlight w:val="none"/>
        </w:rPr>
        <w:t>介质存储</w:t>
      </w:r>
      <w:r>
        <w:rPr>
          <w:rFonts w:ascii="Times New Roman" w:hAnsi="Times New Roman" w:eastAsia="宋体" w:cs="Times New Roman"/>
          <w:color w:val="auto"/>
          <w:szCs w:val="21"/>
          <w:highlight w:val="none"/>
        </w:rPr>
        <w:t>，并</w:t>
      </w:r>
      <w:r>
        <w:rPr>
          <w:rFonts w:hint="eastAsia" w:ascii="Times New Roman" w:hAnsi="Times New Roman" w:eastAsia="宋体" w:cs="Times New Roman"/>
          <w:color w:val="auto"/>
          <w:szCs w:val="21"/>
          <w:highlight w:val="none"/>
        </w:rPr>
        <w:t>单独</w:t>
      </w:r>
      <w:r>
        <w:rPr>
          <w:rFonts w:ascii="Times New Roman" w:hAnsi="Times New Roman" w:eastAsia="宋体" w:cs="Times New Roman"/>
          <w:color w:val="auto"/>
          <w:szCs w:val="21"/>
          <w:highlight w:val="none"/>
        </w:rPr>
        <w:t>密封于“</w:t>
      </w:r>
      <w:r>
        <w:rPr>
          <w:rFonts w:hint="eastAsia" w:ascii="Times New Roman" w:hAnsi="Times New Roman" w:eastAsia="宋体" w:cs="Times New Roman"/>
          <w:color w:val="auto"/>
          <w:szCs w:val="21"/>
          <w:highlight w:val="none"/>
        </w:rPr>
        <w:t>电子文件</w:t>
      </w:r>
      <w:r>
        <w:rPr>
          <w:rFonts w:ascii="Times New Roman" w:hAnsi="Times New Roman" w:eastAsia="宋体" w:cs="Times New Roman"/>
          <w:color w:val="auto"/>
          <w:szCs w:val="21"/>
          <w:highlight w:val="none"/>
        </w:rPr>
        <w:t>信封”内（报名文件电子文件的包装封面需注明项目名称、报名人单位名称，并加盖报名人法人公章）。</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2.3.6电报、电传、传真、快递的</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概不接受。</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三、报名文件的递交</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3.1  报名截止</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（1）报名人应在《报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邀请函》规定的时间，且不迟于《报名邀请函》规定的截止时间将报名文件送达《报名邀请函》规定的地点，递交至</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人处。</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人可以按本须知的规定，通过发布补充通知自行决定酌情延长报名截止日期。在此情况下，</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人和报名人受报名截止日期制约的所有权利和义务均应延长至新的截止日期。</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  报名文件的递交和撤回</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（1）报名人应按报名邀请函中规定的时间和地点于报名文件递交截止时间之前递交报名文件。迟于报名文件递交截止时间递交的报名文件将被视为无效。</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征集人</w:t>
      </w:r>
      <w:r>
        <w:rPr>
          <w:rFonts w:ascii="Times New Roman" w:hAnsi="Times New Roman" w:eastAsia="宋体" w:cs="Times New Roman"/>
          <w:color w:val="auto"/>
          <w:szCs w:val="21"/>
          <w:highlight w:val="none"/>
        </w:rPr>
        <w:t>要求</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对报名</w:t>
      </w:r>
      <w:r>
        <w:rPr>
          <w:rFonts w:hint="eastAsia" w:ascii="Times New Roman" w:hAnsi="Times New Roman" w:eastAsia="宋体" w:cs="Times New Roman"/>
          <w:color w:val="auto"/>
          <w:szCs w:val="21"/>
          <w:highlight w:val="none"/>
        </w:rPr>
        <w:t>文件</w:t>
      </w:r>
      <w:r>
        <w:rPr>
          <w:rFonts w:ascii="Times New Roman" w:hAnsi="Times New Roman" w:eastAsia="宋体" w:cs="Times New Roman"/>
          <w:color w:val="auto"/>
          <w:szCs w:val="21"/>
          <w:highlight w:val="none"/>
        </w:rPr>
        <w:t>修改</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澄清等，</w:t>
      </w:r>
      <w:r>
        <w:rPr>
          <w:rFonts w:hint="eastAsia" w:ascii="Times New Roman" w:hAnsi="Times New Roman" w:eastAsia="宋体" w:cs="Times New Roman"/>
          <w:color w:val="auto"/>
          <w:szCs w:val="21"/>
          <w:highlight w:val="none"/>
        </w:rPr>
        <w:t>应</w:t>
      </w:r>
      <w:r>
        <w:rPr>
          <w:rFonts w:ascii="Times New Roman" w:hAnsi="Times New Roman" w:eastAsia="宋体" w:cs="Times New Roman"/>
          <w:color w:val="auto"/>
          <w:szCs w:val="21"/>
          <w:highlight w:val="none"/>
        </w:rPr>
        <w:t>按</w:t>
      </w:r>
      <w:r>
        <w:rPr>
          <w:rFonts w:hint="eastAsia" w:ascii="Times New Roman" w:hAnsi="Times New Roman" w:eastAsia="宋体" w:cs="Times New Roman"/>
          <w:color w:val="auto"/>
          <w:szCs w:val="21"/>
          <w:highlight w:val="none"/>
        </w:rPr>
        <w:t>征集人</w:t>
      </w:r>
      <w:r>
        <w:rPr>
          <w:rFonts w:ascii="Times New Roman" w:hAnsi="Times New Roman" w:eastAsia="宋体" w:cs="Times New Roman"/>
          <w:color w:val="auto"/>
          <w:szCs w:val="21"/>
          <w:highlight w:val="none"/>
        </w:rPr>
        <w:t>规定的时间内递交。</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（3）报名递交截止时间前报名人可以撤回报名，但在报名递交截止时间之后不允许撤回报名。</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（4）对未按要求密封的报名文件，征集人将视为无效报名。</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（5）报名人应将所有正本和副本报名文件（本处不含报名文件电子文件）一起密封在一个不透明的外层封装中</w:t>
      </w:r>
      <w:r>
        <w:rPr>
          <w:rFonts w:ascii="Times New Roman" w:hAnsi="Times New Roman" w:eastAsia="宋体" w:cs="Times New Roman"/>
          <w:color w:val="auto"/>
          <w:szCs w:val="21"/>
          <w:highlight w:val="none"/>
        </w:rPr>
        <w:t>，外层密封封装表面应正确标明报名人名称、地址、项目名称，封口位置的封条上须加盖报名人法人公章</w:t>
      </w:r>
      <w:r>
        <w:rPr>
          <w:rFonts w:hint="eastAsia"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  迟交的报名文件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征集人将拒绝接收在本须知规定的报名截止时间后收到的任何报名文件。</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四、评审</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4.1</w:t>
      </w:r>
      <w:r>
        <w:rPr>
          <w:rFonts w:hint="eastAsia" w:ascii="Times New Roman" w:hAnsi="Times New Roman" w:eastAsia="宋体" w:cs="Times New Roman"/>
          <w:color w:val="auto"/>
          <w:szCs w:val="21"/>
          <w:highlight w:val="none"/>
        </w:rPr>
        <w:t>评审委员会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（1）本次评审委员会由征集人自行组建</w:t>
      </w:r>
      <w:r>
        <w:rPr>
          <w:rFonts w:hint="eastAsia" w:ascii="Times New Roman" w:hAnsi="Times New Roman" w:eastAsia="宋体" w:cs="Times New Roman"/>
          <w:color w:val="auto"/>
          <w:szCs w:val="21"/>
          <w:highlight w:val="none"/>
        </w:rPr>
        <w:t>，成员为</w:t>
      </w:r>
      <w:r>
        <w:rPr>
          <w:rFonts w:ascii="Times New Roman" w:hAnsi="Times New Roman" w:eastAsia="宋体" w:cs="Times New Roman"/>
          <w:color w:val="auto"/>
          <w:szCs w:val="21"/>
          <w:highlight w:val="none"/>
        </w:rPr>
        <w:t>7人以上（含7人）单数。</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在评审过程中出现意见不一致时，遵循少数服从多数原则。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依法根据</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文件的规定对报名文件进行综合评审，并据此推荐</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4.2评审原则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（1）评审基本原则：评审工作依据相关规定，遵循“公平、公正、择优、诚实信用”的原则。</w:t>
      </w:r>
    </w:p>
    <w:p>
      <w:pPr>
        <w:pStyle w:val="2"/>
        <w:spacing w:line="400" w:lineRule="exact"/>
        <w:ind w:firstLine="422" w:firstLineChars="201"/>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（2）评审委员会对报名人的报名文件进行资格性检查和符合性检查，</w:t>
      </w:r>
      <w:r>
        <w:rPr>
          <w:rFonts w:ascii="Times New Roman" w:hAnsi="Times New Roman" w:eastAsia="宋体" w:cs="Times New Roman"/>
          <w:color w:val="auto"/>
          <w:szCs w:val="21"/>
          <w:highlight w:val="none"/>
          <w:lang w:val="zh-CN"/>
        </w:rPr>
        <w:t>资格性检查是指评标委员会依据法律法规和</w:t>
      </w:r>
      <w:r>
        <w:rPr>
          <w:rFonts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文件的规定，对</w:t>
      </w:r>
      <w:r>
        <w:rPr>
          <w:rFonts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文件中的资格证明进行审查，以确定</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人是否具备</w:t>
      </w:r>
      <w:r>
        <w:rPr>
          <w:rFonts w:ascii="Times New Roman" w:hAnsi="Times New Roman" w:eastAsia="宋体" w:cs="Times New Roman"/>
          <w:color w:val="auto"/>
          <w:szCs w:val="21"/>
          <w:highlight w:val="none"/>
        </w:rPr>
        <w:t>报名资格。</w:t>
      </w:r>
      <w:r>
        <w:rPr>
          <w:rFonts w:ascii="Times New Roman" w:hAnsi="Times New Roman" w:eastAsia="宋体" w:cs="Times New Roman"/>
          <w:color w:val="auto"/>
          <w:szCs w:val="21"/>
          <w:highlight w:val="none"/>
          <w:lang w:val="zh-CN"/>
        </w:rPr>
        <w:t>符合性检查是指评标委员会依据</w:t>
      </w:r>
      <w:r>
        <w:rPr>
          <w:rFonts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文件规定，从</w:t>
      </w:r>
      <w:r>
        <w:rPr>
          <w:rFonts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文件的有效性、完整性和对</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文件的响应程度进行审查，以确定是否对</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文件的实质性要求作出响应。 评标委员会决定</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文件的响应性是基于</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文件的内容本身而不靠外部的证据。对是否符合实质性响应</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文件有争议的</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文件，评标委员会成员将以记名方式表决，得票超过半数的</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人才有资格进入下一阶段的评审，否则将被认定为无效</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w:t>
      </w:r>
    </w:p>
    <w:p>
      <w:pPr>
        <w:pStyle w:val="3"/>
        <w:ind w:firstLine="422" w:firstLineChars="200"/>
        <w:rPr>
          <w:rFonts w:hAnsi="Times New Roman"/>
          <w:color w:val="auto"/>
          <w:szCs w:val="21"/>
          <w:highlight w:val="none"/>
        </w:rPr>
      </w:pPr>
      <w:r>
        <w:rPr>
          <w:rFonts w:hAnsi="Times New Roman"/>
          <w:color w:val="auto"/>
          <w:szCs w:val="21"/>
          <w:highlight w:val="none"/>
        </w:rPr>
        <w:t>（3）报名文件出现下列情况之一的，被认定为无效报名：</w:t>
      </w:r>
    </w:p>
    <w:p>
      <w:pPr>
        <w:pStyle w:val="3"/>
        <w:ind w:firstLine="422" w:firstLineChars="200"/>
        <w:rPr>
          <w:rFonts w:hAnsi="Times New Roman"/>
          <w:color w:val="auto"/>
          <w:szCs w:val="21"/>
          <w:highlight w:val="none"/>
        </w:rPr>
      </w:pPr>
      <w:r>
        <w:rPr>
          <w:rFonts w:hAnsi="Times New Roman"/>
          <w:color w:val="auto"/>
          <w:szCs w:val="21"/>
          <w:highlight w:val="none"/>
        </w:rPr>
        <w:t>①报名人不符合合格报名人的基本条件（含未</w:t>
      </w:r>
      <w:r>
        <w:rPr>
          <w:rFonts w:hint="eastAsia" w:hAnsi="Times New Roman"/>
          <w:color w:val="auto"/>
          <w:szCs w:val="21"/>
          <w:highlight w:val="none"/>
          <w:lang w:val="en-US"/>
        </w:rPr>
        <w:t>要求</w:t>
      </w:r>
      <w:r>
        <w:rPr>
          <w:rFonts w:hAnsi="Times New Roman"/>
          <w:color w:val="auto"/>
          <w:szCs w:val="21"/>
          <w:highlight w:val="none"/>
        </w:rPr>
        <w:t>提供资格证明文件）；</w:t>
      </w:r>
    </w:p>
    <w:p>
      <w:pPr>
        <w:pStyle w:val="2"/>
        <w:spacing w:line="400" w:lineRule="exact"/>
        <w:ind w:left="637" w:leftChars="200" w:hanging="217" w:hangingChars="103"/>
        <w:rPr>
          <w:rFonts w:ascii="Times New Roman" w:hAnsi="Times New Roman" w:eastAsia="宋体" w:cs="Times New Roman"/>
          <w:b/>
          <w:bCs/>
          <w:color w:val="auto"/>
          <w:szCs w:val="21"/>
          <w:highlight w:val="none"/>
          <w:lang w:val="zh-CN"/>
        </w:rPr>
      </w:pPr>
      <w:r>
        <w:rPr>
          <w:rFonts w:ascii="Times New Roman" w:hAnsi="Times New Roman" w:eastAsia="宋体" w:cs="Times New Roman"/>
          <w:b/>
          <w:bCs/>
          <w:color w:val="auto"/>
          <w:szCs w:val="21"/>
          <w:highlight w:val="none"/>
          <w:lang w:val="zh-CN"/>
        </w:rPr>
        <w:t>②报名文件未按照</w:t>
      </w:r>
      <w:r>
        <w:rPr>
          <w:rFonts w:hint="eastAsia" w:ascii="Times New Roman" w:hAnsi="Times New Roman" w:eastAsia="宋体" w:cs="Times New Roman"/>
          <w:b/>
          <w:bCs/>
          <w:color w:val="auto"/>
          <w:szCs w:val="21"/>
          <w:highlight w:val="none"/>
        </w:rPr>
        <w:t>征集</w:t>
      </w:r>
      <w:r>
        <w:rPr>
          <w:rFonts w:ascii="Times New Roman" w:hAnsi="Times New Roman" w:eastAsia="宋体" w:cs="Times New Roman"/>
          <w:b/>
          <w:bCs/>
          <w:color w:val="auto"/>
          <w:szCs w:val="21"/>
          <w:highlight w:val="none"/>
          <w:lang w:val="zh-CN"/>
        </w:rPr>
        <w:t>文件规定要求密封；报名文件无法定代表人或其授权代表签字（或盖私章），或签字人无法定代表人有效授权的；签字盖章不符合</w:t>
      </w:r>
      <w:r>
        <w:rPr>
          <w:rFonts w:hint="eastAsia" w:ascii="Times New Roman" w:hAnsi="Times New Roman" w:eastAsia="宋体" w:cs="Times New Roman"/>
          <w:b/>
          <w:bCs/>
          <w:color w:val="auto"/>
          <w:szCs w:val="21"/>
          <w:highlight w:val="none"/>
        </w:rPr>
        <w:t>征集</w:t>
      </w:r>
      <w:r>
        <w:rPr>
          <w:rFonts w:ascii="Times New Roman" w:hAnsi="Times New Roman" w:eastAsia="宋体" w:cs="Times New Roman"/>
          <w:b/>
          <w:bCs/>
          <w:color w:val="auto"/>
          <w:szCs w:val="21"/>
          <w:highlight w:val="none"/>
          <w:lang w:val="zh-CN"/>
        </w:rPr>
        <w:t>文件要求的；</w:t>
      </w:r>
    </w:p>
    <w:p>
      <w:pPr>
        <w:pStyle w:val="3"/>
        <w:ind w:firstLine="422" w:firstLineChars="200"/>
        <w:rPr>
          <w:rFonts w:hAnsi="Times New Roman"/>
          <w:color w:val="auto"/>
          <w:szCs w:val="21"/>
          <w:highlight w:val="none"/>
        </w:rPr>
      </w:pPr>
      <w:r>
        <w:rPr>
          <w:rFonts w:hAnsi="Times New Roman"/>
          <w:color w:val="auto"/>
          <w:szCs w:val="21"/>
          <w:highlight w:val="none"/>
        </w:rPr>
        <w:t>③未提供或虚假填写《合同条款偏离表》，或对《合同条款偏离表》有负偏离的；</w:t>
      </w:r>
    </w:p>
    <w:p>
      <w:pPr>
        <w:pStyle w:val="3"/>
        <w:ind w:firstLineChars="200"/>
        <w:rPr>
          <w:rFonts w:hint="default" w:ascii="Times New Roman" w:hAnsi="Times New Roman" w:eastAsia="宋体" w:cs="Times New Roman"/>
          <w:color w:val="auto"/>
          <w:szCs w:val="21"/>
          <w:highlight w:val="none"/>
          <w:lang w:val="en-US" w:eastAsia="zh-CN"/>
        </w:rPr>
      </w:pPr>
      <w:r>
        <w:rPr>
          <w:rFonts w:hint="eastAsia" w:hAnsi="Times New Roman"/>
          <w:color w:val="auto"/>
          <w:szCs w:val="21"/>
          <w:highlight w:val="none"/>
          <w:lang w:val="en-US"/>
        </w:rPr>
        <w:t>④</w:t>
      </w:r>
      <w:r>
        <w:rPr>
          <w:rFonts w:hint="default" w:ascii="Times New Roman" w:hAnsi="Times New Roman" w:eastAsia="宋体" w:cs="Times New Roman"/>
          <w:color w:val="auto"/>
          <w:szCs w:val="21"/>
          <w:highlight w:val="none"/>
          <w:lang w:val="en-US" w:eastAsia="zh-CN"/>
        </w:rPr>
        <w:t>存在报名人或其关联公司曾与东莞市水务集团有限公司及其下属企业签订合同，且在履约过程中因报名人或其关联公司严重违约而导致合同变更、中止、解除的情形。</w:t>
      </w:r>
    </w:p>
    <w:p>
      <w:pPr>
        <w:pStyle w:val="3"/>
        <w:ind w:firstLine="422" w:firstLineChars="200"/>
        <w:rPr>
          <w:rFonts w:hAnsi="Times New Roman"/>
          <w:color w:val="auto"/>
          <w:szCs w:val="21"/>
          <w:highlight w:val="none"/>
          <w:lang w:val="en-US"/>
        </w:rPr>
      </w:pPr>
      <w:r>
        <w:rPr>
          <w:rFonts w:hint="eastAsia" w:hAnsi="Times New Roman"/>
          <w:color w:val="auto"/>
          <w:szCs w:val="21"/>
          <w:highlight w:val="none"/>
          <w:lang w:val="en-US" w:eastAsia="zh-CN"/>
        </w:rPr>
        <w:t>⑤</w:t>
      </w:r>
      <w:r>
        <w:rPr>
          <w:rFonts w:hint="eastAsia" w:hAnsi="Times New Roman"/>
          <w:color w:val="auto"/>
          <w:szCs w:val="21"/>
          <w:highlight w:val="none"/>
          <w:lang w:val="en-US"/>
        </w:rPr>
        <w:t>其他未按照征集文件要求提交报名文件的。</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按</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文件中规定的评审方法和标准，对</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的报名文件进行</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）参加</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工作的所有人员应遵守相关的规定，严格保密，确保</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工作公平、公正，任何单位和个人不得无理干预</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的正常工作。</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（6）本评分表作为比较各报名供应商的综合实力得分排名情况。</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（7）参加评审的评委应尽力体现客观、实事求是。</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（8）本次打分依据应以参与本次征集的供应商提交的有效且真实的纸质报名资料为准。</w:t>
      </w:r>
    </w:p>
    <w:p>
      <w:pPr>
        <w:pStyle w:val="3"/>
        <w:ind w:firstLineChars="200"/>
        <w:rPr>
          <w:b w:val="0"/>
          <w:bCs w:val="0"/>
          <w:color w:val="auto"/>
          <w:highlight w:val="none"/>
          <w:lang w:val="en-US"/>
        </w:rPr>
      </w:pPr>
      <w:r>
        <w:rPr>
          <w:rFonts w:hint="eastAsia" w:hAnsi="Times New Roman"/>
          <w:b w:val="0"/>
          <w:bCs w:val="0"/>
          <w:color w:val="auto"/>
          <w:szCs w:val="21"/>
          <w:highlight w:val="none"/>
        </w:rPr>
        <w:t>（</w:t>
      </w:r>
      <w:r>
        <w:rPr>
          <w:rFonts w:hint="eastAsia" w:hAnsi="Times New Roman"/>
          <w:b w:val="0"/>
          <w:bCs w:val="0"/>
          <w:color w:val="auto"/>
          <w:szCs w:val="21"/>
          <w:highlight w:val="none"/>
          <w:lang w:val="en-US"/>
        </w:rPr>
        <w:t>9</w:t>
      </w:r>
      <w:r>
        <w:rPr>
          <w:rFonts w:hint="eastAsia" w:hAnsi="Times New Roman"/>
          <w:b w:val="0"/>
          <w:bCs w:val="0"/>
          <w:color w:val="auto"/>
          <w:szCs w:val="21"/>
          <w:highlight w:val="none"/>
        </w:rPr>
        <w:t>）</w:t>
      </w:r>
      <w:r>
        <w:rPr>
          <w:rFonts w:hint="eastAsia" w:hAnsi="Times New Roman"/>
          <w:b w:val="0"/>
          <w:bCs w:val="0"/>
          <w:color w:val="auto"/>
          <w:szCs w:val="21"/>
          <w:highlight w:val="none"/>
          <w:lang w:val="en-US"/>
        </w:rPr>
        <w:t>有效报名文件不足3份的，视为征集失败。</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（10）评审委员会根据报名人提交的报名文件结合本评分表评分细则进行综合评分（评审委员会人员对各报名</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进行打分，即出具一份评分表）。最终综合得分按照各评分因素打分后累加得出。评审委员会根据各供应商综合得分情况进行排序，如果出现报名人的最后综合得分相同时，由评审委员会进行投票，得票多的排名在先。当第一轮投票结果为报名人得票数相同时，再次进行投票，如此类推，直到能确定排序次序为止。最终评标委员会按综合得分由高到低顺序排列，向征集人推荐所有</w:t>
      </w:r>
      <w:r>
        <w:rPr>
          <w:rFonts w:ascii="Times New Roman" w:hAnsi="Times New Roman" w:eastAsia="宋体" w:cs="Times New Roman"/>
          <w:color w:val="auto"/>
          <w:szCs w:val="21"/>
          <w:highlight w:val="none"/>
        </w:rPr>
        <w:t>候选人</w:t>
      </w:r>
      <w:r>
        <w:rPr>
          <w:rFonts w:hint="eastAsia" w:ascii="Times New Roman" w:hAnsi="Times New Roman" w:eastAsia="宋体" w:cs="Times New Roman"/>
          <w:color w:val="auto"/>
          <w:szCs w:val="21"/>
          <w:highlight w:val="none"/>
        </w:rPr>
        <w:t>，并按照以下原则推荐在库供应商和候选供应商：</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1.当推荐的候选人数量小于或等于4时，推荐所有候选人为在库供应商；</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2.当推荐的候选人数量大于4且小于等于9时，推荐排名前4的候选人为在库供应商，推荐剩余候选人为候选供应商。</w:t>
      </w:r>
    </w:p>
    <w:p>
      <w:pPr>
        <w:pStyle w:val="2"/>
        <w:spacing w:line="400" w:lineRule="exact"/>
        <w:ind w:firstLine="422" w:firstLineChars="201"/>
        <w:rPr>
          <w:rFonts w:ascii="Times New Roman" w:hAnsi="Calibri" w:eastAsia="宋体" w:cs="Times New Roman"/>
          <w:color w:val="auto"/>
          <w:highlight w:val="none"/>
        </w:rPr>
      </w:pPr>
      <w:r>
        <w:rPr>
          <w:rFonts w:hint="eastAsia" w:ascii="Times New Roman" w:hAnsi="Times New Roman" w:eastAsia="宋体" w:cs="Times New Roman"/>
          <w:color w:val="auto"/>
          <w:szCs w:val="21"/>
          <w:highlight w:val="none"/>
        </w:rPr>
        <w:t>3.当推荐的候选人数量大于9时，推荐排名前4的候选人为在库供应商，推荐排名第</w:t>
      </w:r>
      <w:r>
        <w:rPr>
          <w:rFonts w:ascii="Times New Roman" w:hAnsi="Times New Roman" w:eastAsia="宋体" w:cs="Times New Roman"/>
          <w:color w:val="auto"/>
          <w:szCs w:val="21"/>
          <w:highlight w:val="none"/>
        </w:rPr>
        <w:t>5至第</w:t>
      </w:r>
      <w:r>
        <w:rPr>
          <w:rFonts w:hint="eastAsia" w:ascii="Times New Roman" w:hAnsi="Times New Roman" w:eastAsia="宋体" w:cs="Times New Roman"/>
          <w:color w:val="auto"/>
          <w:szCs w:val="21"/>
          <w:highlight w:val="none"/>
          <w:lang w:val="en-US" w:eastAsia="zh-CN"/>
        </w:rPr>
        <w:t>9</w:t>
      </w:r>
      <w:r>
        <w:rPr>
          <w:rFonts w:ascii="Times New Roman" w:hAnsi="Times New Roman" w:eastAsia="宋体" w:cs="Times New Roman"/>
          <w:color w:val="auto"/>
          <w:szCs w:val="21"/>
          <w:highlight w:val="none"/>
        </w:rPr>
        <w:t>的候选人</w:t>
      </w:r>
      <w:r>
        <w:rPr>
          <w:rFonts w:hint="eastAsia" w:ascii="Times New Roman" w:hAnsi="Times New Roman" w:eastAsia="宋体" w:cs="Times New Roman"/>
          <w:color w:val="auto"/>
          <w:szCs w:val="21"/>
          <w:highlight w:val="none"/>
        </w:rPr>
        <w:t>为候选供应商。</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（11）征集人后续在供应商库的使用过程中，半年内如候选供应商数量少于5家时，征集人有权将未推荐入库且得分</w:t>
      </w:r>
      <w:r>
        <w:rPr>
          <w:rFonts w:ascii="Times New Roman" w:hAnsi="Times New Roman" w:eastAsia="宋体" w:cs="Times New Roman"/>
          <w:color w:val="auto"/>
          <w:szCs w:val="21"/>
          <w:highlight w:val="none"/>
        </w:rPr>
        <w:t>60分以上（含60分）</w:t>
      </w:r>
      <w:r>
        <w:rPr>
          <w:rFonts w:hint="eastAsia" w:ascii="Times New Roman" w:hAnsi="Times New Roman" w:eastAsia="宋体" w:cs="Times New Roman"/>
          <w:color w:val="auto"/>
          <w:szCs w:val="21"/>
          <w:highlight w:val="none"/>
        </w:rPr>
        <w:t>的候选人中按照推荐顺序依次补充成为候选供应商。</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五、评审内容</w:t>
      </w:r>
    </w:p>
    <w:tbl>
      <w:tblPr>
        <w:tblStyle w:val="47"/>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16"/>
        <w:gridCol w:w="9"/>
        <w:gridCol w:w="6327"/>
        <w:gridCol w:w="78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63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财务状况</w:t>
            </w:r>
          </w:p>
        </w:tc>
        <w:tc>
          <w:tcPr>
            <w:tcW w:w="6336" w:type="dxa"/>
            <w:gridSpan w:val="2"/>
            <w:tcBorders>
              <w:top w:val="single" w:color="auto" w:sz="4" w:space="0"/>
              <w:left w:val="single" w:color="auto" w:sz="4" w:space="0"/>
              <w:bottom w:val="single" w:color="auto" w:sz="4" w:space="0"/>
              <w:right w:val="single" w:color="auto" w:sz="4" w:space="0"/>
            </w:tcBorders>
            <w:vAlign w:val="center"/>
          </w:tcPr>
          <w:p>
            <w:pPr>
              <w:tabs>
                <w:tab w:val="left" w:pos="824"/>
              </w:tabs>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供应商近三年（201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年）盈利情况，每一年盈利加</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pPr>
              <w:tabs>
                <w:tab w:val="left" w:pos="824"/>
              </w:tabs>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备注：评审以供应商提供的经独立会计师事务所出具的审计报告复印件数据为准，因提供的证明材料不清晰等无法反映相关数据的，不得分。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标准化管理水平</w:t>
            </w:r>
          </w:p>
        </w:tc>
        <w:tc>
          <w:tcPr>
            <w:tcW w:w="6336" w:type="dxa"/>
            <w:gridSpan w:val="2"/>
            <w:tcBorders>
              <w:top w:val="single" w:color="auto" w:sz="4" w:space="0"/>
              <w:left w:val="single" w:color="auto" w:sz="4" w:space="0"/>
              <w:bottom w:val="single" w:color="auto" w:sz="4" w:space="0"/>
              <w:right w:val="single" w:color="auto" w:sz="4" w:space="0"/>
            </w:tcBorders>
            <w:vAlign w:val="center"/>
          </w:tcPr>
          <w:p>
            <w:pPr>
              <w:tabs>
                <w:tab w:val="left" w:pos="134"/>
              </w:tabs>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（1）供应商具有有效期内的ISO9001质量管理体系认证证书得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pPr>
              <w:tabs>
                <w:tab w:val="left" w:pos="134"/>
              </w:tabs>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（2）供应商具有有效期内的ISO14001环境管理体系认证证书得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pPr>
              <w:tabs>
                <w:tab w:val="left" w:pos="134"/>
              </w:tabs>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（3）供应商具有有效期内的OHSAS18001（或GB/T28001-2011，或ISO45001）职业健康安全管理体系认证证书得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pPr>
              <w:snapToGrid w:val="0"/>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备注：上述证书应真实且有效，否则不得分。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6分</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6336" w:type="dxa"/>
            <w:gridSpan w:val="2"/>
            <w:tcBorders>
              <w:top w:val="single" w:color="auto" w:sz="4" w:space="0"/>
              <w:left w:val="single" w:color="auto" w:sz="4" w:space="0"/>
              <w:bottom w:val="single" w:color="auto" w:sz="4" w:space="0"/>
              <w:right w:val="single" w:color="auto" w:sz="4" w:space="0"/>
            </w:tcBorders>
            <w:vAlign w:val="center"/>
          </w:tcPr>
          <w:p>
            <w:pPr>
              <w:tabs>
                <w:tab w:val="left" w:pos="824"/>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供应商2018年1月1日（以签订合同的时间为准）至今已完成或正在服务的机电设备、设施销售或维修项目业绩：</w:t>
            </w:r>
          </w:p>
          <w:p>
            <w:pPr>
              <w:tabs>
                <w:tab w:val="left" w:pos="824"/>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每具有一个单项合同金额在人民币100万元及以上的上述污水泵站（或污水处理厂）设备、设施销售或维修项目业绩得5分；每具有一个单项合同金额在人民币50万元（含）-100万元（不含）的上述污水泵站（或污水处理厂）设备、设施销售或维修项目业绩得4分；每具有一个单项合同金额在人民币10万元（含）-50万元（不含）的上述污水泵站（或污水处理厂）设备、设施销售或维修项目业绩得3分；每具有一个单项合同金额在人民币1万元（含）-10万元（不含）的上述污水泵站（或污水处理厂）设备、设施销售或维修项目业绩得1分。</w:t>
            </w:r>
          </w:p>
          <w:p>
            <w:pPr>
              <w:tabs>
                <w:tab w:val="left" w:pos="824"/>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每具有一个单项合同金额在人民币100万元及以上的上述普通机电设备、设施销售或维修项目业绩得3分；每具有一个单项合同金额在人民币50万元（含）-100万元（不含）的上述普通机电设备、设施销售或维修项目业绩得2分；每具有一个单项合同金额在人民币10万元（含）-50万元（不含）的上述普通机电设备、设施销售或维修项目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分；每具有一个单项合同金额在人民币</w:t>
            </w:r>
            <w:r>
              <w:rPr>
                <w:rFonts w:ascii="宋体" w:hAnsi="宋体" w:eastAsia="宋体" w:cs="宋体"/>
                <w:color w:val="auto"/>
                <w:szCs w:val="21"/>
                <w:highlight w:val="none"/>
              </w:rPr>
              <w:t>1万元（含）-</w:t>
            </w:r>
            <w:r>
              <w:rPr>
                <w:rFonts w:hint="eastAsia" w:ascii="宋体" w:hAnsi="宋体" w:eastAsia="宋体" w:cs="宋体"/>
                <w:color w:val="auto"/>
                <w:szCs w:val="21"/>
                <w:highlight w:val="none"/>
              </w:rPr>
              <w:t>10万元（不含）以下的上述普通机电设备、设施销售或维修项目业绩得</w:t>
            </w:r>
            <w:r>
              <w:rPr>
                <w:rFonts w:ascii="宋体" w:hAnsi="宋体" w:eastAsia="宋体" w:cs="宋体"/>
                <w:color w:val="auto"/>
                <w:szCs w:val="21"/>
                <w:highlight w:val="none"/>
              </w:rPr>
              <w:t>0.5</w:t>
            </w:r>
            <w:r>
              <w:rPr>
                <w:rFonts w:hint="eastAsia" w:ascii="宋体" w:hAnsi="宋体" w:eastAsia="宋体" w:cs="宋体"/>
                <w:color w:val="auto"/>
                <w:szCs w:val="21"/>
                <w:highlight w:val="none"/>
              </w:rPr>
              <w:t>分；本子项满分10分。</w:t>
            </w:r>
          </w:p>
          <w:p>
            <w:pPr>
              <w:pStyle w:val="25"/>
              <w:spacing w:line="400" w:lineRule="exact"/>
              <w:rPr>
                <w:rFonts w:hAnsi="宋体" w:cs="宋体"/>
                <w:b/>
                <w:color w:val="auto"/>
                <w:szCs w:val="21"/>
                <w:highlight w:val="none"/>
              </w:rPr>
            </w:pPr>
            <w:r>
              <w:rPr>
                <w:rFonts w:hint="eastAsia" w:hAnsi="宋体" w:cs="宋体"/>
                <w:b/>
                <w:color w:val="auto"/>
                <w:szCs w:val="21"/>
                <w:highlight w:val="none"/>
              </w:rPr>
              <w:t>备注：</w:t>
            </w:r>
          </w:p>
          <w:p>
            <w:pPr>
              <w:rPr>
                <w:rFonts w:ascii="宋体" w:hAnsi="宋体" w:eastAsia="宋体" w:cs="宋体"/>
                <w:b/>
                <w:color w:val="auto"/>
                <w:sz w:val="19"/>
                <w:szCs w:val="19"/>
                <w:highlight w:val="none"/>
                <w:shd w:val="clear" w:color="auto" w:fill="FFFFFF"/>
              </w:rPr>
            </w:pPr>
            <w:r>
              <w:rPr>
                <w:rFonts w:hint="eastAsia" w:ascii="宋体" w:hAnsi="宋体" w:eastAsia="宋体" w:cs="宋体"/>
                <w:b/>
                <w:color w:val="auto"/>
                <w:szCs w:val="21"/>
                <w:highlight w:val="none"/>
              </w:rPr>
              <w:t>①业绩必须附合同复印件。</w:t>
            </w:r>
          </w:p>
          <w:p>
            <w:pPr>
              <w:pStyle w:val="25"/>
              <w:spacing w:line="400" w:lineRule="exact"/>
              <w:rPr>
                <w:rFonts w:hAnsi="宋体" w:cs="宋体"/>
                <w:b/>
                <w:color w:val="auto"/>
                <w:szCs w:val="21"/>
                <w:highlight w:val="none"/>
              </w:rPr>
            </w:pPr>
            <w:r>
              <w:rPr>
                <w:rFonts w:hint="eastAsia" w:hAnsi="宋体" w:cs="宋体"/>
                <w:b/>
                <w:color w:val="auto"/>
                <w:szCs w:val="21"/>
                <w:highlight w:val="none"/>
                <w:lang w:val="zh-CN"/>
              </w:rPr>
              <w:t>②</w:t>
            </w:r>
            <w:r>
              <w:rPr>
                <w:rFonts w:hint="eastAsia" w:hAnsi="宋体" w:cs="宋体"/>
                <w:b/>
                <w:color w:val="auto"/>
                <w:szCs w:val="21"/>
                <w:highlight w:val="none"/>
              </w:rPr>
              <w:t>业绩证明材料未能反映机电设备、设施维修业绩属于</w:t>
            </w:r>
            <w:r>
              <w:rPr>
                <w:rFonts w:hint="eastAsia" w:hAnsi="宋体" w:cs="宋体"/>
                <w:b/>
                <w:color w:val="auto"/>
                <w:highlight w:val="none"/>
                <w:lang w:val="zh-CN"/>
              </w:rPr>
              <w:t>污水泵站（或污水处理厂）设备维修的，视为普通机电设备、设施维修业绩评审。</w:t>
            </w:r>
          </w:p>
          <w:p>
            <w:pPr>
              <w:pStyle w:val="25"/>
              <w:spacing w:line="400" w:lineRule="exact"/>
              <w:rPr>
                <w:rFonts w:hAnsi="宋体" w:cs="宋体"/>
                <w:b/>
                <w:color w:val="auto"/>
                <w:szCs w:val="21"/>
                <w:highlight w:val="none"/>
              </w:rPr>
            </w:pPr>
            <w:r>
              <w:rPr>
                <w:rFonts w:hint="eastAsia" w:hAnsi="宋体" w:cs="宋体"/>
                <w:b/>
                <w:color w:val="auto"/>
                <w:szCs w:val="21"/>
                <w:highlight w:val="none"/>
                <w:lang w:val="zh-CN"/>
              </w:rPr>
              <w:t>③</w:t>
            </w:r>
            <w:r>
              <w:rPr>
                <w:rFonts w:hint="eastAsia" w:hAnsi="宋体" w:cs="宋体"/>
                <w:b/>
                <w:color w:val="auto"/>
                <w:szCs w:val="21"/>
                <w:highlight w:val="none"/>
              </w:rPr>
              <w:t>未按上述要求提供证明材料的业绩，或所附材料无法证明填报项目属供应商的或符合本项评分要求的业绩，在评审时将不予考虑。</w:t>
            </w:r>
          </w:p>
          <w:p>
            <w:pPr>
              <w:pStyle w:val="25"/>
              <w:spacing w:line="400" w:lineRule="exact"/>
              <w:rPr>
                <w:rFonts w:hAnsi="宋体" w:cs="宋体"/>
                <w:b/>
                <w:bCs/>
                <w:color w:val="auto"/>
                <w:szCs w:val="21"/>
                <w:highlight w:val="none"/>
                <w:lang w:val="zh-CN"/>
              </w:rPr>
            </w:pPr>
            <w:r>
              <w:rPr>
                <w:rFonts w:hint="eastAsia" w:hAnsi="宋体" w:cs="宋体"/>
                <w:b/>
                <w:color w:val="auto"/>
                <w:szCs w:val="21"/>
                <w:highlight w:val="none"/>
              </w:rPr>
              <w:t>④同一个项目的业绩同时符合本评审内容多种类型的业绩条件时，不得重复放置、也不重复加分，由供应商选择将该项目业绩归类到其中一类业绩内，评审委员会将根据评分标准，对相应类型业绩表内的业绩情况进行评审</w:t>
            </w:r>
            <w:r>
              <w:rPr>
                <w:rFonts w:hint="eastAsia" w:hAnsi="宋体" w:cs="宋体"/>
                <w:b/>
                <w:color w:val="auto"/>
                <w:szCs w:val="21"/>
                <w:highlight w:val="none"/>
                <w:lang w:val="zh-CN"/>
              </w:rPr>
              <w:t>。</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服务便</w:t>
            </w:r>
          </w:p>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利性</w:t>
            </w:r>
          </w:p>
        </w:tc>
        <w:tc>
          <w:tcPr>
            <w:tcW w:w="63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（1）供应商工商注册地在东莞市或供应商在东莞市设有工商注册分支机构的，得</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分；</w:t>
            </w:r>
          </w:p>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（2）供应商在东莞市以外、广东省以内注册或设有工商注册分支机构的，得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（3）供应商在境内广东省以外注册或设有工商注册分支机构的，得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pPr>
              <w:spacing w:line="36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pPr>
              <w:spacing w:line="36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①位置证明材料：提供供应商（或其分支机构）营业执照复印件等证明材料；</w:t>
            </w:r>
          </w:p>
          <w:p>
            <w:pPr>
              <w:spacing w:line="36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②仅对供应商权属的售后服务机构进行评分，委托其他单位（第三方）进行售后服务的不得分；</w:t>
            </w:r>
          </w:p>
          <w:p>
            <w:pPr>
              <w:spacing w:line="360" w:lineRule="exact"/>
              <w:rPr>
                <w:rFonts w:hAnsi="宋体" w:cs="宋体"/>
                <w:color w:val="auto"/>
                <w:szCs w:val="21"/>
                <w:highlight w:val="none"/>
              </w:rPr>
            </w:pPr>
            <w:r>
              <w:rPr>
                <w:rFonts w:hint="eastAsia" w:ascii="宋体" w:hAnsi="宋体" w:eastAsia="宋体" w:cs="宋体"/>
                <w:b/>
                <w:color w:val="auto"/>
                <w:szCs w:val="21"/>
                <w:highlight w:val="none"/>
                <w:lang w:val="zh-CN"/>
              </w:rPr>
              <w:t>③同一供应商的售后服务机构不重复或叠加得分，按该供应商符合本评审项目的较高标准项计分。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6分</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zh-CN"/>
              </w:rPr>
              <w:t>拟投入本项目人员、机械设备</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zh-CN"/>
              </w:rPr>
              <w:t>情况</w:t>
            </w:r>
          </w:p>
        </w:tc>
        <w:tc>
          <w:tcPr>
            <w:tcW w:w="632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拟投入本项目人员、机械设备情况，其中：</w:t>
            </w:r>
          </w:p>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（1）项目</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zh-CN"/>
              </w:rPr>
              <w:t>具备机电类相关专业高级及以上工程师职称证书得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分，本子项满分3分；</w:t>
            </w:r>
          </w:p>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（2）项目人员具备</w:t>
            </w:r>
            <w:r>
              <w:rPr>
                <w:rFonts w:hint="eastAsia" w:ascii="宋体" w:hAnsi="宋体" w:eastAsia="宋体" w:cs="宋体"/>
                <w:color w:val="auto"/>
                <w:szCs w:val="21"/>
                <w:highlight w:val="none"/>
              </w:rPr>
              <w:t>机电类</w:t>
            </w:r>
            <w:r>
              <w:rPr>
                <w:rFonts w:hint="eastAsia" w:ascii="宋体" w:hAnsi="宋体" w:eastAsia="宋体" w:cs="宋体"/>
                <w:color w:val="auto"/>
                <w:szCs w:val="21"/>
                <w:highlight w:val="none"/>
                <w:lang w:val="zh-CN"/>
              </w:rPr>
              <w:t>相关专业中级及以上工程师职称证书得</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分，本子项满分6分；</w:t>
            </w:r>
          </w:p>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）拟投入货运汽车（租赁、自有均可）得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分，本子项满分6分。</w:t>
            </w:r>
          </w:p>
          <w:p>
            <w:pPr>
              <w:spacing w:line="36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pPr>
              <w:spacing w:line="36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1、上述人员不能兼任，须提供以上人员证书复印件、以及社会保障部门（或税务部门）出具的供应商</w:t>
            </w:r>
            <w:r>
              <w:rPr>
                <w:rFonts w:hint="eastAsia" w:ascii="宋体" w:hAnsi="宋体" w:eastAsia="宋体" w:cs="宋体"/>
                <w:b/>
                <w:color w:val="auto"/>
                <w:szCs w:val="21"/>
                <w:highlight w:val="none"/>
              </w:rPr>
              <w:t>征集公告</w:t>
            </w:r>
            <w:r>
              <w:rPr>
                <w:rFonts w:hint="eastAsia" w:ascii="宋体" w:hAnsi="宋体" w:eastAsia="宋体" w:cs="宋体"/>
                <w:b/>
                <w:color w:val="auto"/>
                <w:szCs w:val="21"/>
                <w:highlight w:val="none"/>
                <w:lang w:val="zh-CN"/>
              </w:rPr>
              <w:t>前</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个月为其缴纳的社保证明复印件（如供应商受新冠肺炎疫情影响按当地有关政府部门政策文件可享受阶段性免征或可延期缴纳社会保险的，供应商可提供开始享受阶段性免征或可延期缴纳社会保险时的</w:t>
            </w:r>
            <w:r>
              <w:rPr>
                <w:rFonts w:hint="eastAsia" w:ascii="宋体" w:hAnsi="宋体" w:eastAsia="宋体" w:cs="宋体"/>
                <w:b/>
                <w:color w:val="auto"/>
                <w:szCs w:val="21"/>
                <w:highlight w:val="none"/>
              </w:rPr>
              <w:t>前2</w:t>
            </w:r>
            <w:r>
              <w:rPr>
                <w:rFonts w:hint="eastAsia" w:ascii="宋体" w:hAnsi="宋体" w:eastAsia="宋体" w:cs="宋体"/>
                <w:b/>
                <w:color w:val="auto"/>
                <w:szCs w:val="21"/>
                <w:highlight w:val="none"/>
                <w:lang w:val="zh-CN"/>
              </w:rPr>
              <w:t>个月的社会保险证明复印件，并同时提供当地有关政府部门政策文件的打印件或复印件）。</w:t>
            </w:r>
          </w:p>
          <w:p>
            <w:pPr>
              <w:spacing w:line="360" w:lineRule="exact"/>
              <w:rPr>
                <w:rFonts w:ascii="宋体" w:hAnsi="宋体" w:eastAsia="宋体" w:cs="宋体"/>
                <w:color w:val="auto"/>
                <w:szCs w:val="21"/>
                <w:highlight w:val="none"/>
                <w:shd w:val="clear" w:color="auto" w:fill="FFFFFF"/>
              </w:rPr>
            </w:pPr>
            <w:r>
              <w:rPr>
                <w:rFonts w:hint="eastAsia" w:ascii="宋体" w:hAnsi="宋体" w:eastAsia="宋体" w:cs="宋体"/>
                <w:b/>
                <w:color w:val="auto"/>
                <w:szCs w:val="21"/>
                <w:highlight w:val="none"/>
                <w:lang w:val="zh-CN"/>
              </w:rPr>
              <w:t>2、提供货运汽车购买发票或租赁合同、照片及车辆</w:t>
            </w:r>
            <w:r>
              <w:rPr>
                <w:rFonts w:hint="eastAsia" w:ascii="宋体" w:hAnsi="宋体" w:eastAsia="宋体" w:cs="宋体"/>
                <w:b/>
                <w:color w:val="auto"/>
                <w:szCs w:val="21"/>
                <w:highlight w:val="none"/>
              </w:rPr>
              <w:t>行</w:t>
            </w:r>
            <w:r>
              <w:rPr>
                <w:rFonts w:hint="eastAsia" w:ascii="宋体" w:hAnsi="宋体" w:eastAsia="宋体" w:cs="宋体"/>
                <w:b/>
                <w:color w:val="auto"/>
                <w:szCs w:val="21"/>
                <w:highlight w:val="none"/>
                <w:lang w:val="zh-CN"/>
              </w:rPr>
              <w:t>驶证。</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15分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Cs/>
                <w:color w:val="auto"/>
                <w:szCs w:val="21"/>
                <w:highlight w:val="none"/>
              </w:rPr>
              <w:t>6</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总体实施方案</w:t>
            </w:r>
          </w:p>
        </w:tc>
        <w:tc>
          <w:tcPr>
            <w:tcW w:w="632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rPr>
              <w:t>根据各报名人的维修方案、进度安排、验收、结算方案等的科学性、合理性、可靠性进行综合评价：按优[10-8分]、良（8-6分]、中（6-4分]、差(4-0]进行评分。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10分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应急处理方案</w:t>
            </w:r>
          </w:p>
        </w:tc>
        <w:tc>
          <w:tcPr>
            <w:tcW w:w="632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rPr>
              <w:t>根据各报名人提供的非正常情况或突发情况下的应急处理方案的科学性、合理性、可靠性进行综合评价：按优[15-11分]、良（11-7分]、中（7-3分]、差(3-0]进行评分。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15分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有限空间作业实施方案</w:t>
            </w:r>
          </w:p>
        </w:tc>
        <w:tc>
          <w:tcPr>
            <w:tcW w:w="632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zh-CN"/>
              </w:rPr>
              <w:t>根据各报名人有限空间作业实施方案（包含但不限于</w:t>
            </w:r>
            <w:r>
              <w:rPr>
                <w:rFonts w:hint="eastAsia" w:ascii="宋体" w:hAnsi="宋体" w:eastAsia="宋体" w:cs="宋体"/>
                <w:color w:val="auto"/>
                <w:highlight w:val="none"/>
              </w:rPr>
              <w:t>各项工作、工序操作的要点及防护措施等</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的科学性、合理性、可靠性进行综合评价：按优[10-8分]、良（8-6分]、中（6-4分]、差(4-0]进行评分。</w:t>
            </w:r>
          </w:p>
        </w:tc>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10分</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497" w:type="dxa"/>
            <w:gridSpan w:val="4"/>
            <w:tcBorders>
              <w:top w:val="single" w:color="auto" w:sz="4" w:space="0"/>
              <w:left w:val="single" w:color="auto" w:sz="4" w:space="0"/>
              <w:bottom w:val="single" w:color="auto" w:sz="4" w:space="0"/>
              <w:right w:val="single" w:color="auto" w:sz="4" w:space="0"/>
            </w:tcBorders>
            <w:vAlign w:val="center"/>
          </w:tcPr>
          <w:p>
            <w:pPr>
              <w:tabs>
                <w:tab w:val="left" w:pos="134"/>
              </w:tabs>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打分</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tabs>
                <w:tab w:val="left" w:pos="134"/>
              </w:tabs>
              <w:jc w:val="center"/>
              <w:rPr>
                <w:rFonts w:ascii="宋体" w:hAnsi="宋体" w:eastAsia="宋体" w:cs="宋体"/>
                <w:b/>
                <w:color w:val="auto"/>
                <w:szCs w:val="21"/>
                <w:highlight w:val="none"/>
              </w:rPr>
            </w:pPr>
          </w:p>
        </w:tc>
      </w:tr>
    </w:tbl>
    <w:p>
      <w:pPr>
        <w:pStyle w:val="2"/>
        <w:spacing w:line="400" w:lineRule="exact"/>
        <w:rPr>
          <w:rFonts w:ascii="Times New Roman" w:hAnsi="Times New Roman" w:eastAsia="宋体" w:cs="Times New Roman"/>
          <w:color w:val="auto"/>
          <w:szCs w:val="21"/>
          <w:highlight w:val="none"/>
        </w:rPr>
      </w:pP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六、评审过程的保密</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（1）任何人均不得向</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之外的第三方及与评审无关的其他人透露</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过程及内容。</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（2）从报名递交截止时间起到确定</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日止，报名人不得与参加评审的有关人员私下接触。在评审过程中，如果报名人试图在报名文件审查、澄清、比较及推荐</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方面向参与评审的有关人员和</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人施加任何影响，其报名将被拒绝。</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bookmarkStart w:id="5" w:name="_Toc51333279"/>
      <w:bookmarkStart w:id="6" w:name="_Toc6038"/>
      <w:bookmarkStart w:id="7" w:name="_Toc465358969"/>
      <w:bookmarkStart w:id="8" w:name="_Toc14696"/>
      <w:r>
        <w:rPr>
          <w:rFonts w:hint="eastAsia" w:ascii="Times New Roman" w:hAnsi="Times New Roman" w:eastAsia="宋体" w:cs="Times New Roman"/>
          <w:b/>
          <w:bCs/>
          <w:color w:val="auto"/>
          <w:szCs w:val="21"/>
          <w:highlight w:val="none"/>
        </w:rPr>
        <w:t>七</w:t>
      </w:r>
      <w:r>
        <w:rPr>
          <w:rFonts w:ascii="Times New Roman" w:hAnsi="Times New Roman" w:eastAsia="宋体" w:cs="Times New Roman"/>
          <w:b/>
          <w:bCs/>
          <w:color w:val="auto"/>
          <w:szCs w:val="21"/>
          <w:highlight w:val="none"/>
        </w:rPr>
        <w:t>、</w:t>
      </w:r>
      <w:r>
        <w:rPr>
          <w:rFonts w:hint="eastAsia" w:ascii="Times New Roman" w:hAnsi="Times New Roman" w:eastAsia="宋体" w:cs="Times New Roman"/>
          <w:b/>
          <w:bCs/>
          <w:color w:val="auto"/>
          <w:szCs w:val="21"/>
          <w:highlight w:val="none"/>
        </w:rPr>
        <w:t>评审结果公示及异议、投诉</w:t>
      </w:r>
      <w:bookmarkEnd w:id="5"/>
      <w:bookmarkEnd w:id="6"/>
      <w:bookmarkEnd w:id="7"/>
      <w:bookmarkEnd w:id="8"/>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（1）</w:t>
      </w:r>
      <w:r>
        <w:rPr>
          <w:rFonts w:hint="eastAsia" w:ascii="宋体" w:hAnsi="宋体" w:eastAsia="宋体" w:cs="Times New Roman"/>
          <w:color w:val="auto"/>
          <w:szCs w:val="21"/>
          <w:highlight w:val="none"/>
          <w:lang w:val="zh-CN"/>
        </w:rPr>
        <w:t>公告发布媒体公示</w:t>
      </w:r>
      <w:r>
        <w:rPr>
          <w:rFonts w:ascii="宋体" w:hAnsi="宋体" w:eastAsia="宋体" w:cs="Times New Roman"/>
          <w:color w:val="auto"/>
          <w:szCs w:val="21"/>
          <w:highlight w:val="none"/>
          <w:lang w:val="zh-CN"/>
        </w:rPr>
        <w:t>在库供应商和候选供应商</w:t>
      </w:r>
      <w:r>
        <w:rPr>
          <w:rFonts w:hint="eastAsia" w:ascii="宋体" w:hAnsi="宋体" w:eastAsia="宋体" w:cs="Times New Roman"/>
          <w:color w:val="auto"/>
          <w:szCs w:val="21"/>
          <w:highlight w:val="none"/>
          <w:lang w:val="zh-CN"/>
        </w:rPr>
        <w:t>，公示期为3日。报名人或者其他利害关系人对评审结果有异议的，应当在公示期间向征集人以书面的形式提出，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达征集人，</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对评审结果无异议。超出提交异议截止时间而提出的任何疑问，征集人可不予答复。</w:t>
      </w:r>
    </w:p>
    <w:p>
      <w:pPr>
        <w:autoSpaceDE w:val="0"/>
        <w:autoSpaceDN w:val="0"/>
        <w:adjustRightInd w:val="0"/>
        <w:snapToGrid w:val="0"/>
        <w:spacing w:line="360" w:lineRule="auto"/>
        <w:ind w:left="2" w:firstLine="424" w:firstLineChars="202"/>
        <w:jc w:val="lef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征集人将拒收未能提供完整异议书面材料的异议，完整的异议书面材料必须同时包含：异议书（加盖法人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Times New Roman"/>
          <w:color w:val="auto"/>
          <w:kern w:val="0"/>
          <w:szCs w:val="21"/>
          <w:highlight w:val="none"/>
          <w:lang w:val="zh-CN"/>
        </w:rPr>
        <w:t>。</w:t>
      </w:r>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（2）</w:t>
      </w:r>
      <w:r>
        <w:rPr>
          <w:rFonts w:hint="eastAsia" w:ascii="宋体" w:hAnsi="宋体" w:eastAsia="宋体" w:cs="Times New Roman"/>
          <w:color w:val="auto"/>
          <w:szCs w:val="21"/>
          <w:highlight w:val="none"/>
          <w:lang w:val="zh-CN"/>
        </w:rPr>
        <w:t>结果公示后，在库供应商和候选供应商有义务在结果公示之日起3日内提交报名文件中所提供的资格证明文件、业绩证明文件、对征集文件实质性条款响应文件、履约能力证明文件的原件供征集人核查，征集人如发现报名人提供虚假证明文件、虚假响应文件等弄虚作假行为的，征集人有权取消其资格。涉嫌违法犯罪的，将</w:t>
      </w:r>
      <w:r>
        <w:rPr>
          <w:rFonts w:ascii="宋体" w:hAnsi="宋体" w:eastAsia="宋体" w:cs="Times New Roman"/>
          <w:color w:val="auto"/>
          <w:szCs w:val="21"/>
          <w:highlight w:val="none"/>
          <w:lang w:val="zh-CN"/>
        </w:rPr>
        <w:t>移交司法机关处理</w:t>
      </w:r>
      <w:r>
        <w:rPr>
          <w:rFonts w:hint="eastAsia" w:ascii="宋体" w:hAnsi="宋体" w:eastAsia="宋体" w:cs="Times New Roman"/>
          <w:color w:val="auto"/>
          <w:szCs w:val="21"/>
          <w:highlight w:val="none"/>
          <w:lang w:val="zh-CN"/>
        </w:rPr>
        <w:t>。</w:t>
      </w:r>
    </w:p>
    <w:p>
      <w:pPr>
        <w:autoSpaceDE w:val="0"/>
        <w:autoSpaceDN w:val="0"/>
        <w:adjustRightInd w:val="0"/>
        <w:snapToGrid w:val="0"/>
        <w:spacing w:line="360" w:lineRule="auto"/>
        <w:ind w:left="2" w:firstLine="424" w:firstLineChars="202"/>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必要时，当征集人向在库供应商和候选供应商发出提供上述证明资料原件进行核查的书面通知后，</w:t>
      </w:r>
      <w:r>
        <w:rPr>
          <w:rFonts w:hint="eastAsia" w:ascii="宋体" w:hAnsi="宋体" w:eastAsia="宋体" w:cs="Times New Roman"/>
          <w:color w:val="auto"/>
          <w:kern w:val="0"/>
          <w:szCs w:val="21"/>
          <w:highlight w:val="none"/>
        </w:rPr>
        <w:t>公示期满之日起</w:t>
      </w:r>
      <w:r>
        <w:rPr>
          <w:rFonts w:hint="eastAsia" w:ascii="宋体" w:hAnsi="宋体" w:eastAsia="宋体" w:cs="Times New Roman"/>
          <w:color w:val="auto"/>
          <w:szCs w:val="21"/>
          <w:highlight w:val="none"/>
          <w:lang w:val="zh-CN"/>
        </w:rPr>
        <w:t>三个工作日内在库供应商和候选供应商仍未能提供原件进行核查的，视为其无法提供真实的资料，征集人有权取消其资格。</w:t>
      </w:r>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（3）</w:t>
      </w:r>
      <w:r>
        <w:rPr>
          <w:rFonts w:hint="eastAsia" w:ascii="宋体" w:hAnsi="宋体" w:eastAsia="宋体" w:cs="Times New Roman"/>
          <w:color w:val="auto"/>
          <w:szCs w:val="21"/>
          <w:highlight w:val="none"/>
          <w:lang w:val="zh-CN"/>
        </w:rPr>
        <w:t>报名人或者其他利害关系人认为征集活动不符合法律、行政法规规定的，可以自知道或者应当知道之日起10日内，按程序向征集人</w:t>
      </w:r>
      <w:r>
        <w:rPr>
          <w:rFonts w:hint="eastAsia" w:ascii="宋体" w:hAnsi="宋体" w:eastAsia="宋体" w:cs="Times New Roman"/>
          <w:color w:val="auto"/>
          <w:szCs w:val="21"/>
          <w:highlight w:val="none"/>
        </w:rPr>
        <w:t>征集</w:t>
      </w:r>
      <w:r>
        <w:rPr>
          <w:rFonts w:hint="eastAsia" w:ascii="宋体" w:hAnsi="宋体" w:eastAsia="宋体" w:cs="Times New Roman"/>
          <w:color w:val="auto"/>
          <w:szCs w:val="21"/>
          <w:highlight w:val="none"/>
          <w:lang w:val="zh-CN"/>
        </w:rPr>
        <w:t>活动的</w:t>
      </w:r>
      <w:r>
        <w:rPr>
          <w:rFonts w:ascii="宋体" w:hAnsi="宋体" w:eastAsia="宋体" w:cs="Times New Roman"/>
          <w:color w:val="auto"/>
          <w:szCs w:val="21"/>
          <w:highlight w:val="none"/>
          <w:lang w:val="zh-CN"/>
        </w:rPr>
        <w:t>监督</w:t>
      </w:r>
      <w:r>
        <w:rPr>
          <w:rFonts w:hint="eastAsia" w:ascii="宋体" w:hAnsi="宋体" w:eastAsia="宋体" w:cs="Times New Roman"/>
          <w:color w:val="auto"/>
          <w:szCs w:val="21"/>
          <w:highlight w:val="none"/>
          <w:lang w:val="zh-CN"/>
        </w:rPr>
        <w:t>部门</w:t>
      </w:r>
      <w:r>
        <w:rPr>
          <w:rFonts w:ascii="宋体" w:hAnsi="宋体" w:eastAsia="宋体" w:cs="Times New Roman"/>
          <w:color w:val="auto"/>
          <w:szCs w:val="21"/>
          <w:highlight w:val="none"/>
          <w:lang w:val="zh-CN"/>
        </w:rPr>
        <w:t>投诉。</w:t>
      </w:r>
      <w:r>
        <w:rPr>
          <w:rFonts w:hint="eastAsia" w:ascii="宋体" w:hAnsi="宋体" w:eastAsia="宋体" w:cs="Times New Roman"/>
          <w:color w:val="auto"/>
          <w:szCs w:val="21"/>
          <w:highlight w:val="none"/>
          <w:lang w:val="zh-CN"/>
        </w:rPr>
        <w:t>投诉应当提供纸质投诉书及必要的证明材料。投诉书应当包括下列内容：</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（一）投诉人和被投诉人的姓名或者名称、通讯地址、邮编、联系人及联系电话；</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（二）质疑和质疑答复情况说明及相关证明材料；</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（三）具体、明确的投诉事项和与投诉事项相关的投诉请求；</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（四）事实依据；</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（五）法律依据；</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（六）提起投诉的日期。</w:t>
      </w:r>
    </w:p>
    <w:p>
      <w:pPr>
        <w:autoSpaceDE w:val="0"/>
        <w:autoSpaceDN w:val="0"/>
        <w:adjustRightInd w:val="0"/>
        <w:spacing w:line="360" w:lineRule="auto"/>
        <w:ind w:left="2" w:leftChars="-202" w:hanging="426"/>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pacing w:line="360" w:lineRule="auto"/>
        <w:ind w:left="2" w:leftChars="-202" w:hanging="426"/>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投诉人投诉的事项不得超出已质疑事项的范围，但基于质疑答复内容提出的投诉事项除外。</w:t>
      </w:r>
    </w:p>
    <w:p>
      <w:pPr>
        <w:autoSpaceDE w:val="0"/>
        <w:autoSpaceDN w:val="0"/>
        <w:adjustRightInd w:val="0"/>
        <w:snapToGrid w:val="0"/>
        <w:spacing w:line="360" w:lineRule="auto"/>
        <w:ind w:left="-424" w:leftChars="-202" w:firstLine="840" w:firstLineChars="4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投诉部门：东莞市水务集团有限公司，联系人：莫先生，联系电话：0769-28823251。</w:t>
      </w:r>
    </w:p>
    <w:p>
      <w:pPr>
        <w:tabs>
          <w:tab w:val="left" w:pos="567"/>
        </w:tabs>
        <w:autoSpaceDE w:val="0"/>
        <w:autoSpaceDN w:val="0"/>
        <w:adjustRightInd w:val="0"/>
        <w:spacing w:line="360" w:lineRule="auto"/>
        <w:ind w:left="496" w:leftChars="202" w:hanging="72" w:hangingChars="34"/>
        <w:jc w:val="left"/>
        <w:outlineLvl w:val="2"/>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八、</w:t>
      </w:r>
      <w:r>
        <w:rPr>
          <w:rFonts w:ascii="Times New Roman" w:hAnsi="Times New Roman" w:eastAsia="宋体" w:cs="Times New Roman"/>
          <w:b/>
          <w:bCs/>
          <w:color w:val="auto"/>
          <w:szCs w:val="21"/>
          <w:highlight w:val="none"/>
        </w:rPr>
        <w:t>授予合同</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人按照评</w:t>
      </w:r>
      <w:r>
        <w:rPr>
          <w:rFonts w:hint="eastAsia" w:ascii="Times New Roman" w:hAnsi="Times New Roman" w:eastAsia="宋体" w:cs="Times New Roman"/>
          <w:color w:val="auto"/>
          <w:szCs w:val="21"/>
          <w:highlight w:val="none"/>
        </w:rPr>
        <w:t>审</w:t>
      </w:r>
      <w:r>
        <w:rPr>
          <w:rFonts w:ascii="Times New Roman" w:hAnsi="Times New Roman" w:eastAsia="宋体" w:cs="Times New Roman"/>
          <w:color w:val="auto"/>
          <w:szCs w:val="21"/>
          <w:highlight w:val="none"/>
        </w:rPr>
        <w:t>报告中推荐的顺序确定</w:t>
      </w:r>
      <w:r>
        <w:rPr>
          <w:rFonts w:hint="eastAsia" w:ascii="Times New Roman" w:hAnsi="Times New Roman" w:eastAsia="宋体" w:cs="Times New Roman"/>
          <w:color w:val="auto"/>
          <w:szCs w:val="21"/>
          <w:highlight w:val="none"/>
        </w:rPr>
        <w:t>在库供应商</w:t>
      </w:r>
      <w:r>
        <w:rPr>
          <w:rFonts w:ascii="Times New Roman" w:hAnsi="Times New Roman" w:eastAsia="宋体" w:cs="Times New Roman"/>
          <w:color w:val="auto"/>
          <w:szCs w:val="21"/>
          <w:highlight w:val="none"/>
        </w:rPr>
        <w:t>。</w:t>
      </w:r>
    </w:p>
    <w:p>
      <w:pPr>
        <w:pStyle w:val="2"/>
        <w:spacing w:line="400" w:lineRule="exact"/>
        <w:ind w:firstLine="424" w:firstLineChars="202"/>
        <w:rPr>
          <w:color w:val="auto"/>
          <w:highlight w:val="none"/>
        </w:rPr>
      </w:pPr>
      <w:r>
        <w:rPr>
          <w:rFonts w:hint="eastAsia" w:ascii="Times New Roman" w:hAnsi="Times New Roman" w:eastAsia="宋体" w:cs="Times New Roman"/>
          <w:color w:val="auto"/>
          <w:szCs w:val="21"/>
          <w:highlight w:val="none"/>
        </w:rPr>
        <w:t>（2）征集人为东莞市水务集团管网有限公司（含其分公司、子公司），为便于结算，在库供应商应配合征集人，分别与东莞市水务集团管网有限公司及其子公司签订合同。</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）因不可抗力或自身原因不能履行合同的、不按要求与</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人签订合同、</w:t>
      </w:r>
      <w:r>
        <w:rPr>
          <w:rFonts w:hint="eastAsia" w:ascii="Times New Roman" w:hAnsi="Times New Roman" w:eastAsia="宋体" w:cs="Times New Roman"/>
          <w:color w:val="auto"/>
          <w:szCs w:val="21"/>
          <w:highlight w:val="none"/>
        </w:rPr>
        <w:t>在库供应商</w:t>
      </w:r>
      <w:r>
        <w:rPr>
          <w:rFonts w:ascii="Times New Roman" w:hAnsi="Times New Roman" w:eastAsia="宋体" w:cs="Times New Roman"/>
          <w:color w:val="auto"/>
          <w:szCs w:val="21"/>
          <w:highlight w:val="none"/>
        </w:rPr>
        <w:t>放弃</w:t>
      </w:r>
      <w:r>
        <w:rPr>
          <w:rFonts w:hint="eastAsia" w:ascii="Times New Roman" w:hAnsi="Times New Roman" w:eastAsia="宋体" w:cs="Times New Roman"/>
          <w:color w:val="auto"/>
          <w:szCs w:val="21"/>
          <w:highlight w:val="none"/>
        </w:rPr>
        <w:t>资格或</w:t>
      </w:r>
      <w:r>
        <w:rPr>
          <w:rFonts w:ascii="Times New Roman" w:hAnsi="Times New Roman" w:eastAsia="宋体" w:cs="Times New Roman"/>
          <w:color w:val="auto"/>
          <w:szCs w:val="21"/>
          <w:highlight w:val="none"/>
        </w:rPr>
        <w:t>资格被依法确认无效的，</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人可以按照评</w:t>
      </w:r>
      <w:r>
        <w:rPr>
          <w:rFonts w:hint="eastAsia" w:ascii="Times New Roman" w:hAnsi="Times New Roman" w:eastAsia="宋体" w:cs="Times New Roman"/>
          <w:color w:val="auto"/>
          <w:szCs w:val="21"/>
          <w:highlight w:val="none"/>
        </w:rPr>
        <w:t>审</w:t>
      </w:r>
      <w:r>
        <w:rPr>
          <w:rFonts w:ascii="Times New Roman" w:hAnsi="Times New Roman" w:eastAsia="宋体" w:cs="Times New Roman"/>
          <w:color w:val="auto"/>
          <w:szCs w:val="21"/>
          <w:highlight w:val="none"/>
        </w:rPr>
        <w:t>委员会提出的</w:t>
      </w:r>
      <w:r>
        <w:rPr>
          <w:rFonts w:hint="eastAsia" w:ascii="Times New Roman" w:hAnsi="Times New Roman" w:eastAsia="宋体" w:cs="Times New Roman"/>
          <w:color w:val="auto"/>
          <w:szCs w:val="21"/>
          <w:highlight w:val="none"/>
        </w:rPr>
        <w:t>候选供应商</w:t>
      </w:r>
      <w:r>
        <w:rPr>
          <w:rFonts w:ascii="Times New Roman" w:hAnsi="Times New Roman" w:eastAsia="宋体" w:cs="Times New Roman"/>
          <w:color w:val="auto"/>
          <w:szCs w:val="21"/>
          <w:highlight w:val="none"/>
        </w:rPr>
        <w:t>名单排序依次确定其他</w:t>
      </w:r>
      <w:r>
        <w:rPr>
          <w:rFonts w:hint="eastAsia" w:ascii="Times New Roman" w:hAnsi="Times New Roman" w:eastAsia="宋体" w:cs="Times New Roman"/>
          <w:color w:val="auto"/>
          <w:szCs w:val="21"/>
          <w:highlight w:val="none"/>
        </w:rPr>
        <w:t>候选供应商</w:t>
      </w:r>
      <w:r>
        <w:rPr>
          <w:rFonts w:ascii="Times New Roman" w:hAnsi="Times New Roman" w:eastAsia="宋体" w:cs="Times New Roman"/>
          <w:color w:val="auto"/>
          <w:szCs w:val="21"/>
          <w:highlight w:val="none"/>
        </w:rPr>
        <w:t>为</w:t>
      </w:r>
      <w:r>
        <w:rPr>
          <w:rFonts w:hint="eastAsia" w:ascii="Times New Roman" w:hAnsi="Times New Roman" w:eastAsia="宋体" w:cs="Times New Roman"/>
          <w:color w:val="auto"/>
          <w:szCs w:val="21"/>
          <w:highlight w:val="none"/>
        </w:rPr>
        <w:t>在库供应商</w:t>
      </w:r>
      <w:r>
        <w:rPr>
          <w:rFonts w:ascii="Times New Roman" w:hAnsi="Times New Roman" w:eastAsia="宋体" w:cs="Times New Roman"/>
          <w:color w:val="auto"/>
          <w:szCs w:val="21"/>
          <w:highlight w:val="none"/>
        </w:rPr>
        <w:t>或重新</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九、</w:t>
      </w:r>
      <w:r>
        <w:rPr>
          <w:rFonts w:ascii="Times New Roman" w:hAnsi="Times New Roman" w:eastAsia="宋体" w:cs="Times New Roman"/>
          <w:b/>
          <w:bCs/>
          <w:color w:val="auto"/>
          <w:szCs w:val="21"/>
          <w:highlight w:val="none"/>
        </w:rPr>
        <w:t>在合同履行中变更服务范围的权利</w:t>
      </w:r>
    </w:p>
    <w:p>
      <w:pPr>
        <w:pStyle w:val="2"/>
        <w:spacing w:line="400" w:lineRule="exact"/>
        <w:ind w:firstLine="424" w:firstLineChars="202"/>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（1）合同履行中，</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人在合同约定的服务期内，</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人有权根据项目实际情况及有关法律法规、政策的规定对服务范围进行变更调整，变更服务范围后，</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人应遵照执行。</w:t>
      </w:r>
    </w:p>
    <w:p>
      <w:pPr>
        <w:pStyle w:val="2"/>
        <w:spacing w:line="400" w:lineRule="exact"/>
        <w:ind w:firstLine="424" w:firstLineChars="202"/>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（2）合同履行中，</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有</w:t>
      </w:r>
      <w:r>
        <w:rPr>
          <w:rFonts w:ascii="Times New Roman" w:hAnsi="Times New Roman" w:eastAsia="宋体" w:cs="Times New Roman"/>
          <w:color w:val="auto"/>
          <w:szCs w:val="21"/>
          <w:highlight w:val="none"/>
        </w:rPr>
        <w:t>权</w:t>
      </w:r>
      <w:r>
        <w:rPr>
          <w:rFonts w:hint="eastAsia" w:ascii="Times New Roman" w:hAnsi="Times New Roman" w:eastAsia="宋体" w:cs="Times New Roman"/>
          <w:color w:val="auto"/>
          <w:szCs w:val="21"/>
          <w:highlight w:val="none"/>
        </w:rPr>
        <w:t>不断</w:t>
      </w:r>
      <w:r>
        <w:rPr>
          <w:rFonts w:ascii="Times New Roman" w:hAnsi="Times New Roman" w:eastAsia="宋体" w:cs="Times New Roman"/>
          <w:color w:val="auto"/>
          <w:szCs w:val="21"/>
          <w:highlight w:val="none"/>
        </w:rPr>
        <w:t>完善合同及相应的管理规定</w:t>
      </w:r>
      <w:r>
        <w:rPr>
          <w:rFonts w:hint="eastAsia" w:ascii="Times New Roman" w:hAnsi="Times New Roman" w:eastAsia="宋体" w:cs="Times New Roman"/>
          <w:color w:val="auto"/>
          <w:szCs w:val="21"/>
          <w:highlight w:val="none"/>
        </w:rPr>
        <w:t>。</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pStyle w:val="3"/>
        <w:ind w:firstLine="211"/>
        <w:rPr>
          <w:color w:val="auto"/>
          <w:highlight w:val="none"/>
        </w:rPr>
      </w:pPr>
    </w:p>
    <w:p>
      <w:pPr>
        <w:tabs>
          <w:tab w:val="left" w:pos="567"/>
        </w:tabs>
        <w:spacing w:line="360" w:lineRule="auto"/>
        <w:ind w:left="496" w:leftChars="202" w:hanging="72" w:hangingChars="34"/>
        <w:outlineLvl w:val="2"/>
        <w:rPr>
          <w:rFonts w:ascii="Times New Roman" w:hAnsi="Times New Roman" w:eastAsia="宋体" w:cs="Times New Roman"/>
          <w:b/>
          <w:bCs/>
          <w:color w:val="auto"/>
          <w:szCs w:val="21"/>
          <w:highlight w:val="none"/>
          <w:lang w:val="zh-CN"/>
        </w:rPr>
      </w:pPr>
      <w:r>
        <w:rPr>
          <w:rFonts w:hint="eastAsia" w:ascii="Times New Roman" w:hAnsi="Times New Roman" w:eastAsia="宋体" w:cs="Times New Roman"/>
          <w:b/>
          <w:bCs/>
          <w:color w:val="auto"/>
          <w:szCs w:val="21"/>
          <w:highlight w:val="none"/>
        </w:rPr>
        <w:t>十、</w:t>
      </w:r>
      <w:r>
        <w:rPr>
          <w:rFonts w:hint="eastAsia" w:ascii="Times New Roman" w:hAnsi="Times New Roman" w:eastAsia="宋体" w:cs="Times New Roman"/>
          <w:b/>
          <w:bCs/>
          <w:color w:val="auto"/>
          <w:szCs w:val="21"/>
          <w:highlight w:val="none"/>
          <w:lang w:val="zh-CN"/>
        </w:rPr>
        <w:t>《东莞市水务集团管网有限公司机电设备维修供应商库管理办法》</w:t>
      </w:r>
    </w:p>
    <w:p>
      <w:pPr>
        <w:adjustRightInd w:val="0"/>
        <w:snapToGrid w:val="0"/>
        <w:spacing w:line="360" w:lineRule="auto"/>
        <w:jc w:val="center"/>
        <w:outlineLvl w:val="0"/>
        <w:rPr>
          <w:rFonts w:ascii="Times New Roman" w:hAnsi="Times New Roman" w:eastAsia="方正小标宋简体" w:cs="Times New Roman"/>
          <w:color w:val="auto"/>
          <w:sz w:val="22"/>
          <w:szCs w:val="22"/>
          <w:highlight w:val="none"/>
        </w:rPr>
      </w:pPr>
      <w:bookmarkStart w:id="9" w:name="_Toc26575"/>
      <w:r>
        <w:rPr>
          <w:rFonts w:ascii="Times New Roman" w:hAnsi="Times New Roman" w:eastAsia="方正小标宋简体" w:cs="Times New Roman"/>
          <w:color w:val="auto"/>
          <w:sz w:val="22"/>
          <w:szCs w:val="22"/>
          <w:highlight w:val="none"/>
        </w:rPr>
        <w:t>东莞市水务集团管网</w:t>
      </w:r>
      <w:r>
        <w:rPr>
          <w:rFonts w:hint="eastAsia" w:ascii="Times New Roman" w:hAnsi="Times New Roman" w:eastAsia="方正小标宋简体" w:cs="Times New Roman"/>
          <w:color w:val="auto"/>
          <w:sz w:val="22"/>
          <w:szCs w:val="22"/>
          <w:highlight w:val="none"/>
        </w:rPr>
        <w:t>有</w:t>
      </w:r>
      <w:r>
        <w:rPr>
          <w:rFonts w:ascii="Times New Roman" w:hAnsi="Times New Roman" w:eastAsia="方正小标宋简体" w:cs="Times New Roman"/>
          <w:color w:val="auto"/>
          <w:sz w:val="22"/>
          <w:szCs w:val="22"/>
          <w:highlight w:val="none"/>
        </w:rPr>
        <w:t>限公司机电设备</w:t>
      </w:r>
      <w:bookmarkEnd w:id="9"/>
      <w:bookmarkStart w:id="10" w:name="_Toc21248"/>
      <w:r>
        <w:rPr>
          <w:rFonts w:ascii="Times New Roman" w:hAnsi="Times New Roman" w:eastAsia="方正小标宋简体" w:cs="Times New Roman"/>
          <w:color w:val="auto"/>
          <w:sz w:val="22"/>
          <w:szCs w:val="22"/>
          <w:highlight w:val="none"/>
        </w:rPr>
        <w:t>维修供应商库管理办法</w:t>
      </w:r>
      <w:bookmarkEnd w:id="10"/>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总则</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rPr>
        <w:t>为有效提高东莞市水务集团管网有限公司（以下简称</w:t>
      </w:r>
      <w:r>
        <w:rPr>
          <w:rFonts w:hint="eastAsia" w:ascii="仿宋_GB2312" w:hAnsi="仿宋_GB2312" w:eastAsia="仿宋_GB2312" w:cs="仿宋_GB2312"/>
          <w:color w:val="auto"/>
          <w:sz w:val="22"/>
          <w:szCs w:val="22"/>
          <w:highlight w:val="none"/>
        </w:rPr>
        <w:t>“公司”）</w:t>
      </w:r>
      <w:r>
        <w:rPr>
          <w:rFonts w:hint="eastAsia" w:ascii="Times New Roman" w:hAnsi="Times New Roman" w:eastAsia="仿宋_GB2312" w:cs="Times New Roman"/>
          <w:color w:val="auto"/>
          <w:sz w:val="22"/>
          <w:szCs w:val="22"/>
          <w:highlight w:val="none"/>
        </w:rPr>
        <w:t>机电设备维修服务</w:t>
      </w:r>
      <w:r>
        <w:rPr>
          <w:rFonts w:ascii="Times New Roman" w:hAnsi="Times New Roman" w:eastAsia="仿宋_GB2312" w:cs="Times New Roman"/>
          <w:color w:val="auto"/>
          <w:sz w:val="22"/>
          <w:szCs w:val="22"/>
          <w:highlight w:val="none"/>
        </w:rPr>
        <w:t>的质量和水平，全面提升管网运营维护</w:t>
      </w:r>
      <w:r>
        <w:rPr>
          <w:rFonts w:hint="eastAsia" w:ascii="Times New Roman" w:hAnsi="Times New Roman" w:eastAsia="仿宋_GB2312" w:cs="Times New Roman"/>
          <w:color w:val="auto"/>
          <w:sz w:val="22"/>
          <w:szCs w:val="22"/>
          <w:highlight w:val="none"/>
        </w:rPr>
        <w:t>、维修效率</w:t>
      </w:r>
      <w:r>
        <w:rPr>
          <w:rFonts w:ascii="Times New Roman" w:hAnsi="Times New Roman" w:eastAsia="仿宋_GB2312" w:cs="Times New Roman"/>
          <w:color w:val="auto"/>
          <w:sz w:val="22"/>
          <w:szCs w:val="22"/>
          <w:highlight w:val="none"/>
        </w:rPr>
        <w:t>，结合公司实际情况，特制定本办法。</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本办法所称</w:t>
      </w:r>
      <w:r>
        <w:rPr>
          <w:rFonts w:hint="eastAsia" w:ascii="Times New Roman" w:hAnsi="Times New Roman" w:eastAsia="仿宋_GB2312" w:cs="Times New Roman"/>
          <w:color w:val="auto"/>
          <w:sz w:val="22"/>
          <w:szCs w:val="22"/>
          <w:highlight w:val="none"/>
        </w:rPr>
        <w:t>机电设备维修服务</w:t>
      </w:r>
      <w:r>
        <w:rPr>
          <w:rFonts w:ascii="Times New Roman" w:hAnsi="Times New Roman" w:eastAsia="仿宋_GB2312" w:cs="Times New Roman"/>
          <w:color w:val="auto"/>
          <w:sz w:val="22"/>
          <w:szCs w:val="22"/>
          <w:highlight w:val="none"/>
        </w:rPr>
        <w:t>供应商库（以下简称</w:t>
      </w:r>
      <w:r>
        <w:rPr>
          <w:rFonts w:hint="eastAsia" w:ascii="仿宋_GB2312" w:hAnsi="仿宋_GB2312" w:eastAsia="仿宋_GB2312" w:cs="仿宋_GB2312"/>
          <w:color w:val="auto"/>
          <w:sz w:val="22"/>
          <w:szCs w:val="22"/>
          <w:highlight w:val="none"/>
        </w:rPr>
        <w:t>“供应商库”）是指在机电设备维修服务单位（以下简称“供应商”）</w:t>
      </w:r>
      <w:r>
        <w:rPr>
          <w:rFonts w:hint="eastAsia" w:ascii="Times New Roman" w:hAnsi="Times New Roman" w:eastAsia="仿宋_GB2312" w:cs="Times New Roman"/>
          <w:color w:val="auto"/>
          <w:sz w:val="22"/>
          <w:szCs w:val="22"/>
          <w:highlight w:val="none"/>
        </w:rPr>
        <w:t>自愿</w:t>
      </w:r>
      <w:r>
        <w:rPr>
          <w:rFonts w:ascii="Times New Roman" w:hAnsi="Times New Roman" w:eastAsia="仿宋_GB2312" w:cs="Times New Roman"/>
          <w:color w:val="auto"/>
          <w:sz w:val="22"/>
          <w:szCs w:val="22"/>
          <w:highlight w:val="none"/>
        </w:rPr>
        <w:t>的基础上，由供应商申请，经公司入库审核，进入供应商库。</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 xml:space="preserve"> 本办法所称机电设备维修服务适用范围仅限于公司日常生产经营过程中所需要的估算（或预算）100万元（不含）以下的机电设备维修项目。根据相关法律、法规、行业主管部门、上级部门、上级集团公司及本公司（含分公司、子公司）相关制度规定，需单独进行招标采购的单项项目不在范围之内。</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供应商库的原则为：</w:t>
      </w:r>
      <w:r>
        <w:rPr>
          <w:rFonts w:hint="eastAsia" w:ascii="Times New Roman" w:hAnsi="Times New Roman" w:eastAsia="仿宋_GB2312" w:cs="Times New Roman"/>
          <w:color w:val="auto"/>
          <w:sz w:val="22"/>
          <w:szCs w:val="22"/>
          <w:highlight w:val="none"/>
        </w:rPr>
        <w:t>公开征集、条件准入、量化考核、动态管理</w:t>
      </w:r>
      <w:r>
        <w:rPr>
          <w:rFonts w:ascii="Times New Roman" w:hAnsi="Times New Roman" w:eastAsia="仿宋_GB2312" w:cs="Times New Roman"/>
          <w:color w:val="auto"/>
          <w:sz w:val="22"/>
          <w:szCs w:val="22"/>
          <w:highlight w:val="none"/>
        </w:rPr>
        <w:t>。</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rPr>
        <w:t>符合报名条件的供应商，均可向本公司提出入库申请。</w:t>
      </w:r>
    </w:p>
    <w:p>
      <w:pPr>
        <w:tabs>
          <w:tab w:val="left" w:pos="0"/>
        </w:tabs>
        <w:adjustRightInd w:val="0"/>
        <w:snapToGrid w:val="0"/>
        <w:spacing w:line="600" w:lineRule="atLeast"/>
        <w:ind w:left="707"/>
        <w:rPr>
          <w:rFonts w:ascii="Times New Roman" w:hAnsi="Times New Roman" w:eastAsia="仿宋_GB2312" w:cs="Times New Roman"/>
          <w:color w:val="auto"/>
          <w:sz w:val="22"/>
          <w:szCs w:val="22"/>
          <w:highlight w:val="none"/>
        </w:rPr>
      </w:pPr>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组织管理</w:t>
      </w:r>
    </w:p>
    <w:p>
      <w:pPr>
        <w:numPr>
          <w:ilvl w:val="0"/>
          <w:numId w:val="12"/>
        </w:numPr>
        <w:adjustRightInd w:val="0"/>
        <w:snapToGrid w:val="0"/>
        <w:spacing w:line="600" w:lineRule="atLeast"/>
        <w:ind w:left="0" w:firstLine="389" w:firstLineChars="177"/>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rPr>
        <w:t>公司</w:t>
      </w:r>
      <w:r>
        <w:rPr>
          <w:rFonts w:hint="eastAsia" w:ascii="Times New Roman" w:hAnsi="Times New Roman" w:eastAsia="仿宋_GB2312" w:cs="Times New Roman"/>
          <w:color w:val="auto"/>
          <w:sz w:val="22"/>
          <w:szCs w:val="22"/>
          <w:highlight w:val="none"/>
        </w:rPr>
        <w:t>招标采购领导小组</w:t>
      </w:r>
      <w:r>
        <w:rPr>
          <w:rFonts w:ascii="Times New Roman" w:hAnsi="Times New Roman" w:eastAsia="仿宋_GB2312" w:cs="Times New Roman"/>
          <w:color w:val="auto"/>
          <w:sz w:val="22"/>
          <w:szCs w:val="22"/>
          <w:highlight w:val="none"/>
        </w:rPr>
        <w:t>负责供应商库入库、审核供应商申请入库材料、</w:t>
      </w:r>
      <w:r>
        <w:rPr>
          <w:rFonts w:hint="eastAsia" w:ascii="Times New Roman" w:hAnsi="Times New Roman" w:eastAsia="仿宋_GB2312" w:cs="Times New Roman"/>
          <w:color w:val="auto"/>
          <w:sz w:val="22"/>
          <w:szCs w:val="22"/>
          <w:highlight w:val="none"/>
        </w:rPr>
        <w:t>统筹公司设备管理部及各使用部门进行</w:t>
      </w:r>
      <w:r>
        <w:rPr>
          <w:rFonts w:ascii="Times New Roman" w:hAnsi="Times New Roman" w:eastAsia="仿宋_GB2312" w:cs="Times New Roman"/>
          <w:color w:val="auto"/>
          <w:sz w:val="22"/>
          <w:szCs w:val="22"/>
          <w:highlight w:val="none"/>
        </w:rPr>
        <w:t>入库供应商</w:t>
      </w:r>
      <w:r>
        <w:rPr>
          <w:rFonts w:hint="eastAsia" w:ascii="Times New Roman" w:hAnsi="Times New Roman" w:eastAsia="仿宋_GB2312" w:cs="Times New Roman"/>
          <w:color w:val="auto"/>
          <w:sz w:val="22"/>
          <w:szCs w:val="22"/>
          <w:highlight w:val="none"/>
        </w:rPr>
        <w:t>的考核</w:t>
      </w:r>
      <w:r>
        <w:rPr>
          <w:rFonts w:ascii="Times New Roman" w:hAnsi="Times New Roman" w:eastAsia="仿宋_GB2312" w:cs="Times New Roman"/>
          <w:color w:val="auto"/>
          <w:sz w:val="22"/>
          <w:szCs w:val="22"/>
          <w:highlight w:val="none"/>
        </w:rPr>
        <w:t>评价</w:t>
      </w:r>
      <w:r>
        <w:rPr>
          <w:rFonts w:hint="eastAsia" w:ascii="Times New Roman" w:hAnsi="Times New Roman" w:eastAsia="仿宋_GB2312" w:cs="Times New Roman"/>
          <w:color w:val="auto"/>
          <w:sz w:val="22"/>
          <w:szCs w:val="22"/>
          <w:highlight w:val="none"/>
        </w:rPr>
        <w:t>和</w:t>
      </w:r>
      <w:r>
        <w:rPr>
          <w:rFonts w:ascii="Times New Roman" w:hAnsi="Times New Roman" w:eastAsia="仿宋_GB2312" w:cs="Times New Roman"/>
          <w:color w:val="auto"/>
          <w:sz w:val="22"/>
          <w:szCs w:val="22"/>
          <w:highlight w:val="none"/>
        </w:rPr>
        <w:t>动态管理</w:t>
      </w:r>
      <w:r>
        <w:rPr>
          <w:rFonts w:hint="eastAsia" w:ascii="Times New Roman" w:hAnsi="Times New Roman" w:eastAsia="仿宋_GB2312" w:cs="Times New Roman"/>
          <w:color w:val="auto"/>
          <w:sz w:val="22"/>
          <w:szCs w:val="22"/>
          <w:highlight w:val="none"/>
        </w:rPr>
        <w:t>等</w:t>
      </w:r>
      <w:r>
        <w:rPr>
          <w:rFonts w:ascii="Times New Roman" w:hAnsi="Times New Roman" w:eastAsia="仿宋_GB2312" w:cs="Times New Roman"/>
          <w:color w:val="auto"/>
          <w:sz w:val="22"/>
          <w:szCs w:val="22"/>
          <w:highlight w:val="none"/>
        </w:rPr>
        <w:t>相关事宜</w:t>
      </w:r>
      <w:r>
        <w:rPr>
          <w:rFonts w:hint="eastAsia"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公司各部门予以配合。</w:t>
      </w:r>
    </w:p>
    <w:p>
      <w:pPr>
        <w:tabs>
          <w:tab w:val="left" w:pos="0"/>
        </w:tabs>
        <w:adjustRightInd w:val="0"/>
        <w:snapToGrid w:val="0"/>
        <w:spacing w:line="600" w:lineRule="atLeast"/>
        <w:rPr>
          <w:rFonts w:ascii="Times New Roman" w:hAnsi="Times New Roman" w:eastAsia="仿宋_GB2312" w:cs="Times New Roman"/>
          <w:color w:val="auto"/>
          <w:sz w:val="22"/>
          <w:szCs w:val="22"/>
          <w:highlight w:val="none"/>
        </w:rPr>
      </w:pPr>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入库流程</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黑体" w:cs="Times New Roman"/>
          <w:color w:val="auto"/>
          <w:sz w:val="22"/>
          <w:szCs w:val="22"/>
          <w:highlight w:val="none"/>
        </w:rPr>
        <w:t>第</w:t>
      </w:r>
      <w:r>
        <w:rPr>
          <w:rFonts w:hint="eastAsia" w:ascii="Times New Roman" w:hAnsi="Times New Roman" w:eastAsia="黑体" w:cs="Times New Roman"/>
          <w:color w:val="auto"/>
          <w:sz w:val="22"/>
          <w:szCs w:val="22"/>
          <w:highlight w:val="none"/>
        </w:rPr>
        <w:t>七</w:t>
      </w:r>
      <w:r>
        <w:rPr>
          <w:rFonts w:ascii="Times New Roman" w:hAnsi="Times New Roman" w:eastAsia="黑体" w:cs="Times New Roman"/>
          <w:color w:val="auto"/>
          <w:sz w:val="22"/>
          <w:szCs w:val="22"/>
          <w:highlight w:val="none"/>
        </w:rPr>
        <w:t>条</w:t>
      </w:r>
      <w:r>
        <w:rPr>
          <w:rFonts w:hint="eastAsia" w:ascii="Times New Roman" w:hAnsi="Times New Roman" w:eastAsia="仿宋_GB2312" w:cs="Times New Roman"/>
          <w:color w:val="auto"/>
          <w:sz w:val="22"/>
          <w:szCs w:val="22"/>
          <w:highlight w:val="none"/>
        </w:rPr>
        <w:t xml:space="preserve">  申请入库资料的接收时间</w:t>
      </w:r>
      <w:r>
        <w:rPr>
          <w:rFonts w:ascii="Times New Roman" w:hAnsi="Times New Roman" w:eastAsia="仿宋_GB2312" w:cs="Times New Roman"/>
          <w:color w:val="auto"/>
          <w:sz w:val="22"/>
          <w:szCs w:val="22"/>
          <w:highlight w:val="none"/>
        </w:rPr>
        <w:t>由公司根据实际需要发布</w:t>
      </w:r>
      <w:r>
        <w:rPr>
          <w:rFonts w:hint="eastAsia" w:ascii="Times New Roman" w:hAnsi="Times New Roman" w:eastAsia="仿宋_GB2312" w:cs="Times New Roman"/>
          <w:color w:val="auto"/>
          <w:sz w:val="22"/>
          <w:szCs w:val="22"/>
          <w:highlight w:val="none"/>
        </w:rPr>
        <w:t>，各意向单位应在申请时限内提交申请入库资料，并承诺服从本办法的管理要求</w:t>
      </w:r>
      <w:r>
        <w:rPr>
          <w:rFonts w:ascii="Times New Roman" w:hAnsi="Times New Roman" w:eastAsia="仿宋_GB2312" w:cs="Times New Roman"/>
          <w:color w:val="auto"/>
          <w:sz w:val="22"/>
          <w:szCs w:val="22"/>
          <w:highlight w:val="none"/>
        </w:rPr>
        <w:t>。</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黑体" w:cs="Times New Roman"/>
          <w:color w:val="auto"/>
          <w:sz w:val="22"/>
          <w:szCs w:val="22"/>
          <w:highlight w:val="none"/>
        </w:rPr>
        <w:t>第</w:t>
      </w:r>
      <w:r>
        <w:rPr>
          <w:rFonts w:hint="eastAsia" w:ascii="Times New Roman" w:hAnsi="Times New Roman" w:eastAsia="黑体" w:cs="Times New Roman"/>
          <w:color w:val="auto"/>
          <w:sz w:val="22"/>
          <w:szCs w:val="22"/>
          <w:highlight w:val="none"/>
        </w:rPr>
        <w:t>八</w:t>
      </w:r>
      <w:r>
        <w:rPr>
          <w:rFonts w:ascii="Times New Roman" w:hAnsi="Times New Roman" w:eastAsia="黑体" w:cs="Times New Roman"/>
          <w:color w:val="auto"/>
          <w:sz w:val="22"/>
          <w:szCs w:val="22"/>
          <w:highlight w:val="none"/>
        </w:rPr>
        <w:t xml:space="preserve">条  </w:t>
      </w:r>
      <w:r>
        <w:rPr>
          <w:rFonts w:ascii="Times New Roman" w:hAnsi="Times New Roman" w:eastAsia="仿宋_GB2312" w:cs="Times New Roman"/>
          <w:color w:val="auto"/>
          <w:sz w:val="22"/>
          <w:szCs w:val="22"/>
          <w:highlight w:val="none"/>
        </w:rPr>
        <w:t>供应商库入库申请人按本公司发布的报名及入库要求，在规定期限内提交</w:t>
      </w:r>
      <w:r>
        <w:rPr>
          <w:rFonts w:hint="eastAsia" w:ascii="Times New Roman" w:hAnsi="Times New Roman" w:eastAsia="仿宋_GB2312" w:cs="Times New Roman"/>
          <w:color w:val="auto"/>
          <w:sz w:val="22"/>
          <w:szCs w:val="22"/>
          <w:highlight w:val="none"/>
        </w:rPr>
        <w:t>申请入库资料</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s="Times New Roman"/>
          <w:color w:val="auto"/>
          <w:sz w:val="22"/>
          <w:szCs w:val="22"/>
          <w:highlight w:val="none"/>
        </w:rPr>
        <w:t>由公司招标采购领导小组办公室</w:t>
      </w:r>
      <w:r>
        <w:rPr>
          <w:rFonts w:ascii="Times New Roman" w:hAnsi="Times New Roman" w:eastAsia="仿宋_GB2312" w:cs="Times New Roman"/>
          <w:color w:val="auto"/>
          <w:sz w:val="22"/>
          <w:szCs w:val="22"/>
          <w:highlight w:val="none"/>
        </w:rPr>
        <w:t>进行入库</w:t>
      </w:r>
      <w:r>
        <w:rPr>
          <w:rFonts w:hint="eastAsia" w:ascii="Times New Roman" w:hAnsi="Times New Roman" w:eastAsia="仿宋_GB2312" w:cs="Times New Roman"/>
          <w:color w:val="auto"/>
          <w:sz w:val="22"/>
          <w:szCs w:val="22"/>
          <w:highlight w:val="none"/>
        </w:rPr>
        <w:t>复核</w:t>
      </w:r>
      <w:r>
        <w:rPr>
          <w:rFonts w:ascii="Times New Roman" w:hAnsi="Times New Roman" w:eastAsia="仿宋_GB2312" w:cs="Times New Roman"/>
          <w:color w:val="auto"/>
          <w:sz w:val="22"/>
          <w:szCs w:val="22"/>
          <w:highlight w:val="none"/>
        </w:rPr>
        <w:t>，初步确定拟入库的供应商名单。</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黑体" w:cs="Times New Roman"/>
          <w:color w:val="auto"/>
          <w:sz w:val="22"/>
          <w:szCs w:val="22"/>
          <w:highlight w:val="none"/>
        </w:rPr>
        <w:t>第</w:t>
      </w:r>
      <w:r>
        <w:rPr>
          <w:rFonts w:hint="eastAsia" w:ascii="Times New Roman" w:hAnsi="Times New Roman" w:eastAsia="黑体" w:cs="Times New Roman"/>
          <w:color w:val="auto"/>
          <w:sz w:val="22"/>
          <w:szCs w:val="22"/>
          <w:highlight w:val="none"/>
        </w:rPr>
        <w:t>九</w:t>
      </w:r>
      <w:r>
        <w:rPr>
          <w:rFonts w:ascii="Times New Roman" w:hAnsi="Times New Roman" w:eastAsia="黑体" w:cs="Times New Roman"/>
          <w:color w:val="auto"/>
          <w:sz w:val="22"/>
          <w:szCs w:val="22"/>
          <w:highlight w:val="none"/>
        </w:rPr>
        <w:t xml:space="preserve">条  </w:t>
      </w:r>
      <w:r>
        <w:rPr>
          <w:rFonts w:ascii="Times New Roman" w:hAnsi="Times New Roman" w:eastAsia="仿宋_GB2312" w:cs="Times New Roman"/>
          <w:color w:val="auto"/>
          <w:sz w:val="22"/>
          <w:szCs w:val="22"/>
          <w:highlight w:val="none"/>
        </w:rPr>
        <w:t>供应商名单经公司批准后，</w:t>
      </w:r>
      <w:r>
        <w:rPr>
          <w:rFonts w:hint="eastAsia" w:ascii="Times New Roman" w:hAnsi="Times New Roman" w:eastAsia="仿宋_GB2312" w:cs="Times New Roman"/>
          <w:color w:val="auto"/>
          <w:sz w:val="22"/>
          <w:szCs w:val="22"/>
          <w:highlight w:val="none"/>
        </w:rPr>
        <w:t>进入供应</w:t>
      </w:r>
      <w:r>
        <w:rPr>
          <w:rFonts w:ascii="Times New Roman" w:hAnsi="Times New Roman" w:eastAsia="仿宋_GB2312" w:cs="Times New Roman"/>
          <w:color w:val="auto"/>
          <w:sz w:val="22"/>
          <w:szCs w:val="22"/>
          <w:highlight w:val="none"/>
        </w:rPr>
        <w:t>商库</w:t>
      </w:r>
      <w:r>
        <w:rPr>
          <w:rFonts w:hint="eastAsia" w:ascii="Times New Roman" w:hAnsi="Times New Roman" w:eastAsia="仿宋_GB2312" w:cs="Times New Roman"/>
          <w:color w:val="auto"/>
          <w:sz w:val="22"/>
          <w:szCs w:val="22"/>
          <w:highlight w:val="none"/>
        </w:rPr>
        <w:t>，并在报名网站上公示。</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黑体" w:cs="Times New Roman"/>
          <w:color w:val="auto"/>
          <w:sz w:val="22"/>
          <w:szCs w:val="22"/>
          <w:highlight w:val="none"/>
        </w:rPr>
        <w:t xml:space="preserve">第十条  </w:t>
      </w:r>
      <w:r>
        <w:rPr>
          <w:rFonts w:ascii="Times New Roman" w:hAnsi="Times New Roman" w:eastAsia="仿宋_GB2312" w:cs="Times New Roman"/>
          <w:color w:val="auto"/>
          <w:sz w:val="22"/>
          <w:szCs w:val="22"/>
          <w:highlight w:val="none"/>
        </w:rPr>
        <w:t>供应商入库申请人在入库过程中，一经发现存在违反廉政纪律的行为，即取消入库资格。</w:t>
      </w:r>
    </w:p>
    <w:p>
      <w:pPr>
        <w:tabs>
          <w:tab w:val="left" w:pos="0"/>
        </w:tabs>
        <w:adjustRightInd w:val="0"/>
        <w:snapToGrid w:val="0"/>
        <w:spacing w:line="600" w:lineRule="atLeast"/>
        <w:ind w:left="707"/>
        <w:rPr>
          <w:rFonts w:ascii="Times New Roman" w:hAnsi="Times New Roman" w:eastAsia="仿宋_GB2312" w:cs="Times New Roman"/>
          <w:color w:val="auto"/>
          <w:sz w:val="22"/>
          <w:szCs w:val="22"/>
          <w:highlight w:val="none"/>
        </w:rPr>
      </w:pPr>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入库供应商职责</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黑体" w:cs="Times New Roman"/>
          <w:color w:val="auto"/>
          <w:sz w:val="22"/>
          <w:szCs w:val="22"/>
          <w:highlight w:val="none"/>
        </w:rPr>
        <w:t>第</w:t>
      </w:r>
      <w:r>
        <w:rPr>
          <w:rFonts w:hint="eastAsia" w:ascii="Times New Roman" w:hAnsi="Times New Roman" w:eastAsia="黑体" w:cs="Times New Roman"/>
          <w:color w:val="auto"/>
          <w:sz w:val="22"/>
          <w:szCs w:val="22"/>
          <w:highlight w:val="none"/>
        </w:rPr>
        <w:t>十一</w:t>
      </w:r>
      <w:r>
        <w:rPr>
          <w:rFonts w:ascii="Times New Roman" w:hAnsi="Times New Roman" w:eastAsia="黑体" w:cs="Times New Roman"/>
          <w:color w:val="auto"/>
          <w:sz w:val="22"/>
          <w:szCs w:val="22"/>
          <w:highlight w:val="none"/>
        </w:rPr>
        <w:t xml:space="preserve">条  </w:t>
      </w:r>
      <w:r>
        <w:rPr>
          <w:rFonts w:ascii="Times New Roman" w:hAnsi="Times New Roman" w:eastAsia="仿宋_GB2312" w:cs="Times New Roman"/>
          <w:color w:val="auto"/>
          <w:sz w:val="22"/>
          <w:szCs w:val="22"/>
          <w:highlight w:val="none"/>
        </w:rPr>
        <w:t>成为</w:t>
      </w:r>
      <w:r>
        <w:rPr>
          <w:rFonts w:hint="eastAsia" w:ascii="Times New Roman" w:hAnsi="Times New Roman" w:eastAsia="仿宋_GB2312" w:cs="Times New Roman"/>
          <w:color w:val="auto"/>
          <w:sz w:val="22"/>
          <w:szCs w:val="22"/>
          <w:highlight w:val="none"/>
        </w:rPr>
        <w:t>本库内</w:t>
      </w:r>
      <w:r>
        <w:rPr>
          <w:rFonts w:ascii="Times New Roman" w:hAnsi="Times New Roman" w:eastAsia="仿宋_GB2312" w:cs="Times New Roman"/>
          <w:color w:val="auto"/>
          <w:sz w:val="22"/>
          <w:szCs w:val="22"/>
          <w:highlight w:val="none"/>
        </w:rPr>
        <w:t>供应商，应履行以下职责：</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以东莞地区的优惠价格提供优质的服务。</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供应商应及时响应本公司的询价，供应商不报价时应当及时反馈至本公司合同管理部。</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供应商不报价的，应当积极配合公司合同管理部提供相应的说明。</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按照</w:t>
      </w:r>
      <w:r>
        <w:rPr>
          <w:rFonts w:hint="eastAsia" w:ascii="Times New Roman" w:hAnsi="Times New Roman" w:eastAsia="仿宋_GB2312" w:cs="Times New Roman"/>
          <w:color w:val="auto"/>
          <w:sz w:val="22"/>
          <w:szCs w:val="22"/>
          <w:highlight w:val="none"/>
        </w:rPr>
        <w:t>规范规定的</w:t>
      </w:r>
      <w:r>
        <w:rPr>
          <w:rFonts w:ascii="Times New Roman" w:hAnsi="Times New Roman" w:eastAsia="仿宋_GB2312" w:cs="Times New Roman"/>
          <w:color w:val="auto"/>
          <w:sz w:val="22"/>
          <w:szCs w:val="22"/>
          <w:highlight w:val="none"/>
        </w:rPr>
        <w:t>安全防护、文明施工的要求</w:t>
      </w:r>
      <w:r>
        <w:rPr>
          <w:rFonts w:hint="eastAsia"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优质的完成</w:t>
      </w:r>
      <w:r>
        <w:rPr>
          <w:rFonts w:hint="eastAsia" w:ascii="Times New Roman" w:hAnsi="Times New Roman" w:eastAsia="仿宋_GB2312" w:cs="Times New Roman"/>
          <w:color w:val="auto"/>
          <w:sz w:val="22"/>
          <w:szCs w:val="22"/>
          <w:highlight w:val="none"/>
        </w:rPr>
        <w:t>机电设备维修工作</w:t>
      </w:r>
      <w:r>
        <w:rPr>
          <w:rFonts w:ascii="Times New Roman" w:hAnsi="Times New Roman" w:eastAsia="仿宋_GB2312" w:cs="Times New Roman"/>
          <w:color w:val="auto"/>
          <w:sz w:val="22"/>
          <w:szCs w:val="22"/>
          <w:highlight w:val="none"/>
        </w:rPr>
        <w:t>。</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在本公司规定的时限内完成机电设备维修工作。</w:t>
      </w:r>
    </w:p>
    <w:p>
      <w:pPr>
        <w:numPr>
          <w:ilvl w:val="0"/>
          <w:numId w:val="13"/>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供应商应严格落实安全生产措施，并按公司以及有关部门的要求，配备相关安全警示标志及设施，作业人员上岗前必须进行安全教育和技术培训，自行解决安全作业问题。下井、下池作业时，应有相应的气体检测措施及通风措施，确保有限空间的作业安全。</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（七）</w:t>
      </w:r>
      <w:r>
        <w:rPr>
          <w:rFonts w:ascii="Times New Roman" w:hAnsi="Times New Roman" w:eastAsia="仿宋_GB2312" w:cs="Times New Roman"/>
          <w:color w:val="auto"/>
          <w:sz w:val="22"/>
          <w:szCs w:val="22"/>
          <w:highlight w:val="none"/>
        </w:rPr>
        <w:t>配合本公司完成工程量现场签证、工程验收确认等现场工作。</w:t>
      </w:r>
      <w:r>
        <w:rPr>
          <w:rFonts w:hint="eastAsia" w:ascii="Times New Roman" w:hAnsi="Times New Roman" w:eastAsia="仿宋_GB2312" w:cs="Times New Roman"/>
          <w:color w:val="auto"/>
          <w:sz w:val="22"/>
          <w:szCs w:val="22"/>
          <w:highlight w:val="none"/>
        </w:rPr>
        <w:t>按本公司要求及时提供请款资料。</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（八）</w:t>
      </w:r>
      <w:r>
        <w:rPr>
          <w:rFonts w:ascii="Times New Roman" w:hAnsi="Times New Roman" w:eastAsia="仿宋_GB2312" w:cs="Times New Roman"/>
          <w:color w:val="auto"/>
          <w:sz w:val="22"/>
          <w:szCs w:val="22"/>
          <w:highlight w:val="none"/>
        </w:rPr>
        <w:t>按照本公司的要求提交真实的作业现场的视频和图片等影像资料。</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（九）供应商应按实际上岗人数自行到有关部门申办有关用工手续，为员工劳动购买保险手续和办理居住证等手续，安排好下属人员的住宿和安全教育管理工作。</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十）供应商应对现场服务人员、项目负责人及技术人员实行实名制管理，各单项项目人员进场时应当向本公司提交拟委派进场人员清单，信息包括姓名、身份证号、岗位职责等信息，并提交现场人员的身份证复印件、资质证书等，</w:t>
      </w:r>
      <w:r>
        <w:rPr>
          <w:rFonts w:ascii="Times New Roman" w:hAnsi="Times New Roman" w:eastAsia="仿宋_GB2312" w:cs="Times New Roman"/>
          <w:color w:val="auto"/>
          <w:sz w:val="22"/>
          <w:szCs w:val="22"/>
          <w:highlight w:val="none"/>
        </w:rPr>
        <w:t>确保派出的特种作业人员必须持证上岗。</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（十一）</w:t>
      </w:r>
      <w:r>
        <w:rPr>
          <w:rFonts w:ascii="Times New Roman" w:hAnsi="Times New Roman" w:eastAsia="仿宋_GB2312" w:cs="Times New Roman"/>
          <w:color w:val="auto"/>
          <w:sz w:val="22"/>
          <w:szCs w:val="22"/>
          <w:highlight w:val="none"/>
        </w:rPr>
        <w:t>确保人员有足够能力完成该服务工作，在提供服务的过程中，严格遵守国家和地方的安全法律法规。</w:t>
      </w:r>
    </w:p>
    <w:p>
      <w:pPr>
        <w:tabs>
          <w:tab w:val="left" w:pos="0"/>
        </w:tabs>
        <w:adjustRightInd w:val="0"/>
        <w:snapToGrid w:val="0"/>
        <w:spacing w:line="600" w:lineRule="atLeast"/>
        <w:ind w:firstLine="486" w:firstLineChars="221"/>
        <w:rPr>
          <w:rFonts w:ascii="Times New Roman" w:hAnsi="Times New Roman" w:eastAsia="仿宋_GB2312" w:cs="Times New Roman"/>
          <w:color w:val="auto"/>
          <w:sz w:val="22"/>
          <w:szCs w:val="22"/>
          <w:highlight w:val="none"/>
        </w:rPr>
      </w:pPr>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供应商库的动态管理</w:t>
      </w:r>
    </w:p>
    <w:p>
      <w:pPr>
        <w:numPr>
          <w:ilvl w:val="0"/>
          <w:numId w:val="14"/>
        </w:numPr>
        <w:tabs>
          <w:tab w:val="left" w:pos="0"/>
        </w:tabs>
        <w:adjustRightInd w:val="0"/>
        <w:snapToGrid w:val="0"/>
        <w:spacing w:line="600" w:lineRule="atLeast"/>
        <w:ind w:firstLine="440" w:firstLineChars="20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hint="eastAsia" w:ascii="Times New Roman" w:hAnsi="Times New Roman" w:eastAsia="仿宋_GB2312" w:cs="Times New Roman"/>
          <w:color w:val="auto"/>
          <w:sz w:val="22"/>
          <w:szCs w:val="22"/>
          <w:highlight w:val="none"/>
        </w:rPr>
        <w:t>本库内</w:t>
      </w:r>
      <w:r>
        <w:rPr>
          <w:rFonts w:ascii="Times New Roman" w:hAnsi="Times New Roman" w:eastAsia="仿宋_GB2312" w:cs="Times New Roman"/>
          <w:color w:val="auto"/>
          <w:sz w:val="22"/>
          <w:szCs w:val="22"/>
          <w:highlight w:val="none"/>
        </w:rPr>
        <w:t>供应商</w:t>
      </w:r>
      <w:r>
        <w:rPr>
          <w:rFonts w:hint="eastAsia" w:ascii="Times New Roman" w:hAnsi="Times New Roman" w:eastAsia="仿宋_GB2312" w:cs="Times New Roman"/>
          <w:color w:val="auto"/>
          <w:sz w:val="22"/>
          <w:szCs w:val="22"/>
          <w:highlight w:val="none"/>
        </w:rPr>
        <w:t>分为在库供应商和候选供应商两类，公司通过轮派单或者询价的方式将项目委托在库供应商承接</w:t>
      </w:r>
      <w:r>
        <w:rPr>
          <w:rFonts w:hint="eastAsia"/>
          <w:color w:val="auto"/>
          <w:sz w:val="16"/>
          <w:szCs w:val="20"/>
          <w:highlight w:val="none"/>
        </w:rPr>
        <w:t>。</w:t>
      </w:r>
      <w:r>
        <w:rPr>
          <w:rFonts w:hint="eastAsia" w:ascii="Times New Roman" w:hAnsi="Times New Roman" w:eastAsia="仿宋_GB2312" w:cs="Times New Roman"/>
          <w:color w:val="auto"/>
          <w:sz w:val="22"/>
          <w:szCs w:val="22"/>
          <w:highlight w:val="none"/>
        </w:rPr>
        <w:t>候选供应商作为候补，符合本办法第二十五条规定的，候选供应商可转为在库供应商。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lang w:bidi="ar"/>
        </w:rPr>
        <w:t>供应商库内各在库供应商至多同时承接本公司</w:t>
      </w:r>
      <w:r>
        <w:rPr>
          <w:rFonts w:hint="eastAsia" w:ascii="Times New Roman" w:hAnsi="Times New Roman" w:eastAsia="仿宋_GB2312" w:cs="Times New Roman"/>
          <w:color w:val="auto"/>
          <w:sz w:val="22"/>
          <w:szCs w:val="22"/>
          <w:highlight w:val="none"/>
          <w:lang w:bidi="ar"/>
        </w:rPr>
        <w:t>5</w:t>
      </w:r>
      <w:r>
        <w:rPr>
          <w:rFonts w:ascii="Times New Roman" w:hAnsi="Times New Roman" w:eastAsia="仿宋_GB2312" w:cs="Times New Roman"/>
          <w:color w:val="auto"/>
          <w:sz w:val="22"/>
          <w:szCs w:val="22"/>
          <w:highlight w:val="none"/>
          <w:lang w:bidi="ar"/>
        </w:rPr>
        <w:t>个委派项目，当单个在库供应商承接本公司委派项目达到</w:t>
      </w:r>
      <w:r>
        <w:rPr>
          <w:rFonts w:hint="eastAsia" w:ascii="Times New Roman" w:hAnsi="Times New Roman" w:eastAsia="仿宋_GB2312" w:cs="Times New Roman"/>
          <w:color w:val="auto"/>
          <w:sz w:val="22"/>
          <w:szCs w:val="22"/>
          <w:highlight w:val="none"/>
          <w:lang w:bidi="ar"/>
        </w:rPr>
        <w:t>5</w:t>
      </w:r>
      <w:r>
        <w:rPr>
          <w:rFonts w:ascii="Times New Roman" w:hAnsi="Times New Roman" w:eastAsia="仿宋_GB2312" w:cs="Times New Roman"/>
          <w:color w:val="auto"/>
          <w:sz w:val="22"/>
          <w:szCs w:val="22"/>
          <w:highlight w:val="none"/>
          <w:lang w:bidi="ar"/>
        </w:rPr>
        <w:t>个时，停止向该在库供应商委派项目。公司</w:t>
      </w:r>
      <w:r>
        <w:rPr>
          <w:rFonts w:hint="eastAsia" w:ascii="Times New Roman" w:hAnsi="Times New Roman" w:eastAsia="仿宋_GB2312" w:cs="Times New Roman"/>
          <w:color w:val="auto"/>
          <w:sz w:val="22"/>
          <w:szCs w:val="22"/>
          <w:highlight w:val="none"/>
          <w:lang w:bidi="ar"/>
        </w:rPr>
        <w:t>设备</w:t>
      </w:r>
      <w:r>
        <w:rPr>
          <w:rFonts w:ascii="Times New Roman" w:hAnsi="Times New Roman" w:eastAsia="仿宋_GB2312" w:cs="Times New Roman"/>
          <w:color w:val="auto"/>
          <w:sz w:val="22"/>
          <w:szCs w:val="22"/>
          <w:highlight w:val="none"/>
          <w:lang w:bidi="ar"/>
        </w:rPr>
        <w:t>管理部对在项目委派情况以及完成情况进行统一管理，当该在库供应商项目完工并提交合格的验收资料时，视为项目已完成，不计入在库供应商正在实施项目数量</w:t>
      </w:r>
      <w:r>
        <w:rPr>
          <w:rFonts w:hint="eastAsia" w:ascii="Times New Roman" w:hAnsi="Times New Roman" w:eastAsia="仿宋_GB2312" w:cs="Times New Roman"/>
          <w:color w:val="auto"/>
          <w:sz w:val="22"/>
          <w:szCs w:val="22"/>
          <w:highlight w:val="none"/>
        </w:rPr>
        <w:t>，并告知公司合同管理部</w:t>
      </w:r>
      <w:r>
        <w:rPr>
          <w:rFonts w:ascii="Times New Roman" w:hAnsi="Times New Roman" w:eastAsia="仿宋_GB2312" w:cs="Times New Roman"/>
          <w:color w:val="auto"/>
          <w:sz w:val="22"/>
          <w:szCs w:val="22"/>
          <w:highlight w:val="none"/>
          <w:lang w:bidi="ar"/>
        </w:rPr>
        <w:t>。</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供应商入库后，在经营状况或服务能力发生重大变更情况时，应当及时提交报告或者情况说明。入库供应商可以自愿申请退库。</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在委托服务过程中，公司以积分制对每个在库供应商开展考核工作，每个在库供应商季度评价初始积分为100分，考核分为逐单任务考核、季度等级评价两部分。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逐单考核分值100分，公司将于每单任务每个环节对供应商任务完成情况进行考核。在委托服务过程中，公司从响应、服务和质量安全方面对供应商进行考核，并根据考核情况相应进行扣分，具体考核项目及评分标准详见《机电设备维修供应商单项工程综合评分表》（附件1）。其中：</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楷体_GB2312" w:hAnsi="楷体_GB2312" w:eastAsia="楷体_GB2312" w:cs="楷体_GB2312"/>
          <w:color w:val="auto"/>
          <w:sz w:val="22"/>
          <w:szCs w:val="22"/>
          <w:highlight w:val="none"/>
        </w:rPr>
        <w:t>（一）</w:t>
      </w:r>
      <w:r>
        <w:rPr>
          <w:rFonts w:hint="eastAsia" w:ascii="楷体_GB2312" w:hAnsi="楷体_GB2312" w:eastAsia="楷体_GB2312" w:cs="楷体_GB2312"/>
          <w:color w:val="auto"/>
          <w:kern w:val="0"/>
          <w:sz w:val="22"/>
          <w:szCs w:val="22"/>
          <w:highlight w:val="none"/>
          <w:shd w:val="clear" w:color="auto" w:fill="FFFFFF"/>
        </w:rPr>
        <w:t>响应方面</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s="Times New Roman"/>
          <w:color w:val="auto"/>
          <w:kern w:val="0"/>
          <w:sz w:val="22"/>
          <w:szCs w:val="22"/>
          <w:highlight w:val="none"/>
          <w:shd w:val="clear" w:color="auto" w:fill="FFFFFF"/>
        </w:rPr>
        <w:t>主要包括：</w:t>
      </w:r>
    </w:p>
    <w:p>
      <w:pPr>
        <w:numPr>
          <w:ilvl w:val="255"/>
          <w:numId w:val="0"/>
        </w:num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1．没有按本公司要求配齐相应技术、管理、施工人员的，每次扣2分。</w:t>
      </w:r>
    </w:p>
    <w:p>
      <w:pPr>
        <w:numPr>
          <w:ilvl w:val="255"/>
          <w:numId w:val="0"/>
        </w:num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2．业务履行中发生的争议，接通知后，没有按通知时间或不按约定时间到场协商解决的，不主动提供真实情况，每次扣3分。</w:t>
      </w:r>
    </w:p>
    <w:p>
      <w:pPr>
        <w:numPr>
          <w:ilvl w:val="255"/>
          <w:numId w:val="0"/>
        </w:num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3．未发生不可抗力的情况下，没有在规定时间内完成服务要求或没有在规定时间内复工整改的，每次扣3分。</w:t>
      </w:r>
    </w:p>
    <w:p>
      <w:pPr>
        <w:numPr>
          <w:ilvl w:val="255"/>
          <w:numId w:val="0"/>
        </w:num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4．没有按维修计划约定时间内进驻现场或没有制定维修计划或没有按照《进度计划》进行施工的，每个进度节点延期一次扣2分。</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楷体_GB2312" w:hAnsi="楷体_GB2312" w:eastAsia="楷体_GB2312" w:cs="楷体_GB2312"/>
          <w:color w:val="auto"/>
          <w:sz w:val="22"/>
          <w:szCs w:val="22"/>
          <w:highlight w:val="none"/>
        </w:rPr>
        <w:t>（二）服务方面</w:t>
      </w:r>
      <w:r>
        <w:rPr>
          <w:rFonts w:hint="eastAsia" w:ascii="Times New Roman" w:hAnsi="Times New Roman" w:eastAsia="仿宋_GB2312" w:cs="Times New Roman"/>
          <w:color w:val="auto"/>
          <w:sz w:val="22"/>
          <w:szCs w:val="22"/>
          <w:highlight w:val="none"/>
        </w:rPr>
        <w:t>。主要包括：</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kern w:val="0"/>
          <w:sz w:val="22"/>
          <w:szCs w:val="22"/>
          <w:highlight w:val="none"/>
          <w:shd w:val="clear" w:color="auto" w:fill="FFFFFF"/>
        </w:rPr>
        <w:t>1．质保</w:t>
      </w:r>
      <w:r>
        <w:rPr>
          <w:rFonts w:ascii="Times New Roman" w:hAnsi="Times New Roman" w:eastAsia="仿宋_GB2312" w:cs="Times New Roman"/>
          <w:color w:val="auto"/>
          <w:kern w:val="0"/>
          <w:sz w:val="22"/>
          <w:szCs w:val="22"/>
          <w:highlight w:val="none"/>
          <w:shd w:val="clear" w:color="auto" w:fill="FFFFFF"/>
        </w:rPr>
        <w:t>期内，</w:t>
      </w:r>
      <w:r>
        <w:rPr>
          <w:rFonts w:hint="eastAsia" w:ascii="Times New Roman" w:hAnsi="Times New Roman" w:eastAsia="仿宋_GB2312" w:cs="Times New Roman"/>
          <w:color w:val="auto"/>
          <w:kern w:val="0"/>
          <w:sz w:val="22"/>
          <w:szCs w:val="22"/>
          <w:highlight w:val="none"/>
          <w:shd w:val="clear" w:color="auto" w:fill="FFFFFF"/>
        </w:rPr>
        <w:t>接通知后，不按通知限定时间内来现场处理</w:t>
      </w:r>
      <w:r>
        <w:rPr>
          <w:rFonts w:hint="eastAsia" w:ascii="Times New Roman" w:hAnsi="Times New Roman" w:eastAsia="仿宋_GB2312" w:cs="Times New Roman"/>
          <w:color w:val="auto"/>
          <w:sz w:val="22"/>
          <w:szCs w:val="22"/>
          <w:highlight w:val="none"/>
        </w:rPr>
        <w:t>质保范围内故障问题的，</w:t>
      </w:r>
      <w:r>
        <w:rPr>
          <w:rFonts w:ascii="Times New Roman" w:hAnsi="Times New Roman" w:eastAsia="仿宋_GB2312" w:cs="Times New Roman"/>
          <w:color w:val="auto"/>
          <w:kern w:val="0"/>
          <w:sz w:val="22"/>
          <w:szCs w:val="22"/>
          <w:highlight w:val="none"/>
          <w:shd w:val="clear" w:color="auto" w:fill="FFFFFF"/>
        </w:rPr>
        <w:t>每次扣10分。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kern w:val="0"/>
          <w:sz w:val="22"/>
          <w:szCs w:val="22"/>
          <w:highlight w:val="none"/>
          <w:shd w:val="clear" w:color="auto" w:fill="FFFFFF"/>
        </w:rPr>
        <w:t>2．</w:t>
      </w:r>
      <w:r>
        <w:rPr>
          <w:rFonts w:ascii="Times New Roman" w:hAnsi="Times New Roman" w:eastAsia="仿宋_GB2312" w:cs="Times New Roman"/>
          <w:color w:val="auto"/>
          <w:kern w:val="0"/>
          <w:sz w:val="22"/>
          <w:szCs w:val="22"/>
          <w:highlight w:val="none"/>
          <w:shd w:val="clear" w:color="auto" w:fill="FFFFFF"/>
        </w:rPr>
        <w:t>项目施工期间内因供应商原因造成工程延期的，每次扣3分。</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楷体_GB2312" w:hAnsi="楷体_GB2312" w:eastAsia="楷体_GB2312" w:cs="楷体_GB2312"/>
          <w:color w:val="auto"/>
          <w:sz w:val="22"/>
          <w:szCs w:val="22"/>
          <w:highlight w:val="none"/>
        </w:rPr>
        <w:t>（三）质量安全方面</w:t>
      </w:r>
      <w:r>
        <w:rPr>
          <w:rFonts w:hint="eastAsia"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主要包括：</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1</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s="Times New Roman"/>
          <w:color w:val="auto"/>
          <w:sz w:val="22"/>
          <w:szCs w:val="22"/>
          <w:highlight w:val="none"/>
        </w:rPr>
        <w:t>安排的作业人员没有持证上岗的，每次扣2分。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2</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s="Times New Roman"/>
          <w:color w:val="auto"/>
          <w:sz w:val="22"/>
          <w:szCs w:val="22"/>
          <w:highlight w:val="none"/>
        </w:rPr>
        <w:t>没有按本公司要求进行安全防护、文明施工的，每次扣5分。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3</w:t>
      </w:r>
      <w:r>
        <w:rPr>
          <w:rFonts w:hint="eastAsia" w:ascii="Times New Roman" w:hAnsi="Times New Roman" w:eastAsia="仿宋_GB2312" w:cs="Times New Roman"/>
          <w:color w:val="auto"/>
          <w:kern w:val="0"/>
          <w:sz w:val="22"/>
          <w:szCs w:val="22"/>
          <w:highlight w:val="none"/>
          <w:shd w:val="clear" w:color="auto" w:fill="FFFFFF"/>
        </w:rPr>
        <w:t>．</w:t>
      </w:r>
      <w:r>
        <w:rPr>
          <w:rFonts w:hint="eastAsia" w:ascii="Times New Roman" w:hAnsi="Times New Roman" w:eastAsia="仿宋_GB2312" w:cs="Times New Roman"/>
          <w:color w:val="auto"/>
          <w:sz w:val="22"/>
          <w:szCs w:val="22"/>
          <w:highlight w:val="none"/>
        </w:rPr>
        <w:t>供应商所供的</w:t>
      </w:r>
      <w:r>
        <w:rPr>
          <w:rFonts w:hint="eastAsia" w:ascii="仿宋_GB2312" w:hAnsi="仿宋_GB2312" w:eastAsia="仿宋_GB2312" w:cs="仿宋_GB2312"/>
          <w:color w:val="auto"/>
          <w:sz w:val="22"/>
          <w:szCs w:val="22"/>
          <w:highlight w:val="none"/>
        </w:rPr>
        <w:t>设备(包括但不限于品牌、型号、规格、质量)不符合</w:t>
      </w:r>
      <w:r>
        <w:rPr>
          <w:rFonts w:hint="eastAsia" w:ascii="Times New Roman" w:hAnsi="Times New Roman" w:eastAsia="仿宋_GB2312" w:cs="Times New Roman"/>
          <w:color w:val="auto"/>
          <w:sz w:val="22"/>
          <w:szCs w:val="22"/>
          <w:highlight w:val="none"/>
        </w:rPr>
        <w:t>合同采购技术要求或国家质量标准的，每次扣5分。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4</w:t>
      </w:r>
      <w:r>
        <w:rPr>
          <w:rFonts w:hint="eastAsia" w:ascii="Times New Roman" w:hAnsi="Times New Roman" w:eastAsia="仿宋_GB2312" w:cs="Times New Roman"/>
          <w:color w:val="auto"/>
          <w:kern w:val="0"/>
          <w:sz w:val="22"/>
          <w:szCs w:val="22"/>
          <w:highlight w:val="none"/>
          <w:shd w:val="clear" w:color="auto" w:fill="FFFFFF"/>
        </w:rPr>
        <w:t>．</w:t>
      </w:r>
      <w:r>
        <w:rPr>
          <w:rFonts w:hint="eastAsia" w:ascii="Times New Roman" w:hAnsi="Times New Roman" w:eastAsia="仿宋_GB2312" w:cs="Times New Roman"/>
          <w:color w:val="auto"/>
          <w:sz w:val="22"/>
          <w:szCs w:val="22"/>
          <w:highlight w:val="none"/>
        </w:rPr>
        <w:t>维修后的设备，验收不达采购技术要求的，每次扣5分。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5</w:t>
      </w:r>
      <w:r>
        <w:rPr>
          <w:rFonts w:hint="eastAsia" w:ascii="Times New Roman" w:hAnsi="Times New Roman" w:eastAsia="仿宋_GB2312" w:cs="Times New Roman"/>
          <w:color w:val="auto"/>
          <w:kern w:val="0"/>
          <w:sz w:val="22"/>
          <w:szCs w:val="22"/>
          <w:highlight w:val="none"/>
          <w:shd w:val="clear" w:color="auto" w:fill="FFFFFF"/>
        </w:rPr>
        <w:t>．</w:t>
      </w:r>
      <w:r>
        <w:rPr>
          <w:rFonts w:hint="eastAsia" w:ascii="Times New Roman" w:hAnsi="Times New Roman" w:eastAsia="仿宋_GB2312" w:cs="Times New Roman"/>
          <w:color w:val="auto"/>
          <w:sz w:val="22"/>
          <w:szCs w:val="22"/>
          <w:highlight w:val="none"/>
        </w:rPr>
        <w:t>潜水泵进行机械密封更换维修后，在7天的试运行期间，对地绝缘电阻与验收时不变，或不低于200MΩ，否则每次扣2分。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6</w:t>
      </w:r>
      <w:r>
        <w:rPr>
          <w:rFonts w:hint="eastAsia" w:ascii="Times New Roman" w:hAnsi="Times New Roman" w:eastAsia="仿宋_GB2312" w:cs="Times New Roman"/>
          <w:color w:val="auto"/>
          <w:kern w:val="0"/>
          <w:sz w:val="22"/>
          <w:szCs w:val="22"/>
          <w:highlight w:val="none"/>
          <w:shd w:val="clear" w:color="auto" w:fill="FFFFFF"/>
        </w:rPr>
        <w:t>．</w:t>
      </w:r>
      <w:r>
        <w:rPr>
          <w:rFonts w:hint="eastAsia" w:ascii="Times New Roman" w:hAnsi="Times New Roman" w:eastAsia="仿宋_GB2312" w:cs="Times New Roman"/>
          <w:color w:val="auto"/>
          <w:sz w:val="22"/>
          <w:szCs w:val="22"/>
          <w:highlight w:val="none"/>
        </w:rPr>
        <w:t>重置的闸门通水后，在7天的试运行期间，没有出现脱落、变形，卡死，否则每次扣2分。</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7</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s="Times New Roman"/>
          <w:color w:val="auto"/>
          <w:sz w:val="22"/>
          <w:szCs w:val="22"/>
          <w:highlight w:val="none"/>
        </w:rPr>
        <w:t>在</w:t>
      </w:r>
      <w:r>
        <w:rPr>
          <w:rFonts w:hint="eastAsia" w:ascii="Times New Roman" w:hAnsi="Times New Roman" w:eastAsia="仿宋_GB2312" w:cs="Times New Roman"/>
          <w:color w:val="auto"/>
          <w:sz w:val="22"/>
          <w:szCs w:val="22"/>
          <w:highlight w:val="none"/>
        </w:rPr>
        <w:t>维修</w:t>
      </w:r>
      <w:r>
        <w:rPr>
          <w:rFonts w:ascii="Times New Roman" w:hAnsi="Times New Roman" w:eastAsia="仿宋_GB2312" w:cs="Times New Roman"/>
          <w:color w:val="auto"/>
          <w:sz w:val="22"/>
          <w:szCs w:val="22"/>
          <w:highlight w:val="none"/>
        </w:rPr>
        <w:t>过程中违</w:t>
      </w:r>
      <w:r>
        <w:rPr>
          <w:rFonts w:hint="eastAsia" w:ascii="Times New Roman" w:hAnsi="Times New Roman" w:eastAsia="仿宋_GB2312" w:cs="Times New Roman"/>
          <w:color w:val="auto"/>
          <w:sz w:val="22"/>
          <w:szCs w:val="22"/>
          <w:highlight w:val="none"/>
        </w:rPr>
        <w:t>反</w:t>
      </w:r>
      <w:r>
        <w:rPr>
          <w:rFonts w:ascii="Times New Roman" w:hAnsi="Times New Roman" w:eastAsia="仿宋_GB2312" w:cs="Times New Roman"/>
          <w:color w:val="auto"/>
          <w:sz w:val="22"/>
          <w:szCs w:val="22"/>
          <w:highlight w:val="none"/>
        </w:rPr>
        <w:t>相关法律法规，每次扣</w:t>
      </w:r>
      <w:r>
        <w:rPr>
          <w:rFonts w:hint="eastAsia" w:ascii="Times New Roman" w:hAnsi="Times New Roman" w:eastAsia="仿宋_GB2312" w:cs="Times New Roman"/>
          <w:color w:val="auto"/>
          <w:sz w:val="22"/>
          <w:szCs w:val="22"/>
          <w:highlight w:val="none"/>
        </w:rPr>
        <w:t>10</w:t>
      </w:r>
      <w:r>
        <w:rPr>
          <w:rFonts w:ascii="Times New Roman" w:hAnsi="Times New Roman" w:eastAsia="仿宋_GB2312" w:cs="Times New Roman"/>
          <w:color w:val="auto"/>
          <w:sz w:val="22"/>
          <w:szCs w:val="22"/>
          <w:highlight w:val="none"/>
        </w:rPr>
        <w:t>分，并追究相应法律责任。</w:t>
      </w:r>
    </w:p>
    <w:p>
      <w:pPr>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（四）按照《东莞市水务集团管网有限公司相关方安全考核细则（试行）》（详见附件2），供应商每承担500元违约金，总分扣1分。</w:t>
      </w:r>
    </w:p>
    <w:p>
      <w:pPr>
        <w:adjustRightInd w:val="0"/>
        <w:snapToGrid w:val="0"/>
        <w:spacing w:line="600" w:lineRule="atLeast"/>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《机电设备维修供应商单项工程综合评分表》详见附件1。</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公司将每个季度根据供应商逐单考核的平均得分情况开展季度等级评价，分优秀、优良、良好、合格和不合格五个等级，其中：</w:t>
      </w:r>
    </w:p>
    <w:p>
      <w:pPr>
        <w:spacing w:line="52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（一）得分95分（含）以上为优秀；</w:t>
      </w:r>
    </w:p>
    <w:p>
      <w:pPr>
        <w:spacing w:line="52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（二）得分85分（含）~95分（不含）为优良；</w:t>
      </w:r>
    </w:p>
    <w:p>
      <w:pPr>
        <w:spacing w:line="52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（三）得分80分（含）~85分（不含）为良好；</w:t>
      </w:r>
    </w:p>
    <w:p>
      <w:pPr>
        <w:spacing w:line="52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（四）得分70分（不含）~80分（不含）为合格；</w:t>
      </w:r>
    </w:p>
    <w:p>
      <w:pPr>
        <w:spacing w:line="52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（五）得分70分（含）以下为不合格。</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 xml:space="preserve">公司根据每个供应商季度等级评价情况相应进行调整供应商积分，具体如下： </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（一）季度考核优秀的，积分加3分；</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（二）季度考核优良的，积分扣3分；</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（三）季度考核良好的，积分扣5分；</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（四）季度考核合格的，积分扣10分；</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（五）季度考核不合格的，积分扣15分；</w:t>
      </w:r>
    </w:p>
    <w:p>
      <w:pPr>
        <w:tabs>
          <w:tab w:val="left" w:pos="0"/>
        </w:tabs>
        <w:spacing w:line="600" w:lineRule="exact"/>
        <w:ind w:firstLine="440" w:firstLineChars="200"/>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仿宋_GB2312"/>
          <w:bCs/>
          <w:color w:val="auto"/>
          <w:kern w:val="0"/>
          <w:sz w:val="22"/>
          <w:szCs w:val="22"/>
          <w:highlight w:val="none"/>
        </w:rPr>
        <w:t>（六）季度考核连续优秀加分奖励机制：</w:t>
      </w:r>
    </w:p>
    <w:p>
      <w:pPr>
        <w:tabs>
          <w:tab w:val="left" w:pos="0"/>
        </w:tabs>
        <w:spacing w:line="600" w:lineRule="exac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黑体" w:cs="Times New Roman"/>
          <w:color w:val="auto"/>
          <w:sz w:val="22"/>
          <w:szCs w:val="22"/>
          <w:highlight w:val="none"/>
        </w:rPr>
        <w:t>1</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olor w:val="auto"/>
          <w:sz w:val="22"/>
          <w:szCs w:val="22"/>
          <w:highlight w:val="none"/>
        </w:rPr>
        <w:t>供应商</w:t>
      </w:r>
      <w:r>
        <w:rPr>
          <w:rFonts w:hint="eastAsia" w:ascii="Times New Roman" w:hAnsi="Times New Roman" w:eastAsia="仿宋_GB2312" w:cs="Times New Roman"/>
          <w:color w:val="auto"/>
          <w:sz w:val="22"/>
          <w:szCs w:val="22"/>
          <w:highlight w:val="none"/>
        </w:rPr>
        <w:t>季度等级评价</w:t>
      </w:r>
      <w:r>
        <w:rPr>
          <w:rFonts w:ascii="Times New Roman" w:hAnsi="Times New Roman" w:eastAsia="仿宋_GB2312" w:cs="Times New Roman"/>
          <w:color w:val="auto"/>
          <w:sz w:val="22"/>
          <w:szCs w:val="22"/>
          <w:highlight w:val="none"/>
        </w:rPr>
        <w:t>连续</w:t>
      </w:r>
      <w:r>
        <w:rPr>
          <w:rFonts w:hint="eastAsia" w:ascii="Times New Roman" w:hAnsi="Times New Roman" w:eastAsia="仿宋_GB2312" w:cs="Times New Roman"/>
          <w:color w:val="auto"/>
          <w:sz w:val="22"/>
          <w:szCs w:val="22"/>
          <w:highlight w:val="none"/>
        </w:rPr>
        <w:t>2次达到</w:t>
      </w:r>
      <w:r>
        <w:rPr>
          <w:rFonts w:ascii="Times New Roman" w:hAnsi="Times New Roman" w:eastAsia="仿宋_GB2312" w:cs="Times New Roman"/>
          <w:color w:val="auto"/>
          <w:sz w:val="22"/>
          <w:szCs w:val="22"/>
          <w:highlight w:val="none"/>
        </w:rPr>
        <w:t>优秀</w:t>
      </w:r>
      <w:r>
        <w:rPr>
          <w:rFonts w:hint="eastAsia" w:ascii="Times New Roman" w:hAnsi="Times New Roman" w:eastAsia="仿宋_GB2312" w:cs="Times New Roman"/>
          <w:color w:val="auto"/>
          <w:sz w:val="22"/>
          <w:szCs w:val="22"/>
          <w:highlight w:val="none"/>
        </w:rPr>
        <w:t>的，当季度</w:t>
      </w:r>
      <w:r>
        <w:rPr>
          <w:rFonts w:hint="eastAsia" w:ascii="Times New Roman" w:hAnsi="Times New Roman" w:eastAsia="仿宋_GB2312" w:cs="仿宋_GB2312"/>
          <w:bCs/>
          <w:color w:val="auto"/>
          <w:kern w:val="0"/>
          <w:sz w:val="22"/>
          <w:szCs w:val="22"/>
          <w:highlight w:val="none"/>
        </w:rPr>
        <w:t>积分多加2分；</w:t>
      </w:r>
    </w:p>
    <w:p>
      <w:pPr>
        <w:tabs>
          <w:tab w:val="left" w:pos="0"/>
        </w:tabs>
        <w:spacing w:line="600" w:lineRule="exac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黑体" w:cs="Times New Roman"/>
          <w:color w:val="auto"/>
          <w:sz w:val="22"/>
          <w:szCs w:val="22"/>
          <w:highlight w:val="none"/>
        </w:rPr>
        <w:t>2</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olor w:val="auto"/>
          <w:sz w:val="22"/>
          <w:szCs w:val="22"/>
          <w:highlight w:val="none"/>
        </w:rPr>
        <w:t>供应商</w:t>
      </w:r>
      <w:r>
        <w:rPr>
          <w:rFonts w:hint="eastAsia" w:ascii="Times New Roman" w:hAnsi="Times New Roman" w:eastAsia="仿宋_GB2312" w:cs="Times New Roman"/>
          <w:color w:val="auto"/>
          <w:sz w:val="22"/>
          <w:szCs w:val="22"/>
          <w:highlight w:val="none"/>
        </w:rPr>
        <w:t>季度等级评价</w:t>
      </w:r>
      <w:r>
        <w:rPr>
          <w:rFonts w:ascii="Times New Roman" w:hAnsi="Times New Roman" w:eastAsia="仿宋_GB2312" w:cs="Times New Roman"/>
          <w:color w:val="auto"/>
          <w:sz w:val="22"/>
          <w:szCs w:val="22"/>
          <w:highlight w:val="none"/>
        </w:rPr>
        <w:t>连续</w:t>
      </w:r>
      <w:r>
        <w:rPr>
          <w:rFonts w:hint="eastAsia" w:ascii="Times New Roman" w:hAnsi="Times New Roman" w:eastAsia="仿宋_GB2312" w:cs="Times New Roman"/>
          <w:color w:val="auto"/>
          <w:sz w:val="22"/>
          <w:szCs w:val="22"/>
          <w:highlight w:val="none"/>
        </w:rPr>
        <w:t>3次达到</w:t>
      </w:r>
      <w:r>
        <w:rPr>
          <w:rFonts w:ascii="Times New Roman" w:hAnsi="Times New Roman" w:eastAsia="仿宋_GB2312" w:cs="Times New Roman"/>
          <w:color w:val="auto"/>
          <w:sz w:val="22"/>
          <w:szCs w:val="22"/>
          <w:highlight w:val="none"/>
        </w:rPr>
        <w:t>优秀</w:t>
      </w:r>
      <w:r>
        <w:rPr>
          <w:rFonts w:hint="eastAsia" w:ascii="Times New Roman" w:hAnsi="Times New Roman" w:eastAsia="仿宋_GB2312" w:cs="Times New Roman"/>
          <w:color w:val="auto"/>
          <w:sz w:val="22"/>
          <w:szCs w:val="22"/>
          <w:highlight w:val="none"/>
        </w:rPr>
        <w:t>的，当季度</w:t>
      </w:r>
      <w:r>
        <w:rPr>
          <w:rFonts w:hint="eastAsia" w:ascii="Times New Roman" w:hAnsi="Times New Roman" w:eastAsia="仿宋_GB2312" w:cs="仿宋_GB2312"/>
          <w:bCs/>
          <w:color w:val="auto"/>
          <w:kern w:val="0"/>
          <w:sz w:val="22"/>
          <w:szCs w:val="22"/>
          <w:highlight w:val="none"/>
        </w:rPr>
        <w:t>积分多加5分；</w:t>
      </w:r>
    </w:p>
    <w:p>
      <w:pPr>
        <w:tabs>
          <w:tab w:val="left" w:pos="0"/>
        </w:tabs>
        <w:spacing w:line="600" w:lineRule="exac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黑体" w:cs="Times New Roman"/>
          <w:color w:val="auto"/>
          <w:sz w:val="22"/>
          <w:szCs w:val="22"/>
          <w:highlight w:val="none"/>
        </w:rPr>
        <w:t>3</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olor w:val="auto"/>
          <w:sz w:val="22"/>
          <w:szCs w:val="22"/>
          <w:highlight w:val="none"/>
        </w:rPr>
        <w:t>供应商</w:t>
      </w:r>
      <w:r>
        <w:rPr>
          <w:rFonts w:hint="eastAsia" w:ascii="Times New Roman" w:hAnsi="Times New Roman" w:eastAsia="仿宋_GB2312" w:cs="Times New Roman"/>
          <w:color w:val="auto"/>
          <w:sz w:val="22"/>
          <w:szCs w:val="22"/>
          <w:highlight w:val="none"/>
        </w:rPr>
        <w:t>季度等级评价</w:t>
      </w:r>
      <w:r>
        <w:rPr>
          <w:rFonts w:ascii="Times New Roman" w:hAnsi="Times New Roman" w:eastAsia="仿宋_GB2312" w:cs="Times New Roman"/>
          <w:color w:val="auto"/>
          <w:sz w:val="22"/>
          <w:szCs w:val="22"/>
          <w:highlight w:val="none"/>
        </w:rPr>
        <w:t>连续</w:t>
      </w:r>
      <w:r>
        <w:rPr>
          <w:rFonts w:hint="eastAsia" w:ascii="Times New Roman" w:hAnsi="Times New Roman" w:eastAsia="仿宋_GB2312" w:cs="Times New Roman"/>
          <w:color w:val="auto"/>
          <w:sz w:val="22"/>
          <w:szCs w:val="22"/>
          <w:highlight w:val="none"/>
        </w:rPr>
        <w:t>4次（含）以上达到</w:t>
      </w:r>
      <w:r>
        <w:rPr>
          <w:rFonts w:ascii="Times New Roman" w:hAnsi="Times New Roman" w:eastAsia="仿宋_GB2312" w:cs="Times New Roman"/>
          <w:color w:val="auto"/>
          <w:sz w:val="22"/>
          <w:szCs w:val="22"/>
          <w:highlight w:val="none"/>
        </w:rPr>
        <w:t>优秀</w:t>
      </w:r>
      <w:r>
        <w:rPr>
          <w:rFonts w:hint="eastAsia" w:ascii="Times New Roman" w:hAnsi="Times New Roman" w:eastAsia="仿宋_GB2312" w:cs="Times New Roman"/>
          <w:color w:val="auto"/>
          <w:sz w:val="22"/>
          <w:szCs w:val="22"/>
          <w:highlight w:val="none"/>
        </w:rPr>
        <w:t>的，当季度</w:t>
      </w:r>
      <w:r>
        <w:rPr>
          <w:rFonts w:hint="eastAsia" w:ascii="Times New Roman" w:hAnsi="Times New Roman" w:eastAsia="仿宋_GB2312" w:cs="仿宋_GB2312"/>
          <w:bCs/>
          <w:color w:val="auto"/>
          <w:kern w:val="0"/>
          <w:sz w:val="22"/>
          <w:szCs w:val="22"/>
          <w:highlight w:val="none"/>
        </w:rPr>
        <w:t>积分加7分</w:t>
      </w:r>
      <w:r>
        <w:rPr>
          <w:rFonts w:hint="eastAsia" w:ascii="Times New Roman" w:hAnsi="Times New Roman" w:eastAsia="仿宋_GB2312" w:cs="Times New Roman"/>
          <w:color w:val="auto"/>
          <w:sz w:val="22"/>
          <w:szCs w:val="22"/>
          <w:highlight w:val="none"/>
        </w:rPr>
        <w:t>；</w:t>
      </w:r>
    </w:p>
    <w:p>
      <w:pPr>
        <w:tabs>
          <w:tab w:val="left" w:pos="0"/>
        </w:tabs>
        <w:spacing w:line="600" w:lineRule="exac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黑体" w:cs="Times New Roman"/>
          <w:color w:val="auto"/>
          <w:sz w:val="22"/>
          <w:szCs w:val="22"/>
          <w:highlight w:val="none"/>
        </w:rPr>
        <w:t>4</w:t>
      </w:r>
      <w:r>
        <w:rPr>
          <w:rFonts w:hint="eastAsia" w:ascii="Times New Roman" w:hAnsi="Times New Roman" w:eastAsia="仿宋_GB2312" w:cs="Times New Roman"/>
          <w:color w:val="auto"/>
          <w:kern w:val="0"/>
          <w:sz w:val="22"/>
          <w:szCs w:val="22"/>
          <w:highlight w:val="none"/>
          <w:shd w:val="clear" w:color="auto" w:fill="FFFFFF"/>
        </w:rPr>
        <w:t>．</w:t>
      </w:r>
      <w:r>
        <w:rPr>
          <w:rFonts w:ascii="Times New Roman" w:hAnsi="Times New Roman" w:eastAsia="仿宋_GB2312" w:cs="Times New Roman"/>
          <w:color w:val="auto"/>
          <w:sz w:val="22"/>
          <w:szCs w:val="22"/>
          <w:highlight w:val="none"/>
        </w:rPr>
        <w:t>维修单位</w:t>
      </w:r>
      <w:r>
        <w:rPr>
          <w:rFonts w:hint="eastAsia" w:ascii="Times New Roman" w:hAnsi="Times New Roman" w:eastAsia="仿宋_GB2312" w:cs="Times New Roman"/>
          <w:color w:val="auto"/>
          <w:sz w:val="22"/>
          <w:szCs w:val="22"/>
          <w:highlight w:val="none"/>
        </w:rPr>
        <w:t>季度等级评价</w:t>
      </w:r>
      <w:r>
        <w:rPr>
          <w:rFonts w:ascii="Times New Roman" w:hAnsi="Times New Roman" w:eastAsia="仿宋_GB2312" w:cs="Times New Roman"/>
          <w:color w:val="auto"/>
          <w:sz w:val="22"/>
          <w:szCs w:val="22"/>
          <w:highlight w:val="none"/>
        </w:rPr>
        <w:t>连续</w:t>
      </w:r>
      <w:r>
        <w:rPr>
          <w:rFonts w:hint="eastAsia" w:ascii="Times New Roman" w:hAnsi="Times New Roman" w:eastAsia="仿宋_GB2312" w:cs="Times New Roman"/>
          <w:color w:val="auto"/>
          <w:sz w:val="22"/>
          <w:szCs w:val="22"/>
          <w:highlight w:val="none"/>
        </w:rPr>
        <w:t>达到</w:t>
      </w:r>
      <w:r>
        <w:rPr>
          <w:rFonts w:ascii="Times New Roman" w:hAnsi="Times New Roman" w:eastAsia="仿宋_GB2312" w:cs="Times New Roman"/>
          <w:color w:val="auto"/>
          <w:sz w:val="22"/>
          <w:szCs w:val="22"/>
          <w:highlight w:val="none"/>
        </w:rPr>
        <w:t>优秀</w:t>
      </w:r>
      <w:r>
        <w:rPr>
          <w:rFonts w:hint="eastAsia" w:ascii="Times New Roman" w:hAnsi="Times New Roman" w:eastAsia="仿宋_GB2312" w:cs="Times New Roman"/>
          <w:color w:val="auto"/>
          <w:sz w:val="22"/>
          <w:szCs w:val="22"/>
          <w:highlight w:val="none"/>
        </w:rPr>
        <w:t>的，单次加分不超过10分，满分不超过130分。</w:t>
      </w:r>
    </w:p>
    <w:p>
      <w:pPr>
        <w:tabs>
          <w:tab w:val="left" w:pos="0"/>
        </w:tabs>
        <w:spacing w:line="600" w:lineRule="exac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5.供应商不报价或不接轮单，每发生一次，季度考核扣3分。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季度等级评价及积分情况（详见附件3）由设备管理部整理提出，每季度汇总整理，经公司招标采购领导小组审定确认后登记造册，初始记录时间为供应商入库时间。</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当出现以下情况时，公司将中止在库供应商资格，将其转为最后顺位的候选供应商：</w:t>
      </w:r>
    </w:p>
    <w:p>
      <w:pPr>
        <w:numPr>
          <w:ilvl w:val="0"/>
          <w:numId w:val="15"/>
        </w:numPr>
        <w:tabs>
          <w:tab w:val="left" w:pos="0"/>
        </w:tabs>
        <w:adjustRightInd w:val="0"/>
        <w:snapToGrid w:val="0"/>
        <w:spacing w:line="600" w:lineRule="atLeast"/>
        <w:ind w:firstLine="486" w:firstLineChars="221"/>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供应商所供的</w:t>
      </w:r>
      <w:r>
        <w:rPr>
          <w:rFonts w:hint="eastAsia" w:ascii="仿宋_GB2312" w:hAnsi="仿宋_GB2312" w:eastAsia="仿宋_GB2312" w:cs="仿宋_GB2312"/>
          <w:color w:val="auto"/>
          <w:sz w:val="22"/>
          <w:szCs w:val="22"/>
          <w:highlight w:val="none"/>
        </w:rPr>
        <w:t>设备(包括但不限于品牌、型号、规格、质量)不</w:t>
      </w:r>
      <w:r>
        <w:rPr>
          <w:rFonts w:hint="eastAsia" w:ascii="Times New Roman" w:hAnsi="Times New Roman" w:eastAsia="仿宋_GB2312" w:cs="Times New Roman"/>
          <w:color w:val="auto"/>
          <w:sz w:val="22"/>
          <w:szCs w:val="22"/>
          <w:highlight w:val="none"/>
        </w:rPr>
        <w:t>符合相关质量标准达到3次及以上的（含3次）。</w:t>
      </w:r>
    </w:p>
    <w:p>
      <w:pPr>
        <w:numPr>
          <w:ilvl w:val="0"/>
          <w:numId w:val="15"/>
        </w:numPr>
        <w:tabs>
          <w:tab w:val="left" w:pos="0"/>
        </w:tabs>
        <w:adjustRightInd w:val="0"/>
        <w:snapToGrid w:val="0"/>
        <w:spacing w:line="600" w:lineRule="atLeast"/>
        <w:ind w:firstLine="707"/>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累计3次（含）不报价或接轮单（不报价与不接轮单次数累加计算）。</w:t>
      </w:r>
    </w:p>
    <w:p>
      <w:pPr>
        <w:numPr>
          <w:ilvl w:val="0"/>
          <w:numId w:val="15"/>
        </w:numPr>
        <w:tabs>
          <w:tab w:val="left" w:pos="0"/>
        </w:tabs>
        <w:adjustRightInd w:val="0"/>
        <w:snapToGrid w:val="0"/>
        <w:spacing w:line="600" w:lineRule="atLeast"/>
        <w:ind w:firstLine="486" w:firstLineChars="221"/>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供应商季度评价积分低于80分（不含80）的（按照各季度积分的扣减及加分情况汇总）。</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拟中止在库资格的供应商，经公司招标采购领导小组审议通过后，公司发出《在库供应商转为候选供应商的通知书》（详见附件4），明确通知发出之日起由在库供应商转为最后排名的候选供应商。候选供应商未按要求完成整改的，不允许转为在库供应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存在以下行为的，一经发现，即取消供应商资格，</w:t>
      </w:r>
      <w:r>
        <w:rPr>
          <w:rFonts w:hint="eastAsia" w:ascii="Times New Roman" w:hAnsi="Times New Roman" w:eastAsia="仿宋_GB2312" w:cs="Times New Roman"/>
          <w:color w:val="auto"/>
          <w:sz w:val="22"/>
          <w:szCs w:val="22"/>
          <w:highlight w:val="none"/>
          <w:lang w:bidi="ar"/>
        </w:rPr>
        <w:t>有权禁止其</w:t>
      </w:r>
      <w:r>
        <w:rPr>
          <w:rFonts w:ascii="Times New Roman" w:hAnsi="Times New Roman" w:eastAsia="仿宋_GB2312" w:cs="Times New Roman"/>
          <w:color w:val="auto"/>
          <w:sz w:val="22"/>
          <w:szCs w:val="22"/>
          <w:highlight w:val="none"/>
          <w:lang w:bidi="ar"/>
        </w:rPr>
        <w:t>一年内参与本公司采购活动，上报集团列入黑名单</w:t>
      </w:r>
      <w:r>
        <w:rPr>
          <w:rFonts w:hint="eastAsia" w:ascii="Times New Roman" w:hAnsi="Times New Roman" w:eastAsia="仿宋_GB2312" w:cs="Times New Roman"/>
          <w:color w:val="auto"/>
          <w:sz w:val="22"/>
          <w:szCs w:val="22"/>
          <w:highlight w:val="none"/>
          <w:lang w:bidi="ar"/>
        </w:rPr>
        <w:t>；</w:t>
      </w:r>
      <w:r>
        <w:rPr>
          <w:rFonts w:ascii="Times New Roman" w:hAnsi="Times New Roman" w:eastAsia="仿宋_GB2312" w:cs="Times New Roman"/>
          <w:color w:val="auto"/>
          <w:sz w:val="22"/>
          <w:szCs w:val="22"/>
          <w:highlight w:val="none"/>
          <w:lang w:bidi="ar"/>
        </w:rPr>
        <w:t>并视情况移交工商行政管理机关处理；涉嫌犯罪的，移交司法机关依法追究刑事责任</w:t>
      </w:r>
      <w:r>
        <w:rPr>
          <w:rFonts w:hint="eastAsia" w:ascii="Times New Roman" w:hAnsi="Times New Roman" w:eastAsia="仿宋_GB2312" w:cs="Times New Roman"/>
          <w:color w:val="auto"/>
          <w:sz w:val="22"/>
          <w:szCs w:val="22"/>
          <w:highlight w:val="none"/>
          <w:lang w:bidi="ar"/>
        </w:rPr>
        <w:t>。</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（一）供应商季度评价积分低于70分（不含70）的（按照各季度积分的扣减及加分情况汇总）。</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（二）累计不报价或不接轮单达到5次（含）的（不报价与不接轮单次数累加计算）。</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（三）违反廉政纪律的。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（四）隐瞒真相私自转包项目的。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（五）验收不通过，收到返工整改要求后拒不整改或返工整改后仍达不到要求的。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（六）收到3次（含）以上整改通知的。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 xml:space="preserve">（七）采取不正当手段诋毁、排挤其他供应商的。 </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（八）与本公司、其他供应商恶意串通的。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（九）在检查中发现违规行为严重损害本公司利益或形象的。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（十）收到投诉且被投诉事项情节严重的。</w:t>
      </w:r>
    </w:p>
    <w:p>
      <w:pPr>
        <w:numPr>
          <w:ilvl w:val="255"/>
          <w:numId w:val="0"/>
        </w:num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s="Times New Roman"/>
          <w:color w:val="auto"/>
          <w:sz w:val="22"/>
          <w:szCs w:val="22"/>
          <w:highlight w:val="none"/>
        </w:rPr>
        <w:t>（十一）拒绝有关部门监督检查或者提供虚假情况的。</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在库供应商接收公司采购任务连续5次评价考核中没有发生扣分的，公司确认后予以通报表扬，并给予该供应商在通报表扬时间之后下一次轮单时，多一次轮单任务承接的奖励（即连续派2单给该供应商）。已作为奖励计算依据的接单记录不作为下一次奖励评价的依据。</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供应商针对管网公司的实际情况，组织相关作业、安全、质量等相关培训。邀请管网公司相关人员以及其他供应商参加，管网公司参与人员对培训内容进行打分，汇总后平均分数达80分以上的，并公司确认后予以通报表扬，并给予该供应商3分的当季度考评加分奖励。</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当本供应商库在库供应商的数量少于15家且候选供应商家数不为0的情况下，在库供应商每少1家，按顺序，将排名在前的1家候选供应商转为在库供应商。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本供应商库在库供应商每少一家，经公司招标采购领导小组审议通过后，公司发出《候选供应商转为在库供应商的通知书》（详见附件5），明确通知发出日起由候选供应商转为在库供应商。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公司将根据供应商管理库动态管理原则，定期更新供应商库名单及相关事项。</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hint="eastAsia" w:ascii="Times New Roman" w:hAnsi="Times New Roman" w:eastAsia="仿宋_GB2312" w:cs="Times New Roman"/>
          <w:color w:val="auto"/>
          <w:sz w:val="22"/>
          <w:szCs w:val="22"/>
          <w:highlight w:val="none"/>
          <w:lang w:bidi="ar"/>
        </w:rPr>
        <w:t>当机电设备维修在库供应商数量少于或等于8家，且无候选供应商时，公司重新启动机电设备维修供应商库征集工作。</w:t>
      </w:r>
    </w:p>
    <w:p>
      <w:pPr>
        <w:widowControl/>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申诉</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供应商对于本公司的</w:t>
      </w:r>
      <w:r>
        <w:rPr>
          <w:rFonts w:hint="eastAsia" w:ascii="Times New Roman" w:hAnsi="Times New Roman" w:eastAsia="仿宋_GB2312" w:cs="Times New Roman"/>
          <w:color w:val="auto"/>
          <w:sz w:val="22"/>
          <w:szCs w:val="22"/>
          <w:highlight w:val="none"/>
          <w:lang w:bidi="ar"/>
        </w:rPr>
        <w:t>处罚</w:t>
      </w:r>
      <w:r>
        <w:rPr>
          <w:rFonts w:ascii="Times New Roman" w:hAnsi="Times New Roman" w:eastAsia="仿宋_GB2312" w:cs="Times New Roman"/>
          <w:color w:val="auto"/>
          <w:sz w:val="22"/>
          <w:szCs w:val="22"/>
          <w:highlight w:val="none"/>
          <w:lang w:bidi="ar"/>
        </w:rPr>
        <w:t>或者处理有异议的，可在收到本公司处理通知3个工作日内，向本公司合同管理部提交申诉函，公司将于10个工作日内予以书面回复。</w:t>
      </w:r>
    </w:p>
    <w:p>
      <w:pPr>
        <w:widowControl/>
        <w:numPr>
          <w:ilvl w:val="255"/>
          <w:numId w:val="0"/>
        </w:numPr>
        <w:tabs>
          <w:tab w:val="left" w:pos="0"/>
        </w:tabs>
        <w:adjustRightInd w:val="0"/>
        <w:snapToGrid w:val="0"/>
        <w:spacing w:line="600" w:lineRule="atLeast"/>
        <w:jc w:val="left"/>
        <w:rPr>
          <w:rFonts w:ascii="Times New Roman" w:hAnsi="Times New Roman" w:eastAsia="仿宋_GB2312" w:cs="Times New Roman"/>
          <w:color w:val="auto"/>
          <w:sz w:val="22"/>
          <w:szCs w:val="22"/>
          <w:highlight w:val="none"/>
        </w:rPr>
      </w:pPr>
    </w:p>
    <w:p>
      <w:pPr>
        <w:numPr>
          <w:ilvl w:val="0"/>
          <w:numId w:val="11"/>
        </w:numPr>
        <w:adjustRightInd w:val="0"/>
        <w:snapToGrid w:val="0"/>
        <w:spacing w:line="600" w:lineRule="atLeas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附则</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根据实际情况，公司有权对本办法进行修订，以及出台配套管理制度进一步细化规范供应商库管理。</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本办法由公司招标采购领导小组负责解释。</w:t>
      </w:r>
    </w:p>
    <w:p>
      <w:pPr>
        <w:widowControl/>
        <w:numPr>
          <w:ilvl w:val="0"/>
          <w:numId w:val="14"/>
        </w:numPr>
        <w:tabs>
          <w:tab w:val="left" w:pos="0"/>
        </w:tabs>
        <w:adjustRightInd w:val="0"/>
        <w:snapToGrid w:val="0"/>
        <w:spacing w:line="600" w:lineRule="atLeast"/>
        <w:ind w:firstLine="440" w:firstLineChars="200"/>
        <w:jc w:val="left"/>
        <w:rPr>
          <w:rFonts w:ascii="Times New Roman" w:hAnsi="Times New Roman" w:eastAsia="仿宋_GB2312" w:cs="Times New Roman"/>
          <w:color w:val="auto"/>
          <w:sz w:val="22"/>
          <w:szCs w:val="22"/>
          <w:highlight w:val="none"/>
          <w:lang w:bidi="ar"/>
        </w:rPr>
      </w:pPr>
      <w:r>
        <w:rPr>
          <w:rFonts w:ascii="Times New Roman" w:hAnsi="Times New Roman" w:eastAsia="仿宋_GB2312" w:cs="Times New Roman"/>
          <w:color w:val="auto"/>
          <w:sz w:val="22"/>
          <w:szCs w:val="22"/>
          <w:highlight w:val="none"/>
          <w:lang w:bidi="ar"/>
        </w:rPr>
        <w:t xml:space="preserve">本办法自印发之日起施行，试行一年。  </w:t>
      </w:r>
    </w:p>
    <w:p>
      <w:pPr>
        <w:tabs>
          <w:tab w:val="left" w:pos="0"/>
        </w:tabs>
        <w:adjustRightInd w:val="0"/>
        <w:snapToGrid w:val="0"/>
        <w:spacing w:line="600" w:lineRule="atLeast"/>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附件：1</w:t>
      </w:r>
      <w:r>
        <w:rPr>
          <w:rFonts w:hint="eastAsia" w:ascii="Times New Roman" w:hAnsi="Times New Roman" w:eastAsia="仿宋_GB2312" w:cs="Times New Roman"/>
          <w:color w:val="auto"/>
          <w:kern w:val="0"/>
          <w:sz w:val="22"/>
          <w:szCs w:val="22"/>
          <w:highlight w:val="none"/>
          <w:shd w:val="clear" w:color="auto" w:fill="FFFFFF"/>
        </w:rPr>
        <w:t>．</w:t>
      </w:r>
      <w:r>
        <w:rPr>
          <w:rFonts w:hint="eastAsia" w:ascii="Times New Roman" w:hAnsi="Times New Roman" w:eastAsia="仿宋_GB2312" w:cs="Times New Roman"/>
          <w:color w:val="auto"/>
          <w:sz w:val="22"/>
          <w:szCs w:val="22"/>
          <w:highlight w:val="none"/>
        </w:rPr>
        <w:t>机电设备维修</w:t>
      </w:r>
      <w:r>
        <w:rPr>
          <w:rFonts w:ascii="Times New Roman" w:hAnsi="Times New Roman" w:eastAsia="仿宋_GB2312" w:cs="Times New Roman"/>
          <w:color w:val="auto"/>
          <w:sz w:val="22"/>
          <w:szCs w:val="22"/>
          <w:highlight w:val="none"/>
        </w:rPr>
        <w:t>供应商单项工程综合评分表</w:t>
      </w:r>
    </w:p>
    <w:p>
      <w:pPr>
        <w:numPr>
          <w:ilvl w:val="0"/>
          <w:numId w:val="16"/>
        </w:numPr>
        <w:spacing w:line="600" w:lineRule="exact"/>
        <w:ind w:left="1929" w:leftChars="504" w:hanging="871" w:hangingChars="396"/>
        <w:rPr>
          <w:rFonts w:ascii="Times New Roman" w:hAnsi="Times New Roman" w:eastAsia="仿宋_GB2312" w:cs="仿宋_GB2312"/>
          <w:bCs/>
          <w:color w:val="auto"/>
          <w:kern w:val="0"/>
          <w:sz w:val="22"/>
          <w:szCs w:val="22"/>
          <w:highlight w:val="none"/>
        </w:rPr>
      </w:pPr>
      <w:r>
        <w:rPr>
          <w:rFonts w:hint="eastAsia" w:ascii="Times New Roman" w:hAnsi="Times New Roman" w:eastAsia="仿宋_GB2312" w:cs="Times New Roman"/>
          <w:color w:val="auto"/>
          <w:sz w:val="22"/>
          <w:szCs w:val="22"/>
          <w:highlight w:val="none"/>
          <w:lang w:bidi="ar"/>
        </w:rPr>
        <w:t>东莞市水务集团管网有限公司相关方安全考核细则（试行）</w:t>
      </w:r>
    </w:p>
    <w:p>
      <w:pPr>
        <w:numPr>
          <w:ilvl w:val="0"/>
          <w:numId w:val="16"/>
        </w:numPr>
        <w:spacing w:line="600" w:lineRule="exact"/>
        <w:ind w:left="1929" w:leftChars="504" w:hanging="871" w:hangingChars="396"/>
        <w:rPr>
          <w:rFonts w:ascii="Times New Roman" w:hAnsi="Times New Roman" w:eastAsia="仿宋_GB2312" w:cs="Times New Roman"/>
          <w:color w:val="auto"/>
          <w:sz w:val="22"/>
          <w:szCs w:val="22"/>
          <w:highlight w:val="none"/>
          <w:lang w:bidi="ar"/>
        </w:rPr>
      </w:pPr>
      <w:r>
        <w:rPr>
          <w:rFonts w:hint="eastAsia" w:ascii="Times New Roman" w:hAnsi="Times New Roman" w:eastAsia="仿宋_GB2312" w:cs="Times New Roman"/>
          <w:color w:val="auto"/>
          <w:sz w:val="22"/>
          <w:szCs w:val="22"/>
          <w:highlight w:val="none"/>
          <w:lang w:bidi="ar"/>
        </w:rPr>
        <w:t>机电设备维修供应商季度考核等级评价表</w:t>
      </w:r>
    </w:p>
    <w:p>
      <w:pPr>
        <w:numPr>
          <w:ilvl w:val="0"/>
          <w:numId w:val="16"/>
        </w:numPr>
        <w:spacing w:line="600" w:lineRule="exact"/>
        <w:ind w:left="1929" w:leftChars="504" w:hanging="871" w:hangingChars="396"/>
        <w:rPr>
          <w:rFonts w:ascii="Times New Roman" w:hAnsi="Times New Roman" w:eastAsia="仿宋_GB2312" w:cs="Times New Roman"/>
          <w:color w:val="auto"/>
          <w:sz w:val="22"/>
          <w:szCs w:val="22"/>
          <w:highlight w:val="none"/>
          <w:lang w:bidi="ar"/>
        </w:rPr>
      </w:pPr>
      <w:r>
        <w:rPr>
          <w:rFonts w:hint="eastAsia" w:ascii="Times New Roman" w:hAnsi="Times New Roman" w:eastAsia="仿宋_GB2312" w:cs="Times New Roman"/>
          <w:color w:val="auto"/>
          <w:sz w:val="22"/>
          <w:szCs w:val="22"/>
          <w:highlight w:val="none"/>
          <w:lang w:bidi="ar"/>
        </w:rPr>
        <w:t>在库供应商转为候选供应商的通知书</w:t>
      </w:r>
    </w:p>
    <w:p>
      <w:pPr>
        <w:numPr>
          <w:ilvl w:val="0"/>
          <w:numId w:val="16"/>
        </w:numPr>
        <w:spacing w:line="600" w:lineRule="exact"/>
        <w:ind w:left="1929" w:leftChars="504" w:hanging="871" w:hangingChars="396"/>
        <w:rPr>
          <w:rFonts w:ascii="Times New Roman" w:hAnsi="Times New Roman" w:eastAsia="仿宋_GB2312" w:cs="Times New Roman"/>
          <w:color w:val="auto"/>
          <w:sz w:val="22"/>
          <w:szCs w:val="22"/>
          <w:highlight w:val="none"/>
          <w:lang w:bidi="ar"/>
        </w:rPr>
      </w:pPr>
      <w:r>
        <w:rPr>
          <w:rFonts w:hint="eastAsia" w:ascii="Times New Roman" w:hAnsi="Times New Roman" w:eastAsia="仿宋_GB2312" w:cs="Times New Roman"/>
          <w:color w:val="auto"/>
          <w:sz w:val="22"/>
          <w:szCs w:val="22"/>
          <w:highlight w:val="none"/>
          <w:lang w:bidi="ar"/>
        </w:rPr>
        <w:t>候选供应商转为在库供应商的通知书</w:t>
      </w:r>
    </w:p>
    <w:p>
      <w:pPr>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br w:type="page"/>
      </w:r>
    </w:p>
    <w:tbl>
      <w:tblPr>
        <w:tblStyle w:val="47"/>
        <w:tblW w:w="5000" w:type="pct"/>
        <w:tblInd w:w="0" w:type="dxa"/>
        <w:tblLayout w:type="autofit"/>
        <w:tblCellMar>
          <w:top w:w="0" w:type="dxa"/>
          <w:left w:w="108" w:type="dxa"/>
          <w:bottom w:w="0" w:type="dxa"/>
          <w:right w:w="108" w:type="dxa"/>
        </w:tblCellMar>
      </w:tblPr>
      <w:tblGrid>
        <w:gridCol w:w="639"/>
        <w:gridCol w:w="639"/>
        <w:gridCol w:w="2537"/>
        <w:gridCol w:w="1609"/>
        <w:gridCol w:w="1801"/>
        <w:gridCol w:w="1836"/>
      </w:tblGrid>
      <w:tr>
        <w:tblPrEx>
          <w:tblCellMar>
            <w:top w:w="0" w:type="dxa"/>
            <w:left w:w="108" w:type="dxa"/>
            <w:bottom w:w="0" w:type="dxa"/>
            <w:right w:w="108" w:type="dxa"/>
          </w:tblCellMar>
        </w:tblPrEx>
        <w:trPr>
          <w:trHeight w:val="285" w:hRule="atLeast"/>
        </w:trPr>
        <w:tc>
          <w:tcPr>
            <w:tcW w:w="2980" w:type="pct"/>
            <w:gridSpan w:val="4"/>
            <w:tcBorders>
              <w:top w:val="nil"/>
              <w:left w:val="nil"/>
              <w:bottom w:val="nil"/>
              <w:right w:val="nil"/>
            </w:tcBorders>
            <w:shd w:val="clear" w:color="auto" w:fill="auto"/>
            <w:noWrap/>
            <w:vAlign w:val="center"/>
          </w:tcPr>
          <w:p>
            <w:pPr>
              <w:rPr>
                <w:rFonts w:ascii="宋体" w:hAnsi="宋体" w:eastAsia="宋体" w:cs="宋体"/>
                <w:color w:val="auto"/>
                <w:sz w:val="18"/>
                <w:szCs w:val="18"/>
                <w:highlight w:val="none"/>
              </w:rPr>
            </w:pPr>
            <w:r>
              <w:rPr>
                <w:rFonts w:hint="eastAsia" w:ascii="黑体" w:hAnsi="宋体" w:eastAsia="黑体" w:cs="黑体"/>
                <w:color w:val="auto"/>
                <w:kern w:val="0"/>
                <w:sz w:val="18"/>
                <w:szCs w:val="18"/>
                <w:highlight w:val="none"/>
                <w:lang w:bidi="ar"/>
              </w:rPr>
              <w:t>附件1</w:t>
            </w:r>
          </w:p>
        </w:tc>
        <w:tc>
          <w:tcPr>
            <w:tcW w:w="999" w:type="pct"/>
            <w:tcBorders>
              <w:top w:val="nil"/>
              <w:left w:val="nil"/>
              <w:bottom w:val="nil"/>
              <w:right w:val="nil"/>
            </w:tcBorders>
            <w:shd w:val="clear" w:color="auto" w:fill="auto"/>
            <w:noWrap/>
            <w:vAlign w:val="center"/>
          </w:tcPr>
          <w:p>
            <w:pPr>
              <w:rPr>
                <w:rFonts w:ascii="宋体" w:hAnsi="宋体" w:eastAsia="宋体" w:cs="宋体"/>
                <w:color w:val="auto"/>
                <w:sz w:val="18"/>
                <w:szCs w:val="18"/>
                <w:highlight w:val="none"/>
              </w:rPr>
            </w:pPr>
          </w:p>
        </w:tc>
        <w:tc>
          <w:tcPr>
            <w:tcW w:w="1019" w:type="pct"/>
            <w:tcBorders>
              <w:top w:val="nil"/>
              <w:left w:val="nil"/>
              <w:bottom w:val="nil"/>
              <w:right w:val="nil"/>
            </w:tcBorders>
            <w:shd w:val="clear" w:color="auto" w:fill="auto"/>
            <w:noWrap/>
            <w:vAlign w:val="center"/>
          </w:tcPr>
          <w:p>
            <w:pP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570" w:hRule="atLeast"/>
        </w:trPr>
        <w:tc>
          <w:tcPr>
            <w:tcW w:w="5000" w:type="pct"/>
            <w:gridSpan w:val="6"/>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kern w:val="0"/>
                <w:sz w:val="28"/>
                <w:szCs w:val="28"/>
                <w:highlight w:val="none"/>
                <w:lang w:bidi="ar"/>
              </w:rPr>
              <w:t>机电设备维修供应商单项维修项目评分表</w:t>
            </w:r>
          </w:p>
        </w:tc>
      </w:tr>
      <w:tr>
        <w:tblPrEx>
          <w:tblCellMar>
            <w:top w:w="0" w:type="dxa"/>
            <w:left w:w="108" w:type="dxa"/>
            <w:bottom w:w="0" w:type="dxa"/>
            <w:right w:w="108" w:type="dxa"/>
          </w:tblCellMar>
        </w:tblPrEx>
        <w:trPr>
          <w:trHeight w:val="520" w:hRule="atLeast"/>
        </w:trPr>
        <w:tc>
          <w:tcPr>
            <w:tcW w:w="5000" w:type="pct"/>
            <w:gridSpan w:val="6"/>
            <w:tcBorders>
              <w:top w:val="nil"/>
              <w:left w:val="nil"/>
              <w:bottom w:val="nil"/>
              <w:right w:val="nil"/>
            </w:tcBorders>
            <w:shd w:val="clear" w:color="auto" w:fill="auto"/>
            <w:noWrap/>
            <w:vAlign w:val="center"/>
          </w:tcPr>
          <w:p>
            <w:pPr>
              <w:widowControl/>
              <w:jc w:val="left"/>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  </w:t>
            </w:r>
            <w:r>
              <w:rPr>
                <w:rStyle w:val="295"/>
                <w:rFonts w:hAnsi="Times New Roman"/>
                <w:color w:val="auto"/>
                <w:sz w:val="18"/>
                <w:szCs w:val="18"/>
                <w:highlight w:val="none"/>
                <w:lang w:bidi="ar"/>
              </w:rPr>
              <w:t>项目名称：</w:t>
            </w:r>
            <w:r>
              <w:rPr>
                <w:rFonts w:ascii="Times New Roman" w:hAnsi="Times New Roman" w:eastAsia="宋体" w:cs="Times New Roman"/>
                <w:color w:val="auto"/>
                <w:kern w:val="0"/>
                <w:sz w:val="18"/>
                <w:szCs w:val="18"/>
                <w:highlight w:val="none"/>
                <w:lang w:bidi="ar"/>
              </w:rPr>
              <w:t xml:space="preserve">                                     </w:t>
            </w:r>
            <w:r>
              <w:rPr>
                <w:rStyle w:val="295"/>
                <w:rFonts w:hAnsi="Times New Roman"/>
                <w:color w:val="auto"/>
                <w:sz w:val="18"/>
                <w:szCs w:val="18"/>
                <w:highlight w:val="none"/>
                <w:lang w:bidi="ar"/>
              </w:rPr>
              <w:t>机电设备维修供应商</w:t>
            </w:r>
            <w:r>
              <w:rPr>
                <w:rFonts w:ascii="Times New Roman" w:hAnsi="Times New Roman" w:eastAsia="宋体" w:cs="Times New Roman"/>
                <w:color w:val="auto"/>
                <w:kern w:val="0"/>
                <w:sz w:val="18"/>
                <w:szCs w:val="18"/>
                <w:highlight w:val="none"/>
                <w:lang w:bidi="ar"/>
              </w:rPr>
              <w:t xml:space="preserve">                            </w:t>
            </w:r>
            <w:r>
              <w:rPr>
                <w:rStyle w:val="295"/>
                <w:rFonts w:hAnsi="Times New Roman"/>
                <w:color w:val="auto"/>
                <w:sz w:val="18"/>
                <w:szCs w:val="18"/>
                <w:highlight w:val="none"/>
                <w:lang w:bidi="ar"/>
              </w:rPr>
              <w:t>合同编号：</w:t>
            </w:r>
            <w:r>
              <w:rPr>
                <w:rFonts w:ascii="Times New Roman" w:hAnsi="Times New Roman" w:eastAsia="宋体" w:cs="Times New Roman"/>
                <w:color w:val="auto"/>
                <w:kern w:val="0"/>
                <w:sz w:val="18"/>
                <w:szCs w:val="18"/>
                <w:highlight w:val="none"/>
                <w:lang w:bidi="ar"/>
              </w:rPr>
              <w:t xml:space="preserve">                  </w:t>
            </w:r>
            <w:r>
              <w:rPr>
                <w:rStyle w:val="295"/>
                <w:rFonts w:hAnsi="Times New Roman"/>
                <w:color w:val="auto"/>
                <w:sz w:val="18"/>
                <w:szCs w:val="18"/>
                <w:highlight w:val="none"/>
                <w:lang w:bidi="ar"/>
              </w:rPr>
              <w:t>时间：</w:t>
            </w:r>
            <w:r>
              <w:rPr>
                <w:rFonts w:ascii="Times New Roman" w:hAnsi="Times New Roman" w:eastAsia="宋体" w:cs="Times New Roman"/>
                <w:color w:val="auto"/>
                <w:kern w:val="0"/>
                <w:sz w:val="18"/>
                <w:szCs w:val="18"/>
                <w:highlight w:val="none"/>
                <w:lang w:bidi="ar"/>
              </w:rPr>
              <w:t xml:space="preserve">        </w:t>
            </w:r>
          </w:p>
        </w:tc>
      </w:tr>
      <w:tr>
        <w:tblPrEx>
          <w:tblCellMar>
            <w:top w:w="0" w:type="dxa"/>
            <w:left w:w="108" w:type="dxa"/>
            <w:bottom w:w="0" w:type="dxa"/>
            <w:right w:w="108" w:type="dxa"/>
          </w:tblCellMar>
        </w:tblPrEx>
        <w:trPr>
          <w:trHeight w:val="60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考核项目</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扣分上限</w:t>
            </w:r>
          </w:p>
        </w:tc>
        <w:tc>
          <w:tcPr>
            <w:tcW w:w="1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评分标准（免责条件:非维修单位原因所致的）</w:t>
            </w:r>
          </w:p>
        </w:tc>
        <w:tc>
          <w:tcPr>
            <w:tcW w:w="8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分公司设备工作部评分及备注扣分原由、依据</w:t>
            </w:r>
          </w:p>
        </w:tc>
        <w:tc>
          <w:tcPr>
            <w:tcW w:w="9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设备管理部评分及备注扣分原由、依据</w:t>
            </w: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派单部门评分及备注扣分原由、依据</w:t>
            </w:r>
          </w:p>
        </w:tc>
      </w:tr>
      <w:tr>
        <w:tblPrEx>
          <w:tblCellMar>
            <w:top w:w="0" w:type="dxa"/>
            <w:left w:w="108" w:type="dxa"/>
            <w:bottom w:w="0" w:type="dxa"/>
            <w:right w:w="108" w:type="dxa"/>
          </w:tblCellMar>
        </w:tblPrEx>
        <w:trPr>
          <w:trHeight w:val="312"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c>
          <w:tcPr>
            <w:tcW w:w="1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highlight w:val="none"/>
              </w:rPr>
            </w:pPr>
          </w:p>
        </w:tc>
      </w:tr>
      <w:tr>
        <w:tblPrEx>
          <w:tblCellMar>
            <w:top w:w="0" w:type="dxa"/>
            <w:left w:w="108" w:type="dxa"/>
            <w:bottom w:w="0" w:type="dxa"/>
            <w:right w:w="108" w:type="dxa"/>
          </w:tblCellMar>
        </w:tblPrEx>
        <w:trPr>
          <w:trHeight w:val="72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15"/>
                <w:szCs w:val="15"/>
                <w:highlight w:val="none"/>
              </w:rPr>
            </w:pPr>
            <w:r>
              <w:rPr>
                <w:rFonts w:hint="eastAsia" w:ascii="仿宋_GB2312" w:hAnsi="宋体" w:eastAsia="仿宋_GB2312" w:cs="仿宋_GB2312"/>
                <w:color w:val="auto"/>
                <w:kern w:val="0"/>
                <w:sz w:val="15"/>
                <w:szCs w:val="15"/>
                <w:highlight w:val="none"/>
                <w:lang w:bidi="ar"/>
              </w:rPr>
              <w:t>一、维修施工响应</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15</w:t>
            </w: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1. </w:t>
            </w:r>
            <w:r>
              <w:rPr>
                <w:rStyle w:val="295"/>
                <w:rFonts w:hAnsi="Times New Roman"/>
                <w:color w:val="auto"/>
                <w:sz w:val="18"/>
                <w:szCs w:val="18"/>
                <w:highlight w:val="none"/>
                <w:lang w:bidi="ar"/>
              </w:rPr>
              <w:t>没有按合同要求或施工方案要求配齐相应技术、管理、施工人员的，每次扣</w:t>
            </w:r>
            <w:r>
              <w:rPr>
                <w:rFonts w:ascii="Times New Roman" w:hAnsi="Times New Roman" w:eastAsia="宋体" w:cs="Times New Roman"/>
                <w:color w:val="auto"/>
                <w:kern w:val="0"/>
                <w:sz w:val="18"/>
                <w:szCs w:val="18"/>
                <w:highlight w:val="none"/>
                <w:lang w:bidi="ar"/>
              </w:rPr>
              <w:t>2</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04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5"/>
                <w:szCs w:val="15"/>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2. </w:t>
            </w:r>
            <w:r>
              <w:rPr>
                <w:rFonts w:hint="eastAsia" w:ascii="仿宋_GB2312" w:hAnsi="Times New Roman" w:eastAsia="仿宋_GB2312" w:cs="仿宋_GB2312"/>
                <w:color w:val="auto"/>
                <w:kern w:val="0"/>
                <w:sz w:val="18"/>
                <w:szCs w:val="18"/>
                <w:highlight w:val="none"/>
                <w:lang w:bidi="ar"/>
              </w:rPr>
              <w:t>未发生不可抗力的情况下，维修单位原因造成没有在规定时间内完成服务内容或没有在规定时间内复工整改的，每次扣</w:t>
            </w:r>
            <w:r>
              <w:rPr>
                <w:rFonts w:ascii="Times New Roman" w:hAnsi="Times New Roman" w:eastAsia="宋体" w:cs="Times New Roman"/>
                <w:color w:val="auto"/>
                <w:kern w:val="0"/>
                <w:sz w:val="18"/>
                <w:szCs w:val="18"/>
                <w:highlight w:val="none"/>
                <w:lang w:bidi="ar"/>
              </w:rPr>
              <w:t>3</w:t>
            </w:r>
            <w:r>
              <w:rPr>
                <w:rFonts w:hint="eastAsia" w:ascii="仿宋_GB2312" w:hAnsi="Times New Roman" w:eastAsia="仿宋_GB2312" w:cs="仿宋_GB2312"/>
                <w:color w:val="auto"/>
                <w:kern w:val="0"/>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04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5"/>
                <w:szCs w:val="15"/>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_GB2312" w:hAnsi="宋体" w:eastAsia="仿宋_GB2312" w:cs="仿宋_GB2312"/>
                <w:color w:val="auto"/>
                <w:sz w:val="18"/>
                <w:szCs w:val="18"/>
                <w:highlight w:val="none"/>
              </w:rPr>
            </w:pPr>
            <w:r>
              <w:rPr>
                <w:rFonts w:hint="eastAsia" w:ascii="仿宋_GB2312" w:hAnsi="宋体" w:eastAsia="仿宋_GB2312" w:cs="仿宋_GB2312"/>
                <w:color w:val="auto"/>
                <w:kern w:val="0"/>
                <w:sz w:val="18"/>
                <w:szCs w:val="18"/>
                <w:highlight w:val="none"/>
                <w:lang w:bidi="ar"/>
              </w:rPr>
              <w:t>3.业务履行中发生的争议，接通知后，没有按通知时间或不按约定时间到场协商解决的，不主动提供真实情况，每次扣3分</w:t>
            </w:r>
            <w:r>
              <w:rPr>
                <w:rFonts w:hint="eastAsia" w:ascii="宋体" w:hAnsi="宋体" w:eastAsia="宋体" w:cs="宋体"/>
                <w:color w:val="auto"/>
                <w:kern w:val="0"/>
                <w:sz w:val="18"/>
                <w:szCs w:val="18"/>
                <w:highlight w:val="none"/>
                <w:lang w:bidi="ar"/>
              </w:rPr>
              <w:t>。</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10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5"/>
                <w:szCs w:val="15"/>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4.</w:t>
            </w:r>
            <w:r>
              <w:rPr>
                <w:rFonts w:hint="eastAsia" w:ascii="仿宋_GB2312" w:hAnsi="Times New Roman" w:eastAsia="仿宋_GB2312" w:cs="仿宋_GB2312"/>
                <w:color w:val="auto"/>
                <w:kern w:val="0"/>
                <w:sz w:val="18"/>
                <w:szCs w:val="18"/>
                <w:highlight w:val="none"/>
                <w:lang w:bidi="ar"/>
              </w:rPr>
              <w:t>没有按维修计划约定时间内进驻现场或没有制定维修计划或没有按照《进度计划》进行施工的，每个进度节点延期一次扣</w:t>
            </w:r>
            <w:r>
              <w:rPr>
                <w:rFonts w:ascii="Times New Roman" w:hAnsi="Times New Roman" w:eastAsia="宋体" w:cs="Times New Roman"/>
                <w:color w:val="auto"/>
                <w:kern w:val="0"/>
                <w:sz w:val="18"/>
                <w:szCs w:val="18"/>
                <w:highlight w:val="none"/>
                <w:lang w:bidi="ar"/>
              </w:rPr>
              <w:t>2</w:t>
            </w:r>
            <w:r>
              <w:rPr>
                <w:rFonts w:hint="eastAsia" w:ascii="仿宋_GB2312" w:hAnsi="Times New Roman" w:eastAsia="仿宋_GB2312" w:cs="仿宋_GB2312"/>
                <w:color w:val="auto"/>
                <w:kern w:val="0"/>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90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18"/>
                <w:szCs w:val="18"/>
                <w:highlight w:val="none"/>
              </w:rPr>
            </w:pPr>
            <w:r>
              <w:rPr>
                <w:rFonts w:hint="eastAsia" w:ascii="仿宋_GB2312" w:hAnsi="宋体" w:eastAsia="仿宋_GB2312" w:cs="仿宋_GB2312"/>
                <w:color w:val="auto"/>
                <w:kern w:val="0"/>
                <w:sz w:val="18"/>
                <w:szCs w:val="18"/>
                <w:highlight w:val="none"/>
                <w:lang w:bidi="ar"/>
              </w:rPr>
              <w:t>二、服务质量</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21</w:t>
            </w: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1.</w:t>
            </w:r>
            <w:r>
              <w:rPr>
                <w:rStyle w:val="295"/>
                <w:rFonts w:hAnsi="Times New Roman"/>
                <w:color w:val="auto"/>
                <w:sz w:val="18"/>
                <w:szCs w:val="18"/>
                <w:highlight w:val="none"/>
                <w:lang w:bidi="ar"/>
              </w:rPr>
              <w:t>质保期内，接通知后，不按通知限定时间内来现场处理质保范围内故障问题的，每次扣</w:t>
            </w:r>
            <w:r>
              <w:rPr>
                <w:rFonts w:ascii="Times New Roman" w:hAnsi="Times New Roman" w:eastAsia="宋体" w:cs="Times New Roman"/>
                <w:color w:val="auto"/>
                <w:kern w:val="0"/>
                <w:sz w:val="18"/>
                <w:szCs w:val="18"/>
                <w:highlight w:val="none"/>
                <w:lang w:bidi="ar"/>
              </w:rPr>
              <w:t>6</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90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2.</w:t>
            </w:r>
            <w:r>
              <w:rPr>
                <w:rStyle w:val="295"/>
                <w:rFonts w:hAnsi="Times New Roman"/>
                <w:color w:val="auto"/>
                <w:sz w:val="18"/>
                <w:szCs w:val="18"/>
                <w:highlight w:val="none"/>
                <w:lang w:bidi="ar"/>
              </w:rPr>
              <w:t>维修记录留痕资料缺失或不准确的，扣</w:t>
            </w:r>
            <w:r>
              <w:rPr>
                <w:rFonts w:ascii="Times New Roman" w:hAnsi="Times New Roman" w:eastAsia="宋体" w:cs="Times New Roman"/>
                <w:color w:val="auto"/>
                <w:kern w:val="0"/>
                <w:sz w:val="18"/>
                <w:szCs w:val="18"/>
                <w:highlight w:val="none"/>
                <w:lang w:bidi="ar"/>
              </w:rPr>
              <w:t>3</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63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3. </w:t>
            </w:r>
            <w:r>
              <w:rPr>
                <w:rFonts w:hint="eastAsia" w:ascii="仿宋_GB2312" w:hAnsi="Times New Roman" w:eastAsia="仿宋_GB2312" w:cs="仿宋_GB2312"/>
                <w:color w:val="auto"/>
                <w:kern w:val="0"/>
                <w:sz w:val="18"/>
                <w:szCs w:val="18"/>
                <w:highlight w:val="none"/>
                <w:lang w:bidi="ar"/>
              </w:rPr>
              <w:t>项目施工期间内因供应商原因造成工程延期的，每次扣</w:t>
            </w:r>
            <w:r>
              <w:rPr>
                <w:rFonts w:ascii="Times New Roman" w:hAnsi="Times New Roman" w:eastAsia="宋体" w:cs="Times New Roman"/>
                <w:color w:val="auto"/>
                <w:kern w:val="0"/>
                <w:sz w:val="18"/>
                <w:szCs w:val="18"/>
                <w:highlight w:val="none"/>
                <w:lang w:bidi="ar"/>
              </w:rPr>
              <w:t>3</w:t>
            </w:r>
            <w:r>
              <w:rPr>
                <w:rFonts w:hint="eastAsia" w:ascii="仿宋_GB2312" w:hAnsi="Times New Roman" w:eastAsia="仿宋_GB2312" w:cs="仿宋_GB2312"/>
                <w:color w:val="auto"/>
                <w:kern w:val="0"/>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88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三、安全管理</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18</w:t>
            </w: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1. </w:t>
            </w:r>
            <w:r>
              <w:rPr>
                <w:rStyle w:val="295"/>
                <w:rFonts w:hAnsi="Times New Roman"/>
                <w:color w:val="auto"/>
                <w:sz w:val="18"/>
                <w:szCs w:val="18"/>
                <w:highlight w:val="none"/>
                <w:lang w:bidi="ar"/>
              </w:rPr>
              <w:t>安排的作业人员没有持证上岗的，每次扣</w:t>
            </w:r>
            <w:r>
              <w:rPr>
                <w:rFonts w:ascii="Times New Roman" w:hAnsi="Times New Roman" w:eastAsia="宋体" w:cs="Times New Roman"/>
                <w:color w:val="auto"/>
                <w:kern w:val="0"/>
                <w:sz w:val="18"/>
                <w:szCs w:val="18"/>
                <w:highlight w:val="none"/>
                <w:lang w:bidi="ar"/>
              </w:rPr>
              <w:t>2</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86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2. </w:t>
            </w:r>
            <w:r>
              <w:rPr>
                <w:rStyle w:val="295"/>
                <w:rFonts w:hAnsi="Times New Roman"/>
                <w:color w:val="auto"/>
                <w:sz w:val="18"/>
                <w:szCs w:val="18"/>
                <w:highlight w:val="none"/>
                <w:lang w:bidi="ar"/>
              </w:rPr>
              <w:t>没有按本公司要求进行安全防护、文明施工的，每次扣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06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3.</w:t>
            </w:r>
            <w:r>
              <w:rPr>
                <w:rStyle w:val="296"/>
                <w:rFonts w:hint="default"/>
                <w:color w:val="auto"/>
                <w:sz w:val="18"/>
                <w:szCs w:val="18"/>
                <w:highlight w:val="none"/>
                <w:lang w:bidi="ar"/>
              </w:rPr>
              <w:t>按照《东莞市水务集团管网有限公司相关方安全考核细则（试行）》，供应商每承担</w:t>
            </w:r>
            <w:r>
              <w:rPr>
                <w:rFonts w:ascii="Times New Roman" w:hAnsi="Times New Roman" w:eastAsia="宋体" w:cs="Times New Roman"/>
                <w:color w:val="auto"/>
                <w:kern w:val="0"/>
                <w:sz w:val="18"/>
                <w:szCs w:val="18"/>
                <w:highlight w:val="none"/>
                <w:lang w:bidi="ar"/>
              </w:rPr>
              <w:t>500</w:t>
            </w:r>
            <w:r>
              <w:rPr>
                <w:rStyle w:val="296"/>
                <w:rFonts w:hint="default"/>
                <w:color w:val="auto"/>
                <w:sz w:val="18"/>
                <w:szCs w:val="18"/>
                <w:highlight w:val="none"/>
                <w:lang w:bidi="ar"/>
              </w:rPr>
              <w:t>元违约金，总分扣</w:t>
            </w:r>
            <w:r>
              <w:rPr>
                <w:rFonts w:ascii="Times New Roman" w:hAnsi="Times New Roman" w:eastAsia="宋体" w:cs="Times New Roman"/>
                <w:color w:val="auto"/>
                <w:kern w:val="0"/>
                <w:sz w:val="18"/>
                <w:szCs w:val="18"/>
                <w:highlight w:val="none"/>
                <w:lang w:bidi="ar"/>
              </w:rPr>
              <w:t>1</w:t>
            </w:r>
            <w:r>
              <w:rPr>
                <w:rStyle w:val="296"/>
                <w:rFonts w:hint="default"/>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0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18"/>
                <w:szCs w:val="18"/>
                <w:highlight w:val="none"/>
              </w:rPr>
            </w:pPr>
            <w:r>
              <w:rPr>
                <w:rFonts w:hint="eastAsia" w:ascii="仿宋_GB2312" w:hAnsi="宋体" w:eastAsia="仿宋_GB2312" w:cs="仿宋_GB2312"/>
                <w:color w:val="auto"/>
                <w:kern w:val="0"/>
                <w:sz w:val="18"/>
                <w:szCs w:val="18"/>
                <w:highlight w:val="none"/>
                <w:lang w:bidi="ar"/>
              </w:rPr>
              <w:t>四、质量控制</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36</w:t>
            </w: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1. </w:t>
            </w:r>
            <w:r>
              <w:rPr>
                <w:rStyle w:val="295"/>
                <w:rFonts w:hAnsi="Times New Roman"/>
                <w:color w:val="auto"/>
                <w:sz w:val="18"/>
                <w:szCs w:val="18"/>
                <w:highlight w:val="none"/>
                <w:lang w:bidi="ar"/>
              </w:rPr>
              <w:t>供应商所供的设备</w:t>
            </w:r>
            <w:r>
              <w:rPr>
                <w:rFonts w:ascii="Times New Roman" w:hAnsi="Times New Roman" w:eastAsia="宋体" w:cs="Times New Roman"/>
                <w:color w:val="auto"/>
                <w:kern w:val="0"/>
                <w:sz w:val="18"/>
                <w:szCs w:val="18"/>
                <w:highlight w:val="none"/>
                <w:lang w:bidi="ar"/>
              </w:rPr>
              <w:t>(</w:t>
            </w:r>
            <w:r>
              <w:rPr>
                <w:rStyle w:val="295"/>
                <w:rFonts w:hAnsi="Times New Roman"/>
                <w:color w:val="auto"/>
                <w:sz w:val="18"/>
                <w:szCs w:val="18"/>
                <w:highlight w:val="none"/>
                <w:lang w:bidi="ar"/>
              </w:rPr>
              <w:t>包括但不限于品牌、型号、规格、质量</w:t>
            </w:r>
            <w:r>
              <w:rPr>
                <w:rFonts w:ascii="Times New Roman" w:hAnsi="Times New Roman" w:eastAsia="宋体" w:cs="Times New Roman"/>
                <w:color w:val="auto"/>
                <w:kern w:val="0"/>
                <w:sz w:val="18"/>
                <w:szCs w:val="18"/>
                <w:highlight w:val="none"/>
                <w:lang w:bidi="ar"/>
              </w:rPr>
              <w:t>)</w:t>
            </w:r>
            <w:r>
              <w:rPr>
                <w:rStyle w:val="295"/>
                <w:rFonts w:hAnsi="Times New Roman"/>
                <w:color w:val="auto"/>
                <w:sz w:val="18"/>
                <w:szCs w:val="18"/>
                <w:highlight w:val="none"/>
                <w:lang w:bidi="ar"/>
              </w:rPr>
              <w:t>不符合合同采购技术要求或国家质量标准的，每次扣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0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2.</w:t>
            </w:r>
            <w:r>
              <w:rPr>
                <w:rStyle w:val="295"/>
                <w:rFonts w:hAnsi="Times New Roman"/>
                <w:color w:val="auto"/>
                <w:sz w:val="18"/>
                <w:szCs w:val="18"/>
                <w:highlight w:val="none"/>
                <w:lang w:bidi="ar"/>
              </w:rPr>
              <w:t>检修过程中的问题部位、处理方法、处理结果需要提供记录，没有记录的，每单扣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76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3.</w:t>
            </w:r>
            <w:r>
              <w:rPr>
                <w:rStyle w:val="295"/>
                <w:rFonts w:hAnsi="Times New Roman"/>
                <w:color w:val="auto"/>
                <w:sz w:val="18"/>
                <w:szCs w:val="18"/>
                <w:highlight w:val="none"/>
                <w:lang w:bidi="ar"/>
              </w:rPr>
              <w:t>维修回来的设备，第一次试车因维修质量问题试车不成功的，每次扣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78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4</w:t>
            </w:r>
            <w:r>
              <w:rPr>
                <w:rStyle w:val="295"/>
                <w:rFonts w:hAnsi="Times New Roman"/>
                <w:color w:val="auto"/>
                <w:sz w:val="18"/>
                <w:szCs w:val="18"/>
                <w:highlight w:val="none"/>
                <w:lang w:bidi="ar"/>
              </w:rPr>
              <w:t>、维修回来的设备，验收出现达不到采购技术要求的，每次扣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915"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、潜水泵进行机械密封更换维修后，在</w:t>
            </w:r>
            <w:r>
              <w:rPr>
                <w:rFonts w:ascii="Times New Roman" w:hAnsi="Times New Roman" w:eastAsia="宋体" w:cs="Times New Roman"/>
                <w:color w:val="auto"/>
                <w:kern w:val="0"/>
                <w:sz w:val="18"/>
                <w:szCs w:val="18"/>
                <w:highlight w:val="none"/>
                <w:lang w:bidi="ar"/>
              </w:rPr>
              <w:t>7</w:t>
            </w:r>
            <w:r>
              <w:rPr>
                <w:rStyle w:val="295"/>
                <w:rFonts w:hAnsi="Times New Roman"/>
                <w:color w:val="auto"/>
                <w:sz w:val="18"/>
                <w:szCs w:val="18"/>
                <w:highlight w:val="none"/>
                <w:lang w:bidi="ar"/>
              </w:rPr>
              <w:t>天的试运行期间，对地绝缘电阻与验收时不变，或不低于</w:t>
            </w:r>
            <w:r>
              <w:rPr>
                <w:rFonts w:ascii="Times New Roman" w:hAnsi="Times New Roman" w:eastAsia="宋体" w:cs="Times New Roman"/>
                <w:color w:val="auto"/>
                <w:kern w:val="0"/>
                <w:sz w:val="18"/>
                <w:szCs w:val="18"/>
                <w:highlight w:val="none"/>
                <w:lang w:bidi="ar"/>
              </w:rPr>
              <w:t>200MΩ</w:t>
            </w:r>
            <w:r>
              <w:rPr>
                <w:rStyle w:val="295"/>
                <w:rFonts w:hAnsi="Times New Roman"/>
                <w:color w:val="auto"/>
                <w:sz w:val="18"/>
                <w:szCs w:val="18"/>
                <w:highlight w:val="none"/>
                <w:lang w:bidi="ar"/>
              </w:rPr>
              <w:t>，否则每次扣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63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6.</w:t>
            </w:r>
            <w:r>
              <w:rPr>
                <w:rStyle w:val="295"/>
                <w:rFonts w:hAnsi="Times New Roman"/>
                <w:color w:val="auto"/>
                <w:sz w:val="18"/>
                <w:szCs w:val="18"/>
                <w:highlight w:val="none"/>
                <w:lang w:bidi="ar"/>
              </w:rPr>
              <w:t>维修设备处理好后，返厂时提供试验报告或检验合格报告，没有的，每次扣</w:t>
            </w:r>
            <w:r>
              <w:rPr>
                <w:rFonts w:ascii="Times New Roman" w:hAnsi="Times New Roman" w:eastAsia="宋体" w:cs="Times New Roman"/>
                <w:color w:val="auto"/>
                <w:kern w:val="0"/>
                <w:sz w:val="18"/>
                <w:szCs w:val="18"/>
                <w:highlight w:val="none"/>
                <w:lang w:bidi="ar"/>
              </w:rPr>
              <w:t>3</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92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18"/>
                <w:szCs w:val="18"/>
                <w:highlight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18"/>
                <w:szCs w:val="18"/>
                <w:highlight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7.</w:t>
            </w:r>
            <w:r>
              <w:rPr>
                <w:rStyle w:val="295"/>
                <w:rFonts w:hAnsi="Times New Roman"/>
                <w:color w:val="auto"/>
                <w:sz w:val="18"/>
                <w:szCs w:val="18"/>
                <w:highlight w:val="none"/>
                <w:lang w:bidi="ar"/>
              </w:rPr>
              <w:t>重置的闸门，在通水后，在</w:t>
            </w:r>
            <w:r>
              <w:rPr>
                <w:rFonts w:ascii="Times New Roman" w:hAnsi="Times New Roman" w:eastAsia="宋体" w:cs="Times New Roman"/>
                <w:color w:val="auto"/>
                <w:kern w:val="0"/>
                <w:sz w:val="18"/>
                <w:szCs w:val="18"/>
                <w:highlight w:val="none"/>
                <w:lang w:bidi="ar"/>
              </w:rPr>
              <w:t>7</w:t>
            </w:r>
            <w:r>
              <w:rPr>
                <w:rStyle w:val="295"/>
                <w:rFonts w:hAnsi="Times New Roman"/>
                <w:color w:val="auto"/>
                <w:sz w:val="18"/>
                <w:szCs w:val="18"/>
                <w:highlight w:val="none"/>
                <w:lang w:bidi="ar"/>
              </w:rPr>
              <w:t>天的试运行期间，没有出现脱落、变形，卡死，否则每次扣</w:t>
            </w:r>
            <w:r>
              <w:rPr>
                <w:rFonts w:ascii="Times New Roman" w:hAnsi="Times New Roman" w:eastAsia="宋体" w:cs="Times New Roman"/>
                <w:color w:val="auto"/>
                <w:kern w:val="0"/>
                <w:sz w:val="18"/>
                <w:szCs w:val="18"/>
                <w:highlight w:val="none"/>
                <w:lang w:bidi="ar"/>
              </w:rPr>
              <w:t>5</w:t>
            </w:r>
            <w:r>
              <w:rPr>
                <w:rStyle w:val="295"/>
                <w:rFonts w:hAnsi="Times New Roman"/>
                <w:color w:val="auto"/>
                <w:sz w:val="18"/>
                <w:szCs w:val="18"/>
                <w:highlight w:val="none"/>
                <w:lang w:bidi="ar"/>
              </w:rPr>
              <w:t>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18"/>
                <w:szCs w:val="18"/>
                <w:highlight w:val="none"/>
              </w:rPr>
            </w:pPr>
            <w:r>
              <w:rPr>
                <w:rFonts w:hint="eastAsia" w:ascii="仿宋_GB2312" w:hAnsi="宋体" w:eastAsia="仿宋_GB2312" w:cs="仿宋_GB2312"/>
                <w:color w:val="auto"/>
                <w:kern w:val="0"/>
                <w:sz w:val="18"/>
                <w:szCs w:val="18"/>
                <w:highlight w:val="none"/>
                <w:lang w:bidi="ar"/>
              </w:rPr>
              <w:t>五、违法情况</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Fonts w:ascii="Times New Roman" w:hAnsi="Times New Roman" w:eastAsia="宋体" w:cs="Times New Roman"/>
                <w:color w:val="auto"/>
                <w:kern w:val="0"/>
                <w:sz w:val="18"/>
                <w:szCs w:val="18"/>
                <w:highlight w:val="none"/>
                <w:lang w:bidi="ar"/>
              </w:rPr>
              <w:t xml:space="preserve">1. </w:t>
            </w:r>
            <w:r>
              <w:rPr>
                <w:rStyle w:val="295"/>
                <w:rFonts w:hAnsi="Times New Roman"/>
                <w:color w:val="auto"/>
                <w:sz w:val="18"/>
                <w:szCs w:val="18"/>
                <w:highlight w:val="none"/>
                <w:lang w:bidi="ar"/>
              </w:rPr>
              <w:t>在维修过程中违反相关法律法规，每次扣</w:t>
            </w:r>
            <w:r>
              <w:rPr>
                <w:rFonts w:ascii="Times New Roman" w:hAnsi="Times New Roman" w:eastAsia="宋体" w:cs="Times New Roman"/>
                <w:color w:val="auto"/>
                <w:kern w:val="0"/>
                <w:sz w:val="18"/>
                <w:szCs w:val="18"/>
                <w:highlight w:val="none"/>
                <w:lang w:bidi="ar"/>
              </w:rPr>
              <w:t>10</w:t>
            </w:r>
            <w:r>
              <w:rPr>
                <w:rStyle w:val="295"/>
                <w:rFonts w:hAnsi="Times New Roman"/>
                <w:color w:val="auto"/>
                <w:sz w:val="18"/>
                <w:szCs w:val="18"/>
                <w:highlight w:val="none"/>
                <w:lang w:bidi="ar"/>
              </w:rPr>
              <w:t>分，并追究相应法律责任。</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auto"/>
                <w:sz w:val="18"/>
                <w:szCs w:val="18"/>
                <w:highlight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885" w:hRule="atLeast"/>
        </w:trPr>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得分</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分公司设备工作部评分</w:t>
            </w:r>
            <w:r>
              <w:rPr>
                <w:rFonts w:ascii="Times New Roman" w:hAnsi="Times New Roman" w:eastAsia="宋体" w:cs="Times New Roman"/>
                <w:color w:val="auto"/>
                <w:kern w:val="0"/>
                <w:sz w:val="18"/>
                <w:szCs w:val="18"/>
                <w:highlight w:val="none"/>
                <w:lang w:bidi="ar"/>
              </w:rPr>
              <w:t>A</w:t>
            </w:r>
            <w:r>
              <w:rPr>
                <w:rStyle w:val="295"/>
                <w:rFonts w:hAnsi="Times New Roman"/>
                <w:color w:val="auto"/>
                <w:sz w:val="18"/>
                <w:szCs w:val="18"/>
                <w:highlight w:val="none"/>
                <w:lang w:bidi="ar"/>
              </w:rPr>
              <w:t>：</w:t>
            </w: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设备管理部评分</w:t>
            </w:r>
            <w:r>
              <w:rPr>
                <w:rFonts w:ascii="Times New Roman" w:hAnsi="Times New Roman" w:eastAsia="宋体" w:cs="Times New Roman"/>
                <w:color w:val="auto"/>
                <w:kern w:val="0"/>
                <w:sz w:val="18"/>
                <w:szCs w:val="18"/>
                <w:highlight w:val="none"/>
                <w:lang w:bidi="ar"/>
              </w:rPr>
              <w:t>B</w:t>
            </w:r>
            <w:r>
              <w:rPr>
                <w:rStyle w:val="295"/>
                <w:rFonts w:hAnsi="Times New Roman"/>
                <w:color w:val="auto"/>
                <w:sz w:val="18"/>
                <w:szCs w:val="18"/>
                <w:highlight w:val="none"/>
                <w:lang w:bidi="ar"/>
              </w:rPr>
              <w:t>：</w:t>
            </w:r>
          </w:p>
        </w:tc>
        <w:tc>
          <w:tcPr>
            <w:tcW w:w="1019"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派单部门评分</w:t>
            </w:r>
            <w:r>
              <w:rPr>
                <w:rFonts w:ascii="Times New Roman" w:hAnsi="Times New Roman" w:eastAsia="宋体" w:cs="Times New Roman"/>
                <w:color w:val="auto"/>
                <w:kern w:val="0"/>
                <w:sz w:val="18"/>
                <w:szCs w:val="18"/>
                <w:highlight w:val="none"/>
                <w:lang w:bidi="ar"/>
              </w:rPr>
              <w:t>C</w:t>
            </w:r>
            <w:r>
              <w:rPr>
                <w:rStyle w:val="295"/>
                <w:rFonts w:hAnsi="Times New Roman"/>
                <w:color w:val="auto"/>
                <w:sz w:val="18"/>
                <w:szCs w:val="18"/>
                <w:highlight w:val="none"/>
                <w:lang w:bidi="ar"/>
              </w:rPr>
              <w:t>：</w:t>
            </w:r>
          </w:p>
        </w:tc>
      </w:tr>
      <w:tr>
        <w:tblPrEx>
          <w:tblCellMar>
            <w:top w:w="0" w:type="dxa"/>
            <w:left w:w="108" w:type="dxa"/>
            <w:bottom w:w="0" w:type="dxa"/>
            <w:right w:w="108" w:type="dxa"/>
          </w:tblCellMar>
        </w:tblPrEx>
        <w:trPr>
          <w:trHeight w:val="800" w:hRule="atLeast"/>
        </w:trPr>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参评人员</w:t>
            </w:r>
          </w:p>
        </w:tc>
        <w:tc>
          <w:tcPr>
            <w:tcW w:w="890"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签名：</w:t>
            </w:r>
          </w:p>
        </w:tc>
        <w:tc>
          <w:tcPr>
            <w:tcW w:w="999"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签名：</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签名：</w:t>
            </w:r>
          </w:p>
        </w:tc>
      </w:tr>
      <w:tr>
        <w:tblPrEx>
          <w:tblCellMar>
            <w:top w:w="0" w:type="dxa"/>
            <w:left w:w="108" w:type="dxa"/>
            <w:bottom w:w="0" w:type="dxa"/>
            <w:right w:w="108" w:type="dxa"/>
          </w:tblCellMar>
        </w:tblPrEx>
        <w:trPr>
          <w:trHeight w:val="600" w:hRule="atLeast"/>
        </w:trPr>
        <w:tc>
          <w:tcPr>
            <w:tcW w:w="3980" w:type="pct"/>
            <w:gridSpan w:val="5"/>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auto"/>
                <w:sz w:val="18"/>
                <w:szCs w:val="18"/>
                <w:highlight w:val="none"/>
              </w:rPr>
            </w:pPr>
            <w:r>
              <w:rPr>
                <w:rStyle w:val="295"/>
                <w:rFonts w:hAnsi="Times New Roman"/>
                <w:color w:val="auto"/>
                <w:sz w:val="18"/>
                <w:szCs w:val="18"/>
                <w:highlight w:val="none"/>
                <w:lang w:bidi="ar"/>
              </w:rPr>
              <w:t>总分：</w:t>
            </w:r>
            <w:r>
              <w:rPr>
                <w:rFonts w:ascii="Times New Roman" w:hAnsi="Times New Roman" w:eastAsia="宋体" w:cs="Times New Roman"/>
                <w:color w:val="auto"/>
                <w:kern w:val="0"/>
                <w:sz w:val="18"/>
                <w:szCs w:val="18"/>
                <w:highlight w:val="none"/>
                <w:lang w:bidi="ar"/>
              </w:rPr>
              <w:t>C+</w:t>
            </w:r>
            <w:r>
              <w:rPr>
                <w:rStyle w:val="295"/>
                <w:rFonts w:hAnsi="Times New Roman"/>
                <w:color w:val="auto"/>
                <w:sz w:val="18"/>
                <w:szCs w:val="18"/>
                <w:highlight w:val="none"/>
                <w:lang w:bidi="ar"/>
              </w:rPr>
              <w:t>（</w:t>
            </w:r>
            <w:r>
              <w:rPr>
                <w:rFonts w:ascii="Times New Roman" w:hAnsi="Times New Roman" w:eastAsia="宋体" w:cs="Times New Roman"/>
                <w:color w:val="auto"/>
                <w:kern w:val="0"/>
                <w:sz w:val="18"/>
                <w:szCs w:val="18"/>
                <w:highlight w:val="none"/>
                <w:lang w:bidi="ar"/>
              </w:rPr>
              <w:t>A+B)/2=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480" w:hRule="atLeast"/>
        </w:trPr>
        <w:tc>
          <w:tcPr>
            <w:tcW w:w="5000" w:type="pct"/>
            <w:gridSpan w:val="6"/>
            <w:tcBorders>
              <w:top w:val="nil"/>
              <w:left w:val="nil"/>
              <w:bottom w:val="nil"/>
              <w:right w:val="nil"/>
            </w:tcBorders>
            <w:shd w:val="clear" w:color="auto" w:fill="auto"/>
            <w:vAlign w:val="center"/>
          </w:tcPr>
          <w:p>
            <w:pPr>
              <w:rPr>
                <w:rFonts w:ascii="Times New Roman" w:hAnsi="Times New Roman" w:eastAsia="宋体" w:cs="Times New Roman"/>
                <w:color w:val="auto"/>
                <w:sz w:val="18"/>
                <w:szCs w:val="18"/>
                <w:highlight w:val="none"/>
              </w:rPr>
            </w:pPr>
            <w:r>
              <w:rPr>
                <w:rFonts w:hint="eastAsia" w:ascii="仿宋_GB2312" w:hAnsi="宋体" w:eastAsia="仿宋_GB2312" w:cs="仿宋_GB2312"/>
                <w:color w:val="auto"/>
                <w:kern w:val="0"/>
                <w:sz w:val="18"/>
                <w:szCs w:val="18"/>
                <w:highlight w:val="none"/>
                <w:lang w:bidi="ar"/>
              </w:rPr>
              <w:t>备注：</w:t>
            </w:r>
            <w:r>
              <w:rPr>
                <w:rFonts w:ascii="Times New Roman" w:hAnsi="Times New Roman" w:eastAsia="仿宋_GB2312" w:cs="Times New Roman"/>
                <w:color w:val="auto"/>
                <w:kern w:val="0"/>
                <w:sz w:val="18"/>
                <w:szCs w:val="18"/>
                <w:highlight w:val="none"/>
                <w:lang w:bidi="ar"/>
              </w:rPr>
              <w:br w:type="textWrapping"/>
            </w:r>
            <w:r>
              <w:rPr>
                <w:rFonts w:ascii="Times New Roman" w:hAnsi="Times New Roman" w:eastAsia="仿宋_GB2312" w:cs="Times New Roman"/>
                <w:color w:val="auto"/>
                <w:kern w:val="0"/>
                <w:sz w:val="18"/>
                <w:szCs w:val="18"/>
                <w:highlight w:val="none"/>
                <w:lang w:bidi="ar"/>
              </w:rPr>
              <w:t>1</w:t>
            </w:r>
            <w:r>
              <w:rPr>
                <w:rStyle w:val="295"/>
                <w:rFonts w:hAnsi="宋体"/>
                <w:color w:val="auto"/>
                <w:sz w:val="18"/>
                <w:szCs w:val="18"/>
                <w:highlight w:val="none"/>
                <w:lang w:bidi="ar"/>
              </w:rPr>
              <w:t>、每单的考核扣分，每个细分考核项目扣分，扣完考核项目本扣分上限后，该项不再扣分；</w:t>
            </w:r>
            <w:r>
              <w:rPr>
                <w:rFonts w:ascii="Times New Roman" w:hAnsi="Times New Roman" w:eastAsia="仿宋_GB2312" w:cs="Times New Roman"/>
                <w:color w:val="auto"/>
                <w:kern w:val="0"/>
                <w:sz w:val="18"/>
                <w:szCs w:val="18"/>
                <w:highlight w:val="none"/>
                <w:lang w:bidi="ar"/>
              </w:rPr>
              <w:br w:type="textWrapping"/>
            </w:r>
            <w:r>
              <w:rPr>
                <w:rFonts w:ascii="Times New Roman" w:hAnsi="Times New Roman" w:eastAsia="仿宋_GB2312" w:cs="Times New Roman"/>
                <w:color w:val="auto"/>
                <w:kern w:val="0"/>
                <w:sz w:val="18"/>
                <w:szCs w:val="18"/>
                <w:highlight w:val="none"/>
                <w:lang w:bidi="ar"/>
              </w:rPr>
              <w:t>2</w:t>
            </w:r>
            <w:r>
              <w:rPr>
                <w:rStyle w:val="295"/>
                <w:rFonts w:hAnsi="宋体"/>
                <w:color w:val="auto"/>
                <w:sz w:val="18"/>
                <w:szCs w:val="18"/>
                <w:highlight w:val="none"/>
                <w:lang w:bidi="ar"/>
              </w:rPr>
              <w:t>、分公司设备工作部、设备管理部进行扣分。</w:t>
            </w:r>
          </w:p>
        </w:tc>
      </w:tr>
    </w:tbl>
    <w:p>
      <w:pPr>
        <w:pStyle w:val="2"/>
        <w:rPr>
          <w:color w:val="auto"/>
          <w:highlight w:val="none"/>
        </w:rPr>
      </w:pPr>
    </w:p>
    <w:p>
      <w:pPr>
        <w:spacing w:line="600" w:lineRule="exact"/>
        <w:jc w:val="left"/>
        <w:rPr>
          <w:rFonts w:ascii="Times New Roman" w:hAnsi="Times New Roman" w:eastAsia="仿宋_GB2312" w:cs="Times New Roman"/>
          <w:color w:val="auto"/>
          <w:sz w:val="32"/>
          <w:szCs w:val="32"/>
          <w:highlight w:val="none"/>
        </w:rPr>
      </w:pPr>
    </w:p>
    <w:p>
      <w:pPr>
        <w:spacing w:line="600" w:lineRule="exact"/>
        <w:jc w:val="left"/>
        <w:rPr>
          <w:rFonts w:ascii="Times New Roman" w:hAnsi="Times New Roman" w:eastAsia="仿宋_GB2312" w:cs="Times New Roman"/>
          <w:color w:val="auto"/>
          <w:sz w:val="32"/>
          <w:szCs w:val="32"/>
          <w:highlight w:val="none"/>
        </w:rPr>
      </w:pPr>
    </w:p>
    <w:tbl>
      <w:tblPr>
        <w:tblStyle w:val="47"/>
        <w:tblW w:w="0" w:type="auto"/>
        <w:tblInd w:w="0" w:type="dxa"/>
        <w:tblLayout w:type="autofit"/>
        <w:tblCellMar>
          <w:top w:w="0" w:type="dxa"/>
          <w:left w:w="108" w:type="dxa"/>
          <w:bottom w:w="0" w:type="dxa"/>
          <w:right w:w="108" w:type="dxa"/>
        </w:tblCellMar>
      </w:tblPr>
      <w:tblGrid>
        <w:gridCol w:w="616"/>
        <w:gridCol w:w="1416"/>
        <w:gridCol w:w="584"/>
        <w:gridCol w:w="683"/>
        <w:gridCol w:w="585"/>
        <w:gridCol w:w="1101"/>
        <w:gridCol w:w="565"/>
        <w:gridCol w:w="724"/>
        <w:gridCol w:w="565"/>
        <w:gridCol w:w="590"/>
        <w:gridCol w:w="1016"/>
        <w:gridCol w:w="616"/>
      </w:tblGrid>
      <w:tr>
        <w:tblPrEx>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r>
              <w:rPr>
                <w:rFonts w:hint="eastAsia" w:ascii="黑体" w:hAnsi="宋体" w:eastAsia="黑体" w:cs="黑体"/>
                <w:color w:val="auto"/>
                <w:kern w:val="0"/>
                <w:sz w:val="32"/>
                <w:szCs w:val="32"/>
                <w:highlight w:val="none"/>
                <w:lang w:bidi="ar"/>
              </w:rPr>
              <w:t>附件2</w:t>
            </w: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90" w:hRule="atLeast"/>
        </w:trPr>
        <w:tc>
          <w:tcPr>
            <w:tcW w:w="0" w:type="auto"/>
            <w:gridSpan w:val="12"/>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kern w:val="0"/>
                <w:sz w:val="28"/>
                <w:szCs w:val="28"/>
                <w:highlight w:val="none"/>
                <w:lang w:bidi="ar"/>
              </w:rPr>
              <w:t>机电设备维修供应商季度考核等级评价表（</w:t>
            </w:r>
            <w:r>
              <w:rPr>
                <w:rFonts w:ascii="Times New Roman" w:hAnsi="Times New Roman" w:eastAsia="方正小标宋简体" w:cs="Times New Roman"/>
                <w:color w:val="auto"/>
                <w:kern w:val="0"/>
                <w:sz w:val="28"/>
                <w:szCs w:val="28"/>
                <w:highlight w:val="none"/>
                <w:lang w:bidi="ar"/>
              </w:rPr>
              <w:t xml:space="preserve">20     </w:t>
            </w:r>
            <w:r>
              <w:rPr>
                <w:rFonts w:hint="eastAsia" w:ascii="方正小标宋简体" w:hAnsi="方正小标宋简体" w:eastAsia="方正小标宋简体" w:cs="方正小标宋简体"/>
                <w:color w:val="auto"/>
                <w:kern w:val="0"/>
                <w:sz w:val="28"/>
                <w:szCs w:val="28"/>
                <w:highlight w:val="none"/>
                <w:lang w:bidi="ar"/>
              </w:rPr>
              <w:t>年第</w:t>
            </w:r>
            <w:r>
              <w:rPr>
                <w:rFonts w:ascii="Times New Roman" w:hAnsi="Times New Roman" w:eastAsia="方正小标宋简体" w:cs="Times New Roman"/>
                <w:color w:val="auto"/>
                <w:kern w:val="0"/>
                <w:sz w:val="28"/>
                <w:szCs w:val="28"/>
                <w:highlight w:val="none"/>
                <w:lang w:bidi="ar"/>
              </w:rPr>
              <w:t xml:space="preserve">     </w:t>
            </w:r>
            <w:r>
              <w:rPr>
                <w:rFonts w:hint="eastAsia" w:ascii="方正小标宋简体" w:hAnsi="方正小标宋简体" w:eastAsia="方正小标宋简体" w:cs="方正小标宋简体"/>
                <w:color w:val="auto"/>
                <w:kern w:val="0"/>
                <w:sz w:val="28"/>
                <w:szCs w:val="28"/>
                <w:highlight w:val="none"/>
                <w:lang w:bidi="ar"/>
              </w:rPr>
              <w:t>季度）</w:t>
            </w:r>
          </w:p>
        </w:tc>
      </w:tr>
      <w:tr>
        <w:tblPrEx>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定点维修单位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维修项目数量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本季度逐单考核平均得分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季度等级评价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本季度考核</w:t>
            </w:r>
            <w:r>
              <w:rPr>
                <w:rStyle w:val="292"/>
                <w:rFonts w:eastAsia="宋体"/>
                <w:color w:val="auto"/>
                <w:highlight w:val="none"/>
                <w:lang w:bidi="ar"/>
              </w:rPr>
              <w:t xml:space="preserve">    </w:t>
            </w:r>
            <w:r>
              <w:rPr>
                <w:rStyle w:val="291"/>
                <w:rFonts w:hAnsi="Times New Roman"/>
                <w:color w:val="auto"/>
                <w:highlight w:val="none"/>
                <w:lang w:bidi="ar"/>
              </w:rPr>
              <w:t>加（</w:t>
            </w:r>
            <w:r>
              <w:rPr>
                <w:rStyle w:val="292"/>
                <w:rFonts w:eastAsia="宋体"/>
                <w:color w:val="auto"/>
                <w:highlight w:val="none"/>
                <w:lang w:bidi="ar"/>
              </w:rPr>
              <w:t>+</w:t>
            </w:r>
            <w:r>
              <w:rPr>
                <w:rStyle w:val="291"/>
                <w:rFonts w:hAnsi="Times New Roman"/>
                <w:color w:val="auto"/>
                <w:highlight w:val="none"/>
                <w:lang w:bidi="ar"/>
              </w:rPr>
              <w:t>）</w:t>
            </w:r>
            <w:r>
              <w:rPr>
                <w:rStyle w:val="292"/>
                <w:rFonts w:eastAsia="宋体"/>
                <w:color w:val="auto"/>
                <w:highlight w:val="none"/>
                <w:lang w:bidi="ar"/>
              </w:rPr>
              <w:t>/</w:t>
            </w:r>
            <w:r>
              <w:rPr>
                <w:rStyle w:val="291"/>
                <w:rFonts w:hAnsi="Times New Roman"/>
                <w:color w:val="auto"/>
                <w:highlight w:val="none"/>
                <w:lang w:bidi="ar"/>
              </w:rPr>
              <w:t>扣（</w:t>
            </w:r>
            <w:r>
              <w:rPr>
                <w:rStyle w:val="292"/>
                <w:rFonts w:eastAsia="宋体"/>
                <w:color w:val="auto"/>
                <w:highlight w:val="none"/>
                <w:lang w:bidi="ar"/>
              </w:rPr>
              <w:t>-</w:t>
            </w:r>
            <w:r>
              <w:rPr>
                <w:rStyle w:val="291"/>
                <w:rFonts w:hAnsi="Times New Roman"/>
                <w:color w:val="auto"/>
                <w:highlight w:val="none"/>
                <w:lang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上季度积分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连续季度考核评级及加分情况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本季度积分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奖励</w:t>
            </w:r>
            <w:r>
              <w:rPr>
                <w:rStyle w:val="292"/>
                <w:rFonts w:eastAsia="宋体"/>
                <w:color w:val="auto"/>
                <w:highlight w:val="none"/>
                <w:lang w:bidi="ar"/>
              </w:rPr>
              <w:t>/</w:t>
            </w:r>
            <w:r>
              <w:rPr>
                <w:rStyle w:val="291"/>
                <w:rFonts w:hAnsi="Times New Roman"/>
                <w:color w:val="auto"/>
                <w:highlight w:val="none"/>
                <w:lang w:bidi="ar"/>
              </w:rPr>
              <w:t>处罚措施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考评日期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Style w:val="291"/>
                <w:rFonts w:hAnsi="Times New Roman"/>
                <w:color w:val="auto"/>
                <w:highlight w:val="none"/>
                <w:lang w:bidi="ar"/>
              </w:rPr>
              <w:t>备注</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60" w:hRule="atLeast"/>
        </w:trPr>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c>
          <w:tcPr>
            <w:tcW w:w="0" w:type="auto"/>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00" w:hRule="atLeast"/>
        </w:trPr>
        <w:tc>
          <w:tcPr>
            <w:tcW w:w="0" w:type="auto"/>
            <w:gridSpan w:val="12"/>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r>
              <w:rPr>
                <w:rStyle w:val="293"/>
                <w:rFonts w:hint="default" w:hAnsi="Times New Roman"/>
                <w:color w:val="auto"/>
                <w:highlight w:val="none"/>
                <w:lang w:bidi="ar"/>
              </w:rPr>
              <w:t>备注：</w:t>
            </w:r>
            <w:r>
              <w:rPr>
                <w:rFonts w:ascii="Times New Roman" w:hAnsi="Times New Roman" w:eastAsia="宋体" w:cs="Times New Roman"/>
                <w:color w:val="auto"/>
                <w:kern w:val="0"/>
                <w:sz w:val="22"/>
                <w:szCs w:val="22"/>
                <w:highlight w:val="none"/>
                <w:lang w:bidi="ar"/>
              </w:rPr>
              <w:t>1</w:t>
            </w:r>
            <w:r>
              <w:rPr>
                <w:rStyle w:val="293"/>
                <w:rFonts w:hint="default" w:hAnsi="Times New Roman"/>
                <w:color w:val="auto"/>
                <w:highlight w:val="none"/>
                <w:lang w:bidi="ar"/>
              </w:rPr>
              <w:t>、本季度逐单考核平均得分为维修单位本季度内所有维修项目逐单考核的平均分；</w:t>
            </w:r>
          </w:p>
        </w:tc>
      </w:tr>
      <w:tr>
        <w:tblPrEx>
          <w:tblCellMar>
            <w:top w:w="0" w:type="dxa"/>
            <w:left w:w="108" w:type="dxa"/>
            <w:bottom w:w="0" w:type="dxa"/>
            <w:right w:w="108" w:type="dxa"/>
          </w:tblCellMar>
        </w:tblPrEx>
        <w:trPr>
          <w:trHeight w:val="300" w:hRule="atLeast"/>
        </w:trPr>
        <w:tc>
          <w:tcPr>
            <w:tcW w:w="0" w:type="auto"/>
            <w:gridSpan w:val="12"/>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 xml:space="preserve">      2</w:t>
            </w:r>
            <w:r>
              <w:rPr>
                <w:rStyle w:val="293"/>
                <w:rFonts w:hint="default" w:hAnsi="Times New Roman"/>
                <w:color w:val="auto"/>
                <w:highlight w:val="none"/>
                <w:lang w:bidi="ar"/>
              </w:rPr>
              <w:t>、连续季度等级评价情况为本季度之前各季度等级评价情况；</w:t>
            </w:r>
          </w:p>
        </w:tc>
      </w:tr>
      <w:tr>
        <w:tblPrEx>
          <w:tblCellMar>
            <w:top w:w="0" w:type="dxa"/>
            <w:left w:w="108" w:type="dxa"/>
            <w:bottom w:w="0" w:type="dxa"/>
            <w:right w:w="108" w:type="dxa"/>
          </w:tblCellMar>
        </w:tblPrEx>
        <w:trPr>
          <w:trHeight w:val="300" w:hRule="atLeast"/>
        </w:trPr>
        <w:tc>
          <w:tcPr>
            <w:tcW w:w="0" w:type="auto"/>
            <w:gridSpan w:val="12"/>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 xml:space="preserve">      3</w:t>
            </w:r>
            <w:r>
              <w:rPr>
                <w:rStyle w:val="293"/>
                <w:rFonts w:hint="default" w:hAnsi="Times New Roman"/>
                <w:color w:val="auto"/>
                <w:highlight w:val="none"/>
                <w:lang w:bidi="ar"/>
              </w:rPr>
              <w:t>、根据连续季度等级评价情况确定是否奖励加分；</w:t>
            </w:r>
          </w:p>
        </w:tc>
      </w:tr>
      <w:tr>
        <w:tblPrEx>
          <w:tblCellMar>
            <w:top w:w="0" w:type="dxa"/>
            <w:left w:w="108" w:type="dxa"/>
            <w:bottom w:w="0" w:type="dxa"/>
            <w:right w:w="108" w:type="dxa"/>
          </w:tblCellMar>
        </w:tblPrEx>
        <w:trPr>
          <w:trHeight w:val="300" w:hRule="atLeast"/>
        </w:trPr>
        <w:tc>
          <w:tcPr>
            <w:tcW w:w="0" w:type="auto"/>
            <w:gridSpan w:val="12"/>
            <w:tcBorders>
              <w:top w:val="nil"/>
              <w:left w:val="nil"/>
              <w:bottom w:val="nil"/>
              <w:right w:val="nil"/>
            </w:tcBorders>
            <w:shd w:val="clear" w:color="auto" w:fill="auto"/>
            <w:noWrap/>
            <w:vAlign w:val="center"/>
          </w:tcPr>
          <w:p>
            <w:pP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 xml:space="preserve">     </w:t>
            </w:r>
            <w:r>
              <w:rPr>
                <w:rFonts w:hint="eastAsia" w:ascii="Times New Roman" w:hAnsi="Times New Roman" w:eastAsia="宋体" w:cs="Times New Roman"/>
                <w:color w:val="auto"/>
                <w:kern w:val="0"/>
                <w:sz w:val="22"/>
                <w:szCs w:val="22"/>
                <w:highlight w:val="none"/>
                <w:lang w:bidi="ar"/>
              </w:rPr>
              <w:t xml:space="preserve"> </w:t>
            </w:r>
            <w:r>
              <w:rPr>
                <w:rFonts w:ascii="Times New Roman" w:hAnsi="Times New Roman" w:eastAsia="宋体" w:cs="Times New Roman"/>
                <w:color w:val="auto"/>
                <w:kern w:val="0"/>
                <w:sz w:val="22"/>
                <w:szCs w:val="22"/>
                <w:highlight w:val="none"/>
                <w:lang w:bidi="ar"/>
              </w:rPr>
              <w:t>4</w:t>
            </w:r>
            <w:r>
              <w:rPr>
                <w:rStyle w:val="293"/>
                <w:rFonts w:hint="default" w:hAnsi="Times New Roman"/>
                <w:color w:val="auto"/>
                <w:highlight w:val="none"/>
                <w:lang w:bidi="ar"/>
              </w:rPr>
              <w:t>、根据本季度考核情况确定是否启动奖励及处罚措施。</w:t>
            </w:r>
          </w:p>
        </w:tc>
      </w:tr>
    </w:tbl>
    <w:p>
      <w:pPr>
        <w:spacing w:line="600" w:lineRule="exact"/>
        <w:ind w:firstLine="640" w:firstLineChars="200"/>
        <w:jc w:val="left"/>
        <w:rPr>
          <w:rFonts w:ascii="Times New Roman" w:hAnsi="Times New Roman" w:eastAsia="仿宋_GB2312" w:cs="Times New Roman"/>
          <w:color w:val="auto"/>
          <w:sz w:val="32"/>
          <w:szCs w:val="32"/>
          <w:highlight w:val="none"/>
        </w:rPr>
      </w:pPr>
    </w:p>
    <w:p>
      <w:pPr>
        <w:spacing w:line="600" w:lineRule="exact"/>
        <w:ind w:firstLine="640" w:firstLineChars="200"/>
        <w:jc w:val="left"/>
        <w:rPr>
          <w:rFonts w:ascii="Times New Roman" w:hAnsi="Times New Roman" w:eastAsia="仿宋_GB2312" w:cs="Times New Roman"/>
          <w:color w:val="auto"/>
          <w:sz w:val="32"/>
          <w:szCs w:val="32"/>
          <w:highlight w:val="none"/>
        </w:rPr>
      </w:pPr>
    </w:p>
    <w:p>
      <w:pPr>
        <w:pStyle w:val="2"/>
        <w:rPr>
          <w:rFonts w:ascii="Times New Roman" w:hAnsi="Times New Roman" w:eastAsia="仿宋_GB2312" w:cs="Times New Roman"/>
          <w:color w:val="auto"/>
          <w:sz w:val="32"/>
          <w:szCs w:val="32"/>
          <w:highlight w:val="none"/>
        </w:rPr>
      </w:pPr>
    </w:p>
    <w:p>
      <w:pPr>
        <w:widowControl/>
        <w:jc w:val="left"/>
        <w:rPr>
          <w:rFonts w:ascii="黑体" w:hAnsi="宋体" w:eastAsia="黑体" w:cs="黑体"/>
          <w:color w:val="auto"/>
          <w:kern w:val="0"/>
          <w:sz w:val="32"/>
          <w:szCs w:val="32"/>
          <w:highlight w:val="none"/>
          <w:lang w:bidi="ar"/>
        </w:rPr>
      </w:pPr>
      <w:r>
        <w:rPr>
          <w:rFonts w:hint="eastAsia" w:ascii="黑体" w:hAnsi="宋体" w:eastAsia="黑体" w:cs="黑体"/>
          <w:color w:val="auto"/>
          <w:kern w:val="0"/>
          <w:sz w:val="32"/>
          <w:szCs w:val="32"/>
          <w:highlight w:val="none"/>
          <w:lang w:bidi="ar"/>
        </w:rPr>
        <w:br w:type="page"/>
      </w:r>
    </w:p>
    <w:p>
      <w:pPr>
        <w:widowControl/>
        <w:jc w:val="left"/>
        <w:rPr>
          <w:rFonts w:ascii="黑体" w:hAnsi="宋体" w:eastAsia="黑体" w:cs="黑体"/>
          <w:color w:val="auto"/>
          <w:kern w:val="0"/>
          <w:sz w:val="32"/>
          <w:szCs w:val="32"/>
          <w:highlight w:val="none"/>
          <w:lang w:bidi="ar"/>
        </w:rPr>
      </w:pPr>
      <w:r>
        <w:rPr>
          <w:rFonts w:hint="eastAsia" w:ascii="黑体" w:hAnsi="宋体" w:eastAsia="黑体" w:cs="黑体"/>
          <w:color w:val="auto"/>
          <w:kern w:val="0"/>
          <w:sz w:val="32"/>
          <w:szCs w:val="32"/>
          <w:highlight w:val="none"/>
          <w:lang w:bidi="ar"/>
        </w:rPr>
        <w:t>附件3</w:t>
      </w:r>
    </w:p>
    <w:p>
      <w:pPr>
        <w:spacing w:line="600" w:lineRule="exact"/>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东莞市水务集团管网有限公司相关方安全</w:t>
      </w:r>
    </w:p>
    <w:p>
      <w:pPr>
        <w:spacing w:line="600" w:lineRule="exact"/>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考核细则（试行）</w:t>
      </w:r>
    </w:p>
    <w:p>
      <w:pPr>
        <w:spacing w:line="600" w:lineRule="exact"/>
        <w:rPr>
          <w:rFonts w:ascii="Times New Roman" w:hAnsi="Times New Roman" w:cs="Times New Roman"/>
          <w:b/>
          <w:bCs/>
          <w:color w:val="auto"/>
          <w:szCs w:val="28"/>
          <w:highlight w:val="none"/>
        </w:rPr>
      </w:pPr>
    </w:p>
    <w:p>
      <w:pPr>
        <w:topLinePunct/>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黑体" w:cs="黑体"/>
          <w:color w:val="auto"/>
          <w:szCs w:val="21"/>
          <w:highlight w:val="none"/>
        </w:rPr>
        <w:t xml:space="preserve">第一条 目的 </w:t>
      </w:r>
      <w:r>
        <w:rPr>
          <w:rFonts w:hint="eastAsia" w:ascii="Times New Roman" w:hAnsi="Times New Roman" w:eastAsia="仿宋_GB2312" w:cs="仿宋"/>
          <w:color w:val="auto"/>
          <w:szCs w:val="21"/>
          <w:highlight w:val="none"/>
        </w:rPr>
        <w:t>为进一步规范东莞市水务集团管网有限公司（以下简称“管网公司”）对相关方的安全管理，明确安全管理各环节的责任主体，健全安全监管体系，根据《中华人民共和国安全生产法》及《管网有限公司相关方安全管理制度（试行）》等相关法律法规和制度，特制订本考核细则。</w:t>
      </w:r>
    </w:p>
    <w:p>
      <w:pPr>
        <w:topLinePunct/>
        <w:autoSpaceDN w:val="0"/>
        <w:snapToGrid w:val="0"/>
        <w:spacing w:line="600" w:lineRule="exact"/>
        <w:ind w:firstLine="420" w:firstLineChars="200"/>
        <w:jc w:val="left"/>
        <w:rPr>
          <w:rFonts w:ascii="Times New Roman" w:hAnsi="Times New Roman" w:eastAsia="仿宋_GB2312" w:cs="仿宋"/>
          <w:color w:val="auto"/>
          <w:szCs w:val="21"/>
          <w:highlight w:val="none"/>
        </w:rPr>
      </w:pPr>
      <w:r>
        <w:rPr>
          <w:rFonts w:hint="eastAsia" w:ascii="Times New Roman" w:hAnsi="Times New Roman" w:eastAsia="黑体" w:cs="黑体"/>
          <w:bCs/>
          <w:color w:val="auto"/>
          <w:szCs w:val="21"/>
          <w:highlight w:val="none"/>
        </w:rPr>
        <w:t xml:space="preserve">第二条 范围 </w:t>
      </w:r>
      <w:r>
        <w:rPr>
          <w:rFonts w:hint="eastAsia" w:ascii="Times New Roman" w:hAnsi="Times New Roman" w:eastAsia="仿宋_GB2312" w:cs="仿宋"/>
          <w:color w:val="auto"/>
          <w:szCs w:val="21"/>
          <w:highlight w:val="none"/>
        </w:rPr>
        <w:t>本实施细则适用于管网公司及</w:t>
      </w:r>
      <w:r>
        <w:rPr>
          <w:rFonts w:ascii="Times New Roman" w:hAnsi="Times New Roman" w:eastAsia="仿宋_GB2312" w:cs="仿宋"/>
          <w:color w:val="auto"/>
          <w:szCs w:val="21"/>
          <w:highlight w:val="none"/>
        </w:rPr>
        <w:t>下</w:t>
      </w:r>
      <w:r>
        <w:rPr>
          <w:rFonts w:hint="eastAsia" w:ascii="Times New Roman" w:hAnsi="Times New Roman" w:eastAsia="仿宋_GB2312" w:cs="仿宋"/>
          <w:color w:val="auto"/>
          <w:szCs w:val="21"/>
          <w:highlight w:val="none"/>
        </w:rPr>
        <w:t>属子公司、分公司的工程项目、泵站运维、管网运维、检测项目、设备服务等相关方安全考核管理。</w:t>
      </w:r>
    </w:p>
    <w:p>
      <w:pPr>
        <w:pStyle w:val="3"/>
        <w:snapToGrid w:val="0"/>
        <w:spacing w:after="0" w:line="600" w:lineRule="exact"/>
        <w:ind w:firstLineChars="200"/>
        <w:rPr>
          <w:rFonts w:hAnsi="Times New Roman" w:eastAsia="黑体" w:cs="黑体"/>
          <w:b w:val="0"/>
          <w:bCs w:val="0"/>
          <w:color w:val="auto"/>
          <w:szCs w:val="21"/>
          <w:highlight w:val="none"/>
        </w:rPr>
      </w:pPr>
      <w:r>
        <w:rPr>
          <w:rFonts w:hint="eastAsia" w:hAnsi="Times New Roman" w:eastAsia="黑体" w:cs="黑体"/>
          <w:b w:val="0"/>
          <w:bCs w:val="0"/>
          <w:color w:val="auto"/>
          <w:szCs w:val="21"/>
          <w:highlight w:val="none"/>
          <w:lang w:val="en-US"/>
        </w:rPr>
        <w:t xml:space="preserve">第三条 </w:t>
      </w:r>
      <w:r>
        <w:rPr>
          <w:rFonts w:hint="eastAsia" w:hAnsi="Times New Roman" w:eastAsia="黑体" w:cs="黑体"/>
          <w:b w:val="0"/>
          <w:bCs w:val="0"/>
          <w:color w:val="auto"/>
          <w:szCs w:val="21"/>
          <w:highlight w:val="none"/>
        </w:rPr>
        <w:t>术语和定义</w:t>
      </w:r>
    </w:p>
    <w:p>
      <w:pPr>
        <w:numPr>
          <w:ilvl w:val="0"/>
          <w:numId w:val="17"/>
        </w:numPr>
        <w:snapToGrid w:val="0"/>
        <w:spacing w:line="600" w:lineRule="exact"/>
        <w:ind w:firstLineChars="200"/>
        <w:rPr>
          <w:rFonts w:ascii="仿宋_GB2312" w:hAnsi="仿宋_GB2312" w:eastAsia="仿宋_GB2312" w:cs="仿宋_GB2312"/>
          <w:color w:val="auto"/>
          <w:szCs w:val="21"/>
          <w:highlight w:val="none"/>
          <w:lang w:bidi="zh-CN"/>
        </w:rPr>
      </w:pPr>
      <w:r>
        <w:rPr>
          <w:rFonts w:hint="eastAsia" w:ascii="Times New Roman" w:hAnsi="Times New Roman" w:eastAsia="仿宋_GB2312" w:cs="仿宋_GB2312"/>
          <w:color w:val="auto"/>
          <w:szCs w:val="21"/>
          <w:highlight w:val="none"/>
          <w:lang w:bidi="zh-CN"/>
        </w:rPr>
        <w:t>相关方是指为管网</w:t>
      </w:r>
      <w:r>
        <w:rPr>
          <w:rFonts w:hint="eastAsia" w:ascii="仿宋_GB2312" w:hAnsi="仿宋_GB2312" w:eastAsia="仿宋_GB2312" w:cs="仿宋_GB2312"/>
          <w:color w:val="auto"/>
          <w:szCs w:val="21"/>
          <w:highlight w:val="none"/>
          <w:lang w:bidi="zh-CN"/>
        </w:rPr>
        <w:t>公司提供各种生产、生活相关服务的第三方外部单位及其人员。主要包括以下人员：</w:t>
      </w:r>
    </w:p>
    <w:p>
      <w:pPr>
        <w:numPr>
          <w:ilvl w:val="0"/>
          <w:numId w:val="17"/>
        </w:numPr>
        <w:snapToGrid w:val="0"/>
        <w:spacing w:line="600" w:lineRule="exact"/>
        <w:ind w:firstLineChars="200"/>
        <w:rPr>
          <w:rFonts w:ascii="仿宋_GB2312" w:hAnsi="仿宋_GB2312" w:eastAsia="仿宋_GB2312" w:cs="仿宋_GB2312"/>
          <w:color w:val="auto"/>
          <w:szCs w:val="21"/>
          <w:highlight w:val="none"/>
          <w:lang w:bidi="zh-CN"/>
        </w:rPr>
      </w:pPr>
      <w:r>
        <w:rPr>
          <w:rFonts w:hint="eastAsia" w:ascii="仿宋_GB2312" w:hAnsi="仿宋_GB2312" w:eastAsia="仿宋_GB2312" w:cs="仿宋_GB2312"/>
          <w:color w:val="auto"/>
          <w:szCs w:val="21"/>
          <w:highlight w:val="none"/>
          <w:lang w:bidi="zh-CN"/>
        </w:rPr>
        <w:t>依照与管网公司订立的有关合同，在管网公司内从事建设施工、设备安装维修、管网运维保养等专业服务的外来单位、人员。</w:t>
      </w:r>
    </w:p>
    <w:p>
      <w:pPr>
        <w:numPr>
          <w:ilvl w:val="0"/>
          <w:numId w:val="17"/>
        </w:numPr>
        <w:snapToGrid w:val="0"/>
        <w:spacing w:line="600" w:lineRule="exact"/>
        <w:ind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bidi="zh-CN"/>
        </w:rPr>
        <w:t>经管网公司各归口业务部门或分公司同意，进入管网公司管辖范围内开展各类公务活动或临时性劳务服务的外来单位人员，如进行参观访问、室内装修、设备租赁服务等外单位工作人员。</w:t>
      </w:r>
    </w:p>
    <w:p>
      <w:pPr>
        <w:numPr>
          <w:ilvl w:val="0"/>
          <w:numId w:val="17"/>
        </w:numPr>
        <w:autoSpaceDE w:val="0"/>
        <w:autoSpaceDN w:val="0"/>
        <w:snapToGrid w:val="0"/>
        <w:spacing w:line="600" w:lineRule="exact"/>
        <w:ind w:firstLineChars="200"/>
        <w:rPr>
          <w:rFonts w:ascii="仿宋_GB2312" w:hAnsi="仿宋_GB2312" w:eastAsia="仿宋_GB2312" w:cs="仿宋_GB2312"/>
          <w:color w:val="auto"/>
          <w:szCs w:val="21"/>
          <w:highlight w:val="none"/>
        </w:rPr>
      </w:pPr>
      <w:r>
        <w:rPr>
          <w:rFonts w:hint="eastAsia" w:ascii="Times New Roman" w:hAnsi="Times New Roman" w:eastAsia="仿宋_GB2312" w:cs="仿宋"/>
          <w:color w:val="auto"/>
          <w:szCs w:val="21"/>
          <w:highlight w:val="none"/>
        </w:rPr>
        <w:t>业务管</w:t>
      </w:r>
      <w:r>
        <w:rPr>
          <w:rFonts w:hint="eastAsia" w:ascii="仿宋_GB2312" w:hAnsi="仿宋_GB2312" w:eastAsia="仿宋_GB2312" w:cs="仿宋_GB2312"/>
          <w:color w:val="auto"/>
          <w:szCs w:val="21"/>
          <w:highlight w:val="none"/>
        </w:rPr>
        <w:t>理部指管网公司运营管理部、工程管理部、设备管理部。</w:t>
      </w:r>
    </w:p>
    <w:p>
      <w:pPr>
        <w:numPr>
          <w:ilvl w:val="0"/>
          <w:numId w:val="17"/>
        </w:numPr>
        <w:autoSpaceDE w:val="0"/>
        <w:autoSpaceDN w:val="0"/>
        <w:snapToGrid w:val="0"/>
        <w:spacing w:line="600" w:lineRule="exact"/>
        <w:ind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业务工作部指分公司运营工作部、工程工作部、设备工作部。</w:t>
      </w:r>
    </w:p>
    <w:p>
      <w:pPr>
        <w:numPr>
          <w:ilvl w:val="0"/>
          <w:numId w:val="17"/>
        </w:numPr>
        <w:autoSpaceDE w:val="0"/>
        <w:autoSpaceDN w:val="0"/>
        <w:snapToGrid w:val="0"/>
        <w:spacing w:line="600" w:lineRule="exact"/>
        <w:ind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相关方主要管理人员指现场负责人、现场监护人。</w:t>
      </w:r>
    </w:p>
    <w:p>
      <w:pPr>
        <w:numPr>
          <w:ilvl w:val="0"/>
          <w:numId w:val="17"/>
        </w:numPr>
        <w:autoSpaceDE w:val="0"/>
        <w:autoSpaceDN w:val="0"/>
        <w:snapToGrid w:val="0"/>
        <w:spacing w:line="600" w:lineRule="exact"/>
        <w:ind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危险作业指有限空间作业、水下作业、动火作业、高处作业、吊装作业、动土作业。</w:t>
      </w:r>
    </w:p>
    <w:p>
      <w:pPr>
        <w:pStyle w:val="3"/>
        <w:snapToGrid w:val="0"/>
        <w:spacing w:after="0" w:line="600" w:lineRule="exact"/>
        <w:ind w:firstLineChars="200"/>
        <w:rPr>
          <w:rFonts w:hAnsi="Times New Roman" w:eastAsia="黑体" w:cs="黑体"/>
          <w:b w:val="0"/>
          <w:bCs w:val="0"/>
          <w:color w:val="auto"/>
          <w:szCs w:val="21"/>
          <w:highlight w:val="none"/>
          <w:lang w:val="en-US"/>
        </w:rPr>
      </w:pPr>
      <w:r>
        <w:rPr>
          <w:rFonts w:hint="eastAsia" w:hAnsi="Times New Roman" w:eastAsia="黑体" w:cs="黑体"/>
          <w:b w:val="0"/>
          <w:bCs w:val="0"/>
          <w:color w:val="auto"/>
          <w:szCs w:val="21"/>
          <w:highlight w:val="none"/>
          <w:lang w:val="en-US"/>
        </w:rPr>
        <w:t xml:space="preserve">第四条 </w:t>
      </w:r>
      <w:r>
        <w:rPr>
          <w:rFonts w:hint="eastAsia" w:hAnsi="Times New Roman" w:eastAsia="黑体" w:cs="黑体"/>
          <w:b w:val="0"/>
          <w:bCs w:val="0"/>
          <w:color w:val="auto"/>
          <w:szCs w:val="21"/>
          <w:highlight w:val="none"/>
        </w:rPr>
        <w:t>职责</w:t>
      </w:r>
      <w:r>
        <w:rPr>
          <w:rFonts w:hint="eastAsia" w:hAnsi="Times New Roman" w:eastAsia="黑体" w:cs="黑体"/>
          <w:b w:val="0"/>
          <w:bCs w:val="0"/>
          <w:color w:val="auto"/>
          <w:szCs w:val="21"/>
          <w:highlight w:val="none"/>
          <w:lang w:val="en-US"/>
        </w:rPr>
        <w:t>和分工</w:t>
      </w:r>
    </w:p>
    <w:p>
      <w:pPr>
        <w:snapToGrid w:val="0"/>
        <w:spacing w:line="600" w:lineRule="exact"/>
        <w:ind w:firstLine="420" w:firstLineChars="200"/>
        <w:rPr>
          <w:rFonts w:ascii="Times New Roman" w:hAnsi="Times New Roman" w:eastAsia="楷体_GB2312" w:cs="楷体_GB2312"/>
          <w:color w:val="auto"/>
          <w:szCs w:val="21"/>
          <w:highlight w:val="none"/>
        </w:rPr>
      </w:pPr>
      <w:bookmarkStart w:id="11" w:name="_Toc508118981"/>
      <w:r>
        <w:rPr>
          <w:rFonts w:hint="eastAsia" w:ascii="Times New Roman" w:hAnsi="Times New Roman" w:eastAsia="楷体_GB2312" w:cs="楷体_GB2312"/>
          <w:color w:val="auto"/>
          <w:szCs w:val="21"/>
          <w:highlight w:val="none"/>
        </w:rPr>
        <w:t>（一）管网公司安全监管部</w:t>
      </w:r>
    </w:p>
    <w:p>
      <w:pPr>
        <w:numPr>
          <w:ilvl w:val="0"/>
          <w:numId w:val="18"/>
        </w:numPr>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相关方项目进场前，由公司安全监管部根据实际情况对其相关管理人员进行安全告知并考核，经考核合格后下发相关方管理人员准入证。</w:t>
      </w:r>
    </w:p>
    <w:p>
      <w:pPr>
        <w:numPr>
          <w:ilvl w:val="0"/>
          <w:numId w:val="18"/>
        </w:numPr>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监督分公司安全监管部的安全监管情况。</w:t>
      </w:r>
    </w:p>
    <w:p>
      <w:pPr>
        <w:snapToGrid w:val="0"/>
        <w:spacing w:line="600" w:lineRule="exact"/>
        <w:ind w:firstLine="420" w:firstLineChars="200"/>
        <w:rPr>
          <w:rFonts w:ascii="Times New Roman" w:hAnsi="Times New Roman" w:eastAsia="楷体_GB2312" w:cs="楷体_GB2312"/>
          <w:b/>
          <w:bCs/>
          <w:color w:val="auto"/>
          <w:szCs w:val="21"/>
          <w:highlight w:val="none"/>
        </w:rPr>
      </w:pPr>
      <w:r>
        <w:rPr>
          <w:rFonts w:hint="eastAsia" w:ascii="Times New Roman" w:hAnsi="Times New Roman" w:eastAsia="楷体_GB2312" w:cs="楷体_GB2312"/>
          <w:color w:val="auto"/>
          <w:szCs w:val="21"/>
          <w:highlight w:val="none"/>
        </w:rPr>
        <w:t>（二）分公司安全监管部</w:t>
      </w:r>
    </w:p>
    <w:p>
      <w:pPr>
        <w:numPr>
          <w:ilvl w:val="0"/>
          <w:numId w:val="19"/>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配合业务工作部对相关方作业人员开展作业区域安全风险告知。</w:t>
      </w:r>
    </w:p>
    <w:p>
      <w:pPr>
        <w:numPr>
          <w:ilvl w:val="0"/>
          <w:numId w:val="19"/>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对相关方施工过程进行安全监督与检查。</w:t>
      </w:r>
    </w:p>
    <w:p>
      <w:pPr>
        <w:numPr>
          <w:ilvl w:val="0"/>
          <w:numId w:val="19"/>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对现场存在的一般安全隐患下发整改通知单，未及时整改或再次出现同类问题的，立即下发违约通知单；现场发现重大安全隐患时，立即要求停止作业，并下发违约通知单。</w:t>
      </w:r>
    </w:p>
    <w:p>
      <w:pPr>
        <w:numPr>
          <w:ilvl w:val="0"/>
          <w:numId w:val="19"/>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每月抽查相关方安全资料存档情况。</w:t>
      </w:r>
    </w:p>
    <w:p>
      <w:pPr>
        <w:pStyle w:val="2"/>
        <w:numPr>
          <w:ilvl w:val="0"/>
          <w:numId w:val="19"/>
        </w:numPr>
        <w:snapToGrid w:val="0"/>
        <w:spacing w:after="0" w:line="600" w:lineRule="exact"/>
        <w:ind w:firstLine="420" w:firstLineChars="200"/>
        <w:rPr>
          <w:rFonts w:ascii="Times New Roman" w:hAnsi="Times New Roman" w:eastAsia="仿宋_GB2312"/>
          <w:color w:val="auto"/>
          <w:szCs w:val="18"/>
          <w:highlight w:val="none"/>
        </w:rPr>
      </w:pPr>
      <w:r>
        <w:rPr>
          <w:rFonts w:hint="eastAsia" w:ascii="Times New Roman" w:hAnsi="Times New Roman" w:eastAsia="仿宋_GB2312" w:cs="仿宋"/>
          <w:color w:val="auto"/>
          <w:szCs w:val="21"/>
          <w:highlight w:val="none"/>
        </w:rPr>
        <w:t>配合管网公司安全监管部组织相关方管理人员开展安全告知及考核工作。</w:t>
      </w:r>
    </w:p>
    <w:p>
      <w:pPr>
        <w:snapToGrid w:val="0"/>
        <w:spacing w:line="600" w:lineRule="exact"/>
        <w:ind w:firstLine="420" w:firstLineChars="200"/>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（三）管网公司业务管理部</w:t>
      </w:r>
    </w:p>
    <w:p>
      <w:pPr>
        <w:numPr>
          <w:ilvl w:val="0"/>
          <w:numId w:val="20"/>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为分公司对应业务工作部提供技术力量支持。</w:t>
      </w:r>
    </w:p>
    <w:p>
      <w:pPr>
        <w:numPr>
          <w:ilvl w:val="0"/>
          <w:numId w:val="20"/>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审核分公司工作部提交的违约资料。</w:t>
      </w:r>
    </w:p>
    <w:p>
      <w:pPr>
        <w:numPr>
          <w:ilvl w:val="0"/>
          <w:numId w:val="20"/>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配合管网公司安全监管部组织相关方管理人员开展安全告知和考核工作。</w:t>
      </w:r>
    </w:p>
    <w:p>
      <w:pPr>
        <w:snapToGrid w:val="0"/>
        <w:spacing w:line="600" w:lineRule="exact"/>
        <w:ind w:firstLine="420" w:firstLineChars="200"/>
        <w:jc w:val="left"/>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（四）分公司业务工作部</w:t>
      </w:r>
    </w:p>
    <w:p>
      <w:pPr>
        <w:numPr>
          <w:ilvl w:val="0"/>
          <w:numId w:val="21"/>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项目进场前，对相关方作业人员开展作业区域安全风险告知。</w:t>
      </w:r>
    </w:p>
    <w:p>
      <w:pPr>
        <w:numPr>
          <w:ilvl w:val="0"/>
          <w:numId w:val="21"/>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对相关方的施工全过程开展安全检查，对危险作业实施全过程旁站监管。</w:t>
      </w:r>
    </w:p>
    <w:p>
      <w:pPr>
        <w:numPr>
          <w:ilvl w:val="0"/>
          <w:numId w:val="21"/>
        </w:num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对现场存在的一般安全隐患下发整改通知单，未及时整改或再次出现同类问题的，立即下发违约通知单；现场发现重大安全隐患时，立即要求停止作业，并下发违约通知单。</w:t>
      </w:r>
    </w:p>
    <w:p>
      <w:pPr>
        <w:pStyle w:val="2"/>
        <w:numPr>
          <w:ilvl w:val="0"/>
          <w:numId w:val="21"/>
        </w:numPr>
        <w:snapToGrid w:val="0"/>
        <w:spacing w:after="0"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督促相关方及时整改安全隐患问题。</w:t>
      </w:r>
    </w:p>
    <w:p>
      <w:pPr>
        <w:pStyle w:val="2"/>
        <w:numPr>
          <w:ilvl w:val="0"/>
          <w:numId w:val="21"/>
        </w:numPr>
        <w:snapToGrid w:val="0"/>
        <w:spacing w:after="0"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收集项目违约通知单，办理请款资料提交工作。</w:t>
      </w:r>
    </w:p>
    <w:p>
      <w:pPr>
        <w:snapToGrid w:val="0"/>
        <w:spacing w:line="600" w:lineRule="exact"/>
        <w:ind w:firstLine="420" w:firstLineChars="200"/>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（五）管网公司合同管理部</w:t>
      </w:r>
    </w:p>
    <w:p>
      <w:pPr>
        <w:pStyle w:val="2"/>
        <w:numPr>
          <w:ilvl w:val="0"/>
          <w:numId w:val="22"/>
        </w:numPr>
        <w:snapToGrid w:val="0"/>
        <w:spacing w:after="0"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对业务管理部提交的违约通知单扣款情况进行审核。</w:t>
      </w:r>
    </w:p>
    <w:p>
      <w:pPr>
        <w:pStyle w:val="3"/>
        <w:numPr>
          <w:ilvl w:val="0"/>
          <w:numId w:val="22"/>
        </w:numPr>
        <w:snapToGrid w:val="0"/>
        <w:spacing w:after="0" w:line="600" w:lineRule="exact"/>
        <w:ind w:firstLine="422" w:firstLineChars="200"/>
        <w:rPr>
          <w:rFonts w:hAnsi="Times New Roman" w:eastAsia="仿宋_GB2312" w:cs="仿宋"/>
          <w:color w:val="auto"/>
          <w:szCs w:val="21"/>
          <w:highlight w:val="none"/>
          <w:lang w:val="en-US"/>
        </w:rPr>
      </w:pPr>
      <w:r>
        <w:rPr>
          <w:rFonts w:hint="eastAsia" w:hAnsi="Times New Roman" w:eastAsia="仿宋_GB2312" w:cs="仿宋"/>
          <w:color w:val="auto"/>
          <w:szCs w:val="21"/>
          <w:highlight w:val="none"/>
          <w:lang w:val="en-US"/>
        </w:rPr>
        <w:t>研究梳理罚款与考核评分的联动机制，罚款与考核评分挂钩，制定具体扣分标准和处置方式，完善供应商库管理办法。</w:t>
      </w:r>
    </w:p>
    <w:p>
      <w:pPr>
        <w:pStyle w:val="3"/>
        <w:numPr>
          <w:ilvl w:val="0"/>
          <w:numId w:val="22"/>
        </w:numPr>
        <w:snapToGrid w:val="0"/>
        <w:spacing w:after="0" w:line="600" w:lineRule="exact"/>
        <w:ind w:firstLine="422" w:firstLineChars="200"/>
        <w:rPr>
          <w:rFonts w:hAnsi="Times New Roman" w:eastAsia="仿宋_GB2312" w:cs="仿宋"/>
          <w:color w:val="auto"/>
          <w:szCs w:val="21"/>
          <w:highlight w:val="none"/>
          <w:lang w:val="en-US"/>
        </w:rPr>
      </w:pPr>
      <w:r>
        <w:rPr>
          <w:rFonts w:hint="eastAsia" w:hAnsi="Times New Roman" w:eastAsia="仿宋_GB2312" w:cs="仿宋"/>
          <w:color w:val="auto"/>
          <w:szCs w:val="21"/>
          <w:highlight w:val="none"/>
          <w:lang w:val="en-US"/>
        </w:rPr>
        <w:t>在库内派单时要将该考核细则作为附件，提前告知相关方知悉安全考核细则并遵照执行。</w:t>
      </w:r>
    </w:p>
    <w:p>
      <w:pPr>
        <w:snapToGrid w:val="0"/>
        <w:spacing w:line="600" w:lineRule="exact"/>
        <w:ind w:firstLine="420" w:firstLineChars="200"/>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（六）管网公司财务部</w:t>
      </w:r>
    </w:p>
    <w:p>
      <w:pPr>
        <w:autoSpaceDE w:val="0"/>
        <w:autoSpaceDN w:val="0"/>
        <w:snapToGrid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根据合同管理部的审核意见，落实违约通知单扣款情况。</w:t>
      </w:r>
    </w:p>
    <w:bookmarkEnd w:id="11"/>
    <w:p>
      <w:pPr>
        <w:numPr>
          <w:ilvl w:val="255"/>
          <w:numId w:val="0"/>
        </w:numPr>
        <w:autoSpaceDE w:val="0"/>
        <w:autoSpaceDN w:val="0"/>
        <w:snapToGrid w:val="0"/>
        <w:spacing w:line="600" w:lineRule="exact"/>
        <w:ind w:firstLine="420" w:firstLineChars="200"/>
        <w:outlineLvl w:val="0"/>
        <w:rPr>
          <w:rFonts w:ascii="Times New Roman" w:hAnsi="Times New Roman" w:eastAsia="黑体" w:cs="黑体"/>
          <w:bCs/>
          <w:color w:val="auto"/>
          <w:szCs w:val="21"/>
          <w:highlight w:val="none"/>
        </w:rPr>
      </w:pPr>
      <w:r>
        <w:rPr>
          <w:rFonts w:hint="eastAsia" w:ascii="Times New Roman" w:hAnsi="Times New Roman" w:eastAsia="黑体" w:cs="黑体"/>
          <w:bCs/>
          <w:color w:val="auto"/>
          <w:szCs w:val="21"/>
          <w:highlight w:val="none"/>
        </w:rPr>
        <w:t>第五条 相关方安全管理</w:t>
      </w:r>
    </w:p>
    <w:p>
      <w:pPr>
        <w:pStyle w:val="294"/>
        <w:widowControl w:val="0"/>
        <w:numPr>
          <w:ilvl w:val="0"/>
          <w:numId w:val="0"/>
        </w:numPr>
        <w:snapToGrid w:val="0"/>
        <w:spacing w:line="600" w:lineRule="exact"/>
        <w:ind w:firstLine="420" w:firstLineChars="200"/>
        <w:jc w:val="both"/>
        <w:outlineLvl w:val="1"/>
        <w:rPr>
          <w:rFonts w:ascii="Times New Roman" w:hAnsi="Times New Roman" w:eastAsia="楷体_GB2312" w:cs="楷体_GB2312"/>
          <w:bCs/>
          <w:color w:val="auto"/>
          <w:kern w:val="0"/>
          <w:sz w:val="21"/>
          <w:szCs w:val="21"/>
          <w:highlight w:val="none"/>
        </w:rPr>
      </w:pPr>
      <w:bookmarkStart w:id="12" w:name="_Toc11287"/>
      <w:bookmarkStart w:id="13" w:name="_Toc501447133"/>
      <w:bookmarkStart w:id="14" w:name="_Toc417462387"/>
      <w:r>
        <w:rPr>
          <w:rFonts w:hint="eastAsia" w:ascii="Times New Roman" w:hAnsi="Times New Roman" w:eastAsia="楷体_GB2312" w:cs="楷体_GB2312"/>
          <w:bCs/>
          <w:color w:val="auto"/>
          <w:kern w:val="0"/>
          <w:sz w:val="21"/>
          <w:szCs w:val="21"/>
          <w:highlight w:val="none"/>
        </w:rPr>
        <w:t>（一）相关方管理</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bCs/>
          <w:color w:val="auto"/>
          <w:kern w:val="0"/>
          <w:sz w:val="21"/>
          <w:szCs w:val="21"/>
          <w:highlight w:val="none"/>
        </w:rPr>
      </w:pPr>
      <w:r>
        <w:rPr>
          <w:rFonts w:hint="eastAsia" w:ascii="Times New Roman" w:hAnsi="Times New Roman" w:eastAsia="仿宋_GB2312" w:cs="仿宋"/>
          <w:bCs/>
          <w:color w:val="auto"/>
          <w:kern w:val="0"/>
          <w:sz w:val="21"/>
          <w:szCs w:val="21"/>
          <w:highlight w:val="none"/>
        </w:rPr>
        <w:t>项目开工前，相关方应按照管网公司的要求提交施工方案、事故应急救援预案、作业人员花名册、人员培训资料等相关资料，经管网公司审核通过后方可进场作业。资料不齐全的，严禁进场开工实施作业。</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bCs/>
          <w:color w:val="auto"/>
          <w:kern w:val="0"/>
          <w:sz w:val="21"/>
          <w:szCs w:val="21"/>
          <w:highlight w:val="none"/>
        </w:rPr>
      </w:pPr>
      <w:r>
        <w:rPr>
          <w:rFonts w:hint="eastAsia" w:ascii="Times New Roman" w:hAnsi="Times New Roman" w:eastAsia="仿宋_GB2312" w:cs="仿宋"/>
          <w:bCs/>
          <w:color w:val="auto"/>
          <w:kern w:val="0"/>
          <w:sz w:val="21"/>
          <w:szCs w:val="21"/>
          <w:highlight w:val="none"/>
        </w:rPr>
        <w:t>超过一定规模的危险性较大的分部分项工程（依据2018中华人民共和国住房和城乡建设部令第37号规定），相关方必须组织专家论证，论证通过后方可进行施工。</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bCs/>
          <w:color w:val="auto"/>
          <w:kern w:val="0"/>
          <w:sz w:val="21"/>
          <w:szCs w:val="21"/>
          <w:highlight w:val="none"/>
        </w:rPr>
      </w:pPr>
      <w:r>
        <w:rPr>
          <w:rFonts w:hint="eastAsia" w:ascii="Times New Roman" w:hAnsi="Times New Roman" w:eastAsia="仿宋_GB2312" w:cs="仿宋"/>
          <w:bCs/>
          <w:color w:val="auto"/>
          <w:kern w:val="0"/>
          <w:sz w:val="21"/>
          <w:szCs w:val="21"/>
          <w:highlight w:val="none"/>
        </w:rPr>
        <w:t>如项目已聘请监理单位，开工前提交相关资料经监理单位及业务工作部门审核通过后方可开工。</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经管网公司安全教育培训考核合格的相关方管理人员，予以办理准入证，并登记在册（有效期一年）。</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未经取得相关方管理人员准入证，严禁担任现场负责人或现场监护人等主要管理人员岗位。</w:t>
      </w:r>
    </w:p>
    <w:p>
      <w:pPr>
        <w:pStyle w:val="294"/>
        <w:widowControl w:val="0"/>
        <w:numPr>
          <w:ilvl w:val="0"/>
          <w:numId w:val="23"/>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相关方对违约通知单进行签收盖章，并提交业务工作部。如有异议，应于3个工作日内向分公司业务工作部提交书面说明，否则将根据本通知单进行处理。</w:t>
      </w:r>
    </w:p>
    <w:p>
      <w:pPr>
        <w:pStyle w:val="294"/>
        <w:widowControl w:val="0"/>
        <w:numPr>
          <w:ilvl w:val="0"/>
          <w:numId w:val="0"/>
        </w:numPr>
        <w:snapToGrid w:val="0"/>
        <w:spacing w:line="600" w:lineRule="exact"/>
        <w:ind w:firstLine="420" w:firstLineChars="200"/>
        <w:jc w:val="both"/>
        <w:outlineLvl w:val="1"/>
        <w:rPr>
          <w:rFonts w:ascii="Times New Roman" w:hAnsi="Times New Roman" w:eastAsia="楷体_GB2312" w:cs="楷体_GB2312"/>
          <w:bCs/>
          <w:color w:val="auto"/>
          <w:kern w:val="0"/>
          <w:sz w:val="21"/>
          <w:szCs w:val="21"/>
          <w:highlight w:val="none"/>
        </w:rPr>
      </w:pPr>
      <w:r>
        <w:rPr>
          <w:rFonts w:hint="eastAsia" w:ascii="Times New Roman" w:hAnsi="Times New Roman" w:eastAsia="楷体_GB2312" w:cs="楷体_GB2312"/>
          <w:bCs/>
          <w:color w:val="auto"/>
          <w:kern w:val="0"/>
          <w:sz w:val="21"/>
          <w:szCs w:val="21"/>
          <w:highlight w:val="none"/>
        </w:rPr>
        <w:t>（二）相关方安全防护用品管理</w:t>
      </w:r>
    </w:p>
    <w:p>
      <w:pPr>
        <w:pStyle w:val="294"/>
        <w:widowControl w:val="0"/>
        <w:numPr>
          <w:ilvl w:val="0"/>
          <w:numId w:val="24"/>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相关方必须为员工提供符合标准的劳保用品（例如：工作服、反光背心、安全帽、手套等）。</w:t>
      </w:r>
    </w:p>
    <w:p>
      <w:pPr>
        <w:pStyle w:val="294"/>
        <w:widowControl w:val="0"/>
        <w:numPr>
          <w:ilvl w:val="0"/>
          <w:numId w:val="24"/>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作业人员正确穿戴合适的劳保用品方可开始作业，安全防护用品不齐全的严禁进入施工现场。</w:t>
      </w:r>
    </w:p>
    <w:p>
      <w:pPr>
        <w:pStyle w:val="294"/>
        <w:widowControl w:val="0"/>
        <w:numPr>
          <w:ilvl w:val="0"/>
          <w:numId w:val="24"/>
        </w:numPr>
        <w:snapToGrid w:val="0"/>
        <w:spacing w:line="600" w:lineRule="exact"/>
        <w:ind w:firstLine="420" w:firstLineChars="200"/>
        <w:jc w:val="both"/>
        <w:outlineLvl w:val="1"/>
        <w:rPr>
          <w:rFonts w:ascii="Times New Roman" w:hAnsi="Times New Roman" w:eastAsia="仿宋_GB2312" w:cs="仿宋"/>
          <w:color w:val="auto"/>
          <w:sz w:val="21"/>
          <w:szCs w:val="21"/>
          <w:highlight w:val="none"/>
        </w:rPr>
      </w:pPr>
      <w:r>
        <w:rPr>
          <w:rFonts w:hint="eastAsia" w:ascii="Times New Roman" w:hAnsi="Times New Roman" w:eastAsia="仿宋_GB2312" w:cs="仿宋"/>
          <w:color w:val="auto"/>
          <w:sz w:val="21"/>
          <w:szCs w:val="21"/>
          <w:highlight w:val="none"/>
        </w:rPr>
        <w:t>相关方涉及危险作业（有限空间作业、水下作业）的安全防护用品必须为合格产品，且相关仪器设备在检测校验有效期内，配置不低于管网公司标准要求：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201"/>
        <w:gridCol w:w="2502"/>
        <w:gridCol w:w="6"/>
        <w:gridCol w:w="1453"/>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061" w:type="dxa"/>
            <w:gridSpan w:val="6"/>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b/>
                <w:bCs/>
                <w:color w:val="auto"/>
                <w:sz w:val="20"/>
                <w:szCs w:val="20"/>
                <w:highlight w:val="none"/>
              </w:rPr>
              <w:t>有限空间作业安全防护用品配置要求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9"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序号</w:t>
            </w:r>
          </w:p>
        </w:tc>
        <w:tc>
          <w:tcPr>
            <w:tcW w:w="2202"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防护用品</w:t>
            </w:r>
          </w:p>
        </w:tc>
        <w:tc>
          <w:tcPr>
            <w:tcW w:w="2509" w:type="dxa"/>
            <w:gridSpan w:val="2"/>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规格要求</w:t>
            </w:r>
          </w:p>
        </w:tc>
        <w:tc>
          <w:tcPr>
            <w:tcW w:w="1454"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数量</w:t>
            </w:r>
          </w:p>
        </w:tc>
        <w:tc>
          <w:tcPr>
            <w:tcW w:w="1857"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9"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w:t>
            </w:r>
          </w:p>
        </w:tc>
        <w:tc>
          <w:tcPr>
            <w:tcW w:w="2202"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全身式安全带</w:t>
            </w:r>
          </w:p>
        </w:tc>
        <w:tc>
          <w:tcPr>
            <w:tcW w:w="2509" w:type="dxa"/>
            <w:gridSpan w:val="2"/>
            <w:vAlign w:val="bottom"/>
          </w:tcPr>
          <w:p>
            <w:pPr>
              <w:pStyle w:val="2"/>
              <w:spacing w:after="0" w:line="400" w:lineRule="exact"/>
              <w:jc w:val="center"/>
              <w:rPr>
                <w:rFonts w:ascii="Times New Roman" w:hAnsi="Times New Roman" w:eastAsia="仿宋_GB2312"/>
                <w:color w:val="auto"/>
                <w:sz w:val="20"/>
                <w:szCs w:val="20"/>
                <w:highlight w:val="none"/>
              </w:rPr>
            </w:pPr>
          </w:p>
        </w:tc>
        <w:tc>
          <w:tcPr>
            <w:tcW w:w="1454"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至少2条</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39"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2</w:t>
            </w:r>
          </w:p>
        </w:tc>
        <w:tc>
          <w:tcPr>
            <w:tcW w:w="2202"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安全绳</w:t>
            </w:r>
          </w:p>
        </w:tc>
        <w:tc>
          <w:tcPr>
            <w:tcW w:w="2509" w:type="dxa"/>
            <w:gridSpan w:val="2"/>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化纤材质</w:t>
            </w:r>
          </w:p>
        </w:tc>
        <w:tc>
          <w:tcPr>
            <w:tcW w:w="1454"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至少2条</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9"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3</w:t>
            </w:r>
          </w:p>
        </w:tc>
        <w:tc>
          <w:tcPr>
            <w:tcW w:w="2202"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送风式长管</w:t>
            </w:r>
          </w:p>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呼吸器</w:t>
            </w:r>
          </w:p>
        </w:tc>
        <w:tc>
          <w:tcPr>
            <w:tcW w:w="2509"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充电式或配备</w:t>
            </w:r>
          </w:p>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后备电源</w:t>
            </w:r>
          </w:p>
        </w:tc>
        <w:tc>
          <w:tcPr>
            <w:tcW w:w="1454"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1套</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3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4</w:t>
            </w:r>
          </w:p>
        </w:tc>
        <w:tc>
          <w:tcPr>
            <w:tcW w:w="2202"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正压式呼吸器</w:t>
            </w:r>
          </w:p>
        </w:tc>
        <w:tc>
          <w:tcPr>
            <w:tcW w:w="2509"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4"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1套</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气瓶气压不小于20MPA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3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5</w:t>
            </w:r>
          </w:p>
        </w:tc>
        <w:tc>
          <w:tcPr>
            <w:tcW w:w="2202"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四合一气体</w:t>
            </w:r>
          </w:p>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检测仪</w:t>
            </w:r>
          </w:p>
        </w:tc>
        <w:tc>
          <w:tcPr>
            <w:tcW w:w="2509"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可检测氧气、一氧化碳、硫化氢、</w:t>
            </w:r>
          </w:p>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可燃性气体</w:t>
            </w:r>
          </w:p>
        </w:tc>
        <w:tc>
          <w:tcPr>
            <w:tcW w:w="1454"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至少2台</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泵吸式气体检测仪、便携式气体检测仪各1台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3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6</w:t>
            </w:r>
          </w:p>
        </w:tc>
        <w:tc>
          <w:tcPr>
            <w:tcW w:w="2202"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轴流风机+风管</w:t>
            </w:r>
          </w:p>
        </w:tc>
        <w:tc>
          <w:tcPr>
            <w:tcW w:w="2509"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流量不小于3000m</w:t>
            </w:r>
            <w:r>
              <w:rPr>
                <w:rFonts w:hint="eastAsia" w:ascii="Times New Roman" w:hAnsi="Times New Roman" w:eastAsia="仿宋_GB2312"/>
                <w:color w:val="auto"/>
                <w:sz w:val="20"/>
                <w:szCs w:val="20"/>
                <w:highlight w:val="none"/>
                <w:vertAlign w:val="superscript"/>
              </w:rPr>
              <w:t>3</w:t>
            </w:r>
            <w:r>
              <w:rPr>
                <w:rFonts w:hint="eastAsia" w:ascii="Times New Roman" w:hAnsi="Times New Roman" w:eastAsia="仿宋_GB2312"/>
                <w:color w:val="auto"/>
                <w:sz w:val="20"/>
                <w:szCs w:val="20"/>
                <w:highlight w:val="none"/>
              </w:rPr>
              <w:t>/h</w:t>
            </w:r>
          </w:p>
        </w:tc>
        <w:tc>
          <w:tcPr>
            <w:tcW w:w="1454"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至少2套</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7</w:t>
            </w:r>
          </w:p>
        </w:tc>
        <w:tc>
          <w:tcPr>
            <w:tcW w:w="2202"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s="Times New Roman"/>
                <w:color w:val="auto"/>
                <w:sz w:val="20"/>
                <w:szCs w:val="20"/>
                <w:highlight w:val="none"/>
              </w:rPr>
              <w:t>救援三脚架</w:t>
            </w:r>
          </w:p>
        </w:tc>
        <w:tc>
          <w:tcPr>
            <w:tcW w:w="2509" w:type="dxa"/>
            <w:gridSpan w:val="2"/>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铝合金材质</w:t>
            </w:r>
          </w:p>
        </w:tc>
        <w:tc>
          <w:tcPr>
            <w:tcW w:w="1454"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1套</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3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8</w:t>
            </w:r>
          </w:p>
        </w:tc>
        <w:tc>
          <w:tcPr>
            <w:tcW w:w="2202"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对讲机</w:t>
            </w:r>
          </w:p>
        </w:tc>
        <w:tc>
          <w:tcPr>
            <w:tcW w:w="2509" w:type="dxa"/>
            <w:gridSpan w:val="2"/>
            <w:vAlign w:val="bottom"/>
          </w:tcPr>
          <w:p>
            <w:pPr>
              <w:pStyle w:val="2"/>
              <w:spacing w:after="0" w:line="400" w:lineRule="exact"/>
              <w:jc w:val="center"/>
              <w:rPr>
                <w:rFonts w:ascii="Times New Roman" w:hAnsi="Times New Roman" w:eastAsia="仿宋_GB2312"/>
                <w:color w:val="auto"/>
                <w:sz w:val="20"/>
                <w:szCs w:val="20"/>
                <w:highlight w:val="none"/>
              </w:rPr>
            </w:pPr>
          </w:p>
        </w:tc>
        <w:tc>
          <w:tcPr>
            <w:tcW w:w="1454"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至少2个</w:t>
            </w:r>
          </w:p>
        </w:tc>
        <w:tc>
          <w:tcPr>
            <w:tcW w:w="1857"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gridSpan w:val="6"/>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b/>
                <w:bCs/>
                <w:color w:val="auto"/>
                <w:sz w:val="20"/>
                <w:szCs w:val="20"/>
                <w:highlight w:val="none"/>
              </w:rPr>
              <w:t>水下作业安全防护用品配置要求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1"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序号</w:t>
            </w:r>
          </w:p>
        </w:tc>
        <w:tc>
          <w:tcPr>
            <w:tcW w:w="2200"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防护用品</w:t>
            </w:r>
          </w:p>
        </w:tc>
        <w:tc>
          <w:tcPr>
            <w:tcW w:w="2503"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规格要求</w:t>
            </w:r>
          </w:p>
        </w:tc>
        <w:tc>
          <w:tcPr>
            <w:tcW w:w="1458" w:type="dxa"/>
            <w:gridSpan w:val="2"/>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数量</w:t>
            </w:r>
          </w:p>
        </w:tc>
        <w:tc>
          <w:tcPr>
            <w:tcW w:w="1859" w:type="dxa"/>
            <w:vAlign w:val="bottom"/>
          </w:tcPr>
          <w:p>
            <w:pPr>
              <w:pStyle w:val="2"/>
              <w:spacing w:after="0" w:line="400" w:lineRule="exact"/>
              <w:jc w:val="center"/>
              <w:rPr>
                <w:rFonts w:ascii="Times New Roman" w:hAnsi="Times New Roman" w:eastAsia="仿宋_GB2312" w:cs="Arial"/>
                <w:b/>
                <w:bCs/>
                <w:color w:val="auto"/>
                <w:sz w:val="20"/>
                <w:szCs w:val="20"/>
                <w:highlight w:val="none"/>
              </w:rPr>
            </w:pPr>
            <w:r>
              <w:rPr>
                <w:rFonts w:hint="eastAsia" w:ascii="Times New Roman" w:hAnsi="Times New Roman" w:eastAsia="仿宋_GB2312"/>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全身式安全带</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至少2条</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2</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安全绳</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化纤材质</w:t>
            </w: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至少2条</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3</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潜水员套装</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2套</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4</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备用压缩空气</w:t>
            </w:r>
          </w:p>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气瓶</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1个</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气瓶压力不低于20MPA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5</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气体过滤器</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1个</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6</w:t>
            </w:r>
          </w:p>
        </w:tc>
        <w:tc>
          <w:tcPr>
            <w:tcW w:w="2200"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潜水员对讲机</w:t>
            </w:r>
          </w:p>
        </w:tc>
        <w:tc>
          <w:tcPr>
            <w:tcW w:w="2503" w:type="dxa"/>
            <w:vAlign w:val="center"/>
          </w:tcPr>
          <w:p>
            <w:pPr>
              <w:pStyle w:val="2"/>
              <w:spacing w:after="0" w:line="400" w:lineRule="exact"/>
              <w:jc w:val="center"/>
              <w:rPr>
                <w:rFonts w:ascii="Times New Roman" w:hAnsi="Times New Roman" w:eastAsia="仿宋_GB2312"/>
                <w:color w:val="auto"/>
                <w:sz w:val="20"/>
                <w:szCs w:val="20"/>
                <w:highlight w:val="none"/>
              </w:rPr>
            </w:pPr>
          </w:p>
        </w:tc>
        <w:tc>
          <w:tcPr>
            <w:tcW w:w="1458" w:type="dxa"/>
            <w:gridSpan w:val="2"/>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2台</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1" w:type="dxa"/>
            <w:vAlign w:val="center"/>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7</w:t>
            </w:r>
          </w:p>
        </w:tc>
        <w:tc>
          <w:tcPr>
            <w:tcW w:w="2200"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s="Times New Roman"/>
                <w:color w:val="auto"/>
                <w:sz w:val="20"/>
                <w:szCs w:val="20"/>
                <w:highlight w:val="none"/>
              </w:rPr>
              <w:t>救援三脚架</w:t>
            </w:r>
          </w:p>
        </w:tc>
        <w:tc>
          <w:tcPr>
            <w:tcW w:w="2503" w:type="dxa"/>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铝合金材质</w:t>
            </w:r>
          </w:p>
        </w:tc>
        <w:tc>
          <w:tcPr>
            <w:tcW w:w="1458" w:type="dxa"/>
            <w:gridSpan w:val="2"/>
            <w:vAlign w:val="bottom"/>
          </w:tcPr>
          <w:p>
            <w:pPr>
              <w:pStyle w:val="2"/>
              <w:spacing w:after="0" w:line="400" w:lineRule="exact"/>
              <w:jc w:val="center"/>
              <w:rPr>
                <w:rFonts w:ascii="Times New Roman" w:hAnsi="Times New Roman" w:eastAsia="仿宋_GB2312"/>
                <w:color w:val="auto"/>
                <w:sz w:val="20"/>
                <w:szCs w:val="20"/>
                <w:highlight w:val="none"/>
              </w:rPr>
            </w:pPr>
            <w:r>
              <w:rPr>
                <w:rFonts w:hint="eastAsia" w:ascii="Times New Roman" w:hAnsi="Times New Roman" w:eastAsia="仿宋_GB2312"/>
                <w:color w:val="auto"/>
                <w:sz w:val="20"/>
                <w:szCs w:val="20"/>
                <w:highlight w:val="none"/>
              </w:rPr>
              <w:t>1套</w:t>
            </w:r>
          </w:p>
        </w:tc>
        <w:tc>
          <w:tcPr>
            <w:tcW w:w="1859" w:type="dxa"/>
            <w:vAlign w:val="center"/>
          </w:tcPr>
          <w:p>
            <w:pPr>
              <w:pStyle w:val="2"/>
              <w:spacing w:after="0" w:line="400" w:lineRule="exact"/>
              <w:jc w:val="center"/>
              <w:rPr>
                <w:rFonts w:ascii="Times New Roman" w:hAnsi="Times New Roman" w:eastAsia="仿宋_GB2312"/>
                <w:color w:val="auto"/>
                <w:sz w:val="20"/>
                <w:szCs w:val="20"/>
                <w:highlight w:val="none"/>
              </w:rPr>
            </w:pPr>
          </w:p>
        </w:tc>
      </w:tr>
    </w:tbl>
    <w:p>
      <w:pPr>
        <w:spacing w:line="600" w:lineRule="exact"/>
        <w:ind w:firstLine="420" w:firstLineChars="200"/>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（三）相关方危险作业管理</w:t>
      </w:r>
    </w:p>
    <w:p>
      <w:pPr>
        <w:numPr>
          <w:ilvl w:val="0"/>
          <w:numId w:val="25"/>
        </w:numPr>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相关方实施危险作业时，应遵守管网公司危险作业安全管理制度，严格执行危险作业许可程序。</w:t>
      </w:r>
    </w:p>
    <w:p>
      <w:pPr>
        <w:numPr>
          <w:ilvl w:val="0"/>
          <w:numId w:val="25"/>
        </w:numPr>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危险作业实施过程中，应设专人监护，监护人持有管网公司相关方管理人员准入证。</w:t>
      </w:r>
    </w:p>
    <w:p>
      <w:pPr>
        <w:spacing w:line="600" w:lineRule="exact"/>
        <w:ind w:firstLine="420" w:firstLineChars="200"/>
        <w:rPr>
          <w:rFonts w:ascii="Times New Roman" w:hAnsi="Times New Roman" w:eastAsia="楷体_GB2312" w:cs="楷体_GB2312"/>
          <w:color w:val="auto"/>
          <w:szCs w:val="21"/>
          <w:highlight w:val="none"/>
        </w:rPr>
      </w:pPr>
      <w:r>
        <w:rPr>
          <w:rFonts w:hint="eastAsia" w:ascii="Times New Roman" w:hAnsi="Times New Roman" w:eastAsia="楷体_GB2312" w:cs="楷体_GB2312"/>
          <w:color w:val="auto"/>
          <w:szCs w:val="21"/>
          <w:highlight w:val="none"/>
        </w:rPr>
        <w:t>（四）相关方应急处理</w:t>
      </w:r>
    </w:p>
    <w:p>
      <w:pPr>
        <w:numPr>
          <w:ilvl w:val="0"/>
          <w:numId w:val="26"/>
        </w:numPr>
        <w:spacing w:line="600" w:lineRule="exact"/>
        <w:ind w:firstLine="420" w:firstLineChars="200"/>
        <w:rPr>
          <w:rFonts w:ascii="Times New Roman" w:hAnsi="Times New Roman" w:eastAsia="仿宋_GB2312"/>
          <w:color w:val="auto"/>
          <w:szCs w:val="20"/>
          <w:highlight w:val="none"/>
        </w:rPr>
      </w:pPr>
      <w:r>
        <w:rPr>
          <w:rFonts w:hint="eastAsia" w:ascii="Times New Roman" w:hAnsi="Times New Roman" w:eastAsia="仿宋_GB2312" w:cs="仿宋"/>
          <w:color w:val="auto"/>
          <w:szCs w:val="21"/>
          <w:highlight w:val="none"/>
        </w:rPr>
        <w:t>相关方应定期组织员工开展应急演练培训，并保存培训记录。相关方主要管理人员必须具备应急救援能力，严禁盲目施救</w:t>
      </w:r>
      <w:r>
        <w:rPr>
          <w:rFonts w:hint="eastAsia" w:ascii="Times New Roman" w:hAnsi="Times New Roman" w:eastAsia="仿宋_GB2312"/>
          <w:color w:val="auto"/>
          <w:szCs w:val="20"/>
          <w:highlight w:val="none"/>
        </w:rPr>
        <w:t>。</w:t>
      </w:r>
    </w:p>
    <w:p>
      <w:pPr>
        <w:numPr>
          <w:ilvl w:val="0"/>
          <w:numId w:val="26"/>
        </w:numPr>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现场发生安全事故时，相关方应半小时内向业务工作部项目负责人汇报。严禁迟报、瞒报、谎报安全事故，不得故意破坏事故现场，毁灭有关证据。</w:t>
      </w:r>
    </w:p>
    <w:p>
      <w:pPr>
        <w:numPr>
          <w:ilvl w:val="255"/>
          <w:numId w:val="0"/>
        </w:numPr>
        <w:spacing w:line="600" w:lineRule="exact"/>
        <w:ind w:firstLine="420" w:firstLineChars="200"/>
        <w:rPr>
          <w:rFonts w:ascii="Times New Roman" w:hAnsi="Times New Roman" w:eastAsia="仿宋_GB2312" w:cs="仿宋"/>
          <w:b/>
          <w:bCs/>
          <w:color w:val="auto"/>
          <w:szCs w:val="21"/>
          <w:highlight w:val="none"/>
        </w:rPr>
      </w:pPr>
      <w:r>
        <w:rPr>
          <w:rFonts w:hint="eastAsia" w:ascii="Times New Roman" w:hAnsi="Times New Roman" w:eastAsia="仿宋_GB2312" w:cs="仿宋"/>
          <w:color w:val="auto"/>
          <w:szCs w:val="21"/>
          <w:highlight w:val="none"/>
        </w:rPr>
        <w:t>3</w:t>
      </w:r>
      <w:r>
        <w:rPr>
          <w:rFonts w:hint="eastAsia" w:ascii="Times New Roman" w:hAnsi="Times New Roman" w:eastAsia="黑体" w:cs="黑体"/>
          <w:color w:val="auto"/>
          <w:szCs w:val="21"/>
          <w:highlight w:val="none"/>
        </w:rPr>
        <w:t>．</w:t>
      </w:r>
      <w:r>
        <w:rPr>
          <w:rFonts w:hint="eastAsia" w:ascii="Times New Roman" w:hAnsi="Times New Roman" w:eastAsia="仿宋_GB2312" w:cs="仿宋"/>
          <w:color w:val="auto"/>
          <w:szCs w:val="21"/>
          <w:highlight w:val="none"/>
        </w:rPr>
        <w:t>施工现场必须配备完善作业信息牌。</w:t>
      </w:r>
      <w:bookmarkEnd w:id="12"/>
      <w:bookmarkEnd w:id="13"/>
      <w:bookmarkEnd w:id="14"/>
    </w:p>
    <w:p>
      <w:pPr>
        <w:autoSpaceDE w:val="0"/>
        <w:autoSpaceDN w:val="0"/>
        <w:spacing w:line="600" w:lineRule="exact"/>
        <w:ind w:firstLine="420" w:firstLineChars="200"/>
        <w:rPr>
          <w:rFonts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第六条 附则</w:t>
      </w:r>
    </w:p>
    <w:p>
      <w:pPr>
        <w:numPr>
          <w:ilvl w:val="0"/>
          <w:numId w:val="27"/>
        </w:numPr>
        <w:autoSpaceDE w:val="0"/>
        <w:autoSpaceDN w:val="0"/>
        <w:spacing w:line="600" w:lineRule="exact"/>
        <w:ind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本考核细则由管网公司安全监管部制定、修改及解释。</w:t>
      </w:r>
    </w:p>
    <w:p>
      <w:pPr>
        <w:numPr>
          <w:ilvl w:val="0"/>
          <w:numId w:val="27"/>
        </w:numPr>
        <w:autoSpaceDE w:val="0"/>
        <w:autoSpaceDN w:val="0"/>
        <w:spacing w:line="600" w:lineRule="exact"/>
        <w:ind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本考核细则自印发之日起试行。</w:t>
      </w:r>
    </w:p>
    <w:p>
      <w:pPr>
        <w:pStyle w:val="2"/>
        <w:spacing w:after="0" w:line="600" w:lineRule="exact"/>
        <w:ind w:firstLine="422" w:firstLineChars="200"/>
        <w:rPr>
          <w:rFonts w:ascii="Times New Roman" w:hAnsi="Times New Roman" w:eastAsia="仿宋_GB2312"/>
          <w:b/>
          <w:bCs/>
          <w:color w:val="auto"/>
          <w:szCs w:val="28"/>
          <w:highlight w:val="none"/>
        </w:rPr>
      </w:pPr>
    </w:p>
    <w:p>
      <w:pPr>
        <w:autoSpaceDE w:val="0"/>
        <w:autoSpaceDN w:val="0"/>
        <w:spacing w:line="600" w:lineRule="exact"/>
        <w:ind w:firstLine="420" w:firstLineChars="200"/>
        <w:rPr>
          <w:rFonts w:ascii="Times New Roman" w:hAnsi="Times New Roman" w:eastAsia="仿宋_GB2312" w:cs="仿宋"/>
          <w:color w:val="auto"/>
          <w:szCs w:val="21"/>
          <w:highlight w:val="none"/>
        </w:rPr>
      </w:pPr>
      <w:r>
        <w:rPr>
          <w:rFonts w:hint="eastAsia" w:ascii="Times New Roman" w:hAnsi="Times New Roman" w:eastAsia="仿宋_GB2312" w:cs="仿宋"/>
          <w:color w:val="auto"/>
          <w:szCs w:val="21"/>
          <w:highlight w:val="none"/>
        </w:rPr>
        <w:t>附件：1</w:t>
      </w:r>
      <w:r>
        <w:rPr>
          <w:rFonts w:hint="eastAsia" w:ascii="Times New Roman" w:hAnsi="Times New Roman" w:eastAsia="黑体" w:cs="黑体"/>
          <w:color w:val="auto"/>
          <w:szCs w:val="21"/>
          <w:highlight w:val="none"/>
        </w:rPr>
        <w:t>．</w:t>
      </w:r>
      <w:r>
        <w:rPr>
          <w:rFonts w:hint="eastAsia" w:ascii="Times New Roman" w:hAnsi="Times New Roman" w:eastAsia="仿宋_GB2312" w:cs="仿宋"/>
          <w:color w:val="auto"/>
          <w:szCs w:val="21"/>
          <w:highlight w:val="none"/>
        </w:rPr>
        <w:t>相关方安全考核细则表</w:t>
      </w:r>
    </w:p>
    <w:p>
      <w:pPr>
        <w:autoSpaceDE w:val="0"/>
        <w:autoSpaceDN w:val="0"/>
        <w:spacing w:line="600" w:lineRule="exact"/>
        <w:ind w:firstLine="1050" w:firstLineChars="500"/>
        <w:rPr>
          <w:rFonts w:ascii="Times New Roman" w:hAnsi="Times New Roman" w:eastAsia="仿宋_GB2312" w:cs="仿宋"/>
          <w:color w:val="auto"/>
          <w:szCs w:val="21"/>
          <w:highlight w:val="none"/>
        </w:rPr>
      </w:pPr>
      <w:r>
        <w:rPr>
          <w:rFonts w:ascii="Times New Roman" w:hAnsi="Times New Roman" w:eastAsia="仿宋_GB2312" w:cs="仿宋"/>
          <w:color w:val="auto"/>
          <w:szCs w:val="21"/>
          <w:highlight w:val="none"/>
        </w:rPr>
        <w:t>2</w:t>
      </w:r>
      <w:r>
        <w:rPr>
          <w:rFonts w:hint="eastAsia" w:ascii="Times New Roman" w:hAnsi="Times New Roman" w:eastAsia="黑体" w:cs="黑体"/>
          <w:color w:val="auto"/>
          <w:szCs w:val="21"/>
          <w:highlight w:val="none"/>
        </w:rPr>
        <w:t>．</w:t>
      </w:r>
      <w:r>
        <w:rPr>
          <w:rFonts w:ascii="Times New Roman" w:hAnsi="Times New Roman" w:eastAsia="仿宋_GB2312" w:cs="仿宋"/>
          <w:color w:val="auto"/>
          <w:szCs w:val="21"/>
          <w:highlight w:val="none"/>
        </w:rPr>
        <w:t>东莞市水务集团管网有限公司违约通知单</w:t>
      </w:r>
    </w:p>
    <w:p>
      <w:pPr>
        <w:jc w:val="left"/>
        <w:rPr>
          <w:rFonts w:ascii="黑体" w:hAnsi="黑体" w:eastAsia="黑体" w:cs="黑体"/>
          <w:color w:val="auto"/>
          <w:szCs w:val="21"/>
          <w:highlight w:val="none"/>
        </w:rPr>
      </w:pPr>
    </w:p>
    <w:p>
      <w:pPr>
        <w:pStyle w:val="2"/>
        <w:spacing w:after="0"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相关方安全考核细则表</w:t>
      </w:r>
    </w:p>
    <w:tbl>
      <w:tblPr>
        <w:tblStyle w:val="47"/>
        <w:tblW w:w="10014" w:type="dxa"/>
        <w:jc w:val="center"/>
        <w:tblLayout w:type="autofit"/>
        <w:tblCellMar>
          <w:top w:w="0" w:type="dxa"/>
          <w:left w:w="0" w:type="dxa"/>
          <w:bottom w:w="0" w:type="dxa"/>
          <w:right w:w="0" w:type="dxa"/>
        </w:tblCellMar>
      </w:tblPr>
      <w:tblGrid>
        <w:gridCol w:w="844"/>
        <w:gridCol w:w="1022"/>
        <w:gridCol w:w="4466"/>
        <w:gridCol w:w="1127"/>
        <w:gridCol w:w="1105"/>
        <w:gridCol w:w="1450"/>
      </w:tblGrid>
      <w:tr>
        <w:tblPrEx>
          <w:tblCellMar>
            <w:top w:w="0" w:type="dxa"/>
            <w:left w:w="0" w:type="dxa"/>
            <w:bottom w:w="0" w:type="dxa"/>
            <w:right w:w="0" w:type="dxa"/>
          </w:tblCellMar>
        </w:tblPrEx>
        <w:trPr>
          <w:trHeight w:val="658" w:hRule="atLeast"/>
          <w:tblHeader/>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类型</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考核条款</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检查内容</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检查方法</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kern w:val="0"/>
                <w:szCs w:val="21"/>
                <w:highlight w:val="none"/>
                <w:lang w:bidi="ar"/>
              </w:rPr>
            </w:pPr>
            <w:r>
              <w:rPr>
                <w:rFonts w:ascii="Times New Roman" w:hAnsi="Times New Roman" w:eastAsia="仿宋_GB2312" w:cs="Times New Roman"/>
                <w:b/>
                <w:color w:val="auto"/>
                <w:kern w:val="0"/>
                <w:szCs w:val="21"/>
                <w:highlight w:val="none"/>
                <w:lang w:bidi="ar"/>
              </w:rPr>
              <w:t>建议处置</w:t>
            </w:r>
          </w:p>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方式</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kern w:val="0"/>
                <w:szCs w:val="21"/>
                <w:highlight w:val="none"/>
                <w:lang w:bidi="ar"/>
              </w:rPr>
              <w:t>违约金基准 （单位：元）</w:t>
            </w:r>
          </w:p>
        </w:tc>
      </w:tr>
      <w:tr>
        <w:tblPrEx>
          <w:tblCellMar>
            <w:top w:w="0" w:type="dxa"/>
            <w:left w:w="0" w:type="dxa"/>
            <w:bottom w:w="0" w:type="dxa"/>
            <w:right w:w="0" w:type="dxa"/>
          </w:tblCellMar>
        </w:tblPrEx>
        <w:trPr>
          <w:trHeight w:val="8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安         全         管          理         制         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主要管理人员及专职安全管理人员未持有安全考核合格证，或配备的安全管理人员小于国家规定数量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特种作业人员资格证书档案资料缺失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作业人员花名册及所附资料不全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项目未购买意外保险，或保额低于100万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施工现场消防安全责任制资料缺失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安全教育培训制度资料缺失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1.7</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安全隐患排查整改制度资料缺失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1.8</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安全作业规程及设备操作规程资料缺失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1.9</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危险作业管理制度资料缺失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1.10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应急救援预案资料缺失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1.11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安全文明措施费使用记录资料缺失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1.12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劳动防护用品配备及管理制度资料缺失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应</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急</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管</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理</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年度应急演练计划缺失或不完善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应急演练记录（每年不低于2次）资料缺失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安全事故迟报、瞒报、谎报</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员工受伤，不及时救治</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4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日</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常</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安</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全</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教</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育</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员工三级教育档案资料缺失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安全培训教育记录不齐全，未覆盖全员培训</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每日作业前安全技术交底记录缺失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安全培训教育资料存在人员代签现象</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特种作业人员无持证上岗</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58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安全   防护     用品</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4.1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现场配置的安全防护用品缺失或不正确使用安全防护用品</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4.2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有限空间作业未按要求配置安全防护用品（全身式安全带、四合一气体检测仪、长管呼吸器）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2000</w:t>
            </w:r>
          </w:p>
        </w:tc>
      </w:tr>
      <w:tr>
        <w:tblPrEx>
          <w:tblCellMar>
            <w:top w:w="0" w:type="dxa"/>
            <w:left w:w="0" w:type="dxa"/>
            <w:bottom w:w="0" w:type="dxa"/>
            <w:right w:w="0" w:type="dxa"/>
          </w:tblCellMar>
        </w:tblPrEx>
        <w:trPr>
          <w:trHeight w:val="5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4.3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有限空间作业未按要求配置应急救援装备（正压式呼吸器、救援三脚架）</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2000</w:t>
            </w:r>
          </w:p>
        </w:tc>
      </w:tr>
      <w:tr>
        <w:tblPrEx>
          <w:tblCellMar>
            <w:top w:w="0" w:type="dxa"/>
            <w:left w:w="0" w:type="dxa"/>
            <w:bottom w:w="0" w:type="dxa"/>
            <w:right w:w="0" w:type="dxa"/>
          </w:tblCellMar>
        </w:tblPrEx>
        <w:trPr>
          <w:trHeight w:val="440" w:hRule="atLeast"/>
          <w:jc w:val="center"/>
        </w:trPr>
        <w:tc>
          <w:tcPr>
            <w:tcW w:w="844"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 xml:space="preserve">作    业    人    员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主要管理人员未取得相关方管理人员准入证</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r>
              <w:rPr>
                <w:rStyle w:val="292"/>
                <w:rFonts w:eastAsia="仿宋_GB2312"/>
                <w:color w:val="auto"/>
                <w:highlight w:val="none"/>
                <w:lang w:bidi="ar"/>
              </w:rPr>
              <w:t>元</w:t>
            </w:r>
          </w:p>
        </w:tc>
      </w:tr>
      <w:tr>
        <w:tblPrEx>
          <w:tblCellMar>
            <w:top w:w="0" w:type="dxa"/>
            <w:left w:w="0" w:type="dxa"/>
            <w:bottom w:w="0" w:type="dxa"/>
            <w:right w:w="0" w:type="dxa"/>
          </w:tblCellMar>
        </w:tblPrEx>
        <w:trPr>
          <w:trHeight w:val="540" w:hRule="atLeast"/>
          <w:jc w:val="center"/>
        </w:trPr>
        <w:tc>
          <w:tcPr>
            <w:tcW w:w="844"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未经业务部门负责人书面同意，随意更换主要管理人员或技术人员</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440" w:hRule="atLeast"/>
          <w:jc w:val="center"/>
        </w:trPr>
        <w:tc>
          <w:tcPr>
            <w:tcW w:w="844"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违章指挥和强令工人冒险作业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4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 xml:space="preserve">危    险    作    业    票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6.1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涉及危险作业未办理相应的危险作业票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3000</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6.2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作业票漏填、漏签、代签、填写内容与现场情况不符</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6.3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危险作业票过期、超期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3000</w:t>
            </w:r>
          </w:p>
        </w:tc>
      </w:tr>
      <w:tr>
        <w:tblPrEx>
          <w:tblCellMar>
            <w:top w:w="0" w:type="dxa"/>
            <w:left w:w="0" w:type="dxa"/>
            <w:bottom w:w="0" w:type="dxa"/>
            <w:right w:w="0" w:type="dxa"/>
          </w:tblCellMar>
        </w:tblPrEx>
        <w:trPr>
          <w:trHeight w:val="56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6.4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有限空间作业票需单独办理，不得与其他危险作业共票办理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其</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他</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管</w:t>
            </w:r>
            <w:r>
              <w:rPr>
                <w:rFonts w:ascii="Times New Roman" w:hAnsi="Times New Roman" w:eastAsia="仿宋_GB2312" w:cs="Times New Roman"/>
                <w:b/>
                <w:color w:val="auto"/>
                <w:kern w:val="0"/>
                <w:sz w:val="24"/>
                <w:highlight w:val="none"/>
                <w:lang w:bidi="ar"/>
              </w:rPr>
              <w:br w:type="textWrapping"/>
            </w:r>
            <w:r>
              <w:rPr>
                <w:rFonts w:ascii="Times New Roman" w:hAnsi="Times New Roman" w:eastAsia="仿宋_GB2312" w:cs="Times New Roman"/>
                <w:b/>
                <w:color w:val="auto"/>
                <w:kern w:val="0"/>
                <w:sz w:val="24"/>
                <w:highlight w:val="none"/>
                <w:lang w:bidi="ar"/>
              </w:rPr>
              <w:t>理</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未经允许,私自拆除或者破坏安全警示标识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现场未配置灭火器或灭火器过期、损坏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现场作业区域未按规范要求设置围挡及安全警示标志</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夜间作业未按要求配置爆闪灯</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临边作业未采取有效的安全防护措施</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7.6</w:t>
            </w:r>
          </w:p>
        </w:tc>
        <w:tc>
          <w:tcPr>
            <w:tcW w:w="44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上下垂直交叉作业未采取有效隔离措施</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7.7</w:t>
            </w:r>
          </w:p>
        </w:tc>
        <w:tc>
          <w:tcPr>
            <w:tcW w:w="44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未经报审擅自进场作业或擅自更换工作地点</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7.8</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施工现场未粘贴施工作业信息牌</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7.9</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在接到任务通知单后，因相关方原因未及时提供施工方案，影响项目开工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7.10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花名册名单与现场作业人员不符</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7.11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现场安全管理资料或其他证明文件造假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2000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 xml:space="preserve">7.12 </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机械传动部位安全防护罩缺失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7.13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承包商使用国家命令淘汰、禁止使用的危及生产安全的工艺、设备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bl>
    <w:p>
      <w:pPr>
        <w:jc w:val="center"/>
        <w:rPr>
          <w:rFonts w:ascii="宋体" w:hAnsi="宋体" w:eastAsia="宋体" w:cs="宋体"/>
          <w:b/>
          <w:color w:val="auto"/>
          <w:sz w:val="24"/>
          <w:highlight w:val="none"/>
        </w:rPr>
        <w:sectPr>
          <w:footerReference r:id="rId4" w:type="default"/>
          <w:pgSz w:w="11906" w:h="16838"/>
          <w:pgMar w:top="2098" w:right="1474" w:bottom="1984" w:left="1587" w:header="851" w:footer="992" w:gutter="0"/>
          <w:cols w:space="425" w:num="1"/>
          <w:docGrid w:type="lines" w:linePitch="312" w:charSpace="0"/>
        </w:sectPr>
      </w:pPr>
    </w:p>
    <w:tbl>
      <w:tblPr>
        <w:tblStyle w:val="47"/>
        <w:tblW w:w="10014" w:type="dxa"/>
        <w:jc w:val="center"/>
        <w:tblLayout w:type="autofit"/>
        <w:tblCellMar>
          <w:top w:w="0" w:type="dxa"/>
          <w:left w:w="0" w:type="dxa"/>
          <w:bottom w:w="0" w:type="dxa"/>
          <w:right w:w="0" w:type="dxa"/>
        </w:tblCellMar>
      </w:tblPr>
      <w:tblGrid>
        <w:gridCol w:w="844"/>
        <w:gridCol w:w="1022"/>
        <w:gridCol w:w="4466"/>
        <w:gridCol w:w="1127"/>
        <w:gridCol w:w="1105"/>
        <w:gridCol w:w="1450"/>
      </w:tblGrid>
      <w:tr>
        <w:tblPrEx>
          <w:tblCellMar>
            <w:top w:w="0" w:type="dxa"/>
            <w:left w:w="0" w:type="dxa"/>
            <w:bottom w:w="0" w:type="dxa"/>
            <w:right w:w="0" w:type="dxa"/>
          </w:tblCellMar>
        </w:tblPrEx>
        <w:trPr>
          <w:trHeight w:val="520" w:hRule="atLeast"/>
          <w:jc w:val="center"/>
        </w:trPr>
        <w:tc>
          <w:tcPr>
            <w:tcW w:w="84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sz w:val="24"/>
                <w:highlight w:val="none"/>
              </w:rPr>
              <w:t>其他</w:t>
            </w:r>
          </w:p>
          <w:p>
            <w:pPr>
              <w:jc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sz w:val="24"/>
                <w:highlight w:val="none"/>
              </w:rPr>
              <w:t>管理</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7.14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因操作不当造成管、井及附属设施损坏，需按原状恢复并承担所有费用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限期整改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7.15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钢板桩施工时未挂防脱勾链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10000</w:t>
            </w:r>
          </w:p>
        </w:tc>
      </w:tr>
      <w:tr>
        <w:tblPrEx>
          <w:tblCellMar>
            <w:top w:w="0" w:type="dxa"/>
            <w:left w:w="0" w:type="dxa"/>
            <w:bottom w:w="0" w:type="dxa"/>
            <w:right w:w="0" w:type="dxa"/>
          </w:tblCellMar>
        </w:tblPrEx>
        <w:trPr>
          <w:trHeight w:val="540" w:hRule="atLeast"/>
          <w:jc w:val="center"/>
        </w:trPr>
        <w:tc>
          <w:tcPr>
            <w:tcW w:w="844"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清淤   作业</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8.1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在来车方向施工围挡前方未设置安全防护措施及道路施工警示牌；</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380" w:hRule="atLeast"/>
          <w:jc w:val="center"/>
        </w:trPr>
        <w:tc>
          <w:tcPr>
            <w:tcW w:w="844"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8.2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道路作业未安排专人疏导</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有     限     空     间     作     业</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施工作业前未对有限空间作业全面辨识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查资料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未执行“先通风、再检测、后作业”程序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3000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通风设施不满足现场通风量要求</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作业现场未按要求配置泵吸式气体检测仪</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井下作业不使用佩戴长管呼吸器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有限空间内动火作业未对气体成分检测</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2000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9.7</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照明设施未按要求使用安全电压</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9.8</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在夜间（19：00-7:00）施工，紧急抢修项目或因工艺要求无法中断作业除外</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9.9</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有限空间内作业存在电源插头及电源线接头，或电气设备未安装15mA漏电保护器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水    下    作    业</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潜水员安全防护装备损坏或不齐全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空压机与发电机尾气排放共存放在密闭或半封闭车厢内</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砖墙封堵使用不符合要求的砖块砌筑</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供氧设备未安排专人看管</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封堵作业未按施工方案要求实施</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4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动    火    作     业</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未清理动火点周边易燃物</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乙炔瓶未安装回火阀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8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氧气、乙炔瓶表计损坏、气管老化破损</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氧气、乙炔瓶、动火点三者安全距离不足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6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氧气、乙炔瓶未采取防倾倒措施及未配置减震胶圈、防护帽</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kern w:val="0"/>
                <w:szCs w:val="21"/>
                <w:highlight w:val="none"/>
                <w:lang w:bidi="ar"/>
              </w:rPr>
              <w:t>电焊机金属外壳未重复接地</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kern w:val="0"/>
                <w:szCs w:val="21"/>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6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11.7</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kern w:val="0"/>
                <w:szCs w:val="21"/>
                <w:highlight w:val="none"/>
                <w:lang w:bidi="ar"/>
              </w:rPr>
              <w:t>焊机接线线头裸露，无防护</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kern w:val="0"/>
                <w:szCs w:val="21"/>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 xml:space="preserve">高    处    作    业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12.1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使用梯子登高作业时，无人员扶梯</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12.2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高空作业期间随意扔抛物品</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12.3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高空作业期间安全带尾绳未高挂低用或挂点不牢固</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rPr>
          <w:trHeight w:val="42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 xml:space="preserve">临     时    用    电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施工现场未按规范要求配置临时用电配电箱</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rPr>
          <w:trHeight w:val="56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配电箱电气配置不合理，电源线接线不符合要求</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接入泵站低压配电柜未办理临电接入手续，私自进行接驳用电</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配电箱未按要求每日填写检查表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电源线破损或带电部位裸露</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配电箱、电气设备金属外壳无接地</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rPr>
          <w:trHeight w:val="42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13.7</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非固定式用电设备移动时，未切断电源</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8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 xml:space="preserve">基    坑    开    挖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未按照设计图纸或施工方案作业</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3000</w:t>
            </w:r>
          </w:p>
        </w:tc>
      </w:tr>
      <w:tr>
        <w:tblPrEx>
          <w:tblCellMar>
            <w:top w:w="0" w:type="dxa"/>
            <w:left w:w="0" w:type="dxa"/>
            <w:bottom w:w="0" w:type="dxa"/>
            <w:right w:w="0" w:type="dxa"/>
          </w:tblCellMar>
        </w:tblPrEx>
        <w:trPr>
          <w:trHeight w:val="5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开挖的基坑敞开过夜，未按要求做好安全防护措施或回填</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14.3</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基坑临边未设置牢固的防护栏杆和相应警示标牌</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14.4</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沉井口未按要求设置安全平网或防坠网</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14.5</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基坑边缘1.5米范围内堆载土方、材料或停放大型机械设备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基坑内未设置符合要求的安全爬梯或用于人员上下的安全通道</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0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14.7</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基坑周边堆土高度超过2米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4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顶管     作业</w:t>
            </w:r>
          </w:p>
        </w:tc>
        <w:tc>
          <w:tcPr>
            <w:tcW w:w="102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15.1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吊管作业过程中，工作坑内有人</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1000</w:t>
            </w:r>
          </w:p>
        </w:tc>
      </w:tr>
      <w:tr>
        <w:tblPrEx>
          <w:tblCellMar>
            <w:top w:w="0" w:type="dxa"/>
            <w:left w:w="0" w:type="dxa"/>
            <w:bottom w:w="0" w:type="dxa"/>
            <w:right w:w="0" w:type="dxa"/>
          </w:tblCellMar>
        </w:tblPrEx>
        <w:trPr>
          <w:trHeight w:val="58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15.2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地下管线（燃气管道、电缆、供水管道等）未有效识别</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停工处理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p>
        </w:tc>
      </w:tr>
      <w:tr>
        <w:tblPrEx>
          <w:tblCellMar>
            <w:top w:w="0" w:type="dxa"/>
            <w:left w:w="0" w:type="dxa"/>
            <w:bottom w:w="0" w:type="dxa"/>
            <w:right w:w="0" w:type="dxa"/>
          </w:tblCellMar>
        </w:tblPrEx>
        <w:trPr>
          <w:trHeight w:val="612" w:hRule="atLeast"/>
          <w:jc w:val="center"/>
        </w:trPr>
        <w:tc>
          <w:tcPr>
            <w:tcW w:w="844"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起重   吊装</w:t>
            </w:r>
          </w:p>
        </w:tc>
        <w:tc>
          <w:tcPr>
            <w:tcW w:w="102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16</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起重作业存在违反“十不吊”规则</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w:t>
            </w:r>
          </w:p>
        </w:tc>
      </w:tr>
      <w:tr>
        <w:tblPrEx>
          <w:tblCellMar>
            <w:top w:w="0" w:type="dxa"/>
            <w:left w:w="0" w:type="dxa"/>
            <w:bottom w:w="0" w:type="dxa"/>
            <w:right w:w="0" w:type="dxa"/>
          </w:tblCellMar>
        </w:tblPrEx>
        <w:trPr>
          <w:trHeight w:val="640"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文明   施工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17.1</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淤泥、渣土、垃圾在运输、堆放、处理过程中，受到政府相关部门投诉</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r>
              <w:rPr>
                <w:rStyle w:val="292"/>
                <w:rFonts w:eastAsia="仿宋_GB2312"/>
                <w:color w:val="auto"/>
                <w:highlight w:val="none"/>
                <w:lang w:bidi="ar"/>
              </w:rPr>
              <w:t>次</w:t>
            </w:r>
          </w:p>
        </w:tc>
      </w:tr>
      <w:tr>
        <w:tblPrEx>
          <w:tblCellMar>
            <w:top w:w="0" w:type="dxa"/>
            <w:left w:w="0" w:type="dxa"/>
            <w:bottom w:w="0" w:type="dxa"/>
            <w:right w:w="0" w:type="dxa"/>
          </w:tblCellMar>
        </w:tblPrEx>
        <w:trPr>
          <w:trHeight w:val="5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仿宋_GB2312" w:cs="Times New Roman"/>
                <w:b/>
                <w:color w:val="auto"/>
                <w:sz w:val="24"/>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17.2</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施工完成后，现场未清理，受到政府相关部门投诉</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现场检查</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现场整改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lang w:bidi="ar"/>
              </w:rPr>
              <w:t>5000/</w:t>
            </w:r>
            <w:r>
              <w:rPr>
                <w:rStyle w:val="292"/>
                <w:rFonts w:eastAsia="仿宋_GB2312"/>
                <w:color w:val="auto"/>
                <w:highlight w:val="none"/>
                <w:lang w:bidi="ar"/>
              </w:rPr>
              <w:t>次</w:t>
            </w:r>
          </w:p>
        </w:tc>
      </w:tr>
      <w:tr>
        <w:tblPrEx>
          <w:tblCellMar>
            <w:top w:w="0" w:type="dxa"/>
            <w:left w:w="0" w:type="dxa"/>
            <w:bottom w:w="0" w:type="dxa"/>
            <w:right w:w="0" w:type="dxa"/>
          </w:tblCellMar>
        </w:tblPrEx>
        <w:trPr>
          <w:trHeight w:val="66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imes New Roman" w:hAnsi="Times New Roman" w:eastAsia="仿宋_GB2312" w:cs="Times New Roman"/>
                <w:b/>
                <w:color w:val="auto"/>
                <w:sz w:val="24"/>
                <w:highlight w:val="none"/>
              </w:rPr>
            </w:pPr>
            <w:r>
              <w:rPr>
                <w:rFonts w:ascii="Times New Roman" w:hAnsi="Times New Roman" w:eastAsia="仿宋_GB2312" w:cs="Times New Roman"/>
                <w:b/>
                <w:color w:val="auto"/>
                <w:kern w:val="0"/>
                <w:sz w:val="24"/>
                <w:highlight w:val="none"/>
                <w:lang w:bidi="ar"/>
              </w:rPr>
              <w:t>考核   说明</w:t>
            </w:r>
          </w:p>
        </w:tc>
        <w:tc>
          <w:tcPr>
            <w:tcW w:w="917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textAlignment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kern w:val="0"/>
                <w:szCs w:val="21"/>
                <w:highlight w:val="none"/>
                <w:lang w:bidi="ar"/>
              </w:rPr>
              <w:t>对相关方违约行为检查时应将现场违约情况、人员、时间、违约金额制成表格并附带现场检查照片进行存档</w:t>
            </w:r>
            <w:r>
              <w:rPr>
                <w:rFonts w:hint="eastAsia" w:ascii="Times New Roman" w:hAnsi="Times New Roman" w:eastAsia="仿宋_GB2312" w:cs="Times New Roman"/>
                <w:color w:val="auto"/>
                <w:kern w:val="0"/>
                <w:szCs w:val="21"/>
                <w:highlight w:val="none"/>
                <w:lang w:bidi="ar"/>
              </w:rPr>
              <w:t>。</w:t>
            </w:r>
          </w:p>
        </w:tc>
      </w:tr>
    </w:tbl>
    <w:p>
      <w:pPr>
        <w:spacing w:line="6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东莞市水务集团管网有限公司违约通知单</w:t>
      </w:r>
    </w:p>
    <w:p>
      <w:pPr>
        <w:spacing w:line="600" w:lineRule="exact"/>
        <w:jc w:val="center"/>
        <w:rPr>
          <w:rFonts w:ascii="方正小标宋简体" w:hAnsi="方正小标宋简体" w:eastAsia="方正小标宋简体" w:cs="方正小标宋简体"/>
          <w:color w:val="auto"/>
          <w:sz w:val="32"/>
          <w:szCs w:val="32"/>
          <w:highlight w:val="none"/>
        </w:rPr>
      </w:pPr>
    </w:p>
    <w:p>
      <w:pPr>
        <w:jc w:val="center"/>
        <w:rPr>
          <w:color w:val="auto"/>
          <w:highlight w:val="none"/>
        </w:rPr>
      </w:pPr>
      <w:r>
        <w:rPr>
          <w:rFonts w:hint="eastAsia"/>
          <w:color w:val="auto"/>
          <w:highlight w:val="none"/>
        </w:rPr>
        <w:t xml:space="preserve">                                                </w:t>
      </w:r>
      <w:r>
        <w:rPr>
          <w:rFonts w:hint="eastAsia" w:ascii="仿宋_GB2312" w:hAnsi="仿宋_GB2312" w:eastAsia="仿宋_GB2312" w:cs="仿宋_GB2312"/>
          <w:color w:val="auto"/>
          <w:highlight w:val="none"/>
        </w:rPr>
        <w:t>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609"/>
        <w:gridCol w:w="2056"/>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9" w:type="dxa"/>
            <w:vAlign w:val="center"/>
          </w:tcPr>
          <w:p>
            <w:pPr>
              <w:jc w:val="center"/>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sz w:val="24"/>
                <w:highlight w:val="none"/>
              </w:rPr>
              <w:t>项目名称</w:t>
            </w:r>
          </w:p>
        </w:tc>
        <w:tc>
          <w:tcPr>
            <w:tcW w:w="2771" w:type="dxa"/>
            <w:vAlign w:val="center"/>
          </w:tcPr>
          <w:p>
            <w:pPr>
              <w:jc w:val="center"/>
              <w:rPr>
                <w:rFonts w:ascii="Times New Roman" w:hAnsi="Times New Roman" w:eastAsia="仿宋_GB2312" w:cs="Times New Roman"/>
                <w:b/>
                <w:bCs/>
                <w:color w:val="auto"/>
                <w:sz w:val="24"/>
                <w:highlight w:val="none"/>
              </w:rPr>
            </w:pPr>
          </w:p>
        </w:tc>
        <w:tc>
          <w:tcPr>
            <w:tcW w:w="2131" w:type="dxa"/>
            <w:vAlign w:val="center"/>
          </w:tcPr>
          <w:p>
            <w:pPr>
              <w:jc w:val="center"/>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sz w:val="24"/>
                <w:highlight w:val="none"/>
              </w:rPr>
              <w:t>合同编号</w:t>
            </w:r>
          </w:p>
        </w:tc>
        <w:tc>
          <w:tcPr>
            <w:tcW w:w="3366" w:type="dxa"/>
          </w:tcPr>
          <w:p>
            <w:pPr>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9757" w:type="dxa"/>
            <w:gridSpan w:val="4"/>
          </w:tcPr>
          <w:p>
            <w:pPr>
              <w:rPr>
                <w:rFonts w:ascii="Times New Roman" w:hAnsi="Times New Roman" w:eastAsia="仿宋_GB2312" w:cs="Times New Roman"/>
                <w:color w:val="auto"/>
                <w:highlight w:val="none"/>
              </w:rPr>
            </w:pPr>
          </w:p>
          <w:p>
            <w:pPr>
              <w:spacing w:line="360" w:lineRule="auto"/>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sz w:val="24"/>
                <w:highlight w:val="none"/>
              </w:rPr>
              <w:t>致</w:t>
            </w:r>
            <w:r>
              <w:rPr>
                <w:rFonts w:ascii="Times New Roman" w:hAnsi="Times New Roman" w:eastAsia="仿宋_GB2312" w:cs="Times New Roman"/>
                <w:b/>
                <w:bCs/>
                <w:color w:val="auto"/>
                <w:sz w:val="24"/>
                <w:highlight w:val="none"/>
                <w:u w:val="single"/>
              </w:rPr>
              <w:t xml:space="preserve">                             </w:t>
            </w:r>
            <w:r>
              <w:rPr>
                <w:rFonts w:ascii="Times New Roman" w:hAnsi="Times New Roman" w:eastAsia="仿宋_GB2312" w:cs="Times New Roman"/>
                <w:b/>
                <w:bCs/>
                <w:color w:val="auto"/>
                <w:sz w:val="24"/>
                <w:highlight w:val="none"/>
              </w:rPr>
              <w:t>（相关方）</w:t>
            </w:r>
          </w:p>
          <w:p>
            <w:pPr>
              <w:spacing w:line="360" w:lineRule="auto"/>
              <w:jc w:val="center"/>
              <w:rPr>
                <w:rFonts w:ascii="Times New Roman" w:hAnsi="Times New Roman" w:eastAsia="仿宋_GB2312" w:cs="Times New Roman"/>
                <w:b/>
                <w:bCs/>
                <w:color w:val="auto"/>
                <w:sz w:val="24"/>
                <w:highlight w:val="none"/>
              </w:rPr>
            </w:pPr>
            <w:r>
              <w:rPr>
                <w:rFonts w:ascii="Times New Roman" w:hAnsi="Times New Roman" w:eastAsia="仿宋_GB2312" w:cs="Times New Roman"/>
                <w:b/>
                <w:bCs/>
                <w:color w:val="auto"/>
                <w:sz w:val="24"/>
                <w:highlight w:val="none"/>
              </w:rPr>
              <w:t>关于对</w:t>
            </w:r>
            <w:r>
              <w:rPr>
                <w:rFonts w:ascii="Times New Roman" w:hAnsi="Times New Roman" w:eastAsia="仿宋_GB2312" w:cs="Times New Roman"/>
                <w:b/>
                <w:bCs/>
                <w:color w:val="auto"/>
                <w:sz w:val="24"/>
                <w:highlight w:val="none"/>
                <w:u w:val="single"/>
              </w:rPr>
              <w:t xml:space="preserve">                           </w:t>
            </w:r>
            <w:r>
              <w:rPr>
                <w:rFonts w:ascii="Times New Roman" w:hAnsi="Times New Roman" w:eastAsia="仿宋_GB2312" w:cs="Times New Roman"/>
                <w:b/>
                <w:bCs/>
                <w:color w:val="auto"/>
                <w:sz w:val="24"/>
                <w:highlight w:val="none"/>
              </w:rPr>
              <w:t>项目违约的通知</w:t>
            </w:r>
          </w:p>
          <w:p>
            <w:pPr>
              <w:spacing w:line="360" w:lineRule="auto"/>
              <w:ind w:firstLine="57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XXXX年XX月XX日，X分公司安全监管（业务工作部）XXX在</w:t>
            </w:r>
            <w:r>
              <w:rPr>
                <w:rFonts w:ascii="Times New Roman" w:hAnsi="Times New Roman" w:eastAsia="仿宋_GB2312" w:cs="Times New Roman"/>
                <w:color w:val="auto"/>
                <w:sz w:val="24"/>
                <w:highlight w:val="none"/>
                <w:u w:val="single"/>
              </w:rPr>
              <w:t>XXXXXXXXX（项目名称）</w:t>
            </w:r>
            <w:r>
              <w:rPr>
                <w:rFonts w:ascii="Times New Roman" w:hAnsi="Times New Roman" w:eastAsia="仿宋_GB2312" w:cs="Times New Roman"/>
                <w:color w:val="auto"/>
                <w:sz w:val="24"/>
                <w:highlight w:val="none"/>
              </w:rPr>
              <w:t>，发现</w:t>
            </w:r>
            <w:r>
              <w:rPr>
                <w:rFonts w:ascii="Times New Roman" w:hAnsi="Times New Roman" w:eastAsia="仿宋_GB2312" w:cs="Times New Roman"/>
                <w:color w:val="auto"/>
                <w:sz w:val="24"/>
                <w:highlight w:val="none"/>
                <w:u w:val="single"/>
              </w:rPr>
              <w:t xml:space="preserve">                   （相关方）</w:t>
            </w:r>
            <w:r>
              <w:rPr>
                <w:rFonts w:ascii="Times New Roman" w:hAnsi="Times New Roman" w:eastAsia="仿宋_GB2312" w:cs="Times New Roman"/>
                <w:color w:val="auto"/>
                <w:sz w:val="24"/>
                <w:highlight w:val="none"/>
              </w:rPr>
              <w:t>违反东莞市水务集团管网有限公司相关方安全考核细则第</w:t>
            </w:r>
            <w:r>
              <w:rPr>
                <w:rFonts w:ascii="Times New Roman" w:hAnsi="Times New Roman" w:eastAsia="仿宋_GB2312" w:cs="Times New Roman"/>
                <w:color w:val="auto"/>
                <w:sz w:val="24"/>
                <w:highlight w:val="none"/>
                <w:u w:val="single"/>
              </w:rPr>
              <w:t xml:space="preserve">          </w:t>
            </w:r>
            <w:r>
              <w:rPr>
                <w:rFonts w:ascii="Times New Roman" w:hAnsi="Times New Roman" w:eastAsia="仿宋_GB2312" w:cs="Times New Roman"/>
                <w:color w:val="auto"/>
                <w:sz w:val="24"/>
                <w:highlight w:val="none"/>
              </w:rPr>
              <w:t>条</w:t>
            </w:r>
            <w:r>
              <w:rPr>
                <w:rFonts w:ascii="Times New Roman" w:hAnsi="Times New Roman" w:eastAsia="仿宋_GB2312" w:cs="Times New Roman"/>
                <w:color w:val="auto"/>
                <w:sz w:val="24"/>
                <w:highlight w:val="none"/>
                <w:u w:val="single"/>
              </w:rPr>
              <w:t xml:space="preserve">                  </w:t>
            </w:r>
            <w:r>
              <w:rPr>
                <w:rFonts w:ascii="Times New Roman" w:hAnsi="Times New Roman" w:eastAsia="仿宋_GB2312" w:cs="Times New Roman"/>
                <w:color w:val="auto"/>
                <w:sz w:val="24"/>
                <w:highlight w:val="none"/>
              </w:rPr>
              <w:t>规定，扣除违约金</w:t>
            </w:r>
            <w:r>
              <w:rPr>
                <w:rFonts w:ascii="Times New Roman" w:hAnsi="Times New Roman" w:eastAsia="仿宋_GB2312" w:cs="Times New Roman"/>
                <w:color w:val="auto"/>
                <w:sz w:val="24"/>
                <w:highlight w:val="none"/>
                <w:u w:val="single"/>
              </w:rPr>
              <w:t>X</w:t>
            </w:r>
            <w:r>
              <w:rPr>
                <w:rFonts w:ascii="Times New Roman" w:hAnsi="Times New Roman" w:eastAsia="仿宋_GB2312" w:cs="Times New Roman"/>
                <w:color w:val="auto"/>
                <w:sz w:val="24"/>
                <w:highlight w:val="none"/>
              </w:rPr>
              <w:t>XX</w:t>
            </w:r>
            <w:r>
              <w:rPr>
                <w:rFonts w:ascii="Times New Roman" w:hAnsi="Times New Roman" w:eastAsia="仿宋_GB2312" w:cs="Times New Roman"/>
                <w:color w:val="auto"/>
                <w:sz w:val="24"/>
                <w:highlight w:val="none"/>
                <w:u w:val="single"/>
              </w:rPr>
              <w:t>X</w:t>
            </w:r>
            <w:r>
              <w:rPr>
                <w:rFonts w:hint="eastAsia" w:ascii="Times New Roman" w:hAnsi="Times New Roman" w:eastAsia="仿宋_GB2312" w:cs="Times New Roman"/>
                <w:color w:val="auto"/>
                <w:sz w:val="24"/>
                <w:highlight w:val="none"/>
                <w:u w:val="single"/>
              </w:rPr>
              <w:t xml:space="preserve">  </w:t>
            </w:r>
            <w:r>
              <w:rPr>
                <w:rFonts w:ascii="Times New Roman" w:hAnsi="Times New Roman" w:eastAsia="仿宋_GB2312" w:cs="Times New Roman"/>
                <w:color w:val="auto"/>
                <w:sz w:val="24"/>
                <w:highlight w:val="none"/>
              </w:rPr>
              <w:t>元（大写XX元整）。</w:t>
            </w:r>
          </w:p>
          <w:p>
            <w:pPr>
              <w:spacing w:line="360" w:lineRule="auto"/>
              <w:ind w:firstLine="57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34290</wp:posOffset>
                      </wp:positionH>
                      <wp:positionV relativeFrom="paragraph">
                        <wp:posOffset>24765</wp:posOffset>
                      </wp:positionV>
                      <wp:extent cx="228600" cy="198120"/>
                      <wp:effectExtent l="4445" t="4445" r="14605" b="6985"/>
                      <wp:wrapNone/>
                      <wp:docPr id="13" name="矩形 13"/>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7pt;margin-top:1.95pt;height:15.6pt;width:18pt;z-index:251669504;mso-width-relative:page;mso-height-relative:page;" fillcolor="#FFFFFF" filled="t" stroked="t" coordsize="21600,21600" o:gfxdata="UEsDBAoAAAAAAIdO4kAAAAAAAAAAAAAAAAAEAAAAZHJzL1BLAwQUAAAACACHTuJAsr+F4NMAAAAF&#10;AQAADwAAAGRycy9kb3ducmV2LnhtbE2OPU/DQBBEeyT+w2mR6MjZ+UDE+JwCFCTKxGno1r7FNvj2&#10;LN85Mfx6lgrKpxnNvHw3u16daQydZwPpIgFFXHvbcWPgVO7vHkCFiGyx90wGvijArri+yjGz/sIH&#10;Oh9jo2SEQ4YG2hiHTOtQt+QwLPxALNm7Hx1GwbHRdsSLjLteL5PkXjvsWB5aHOippfrzODkDVbc8&#10;4fehfEncdr+Kr3P5Mb09G3N7kyaPoCLN8a8Mv/qiDoU4VX5iG1RvYLOWooHVFpSk61SwEtykoItc&#10;/7cvfgBQSwMEFAAAAAgAh07iQPojcYb+AQAAHwQAAA4AAABkcnMvZTJvRG9jLnhtbK1TzY7TMBC+&#10;I/EOlu80adCuulHTPVDKBcFKyz7A1HESS/6Tx23ap0HixkPwOIjXYOyU7g8ceiAHZ8YefzPfN+Pl&#10;7cFotpcBlbMNn89KzqQVrlW2b/jDl82bBWcYwbagnZUNP0rkt6vXr5ajr2XlBqdbGRiBWKxH3/Ah&#10;Rl8XBYpBGsCZ89LSYeeCgUhu6Is2wEjoRhdVWV4XowutD05IRNpdT4f8hBguAXRdp4RcO7Ez0sYJ&#10;NUgNkSjhoDzyVa6266SIn7sOZWS64cQ05pWSkL1Na7FaQt0H8IMSpxLgkhJecDKgLCU9Q60hAtsF&#10;9ReUUSI4dF2cCWeKiUhWhFjMyxfa3A/gZeZCUqM/i47/D1Z82t8FplqahLecWTDU8V9fv//88Y3R&#10;Bqkzeqwp6N7fhZOHZCaqhy6Y9CcS7JAVPZ4VlYfIBG1W1eK6JK0FHc1vFvMqK148XvYB4wfpDEtG&#10;wwM1LOsI+48YKSGF/glJudBp1W6U1tkJ/fadDmwP1NxN/lLFdOVZmLZsbPjNVXVFdQBNbEeTQqbx&#10;xBptn/M9u4FPgcv8/Qs4FbYGHKYCMkIKg9qoKJNaUA8S2ve2ZfHoSVhLD4qnYoxsOdOS3l+ycmQE&#10;pS+JJHbaEsnUl6kTydq69kh93Pmg+oF0nOd60wnNTZbkNONpMJ/6GenxXa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heDTAAAABQEAAA8AAAAAAAAAAQAgAAAAIgAAAGRycy9kb3ducmV2Lnht&#10;bFBLAQIUABQAAAAIAIdO4kD6I3GG/gEAAB8EAAAOAAAAAAAAAAEAIAAAACIBAABkcnMvZTJvRG9j&#10;LnhtbFBLBQYAAAAABgAGAFkBAACSBQAAAAA=&#10;">
                      <v:fill on="t" focussize="0,0"/>
                      <v:stroke color="#000000" joinstyle="miter"/>
                      <v:imagedata o:title=""/>
                      <o:lock v:ext="edit" aspectratio="f"/>
                    </v:rect>
                  </w:pict>
                </mc:Fallback>
              </mc:AlternateContent>
            </w:r>
            <w:r>
              <w:rPr>
                <w:rFonts w:ascii="Times New Roman" w:hAnsi="Times New Roman" w:eastAsia="仿宋_GB2312" w:cs="Times New Roman"/>
                <w:color w:val="auto"/>
                <w:sz w:val="24"/>
                <w:highlight w:val="none"/>
              </w:rPr>
              <w:t>立即停止施工，待整改完毕后申请复工。</w:t>
            </w:r>
          </w:p>
          <w:p>
            <w:pPr>
              <w:spacing w:line="360" w:lineRule="auto"/>
              <w:ind w:firstLine="57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32385</wp:posOffset>
                      </wp:positionH>
                      <wp:positionV relativeFrom="paragraph">
                        <wp:posOffset>20320</wp:posOffset>
                      </wp:positionV>
                      <wp:extent cx="228600" cy="198120"/>
                      <wp:effectExtent l="4445" t="4445" r="14605" b="6985"/>
                      <wp:wrapNone/>
                      <wp:docPr id="14" name="矩形 14"/>
                      <wp:cNvGraphicFramePr/>
                      <a:graphic xmlns:a="http://schemas.openxmlformats.org/drawingml/2006/main">
                        <a:graphicData uri="http://schemas.microsoft.com/office/word/2010/wordprocessingShape">
                          <wps:wsp>
                            <wps:cNvSpPr/>
                            <wps:spPr>
                              <a:xfrm>
                                <a:off x="0" y="0"/>
                                <a:ext cx="228600" cy="198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5pt;margin-top:1.6pt;height:15.6pt;width:18pt;z-index:251670528;mso-width-relative:page;mso-height-relative:page;" fillcolor="#FFFFFF" filled="t" stroked="t" coordsize="21600,21600" o:gfxdata="UEsDBAoAAAAAAIdO4kAAAAAAAAAAAAAAAAAEAAAAZHJzL1BLAwQUAAAACACHTuJAw3t/vdIAAAAF&#10;AQAADwAAAGRycy9kb3ducmV2LnhtbE2OwU7DMBBE70j8g7VI3KidNCAa4vQAKhLHNr1w28RuEojX&#10;Uey0ga9nOcHxaUYzr9gubhBnO4Xek4ZkpUBYarzpqdVwrHZ3jyBCRDI4eLIavmyAbXl9VWBu/IX2&#10;9nyIreARCjlq6GIccylD01mHYeVHS5yd/OQwMk6tNBNeeNwNMlXqQTrsiR86HO1zZ5vPw+w01H16&#10;xO999arcZreOb0v1Mb+/aH17k6gnENEu8a8Mv/qsDiU71X4mE8Sg4T7hooZ1CoLTLGGsGbMMZFnI&#10;//blD1BLAwQUAAAACACHTuJAE0s6A/4BAAAfBAAADgAAAGRycy9lMm9Eb2MueG1srVPNjtMwEL4j&#10;8Q6W7zRpxK66UdM9UMoFwUrLPsDUcRJL/pPHbdqnQeLGQ/A4iNdg7JTuDxx6IAdnxh5/M9834+Xt&#10;wWi2lwGVsw2fz0rOpBWuVbZv+MOXzZsFZxjBtqCdlQ0/SuS3q9evlqOvZeUGp1sZGIFYrEff8CFG&#10;XxcFikEawJnz0tJh54KBSG7oizbASOhGF1VZXhejC60PTkhE2l1Ph/yEGC4BdF2nhFw7sTPSxgk1&#10;SA2RKOGgPPJVrrbrpIifuw5lZLrhxDTmlZKQvU1rsVpC3QfwgxKnEuCSEl5wMqAsJT1DrSEC2wX1&#10;F5RRIjh0XZwJZ4qJSFaEWMzLF9rcD+Bl5kJSoz+Ljv8PVnza3wWmWpqEt5xZMNTxX1+///zxjdEG&#10;qTN6rCno3t+Fk4dkJqqHLpj0JxLskBU9nhWVh8gEbVbV4rokrQUdzW8W8yorXjxe9gHjB+kMS0bD&#10;AzUs6wj7jxgpIYX+CUm50GnVbpTW2Qn99p0ObA/U3E3+UsV05VmYtmxs+M1VdUV1AE1sR5NCpvHE&#10;Gm2f8z27gU+By/z9CzgVtgYcpgIyQgqD2qgok1pQDxLa97Zl8ehJWEsPiqdijGw505LeX7JyZASl&#10;L4kkdtoSydSXqRPJ2rr2SH3c+aD6gXSc53rTCc1NluQ042kwn/oZ6fFdr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3t/vdIAAAAFAQAADwAAAAAAAAABACAAAAAiAAAAZHJzL2Rvd25yZXYueG1s&#10;UEsBAhQAFAAAAAgAh07iQBNLOgP+AQAAHwQAAA4AAAAAAAAAAQAgAAAAIQEAAGRycy9lMm9Eb2Mu&#10;eG1sUEsFBgAAAAAGAAYAWQEAAJEFAAAAAA==&#10;">
                      <v:fill on="t" focussize="0,0"/>
                      <v:stroke color="#000000" joinstyle="miter"/>
                      <v:imagedata o:title=""/>
                      <o:lock v:ext="edit" aspectratio="f"/>
                    </v:rect>
                  </w:pict>
                </mc:Fallback>
              </mc:AlternateContent>
            </w:r>
            <w:r>
              <w:rPr>
                <w:rFonts w:ascii="Times New Roman" w:hAnsi="Times New Roman" w:eastAsia="仿宋_GB2312" w:cs="Times New Roman"/>
                <w:color w:val="auto"/>
                <w:sz w:val="24"/>
                <w:highlight w:val="none"/>
              </w:rPr>
              <w:t>要求严重违章的</w:t>
            </w:r>
            <w:r>
              <w:rPr>
                <w:rFonts w:ascii="Times New Roman" w:hAnsi="Times New Roman" w:eastAsia="仿宋_GB2312" w:cs="Times New Roman"/>
                <w:color w:val="auto"/>
                <w:sz w:val="24"/>
                <w:highlight w:val="none"/>
                <w:u w:val="single"/>
              </w:rPr>
              <w:t xml:space="preserve">                             </w:t>
            </w:r>
            <w:r>
              <w:rPr>
                <w:rFonts w:ascii="Times New Roman" w:hAnsi="Times New Roman" w:eastAsia="仿宋_GB2312" w:cs="Times New Roman"/>
                <w:color w:val="auto"/>
                <w:sz w:val="24"/>
                <w:highlight w:val="none"/>
              </w:rPr>
              <w:t>（人员姓名或施工队伍名称）从即日起撤离施工现场。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757" w:type="dxa"/>
            <w:gridSpan w:val="4"/>
          </w:tcPr>
          <w:p>
            <w:pPr>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检查人员:</w:t>
            </w:r>
          </w:p>
          <w:p>
            <w:pPr>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757" w:type="dxa"/>
            <w:gridSpan w:val="4"/>
          </w:tcPr>
          <w:p>
            <w:pPr>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 xml:space="preserve">业务归口工作部负责人：                        </w:t>
            </w:r>
          </w:p>
          <w:p>
            <w:pPr>
              <w:spacing w:line="360" w:lineRule="auto"/>
              <w:ind w:firstLine="6240" w:firstLineChars="26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57" w:type="dxa"/>
            <w:gridSpan w:val="4"/>
          </w:tcPr>
          <w:p>
            <w:pPr>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分公司负责人：</w:t>
            </w:r>
          </w:p>
          <w:p>
            <w:pPr>
              <w:spacing w:line="360" w:lineRule="auto"/>
              <w:ind w:firstLine="6240" w:firstLineChars="26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757" w:type="dxa"/>
            <w:gridSpan w:val="4"/>
          </w:tcPr>
          <w:p>
            <w:pP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相关方签收：</w:t>
            </w:r>
          </w:p>
          <w:p>
            <w:pPr>
              <w:spacing w:line="360" w:lineRule="auto"/>
              <w:ind w:firstLine="5040" w:firstLineChars="21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现场负责人（签字、盖章）：</w:t>
            </w:r>
          </w:p>
          <w:p>
            <w:pPr>
              <w:spacing w:line="360" w:lineRule="auto"/>
              <w:ind w:firstLine="6240" w:firstLineChars="26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757" w:type="dxa"/>
            <w:gridSpan w:val="4"/>
            <w:vAlign w:val="center"/>
          </w:tcPr>
          <w:p>
            <w:pP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1、本表一式三份，由安全监管部、业务归口部门、施工单位各留一份；2、如施工单位拒签违约通知单，本单仍有效；3、如有异议，请于3个工作日内向分公司业务工作部提交书面</w:t>
            </w:r>
            <w:r>
              <w:rPr>
                <w:rFonts w:hint="eastAsia" w:ascii="Times New Roman" w:hAnsi="Times New Roman" w:eastAsia="仿宋_GB2312" w:cs="Times New Roman"/>
                <w:color w:val="auto"/>
                <w:sz w:val="24"/>
                <w:highlight w:val="none"/>
              </w:rPr>
              <w:t>说明</w:t>
            </w:r>
            <w:r>
              <w:rPr>
                <w:rFonts w:ascii="Times New Roman" w:hAnsi="Times New Roman" w:eastAsia="仿宋_GB2312" w:cs="Times New Roman"/>
                <w:color w:val="auto"/>
                <w:sz w:val="24"/>
                <w:highlight w:val="none"/>
              </w:rPr>
              <w:t>，否则将根据本通知单进行处理。</w:t>
            </w:r>
          </w:p>
        </w:tc>
      </w:tr>
    </w:tbl>
    <w:p>
      <w:pPr>
        <w:rPr>
          <w:rFonts w:eastAsia="仿宋_GB2312"/>
          <w:color w:val="auto"/>
          <w:highlight w:val="none"/>
        </w:rPr>
      </w:pPr>
      <w:r>
        <w:rPr>
          <w:rFonts w:eastAsia="仿宋_GB2312"/>
          <w:color w:val="auto"/>
          <w:highlight w:val="none"/>
        </w:rPr>
        <w:br w:type="page"/>
      </w:r>
    </w:p>
    <w:p>
      <w:pPr>
        <w:pStyle w:val="3"/>
        <w:ind w:firstLine="211"/>
        <w:rPr>
          <w:rFonts w:eastAsia="仿宋_GB2312"/>
          <w:color w:val="auto"/>
          <w:highlight w:val="none"/>
          <w:lang w:val="en-US"/>
        </w:rPr>
      </w:pPr>
    </w:p>
    <w:p>
      <w:pPr>
        <w:jc w:val="left"/>
        <w:rPr>
          <w:rFonts w:ascii="黑体" w:hAnsi="宋体" w:eastAsia="黑体" w:cs="黑体"/>
          <w:color w:val="auto"/>
          <w:kern w:val="0"/>
          <w:sz w:val="32"/>
          <w:szCs w:val="32"/>
          <w:highlight w:val="none"/>
          <w:lang w:bidi="ar"/>
        </w:rPr>
      </w:pPr>
      <w:r>
        <w:rPr>
          <w:rFonts w:hint="eastAsia" w:ascii="黑体" w:hAnsi="宋体" w:eastAsia="黑体" w:cs="黑体"/>
          <w:color w:val="auto"/>
          <w:kern w:val="0"/>
          <w:sz w:val="32"/>
          <w:szCs w:val="32"/>
          <w:highlight w:val="none"/>
          <w:lang w:bidi="ar"/>
        </w:rPr>
        <w:t>附件4</w:t>
      </w: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w:t>
      </w:r>
      <w:r>
        <w:rPr>
          <w:rFonts w:ascii="方正小标宋简体" w:hAnsi="方正小标宋简体" w:eastAsia="方正小标宋简体" w:cs="方正小标宋简体"/>
          <w:color w:val="auto"/>
          <w:sz w:val="44"/>
          <w:szCs w:val="44"/>
          <w:highlight w:val="none"/>
        </w:rPr>
        <w:t>XXXXX</w:t>
      </w:r>
      <w:r>
        <w:rPr>
          <w:rFonts w:hint="eastAsia" w:ascii="方正小标宋简体" w:hAnsi="方正小标宋简体" w:eastAsia="方正小标宋简体" w:cs="方正小标宋简体"/>
          <w:color w:val="auto"/>
          <w:sz w:val="44"/>
          <w:szCs w:val="44"/>
          <w:highlight w:val="none"/>
        </w:rPr>
        <w:t>供应商库在库供应商转为候选供应商的通知书</w:t>
      </w:r>
    </w:p>
    <w:p>
      <w:pPr>
        <w:rPr>
          <w:rFonts w:ascii="仿宋_GB2312" w:hAnsi="仿宋_GB2312" w:eastAsia="仿宋_GB2312" w:cs="仿宋_GB2312"/>
          <w:color w:val="auto"/>
          <w:sz w:val="32"/>
          <w:szCs w:val="40"/>
          <w:highlight w:val="none"/>
        </w:rPr>
      </w:pPr>
      <w:bookmarkStart w:id="15" w:name="_Hlk72921435"/>
      <w:r>
        <w:rPr>
          <w:rFonts w:hint="eastAsia" w:ascii="仿宋_GB2312" w:hAnsi="仿宋_GB2312" w:eastAsia="仿宋_GB2312" w:cs="仿宋_GB2312"/>
          <w:color w:val="auto"/>
          <w:sz w:val="32"/>
          <w:szCs w:val="40"/>
          <w:highlight w:val="none"/>
        </w:rPr>
        <w:t>XXXXX</w:t>
      </w:r>
      <w:bookmarkEnd w:id="15"/>
      <w:r>
        <w:rPr>
          <w:rFonts w:hint="eastAsia" w:ascii="仿宋_GB2312" w:hAnsi="仿宋_GB2312" w:eastAsia="仿宋_GB2312" w:cs="仿宋_GB2312"/>
          <w:color w:val="auto"/>
          <w:sz w:val="32"/>
          <w:szCs w:val="40"/>
          <w:highlight w:val="none"/>
        </w:rPr>
        <w:t>（公司）：</w:t>
      </w:r>
    </w:p>
    <w:p>
      <w:pPr>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color w:val="auto"/>
          <w:sz w:val="32"/>
          <w:szCs w:val="40"/>
          <w:highlight w:val="none"/>
        </w:rPr>
        <w:t xml:space="preserve">    鉴于XXXXX（公司）于2021年XX月XX日成为东莞市水务集团管网有限公司管道清疏服务供应商库</w:t>
      </w:r>
      <w:r>
        <w:rPr>
          <w:rFonts w:hint="eastAsia" w:ascii="仿宋_GB2312" w:hAnsi="仿宋_GB2312" w:eastAsia="仿宋_GB2312" w:cs="仿宋_GB2312"/>
          <w:b/>
          <w:bCs/>
          <w:color w:val="auto"/>
          <w:sz w:val="32"/>
          <w:szCs w:val="40"/>
          <w:highlight w:val="none"/>
        </w:rPr>
        <w:t>在库供应商</w:t>
      </w:r>
      <w:r>
        <w:rPr>
          <w:rFonts w:hint="eastAsia" w:ascii="仿宋_GB2312" w:hAnsi="仿宋_GB2312" w:eastAsia="仿宋_GB2312" w:cs="仿宋_GB2312"/>
          <w:color w:val="auto"/>
          <w:sz w:val="32"/>
          <w:szCs w:val="40"/>
          <w:highlight w:val="none"/>
        </w:rPr>
        <w:t>，且于XXX年X月X日签订了《</w:t>
      </w:r>
      <w:r>
        <w:rPr>
          <w:rFonts w:hint="eastAsia" w:ascii="仿宋_GB2312" w:hAnsi="仿宋_GB2312" w:eastAsia="仿宋_GB2312" w:cs="仿宋_GB2312"/>
          <w:color w:val="auto"/>
          <w:sz w:val="32"/>
          <w:szCs w:val="40"/>
          <w:highlight w:val="none"/>
          <w:u w:val="single"/>
        </w:rPr>
        <w:t xml:space="preserve">            </w:t>
      </w:r>
      <w:r>
        <w:rPr>
          <w:rFonts w:hint="eastAsia" w:ascii="仿宋_GB2312" w:hAnsi="仿宋_GB2312" w:eastAsia="仿宋_GB2312" w:cs="仿宋_GB2312"/>
          <w:color w:val="auto"/>
          <w:sz w:val="32"/>
          <w:szCs w:val="40"/>
          <w:highlight w:val="none"/>
        </w:rPr>
        <w:t>框架合同》（下称“框架合同”），同时按照XXXX项目的实际情况，XXXXX（公司）违反了框架合同第XXX条的约定以及《</w:t>
      </w:r>
      <w:r>
        <w:rPr>
          <w:rFonts w:hint="eastAsia" w:ascii="仿宋_GB2312" w:hAnsi="仿宋_GB2312" w:eastAsia="仿宋_GB2312" w:cs="仿宋_GB2312"/>
          <w:color w:val="auto"/>
          <w:sz w:val="32"/>
          <w:szCs w:val="40"/>
          <w:highlight w:val="none"/>
          <w:u w:val="single"/>
        </w:rPr>
        <w:t xml:space="preserve">      </w:t>
      </w:r>
      <w:r>
        <w:rPr>
          <w:rFonts w:hint="eastAsia" w:ascii="仿宋_GB2312" w:hAnsi="仿宋_GB2312" w:eastAsia="仿宋_GB2312" w:cs="仿宋_GB2312"/>
          <w:color w:val="auto"/>
          <w:sz w:val="32"/>
          <w:szCs w:val="40"/>
          <w:highlight w:val="none"/>
        </w:rPr>
        <w:t>管理办法》第XX调的规定，现按照管理办法暂停你公司在库供应商资格，即日起你公司转为我司</w:t>
      </w:r>
      <w:r>
        <w:rPr>
          <w:rFonts w:ascii="仿宋_GB2312" w:hAnsi="仿宋_GB2312" w:eastAsia="仿宋_GB2312" w:cs="仿宋_GB2312"/>
          <w:color w:val="auto"/>
          <w:sz w:val="32"/>
          <w:szCs w:val="40"/>
          <w:highlight w:val="none"/>
        </w:rPr>
        <w:t>XXXXX</w:t>
      </w:r>
      <w:r>
        <w:rPr>
          <w:rFonts w:hint="eastAsia" w:ascii="仿宋_GB2312" w:hAnsi="仿宋_GB2312" w:eastAsia="仿宋_GB2312" w:cs="仿宋_GB2312"/>
          <w:color w:val="auto"/>
          <w:sz w:val="32"/>
          <w:szCs w:val="40"/>
          <w:highlight w:val="none"/>
        </w:rPr>
        <w:t>供应商库</w:t>
      </w:r>
      <w:r>
        <w:rPr>
          <w:rFonts w:hint="eastAsia" w:ascii="仿宋_GB2312" w:hAnsi="仿宋_GB2312" w:eastAsia="仿宋_GB2312" w:cs="仿宋_GB2312"/>
          <w:b/>
          <w:bCs/>
          <w:color w:val="auto"/>
          <w:sz w:val="32"/>
          <w:szCs w:val="40"/>
          <w:highlight w:val="none"/>
        </w:rPr>
        <w:t>候选供应商。</w:t>
      </w:r>
      <w:r>
        <w:rPr>
          <w:rFonts w:hint="eastAsia" w:ascii="仿宋_GB2312" w:hAnsi="仿宋_GB2312" w:eastAsia="仿宋_GB2312" w:cs="仿宋_GB2312"/>
          <w:color w:val="auto"/>
          <w:sz w:val="32"/>
          <w:szCs w:val="40"/>
          <w:highlight w:val="none"/>
        </w:rPr>
        <w:t>相关问题请你单位尽快落实整改到位。</w:t>
      </w:r>
    </w:p>
    <w:p>
      <w:pPr>
        <w:ind w:firstLine="642"/>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特此通知</w:t>
      </w:r>
    </w:p>
    <w:p>
      <w:pPr>
        <w:ind w:firstLine="642"/>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 xml:space="preserve">                    </w:t>
      </w:r>
    </w:p>
    <w:p>
      <w:pPr>
        <w:ind w:firstLine="3871" w:firstLineChars="1205"/>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东莞市水务集团管网有限公司</w:t>
      </w:r>
    </w:p>
    <w:p>
      <w:pPr>
        <w:ind w:firstLine="3871" w:firstLineChars="1205"/>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 xml:space="preserve">      2021年   月   日</w:t>
      </w:r>
    </w:p>
    <w:p>
      <w:pPr>
        <w:rPr>
          <w:color w:val="auto"/>
          <w:highlight w:val="none"/>
        </w:rPr>
      </w:pPr>
      <w:r>
        <w:rPr>
          <w:color w:val="auto"/>
          <w:highlight w:val="none"/>
        </w:rPr>
        <w:br w:type="page"/>
      </w:r>
    </w:p>
    <w:p>
      <w:pPr>
        <w:pStyle w:val="2"/>
        <w:rPr>
          <w:color w:val="auto"/>
          <w:highlight w:val="none"/>
        </w:rPr>
      </w:pPr>
    </w:p>
    <w:p>
      <w:pPr>
        <w:jc w:val="left"/>
        <w:rPr>
          <w:rFonts w:ascii="黑体" w:hAnsi="宋体" w:eastAsia="黑体" w:cs="黑体"/>
          <w:color w:val="auto"/>
          <w:kern w:val="0"/>
          <w:sz w:val="32"/>
          <w:szCs w:val="32"/>
          <w:highlight w:val="none"/>
          <w:lang w:bidi="ar"/>
        </w:rPr>
      </w:pPr>
      <w:r>
        <w:rPr>
          <w:rFonts w:hint="eastAsia" w:ascii="黑体" w:hAnsi="宋体" w:eastAsia="黑体" w:cs="黑体"/>
          <w:color w:val="auto"/>
          <w:kern w:val="0"/>
          <w:sz w:val="32"/>
          <w:szCs w:val="32"/>
          <w:highlight w:val="none"/>
          <w:lang w:bidi="ar"/>
        </w:rPr>
        <w:t>附件5</w:t>
      </w:r>
    </w:p>
    <w:p>
      <w:pPr>
        <w:pStyle w:val="2"/>
        <w:rPr>
          <w:rFonts w:ascii="黑体" w:hAnsi="宋体" w:eastAsia="黑体" w:cs="黑体"/>
          <w:color w:val="auto"/>
          <w:kern w:val="0"/>
          <w:sz w:val="32"/>
          <w:szCs w:val="32"/>
          <w:highlight w:val="none"/>
          <w:lang w:bidi="ar"/>
        </w:rPr>
      </w:pP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w:t>
      </w:r>
      <w:r>
        <w:rPr>
          <w:rFonts w:ascii="方正小标宋简体" w:hAnsi="方正小标宋简体" w:eastAsia="方正小标宋简体" w:cs="方正小标宋简体"/>
          <w:color w:val="auto"/>
          <w:sz w:val="44"/>
          <w:szCs w:val="44"/>
          <w:highlight w:val="none"/>
        </w:rPr>
        <w:t>XXXXX</w:t>
      </w:r>
      <w:r>
        <w:rPr>
          <w:rFonts w:hint="eastAsia" w:ascii="方正小标宋简体" w:hAnsi="方正小标宋简体" w:eastAsia="方正小标宋简体" w:cs="方正小标宋简体"/>
          <w:color w:val="auto"/>
          <w:sz w:val="44"/>
          <w:szCs w:val="44"/>
          <w:highlight w:val="none"/>
        </w:rPr>
        <w:t>供应商库候选供应商转为在库供应商的通知书</w:t>
      </w:r>
    </w:p>
    <w:p>
      <w:pPr>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XXXXX（公司）：</w:t>
      </w:r>
    </w:p>
    <w:p>
      <w:pPr>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color w:val="auto"/>
          <w:sz w:val="32"/>
          <w:szCs w:val="40"/>
          <w:highlight w:val="none"/>
        </w:rPr>
        <w:t xml:space="preserve">    鉴于XXXXX（公司）于2021年XX月XX日成为东莞市水务集团管网有限公司管道清疏服务供应商库</w:t>
      </w:r>
      <w:r>
        <w:rPr>
          <w:rFonts w:hint="eastAsia" w:ascii="仿宋_GB2312" w:hAnsi="仿宋_GB2312" w:eastAsia="仿宋_GB2312" w:cs="仿宋_GB2312"/>
          <w:b/>
          <w:bCs/>
          <w:color w:val="auto"/>
          <w:sz w:val="32"/>
          <w:szCs w:val="40"/>
          <w:highlight w:val="none"/>
        </w:rPr>
        <w:t>候选供应商</w:t>
      </w:r>
      <w:r>
        <w:rPr>
          <w:rFonts w:hint="eastAsia" w:ascii="仿宋_GB2312" w:hAnsi="仿宋_GB2312" w:eastAsia="仿宋_GB2312" w:cs="仿宋_GB2312"/>
          <w:color w:val="auto"/>
          <w:sz w:val="32"/>
          <w:szCs w:val="40"/>
          <w:highlight w:val="none"/>
        </w:rPr>
        <w:t>，且于XXX年X月X日签订了《管道清疏服务供应商库候选供应商框架合同》（下称“框架合同”），现通知贵公司即日起转为我司</w:t>
      </w:r>
      <w:r>
        <w:rPr>
          <w:rFonts w:ascii="仿宋_GB2312" w:hAnsi="仿宋_GB2312" w:eastAsia="仿宋_GB2312" w:cs="仿宋_GB2312"/>
          <w:color w:val="auto"/>
          <w:sz w:val="32"/>
          <w:szCs w:val="40"/>
          <w:highlight w:val="none"/>
        </w:rPr>
        <w:t>XXXXX</w:t>
      </w:r>
      <w:r>
        <w:rPr>
          <w:rFonts w:hint="eastAsia" w:ascii="仿宋_GB2312" w:hAnsi="仿宋_GB2312" w:eastAsia="仿宋_GB2312" w:cs="仿宋_GB2312"/>
          <w:color w:val="auto"/>
          <w:sz w:val="32"/>
          <w:szCs w:val="40"/>
          <w:highlight w:val="none"/>
        </w:rPr>
        <w:t>供应商库</w:t>
      </w:r>
      <w:r>
        <w:rPr>
          <w:rFonts w:hint="eastAsia" w:ascii="仿宋_GB2312" w:hAnsi="仿宋_GB2312" w:eastAsia="仿宋_GB2312" w:cs="仿宋_GB2312"/>
          <w:b/>
          <w:bCs/>
          <w:color w:val="auto"/>
          <w:sz w:val="32"/>
          <w:szCs w:val="40"/>
          <w:highlight w:val="none"/>
        </w:rPr>
        <w:t>在库供应商。</w:t>
      </w:r>
    </w:p>
    <w:p>
      <w:pPr>
        <w:ind w:firstLine="642"/>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特此通知</w:t>
      </w:r>
    </w:p>
    <w:p>
      <w:pPr>
        <w:ind w:firstLine="642"/>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 xml:space="preserve">                    </w:t>
      </w:r>
    </w:p>
    <w:p>
      <w:pPr>
        <w:ind w:firstLine="3871" w:firstLineChars="1205"/>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东莞市水务集团管网有限公司</w:t>
      </w:r>
    </w:p>
    <w:p>
      <w:pPr>
        <w:pStyle w:val="3"/>
        <w:wordWrap w:val="0"/>
        <w:ind w:firstLine="321"/>
        <w:jc w:val="right"/>
        <w:rPr>
          <w:rFonts w:eastAsia="仿宋_GB2312"/>
          <w:color w:val="auto"/>
          <w:highlight w:val="none"/>
          <w:lang w:val="en-US" w:bidi="ar"/>
        </w:rPr>
        <w:sectPr>
          <w:headerReference r:id="rId5" w:type="default"/>
          <w:footerReference r:id="rId6" w:type="default"/>
          <w:type w:val="continuous"/>
          <w:pgSz w:w="11906" w:h="16838"/>
          <w:pgMar w:top="1418" w:right="1418" w:bottom="1418" w:left="1418" w:header="720" w:footer="1005" w:gutter="0"/>
          <w:cols w:space="720" w:num="1"/>
          <w:docGrid w:linePitch="326" w:charSpace="0"/>
        </w:sectPr>
      </w:pPr>
      <w:r>
        <w:rPr>
          <w:rFonts w:hint="eastAsia" w:ascii="仿宋_GB2312" w:hAnsi="仿宋_GB2312" w:eastAsia="仿宋_GB2312" w:cs="仿宋_GB2312"/>
          <w:color w:val="auto"/>
          <w:sz w:val="32"/>
          <w:szCs w:val="40"/>
          <w:highlight w:val="none"/>
        </w:rPr>
        <w:t xml:space="preserve">      2021年   月   日</w:t>
      </w:r>
      <w:r>
        <w:rPr>
          <w:rFonts w:hint="eastAsia" w:ascii="仿宋_GB2312" w:hAnsi="仿宋_GB2312" w:eastAsia="仿宋_GB2312" w:cs="仿宋_GB2312"/>
          <w:color w:val="auto"/>
          <w:sz w:val="32"/>
          <w:szCs w:val="40"/>
          <w:highlight w:val="none"/>
          <w:lang w:val="en-US"/>
        </w:rPr>
        <w:t xml:space="preserve">          </w:t>
      </w:r>
    </w:p>
    <w:p>
      <w:pPr>
        <w:pStyle w:val="4"/>
        <w:rPr>
          <w:rFonts w:ascii="Times New Roman" w:hAnsi="Times New Roman" w:cs="Times New Roman"/>
          <w:color w:val="auto"/>
          <w:highlight w:val="none"/>
        </w:rPr>
      </w:pPr>
      <w:bookmarkStart w:id="16" w:name="_Toc24260"/>
      <w:bookmarkStart w:id="17" w:name="_Toc54190060"/>
      <w:r>
        <w:rPr>
          <w:rFonts w:ascii="Times New Roman" w:hAnsi="Times New Roman" w:cs="Times New Roman"/>
          <w:color w:val="auto"/>
          <w:highlight w:val="none"/>
        </w:rPr>
        <w:t>第</w:t>
      </w:r>
      <w:r>
        <w:rPr>
          <w:rFonts w:hint="eastAsia" w:ascii="Times New Roman" w:hAnsi="Times New Roman" w:cs="Times New Roman"/>
          <w:color w:val="auto"/>
          <w:highlight w:val="none"/>
        </w:rPr>
        <w:t>三</w:t>
      </w:r>
      <w:r>
        <w:rPr>
          <w:rFonts w:ascii="Times New Roman" w:hAnsi="Times New Roman" w:cs="Times New Roman"/>
          <w:color w:val="auto"/>
          <w:highlight w:val="none"/>
        </w:rPr>
        <w:t xml:space="preserve">部分 </w:t>
      </w:r>
      <w:r>
        <w:rPr>
          <w:rFonts w:hint="eastAsia" w:ascii="Times New Roman" w:hAnsi="Times New Roman" w:cs="Times New Roman"/>
          <w:color w:val="auto"/>
          <w:highlight w:val="none"/>
        </w:rPr>
        <w:t>报名文件格式</w:t>
      </w:r>
      <w:bookmarkEnd w:id="16"/>
      <w:bookmarkEnd w:id="17"/>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一、资格证明文件</w:t>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1、法定代表人身份证明书及授权书格式（法定代表人报名时只提供法定代表人身份证明书，委托他人为报名代表时同时提供法定代表人授权书）</w:t>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（1）法定代表人身份证明书格式</w:t>
      </w:r>
      <w:bookmarkStart w:id="18" w:name="_Hlk54164620"/>
    </w:p>
    <w:p>
      <w:pPr>
        <w:spacing w:before="120" w:after="120" w:line="400" w:lineRule="exact"/>
        <w:ind w:firstLine="426" w:firstLineChars="202"/>
        <w:jc w:val="center"/>
        <w:rPr>
          <w:rFonts w:ascii="宋体" w:hAnsi="宋体" w:eastAsia="宋体"/>
          <w:b/>
          <w:bCs/>
          <w:color w:val="auto"/>
          <w:szCs w:val="21"/>
          <w:highlight w:val="none"/>
        </w:rPr>
      </w:pPr>
      <w:r>
        <w:rPr>
          <w:rFonts w:hint="eastAsia" w:ascii="宋体" w:hAnsi="宋体" w:eastAsia="宋体" w:cs="Arial"/>
          <w:b/>
          <w:color w:val="auto"/>
          <w:szCs w:val="21"/>
          <w:highlight w:val="none"/>
        </w:rPr>
        <w:t>法定代</w:t>
      </w:r>
      <w:bookmarkStart w:id="19" w:name="_Toc36971359"/>
      <w:bookmarkStart w:id="20" w:name="_Toc45995270"/>
      <w:r>
        <w:rPr>
          <w:rFonts w:hint="eastAsia" w:ascii="宋体" w:hAnsi="宋体" w:eastAsia="宋体" w:cs="Arial"/>
          <w:b/>
          <w:color w:val="auto"/>
          <w:szCs w:val="21"/>
          <w:highlight w:val="none"/>
        </w:rPr>
        <w:t>表人身份证明书</w:t>
      </w:r>
    </w:p>
    <w:p>
      <w:pPr>
        <w:spacing w:before="120" w:after="120" w:line="400" w:lineRule="exact"/>
        <w:ind w:firstLine="420" w:firstLineChars="200"/>
        <w:rPr>
          <w:rFonts w:ascii="宋体" w:hAnsi="宋体" w:eastAsia="宋体"/>
          <w:color w:val="auto"/>
          <w:szCs w:val="21"/>
          <w:highlight w:val="none"/>
        </w:rPr>
      </w:pP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先生</w:t>
      </w:r>
      <w:bookmarkEnd w:id="19"/>
      <w:bookmarkEnd w:id="20"/>
      <w:r>
        <w:rPr>
          <w:rFonts w:hint="eastAsia" w:ascii="宋体" w:hAnsi="宋体" w:eastAsia="宋体"/>
          <w:color w:val="auto"/>
          <w:szCs w:val="21"/>
          <w:highlight w:val="none"/>
        </w:rPr>
        <w:t>／女士：现任我单位</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职务，为法定代表人，特此证明。</w:t>
      </w:r>
    </w:p>
    <w:p>
      <w:pPr>
        <w:spacing w:before="120" w:after="120" w:line="400" w:lineRule="exact"/>
        <w:ind w:firstLine="424" w:firstLineChars="202"/>
        <w:rPr>
          <w:rFonts w:ascii="宋体" w:hAnsi="宋体" w:eastAsia="宋体"/>
          <w:color w:val="auto"/>
          <w:szCs w:val="21"/>
          <w:highlight w:val="none"/>
        </w:rPr>
      </w:pPr>
      <w:r>
        <w:rPr>
          <w:rFonts w:hint="eastAsia" w:ascii="宋体" w:hAnsi="宋体" w:eastAsia="宋体"/>
          <w:color w:val="auto"/>
          <w:szCs w:val="21"/>
          <w:highlight w:val="none"/>
        </w:rPr>
        <w:t>有效日期：</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签发日期：</w:t>
      </w:r>
      <w:r>
        <w:rPr>
          <w:rFonts w:ascii="宋体" w:hAnsi="宋体" w:eastAsia="宋体"/>
          <w:color w:val="auto"/>
          <w:szCs w:val="21"/>
          <w:highlight w:val="none"/>
          <w:u w:val="single"/>
        </w:rPr>
        <w:t xml:space="preserve">           </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附：代表人性别：</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 年龄：</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身份证号码：</w:t>
      </w:r>
      <w:r>
        <w:rPr>
          <w:rFonts w:ascii="宋体" w:hAnsi="宋体" w:eastAsia="宋体"/>
          <w:color w:val="auto"/>
          <w:szCs w:val="21"/>
          <w:highlight w:val="none"/>
          <w:u w:val="single"/>
        </w:rPr>
        <w:t xml:space="preserve">            </w:t>
      </w:r>
    </w:p>
    <w:p>
      <w:pPr>
        <w:spacing w:before="120" w:after="120" w:line="400" w:lineRule="exact"/>
        <w:ind w:firstLine="424" w:firstLineChars="202"/>
        <w:rPr>
          <w:rFonts w:ascii="宋体" w:hAnsi="宋体" w:eastAsia="宋体"/>
          <w:color w:val="auto"/>
          <w:szCs w:val="21"/>
          <w:highlight w:val="none"/>
        </w:rPr>
      </w:pPr>
      <w:r>
        <w:rPr>
          <w:rFonts w:hint="eastAsia" w:ascii="宋体" w:hAnsi="宋体" w:eastAsia="宋体"/>
          <w:color w:val="auto"/>
          <w:szCs w:val="21"/>
          <w:highlight w:val="none"/>
        </w:rPr>
        <w:t>营业执照号码：</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经济性质：</w:t>
      </w:r>
      <w:r>
        <w:rPr>
          <w:rFonts w:ascii="宋体" w:hAnsi="宋体" w:eastAsia="宋体"/>
          <w:color w:val="auto"/>
          <w:szCs w:val="21"/>
          <w:highlight w:val="none"/>
        </w:rPr>
        <w:t xml:space="preserve"> </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主营（产）：</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兼营（产）：</w:t>
      </w:r>
    </w:p>
    <w:p>
      <w:pPr>
        <w:pStyle w:val="2"/>
        <w:rPr>
          <w:color w:val="auto"/>
          <w:highlight w:val="none"/>
        </w:rPr>
      </w:pPr>
    </w:p>
    <w:p>
      <w:pPr>
        <w:pStyle w:val="2"/>
        <w:rPr>
          <w:color w:val="auto"/>
          <w:highlight w:val="none"/>
        </w:rPr>
      </w:pPr>
    </w:p>
    <w:p>
      <w:pPr>
        <w:spacing w:before="120" w:after="120" w:line="400" w:lineRule="exact"/>
        <w:ind w:left="629" w:firstLine="4740"/>
        <w:rPr>
          <w:rFonts w:ascii="宋体" w:hAnsi="宋体" w:eastAsia="宋体"/>
          <w:color w:val="auto"/>
          <w:szCs w:val="21"/>
          <w:highlight w:val="none"/>
        </w:rPr>
      </w:pPr>
      <w:r>
        <w:rPr>
          <w:rFonts w:hint="eastAsia" w:ascii="宋体" w:hAnsi="宋体" w:eastAsia="宋体"/>
          <w:color w:val="auto"/>
          <w:szCs w:val="21"/>
          <w:highlight w:val="none"/>
          <w:lang w:val="zh-CN"/>
        </w:rPr>
        <w:t>报名人：（加盖报名人法人公章）</w:t>
      </w:r>
    </w:p>
    <w:p>
      <w:pPr>
        <w:tabs>
          <w:tab w:val="left" w:pos="525"/>
        </w:tabs>
        <w:spacing w:before="120" w:after="120" w:line="400" w:lineRule="exact"/>
        <w:ind w:left="462" w:leftChars="220" w:firstLine="4857" w:firstLineChars="2313"/>
        <w:rPr>
          <w:rFonts w:ascii="宋体" w:hAnsi="宋体" w:eastAsia="宋体"/>
          <w:b/>
          <w:bCs/>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日</w:t>
      </w:r>
      <w:r>
        <w:rPr>
          <w:rFonts w:ascii="宋体" w:hAnsi="宋体" w:eastAsia="宋体"/>
          <w:b/>
          <w:bCs/>
          <w:color w:val="auto"/>
          <w:szCs w:val="21"/>
          <w:highlight w:val="none"/>
          <w:lang w:val="zh-CN"/>
        </w:rPr>
        <w:t xml:space="preserve"> </w:t>
      </w:r>
    </w:p>
    <w:p>
      <w:pPr>
        <w:pStyle w:val="2"/>
        <w:rPr>
          <w:color w:val="auto"/>
          <w:highlight w:val="none"/>
          <w:lang w:val="zh-CN"/>
        </w:rPr>
      </w:pPr>
    </w:p>
    <w:p>
      <w:pPr>
        <w:tabs>
          <w:tab w:val="left" w:pos="525"/>
        </w:tabs>
        <w:spacing w:before="120" w:after="120" w:line="360" w:lineRule="auto"/>
        <w:rPr>
          <w:rFonts w:hAnsi="宋体"/>
          <w:color w:val="auto"/>
          <w:highlight w:val="none"/>
        </w:rPr>
      </w:pPr>
      <w:r>
        <w:rPr>
          <w:rFonts w:hint="eastAsia" w:hAnsi="宋体"/>
          <w:color w:val="auto"/>
          <w:highlight w:val="none"/>
        </w:rPr>
        <w:t>附 法定代表人身份证复印件</w:t>
      </w:r>
    </w:p>
    <w:p>
      <w:pPr>
        <w:rPr>
          <w:rFonts w:hAnsi="宋体"/>
          <w:color w:val="auto"/>
          <w:highlight w:val="none"/>
          <w:lang w:val="zh-CN"/>
        </w:rPr>
      </w:pPr>
      <w:r>
        <w:rPr>
          <w:rFonts w:hAnsi="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73660</wp:posOffset>
                </wp:positionV>
                <wp:extent cx="2790825" cy="1962150"/>
                <wp:effectExtent l="13970" t="6985" r="508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5.8pt;height:154.5pt;width:219.75pt;z-index:251664384;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BEDs85AAgAAiAQAAA4AAABkcnMvZTJvRG9jLnhtbK1U&#10;zW7bMAy+D9g7CLqvToymTYw6RZegw4DuB+j2AIosx8IkUaOU2NkDbG/Q0y6777nyHKPltAu6Yehh&#10;PhiiSX0kv4/0xWVnDdsqDBpcyccnI86Uk1Bpty75xw/XL6achShcJQw4VfKdCvxy/vzZResLlUMD&#10;plLICMSFovUlb2L0RZYF2Sgrwgl45chZA1oRycR1VqFoCd2aLB+NzrIWsPIIUoVAX5eDkx8Q8SmA&#10;UNdaqiXIjVUuDqiojIjUUmi0D3yeqq1rJeO7ug4qMlNy6jSmNyWh86p/Z/MLUaxR+EbLQwniKSU8&#10;6skK7SjpA9RSRME2qP+AsloiBKjjiQSbDY0kRqiL8egRN7eN8Cr1QlQH/0B6+H+w8u32PTJdlTzn&#10;zAlLgu/vvu2//9z/+Mrynp7Wh4Kibj3Fxe4ldDQ0qdXgb0B+CszBohFura4QoW2UqKi8cX8zO7o6&#10;4IQeZNW+gYryiE2EBNTVaHvuiA1G6CTN7kEa1UUm6WN+PhtN8wlnknzj2Vk+niTxMlHcX/cY4isF&#10;lvWHkiNpn+DF9ibEvhxR3If02QIYXV1rY5KB69XCINsKmpPr9KQOHoUZx9qSzyZUyL8hRun5G4TV&#10;kdbHaFvy6XGQcQfCeo4GtmK36g4CrKDaEXUIwwDT+tKhAfzCWUvDW/LweSNQcWZeO6J/Nj497ac9&#10;GaeT85wMPPasjj3CSYIqeeRsOC7isCEbj3rdUKZBcAdXJFmtE5m9tkNVh7ppQBPHh2XqN+DYTlG/&#10;f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LXrEnZAAAACgEAAA8AAAAAAAAAAQAgAAAAIgAA&#10;AGRycy9kb3ducmV2LnhtbFBLAQIUABQAAAAIAIdO4kARA7POQAIAAIgEAAAOAAAAAAAAAAEAIAAA&#10;ACg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73660</wp:posOffset>
                </wp:positionV>
                <wp:extent cx="2790825" cy="1962150"/>
                <wp:effectExtent l="13970" t="6985" r="508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5.8pt;height:154.5pt;width:219.75pt;z-index:251663360;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Sf4Dy0ICAACIBAAADgAAAGRycy9lMm9Eb2MueG1srVTN&#10;btswDL4P2DsIui9OgqZtgjpF1yDDgO4H6PYAiizHwiRRo5TY2QNsb9DTLrvvufIco+S0C7ph6GE+&#10;GKJJfeT3kfTFZWcN2yoMGlzJR4MhZ8pJqLRbl/zjh+WLc85CFK4SBpwq+U4Ffjl//uyi9TM1hgZM&#10;pZARiAuz1pe8idHPiiLIRlkRBuCVI2cNaEUkE9dFhaIldGuK8XB4WrSAlUeQKgT6uuid/ICITwGE&#10;utZSLUBurHKxR0VlRCRKodE+8Hmutq6VjO/qOqjITMmJacxvSkLnVXoX8wsxW6PwjZaHEsRTSnjE&#10;yQrtKOkD1EJEwTao/4CyWiIEqONAgi16IlkRYjEaPtLmthFeZS4kdfAPoof/Byvfbt8j0xVNAmdO&#10;WGr4/u7b/vvP/Y+vbJTkaX2YUdStp7jYvYQuhSaqwd+A/BSYg+tGuLW6QoS2UaKi8vLN4uhqjxMS&#10;yKp9AxXlEZsIGair0SZAUoMROrVm99Aa1UUm6eP4bDo8H084k+QbTU/Ho0luXiFm99c9hvhKgWXp&#10;UHKk3md4sb0JkYhQ6H1ILh+MrpbamGzgenVtkG0FzckyP4k7XQnHYcaxtuTTCRXyb4hhfv4GYXWk&#10;9THalvz8OMg4SpcESxr1asVu1R0asIJqR9Ih9ANM60uHBvALZy0Nb8nD541AxZl57Uj+6ejkJE17&#10;Nk4mZ2My8NizOvYIJwmq5JGz/ngd+w3ZeNTrhjL1DXdwRS2rdRYzldpXdaibBjQLdlimtAHHdo76&#10;/QO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eM6n92AAAAAgBAAAPAAAAAAAAAAEAIAAAACIA&#10;AABkcnMvZG93bnJldi54bWxQSwECFAAUAAAACACHTuJASf4Dy0ICAACIBAAADgAAAAAAAAABACAA&#10;AAAn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p>
    <w:p>
      <w:pPr>
        <w:rPr>
          <w:rFonts w:hAnsi="宋体"/>
          <w:color w:val="auto"/>
          <w:highlight w:val="none"/>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b/>
          <w:color w:val="auto"/>
          <w:szCs w:val="21"/>
          <w:highlight w:val="none"/>
        </w:rPr>
      </w:pPr>
    </w:p>
    <w:p>
      <w:pPr>
        <w:rPr>
          <w:rFonts w:hAnsi="宋体"/>
          <w:b/>
          <w:color w:val="auto"/>
          <w:szCs w:val="21"/>
          <w:highlight w:val="none"/>
        </w:rPr>
      </w:pPr>
    </w:p>
    <w:p>
      <w:pPr>
        <w:widowControl/>
        <w:spacing w:line="360" w:lineRule="auto"/>
        <w:rPr>
          <w:rFonts w:hAnsi="宋体"/>
          <w:b/>
          <w:color w:val="auto"/>
          <w:szCs w:val="21"/>
          <w:highlight w:val="none"/>
        </w:rPr>
      </w:pPr>
      <w:r>
        <w:rPr>
          <w:rFonts w:hAnsi="宋体"/>
          <w:b/>
          <w:color w:val="auto"/>
          <w:szCs w:val="21"/>
          <w:highlight w:val="none"/>
        </w:rPr>
        <w:t>注：法定代表人身份证须在有效期限内。</w:t>
      </w:r>
    </w:p>
    <w:p>
      <w:pPr>
        <w:pStyle w:val="2"/>
        <w:rPr>
          <w:color w:val="auto"/>
          <w:highlight w:val="none"/>
        </w:rPr>
      </w:pPr>
    </w:p>
    <w:p>
      <w:pPr>
        <w:rPr>
          <w:rFonts w:ascii="宋体" w:hAnsi="宋体" w:eastAsia="宋体"/>
          <w:b/>
          <w:color w:val="auto"/>
          <w:szCs w:val="21"/>
          <w:highlight w:val="none"/>
        </w:rPr>
      </w:pPr>
      <w:r>
        <w:rPr>
          <w:rFonts w:hint="eastAsia" w:ascii="宋体" w:hAnsi="宋体" w:eastAsia="宋体"/>
          <w:b/>
          <w:color w:val="auto"/>
          <w:szCs w:val="21"/>
          <w:highlight w:val="none"/>
        </w:rPr>
        <w:br w:type="page"/>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（2）法定代表人授权书格式</w:t>
      </w:r>
    </w:p>
    <w:p>
      <w:pPr>
        <w:spacing w:line="400" w:lineRule="exact"/>
        <w:jc w:val="center"/>
        <w:rPr>
          <w:rFonts w:ascii="宋体" w:hAnsi="宋体" w:eastAsia="宋体"/>
          <w:b/>
          <w:bCs/>
          <w:color w:val="auto"/>
          <w:szCs w:val="21"/>
          <w:highlight w:val="none"/>
          <w:lang w:val="zh-CN"/>
        </w:rPr>
      </w:pPr>
    </w:p>
    <w:p>
      <w:pPr>
        <w:spacing w:line="400" w:lineRule="exact"/>
        <w:jc w:val="center"/>
        <w:rPr>
          <w:rFonts w:ascii="宋体" w:hAnsi="宋体" w:eastAsia="宋体"/>
          <w:b/>
          <w:bCs/>
          <w:color w:val="auto"/>
          <w:szCs w:val="21"/>
          <w:highlight w:val="none"/>
          <w:lang w:val="zh-CN"/>
        </w:rPr>
      </w:pPr>
      <w:r>
        <w:rPr>
          <w:rFonts w:hint="eastAsia" w:ascii="宋体" w:hAnsi="宋体" w:eastAsia="宋体"/>
          <w:b/>
          <w:bCs/>
          <w:color w:val="auto"/>
          <w:szCs w:val="21"/>
          <w:highlight w:val="none"/>
          <w:lang w:val="zh-CN"/>
        </w:rPr>
        <w:t>法定代表人授权书</w:t>
      </w:r>
    </w:p>
    <w:p>
      <w:pPr>
        <w:spacing w:line="400" w:lineRule="exact"/>
        <w:jc w:val="center"/>
        <w:rPr>
          <w:rFonts w:ascii="宋体" w:hAnsi="宋体" w:eastAsia="宋体"/>
          <w:color w:val="auto"/>
          <w:szCs w:val="21"/>
          <w:highlight w:val="none"/>
          <w:lang w:val="zh-CN"/>
        </w:rPr>
      </w:pPr>
    </w:p>
    <w:p>
      <w:pPr>
        <w:spacing w:before="120" w:after="120" w:line="400" w:lineRule="exact"/>
        <w:rPr>
          <w:rFonts w:ascii="宋体" w:hAnsi="宋体" w:eastAsia="宋体"/>
          <w:color w:val="auto"/>
          <w:szCs w:val="21"/>
          <w:highlight w:val="none"/>
          <w:lang w:val="zh-CN"/>
        </w:rPr>
      </w:pPr>
      <w:r>
        <w:rPr>
          <w:rFonts w:hint="eastAsia" w:ascii="宋体" w:hAnsi="宋体" w:eastAsia="宋体"/>
          <w:color w:val="auto"/>
          <w:szCs w:val="21"/>
          <w:highlight w:val="none"/>
          <w:lang w:val="zh-CN"/>
        </w:rPr>
        <w:t>致：东莞市水务集团管网有限公司</w:t>
      </w:r>
    </w:p>
    <w:p>
      <w:pPr>
        <w:spacing w:before="120" w:after="12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zh-CN"/>
        </w:rPr>
        <w:t>本授权书声明：注册于</w:t>
      </w:r>
      <w:r>
        <w:rPr>
          <w:rFonts w:hint="eastAsia"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（报名人地址）的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（报名人名称）在下面签字的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u w:val="single"/>
          <w:lang w:val="zh-CN"/>
        </w:rPr>
        <w:t xml:space="preserve">   </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（法定代表人姓名、职务、身份证号码）代表本公司授权在下面签字的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（被授权人的姓名、职务、身份证号码）为本公司的合法代表人，签署</w:t>
      </w:r>
      <w:r>
        <w:rPr>
          <w:rFonts w:hint="eastAsia" w:ascii="宋体" w:hAnsi="宋体" w:eastAsia="宋体"/>
          <w:color w:val="auto"/>
          <w:szCs w:val="21"/>
          <w:highlight w:val="none"/>
          <w:u w:val="single"/>
          <w:lang w:val="zh-CN"/>
        </w:rPr>
        <w:t>　　</w:t>
      </w:r>
      <w:r>
        <w:rPr>
          <w:rFonts w:ascii="宋体" w:hAnsi="宋体" w:eastAsia="宋体"/>
          <w:color w:val="auto"/>
          <w:szCs w:val="21"/>
          <w:highlight w:val="none"/>
          <w:u w:val="single"/>
          <w:lang w:val="zh-CN"/>
        </w:rPr>
        <w:t>　　</w:t>
      </w:r>
      <w:r>
        <w:rPr>
          <w:rFonts w:hint="eastAsia" w:ascii="宋体" w:hAnsi="宋体" w:eastAsia="宋体"/>
          <w:color w:val="auto"/>
          <w:szCs w:val="21"/>
          <w:highlight w:val="none"/>
          <w:lang w:val="zh-CN"/>
        </w:rPr>
        <w:t>的报名文件，</w:t>
      </w:r>
      <w:r>
        <w:rPr>
          <w:rFonts w:hint="eastAsia" w:ascii="宋体" w:hAnsi="宋体" w:eastAsia="宋体"/>
          <w:color w:val="auto"/>
          <w:szCs w:val="21"/>
          <w:highlight w:val="none"/>
        </w:rPr>
        <w:t>代表我公司</w:t>
      </w:r>
      <w:r>
        <w:rPr>
          <w:rFonts w:hint="eastAsia" w:ascii="宋体" w:hAnsi="宋体" w:eastAsia="宋体"/>
          <w:color w:val="auto"/>
          <w:szCs w:val="21"/>
          <w:highlight w:val="none"/>
          <w:lang w:val="zh-CN"/>
        </w:rPr>
        <w:t>递交报名文件、代表我公司应评审委员会的要求对报名文件进行澄清、进行合同谈判和签署合同，以我公司的名义处理一切与之有关的事宜，</w:t>
      </w:r>
      <w:r>
        <w:rPr>
          <w:rFonts w:ascii="宋体" w:hAnsi="宋体" w:eastAsia="宋体"/>
          <w:color w:val="auto"/>
          <w:szCs w:val="21"/>
          <w:highlight w:val="none"/>
        </w:rPr>
        <w:t>我</w:t>
      </w:r>
      <w:r>
        <w:rPr>
          <w:rFonts w:hint="eastAsia" w:ascii="宋体" w:hAnsi="宋体" w:eastAsia="宋体"/>
          <w:color w:val="auto"/>
          <w:szCs w:val="21"/>
          <w:highlight w:val="none"/>
        </w:rPr>
        <w:t>公司</w:t>
      </w:r>
      <w:r>
        <w:rPr>
          <w:rFonts w:ascii="宋体" w:hAnsi="宋体" w:eastAsia="宋体"/>
          <w:color w:val="auto"/>
          <w:szCs w:val="21"/>
          <w:highlight w:val="none"/>
        </w:rPr>
        <w:t>承认代理人全权代表我</w:t>
      </w:r>
      <w:r>
        <w:rPr>
          <w:rFonts w:hint="eastAsia" w:ascii="宋体" w:hAnsi="宋体" w:eastAsia="宋体"/>
          <w:color w:val="auto"/>
          <w:szCs w:val="21"/>
          <w:highlight w:val="none"/>
        </w:rPr>
        <w:t>公司</w:t>
      </w:r>
      <w:r>
        <w:rPr>
          <w:rFonts w:ascii="宋体" w:hAnsi="宋体" w:eastAsia="宋体"/>
          <w:color w:val="auto"/>
          <w:szCs w:val="21"/>
          <w:highlight w:val="none"/>
        </w:rPr>
        <w:t>签署的本项目报名文件的内容</w:t>
      </w:r>
      <w:r>
        <w:rPr>
          <w:rFonts w:hint="eastAsia" w:ascii="宋体" w:hAnsi="宋体" w:eastAsia="宋体"/>
          <w:color w:val="auto"/>
          <w:szCs w:val="21"/>
          <w:highlight w:val="none"/>
        </w:rPr>
        <w:t>及</w:t>
      </w:r>
      <w:r>
        <w:rPr>
          <w:rFonts w:hint="eastAsia" w:ascii="宋体" w:hAnsi="宋体" w:eastAsia="宋体"/>
          <w:color w:val="auto"/>
          <w:szCs w:val="21"/>
          <w:highlight w:val="none"/>
          <w:lang w:val="zh-CN"/>
        </w:rPr>
        <w:t>所进行的上述活动</w:t>
      </w:r>
      <w:r>
        <w:rPr>
          <w:rFonts w:ascii="宋体" w:hAnsi="宋体" w:eastAsia="宋体"/>
          <w:color w:val="auto"/>
          <w:szCs w:val="21"/>
          <w:highlight w:val="none"/>
          <w:lang w:val="zh-CN"/>
        </w:rPr>
        <w:t>。</w:t>
      </w:r>
    </w:p>
    <w:p>
      <w:pPr>
        <w:spacing w:before="120" w:after="12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zh-CN"/>
        </w:rPr>
        <w:t>本授权书于</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日签字生效，有效期至报名文件失效期止，</w:t>
      </w:r>
      <w:r>
        <w:rPr>
          <w:rFonts w:ascii="宋体" w:hAnsi="宋体" w:eastAsia="宋体"/>
          <w:color w:val="auto"/>
          <w:szCs w:val="21"/>
          <w:highlight w:val="none"/>
        </w:rPr>
        <w:t>代理人无转委托权</w:t>
      </w:r>
      <w:r>
        <w:rPr>
          <w:rFonts w:hint="eastAsia" w:ascii="宋体" w:hAnsi="宋体" w:eastAsia="宋体"/>
          <w:color w:val="auto"/>
          <w:szCs w:val="21"/>
          <w:highlight w:val="none"/>
        </w:rPr>
        <w:t>，</w:t>
      </w:r>
      <w:r>
        <w:rPr>
          <w:rFonts w:hint="eastAsia" w:ascii="宋体" w:hAnsi="宋体" w:eastAsia="宋体"/>
          <w:color w:val="auto"/>
          <w:szCs w:val="21"/>
          <w:highlight w:val="none"/>
          <w:lang w:val="zh-CN"/>
        </w:rPr>
        <w:t>特此声明。</w:t>
      </w:r>
    </w:p>
    <w:p>
      <w:pPr>
        <w:spacing w:before="120" w:after="120" w:line="400" w:lineRule="exact"/>
        <w:ind w:firstLine="277" w:firstLineChars="132"/>
        <w:rPr>
          <w:rFonts w:ascii="宋体" w:hAnsi="宋体" w:eastAsia="宋体"/>
          <w:color w:val="auto"/>
          <w:szCs w:val="21"/>
          <w:highlight w:val="none"/>
          <w:lang w:val="zh-CN"/>
        </w:rPr>
      </w:pPr>
    </w:p>
    <w:p>
      <w:pPr>
        <w:spacing w:before="120" w:after="120" w:line="400" w:lineRule="exact"/>
        <w:ind w:left="629" w:firstLine="425"/>
        <w:rPr>
          <w:rFonts w:ascii="宋体" w:hAnsi="宋体" w:eastAsia="宋体"/>
          <w:color w:val="auto"/>
          <w:szCs w:val="21"/>
          <w:highlight w:val="none"/>
        </w:rPr>
      </w:pP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报　名  人：（加盖报名人法人公章）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报名人地址：</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法定代表人（签名或盖私章）：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职　　　务：</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被授权人（签名或盖私章）：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职　　　务：</w:t>
      </w:r>
      <w:bookmarkEnd w:id="18"/>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widowControl/>
        <w:spacing w:before="120" w:after="120" w:line="360" w:lineRule="auto"/>
        <w:ind w:right="893" w:firstLine="420" w:firstLineChars="200"/>
        <w:textAlignment w:val="bottom"/>
        <w:rPr>
          <w:rFonts w:hAnsi="宋体"/>
          <w:color w:val="auto"/>
          <w:highlight w:val="none"/>
        </w:rPr>
      </w:pPr>
      <w:r>
        <w:rPr>
          <w:rFonts w:hAnsi="宋体"/>
          <w:color w:val="auto"/>
          <w:highlight w:val="none"/>
        </w:rPr>
        <w:t>附 法定代表人、被授权人身份证复印件</w:t>
      </w:r>
    </w:p>
    <w:p>
      <w:pPr>
        <w:widowControl/>
        <w:spacing w:before="120" w:after="120" w:line="360" w:lineRule="auto"/>
        <w:ind w:right="893" w:firstLine="420" w:firstLineChars="200"/>
        <w:textAlignment w:val="bottom"/>
        <w:rPr>
          <w:rFonts w:hAnsi="宋体"/>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spacing w:before="120" w:after="120" w:line="360" w:lineRule="auto"/>
        <w:ind w:right="893"/>
        <w:jc w:val="center"/>
        <w:textAlignment w:val="bottom"/>
        <w:rPr>
          <w:rFonts w:hAnsi="宋体"/>
          <w:color w:val="auto"/>
          <w:highlight w:val="none"/>
        </w:rPr>
      </w:pPr>
      <w:r>
        <w:rPr>
          <w:rFonts w:hAnsi="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3414395</wp:posOffset>
                </wp:positionH>
                <wp:positionV relativeFrom="paragraph">
                  <wp:posOffset>62865</wp:posOffset>
                </wp:positionV>
                <wp:extent cx="2790825" cy="1762125"/>
                <wp:effectExtent l="13970" t="5715" r="5080" b="133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6432;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KDW4+g/AgAAiAQAAA4AAABkcnMvZTJvRG9jLnhtbK1U&#10;zY7TMBC+I/EOlu80bdWf3WrT1dKqCGn5kRYewHWcxsL2mLHbZHkAeANOXLjzXPscTJxsKQtCeyCH&#10;yJMZfzPzfTO5uGysYQeFQYPL+Wgw5Ew5CYV2u5y/f7d5dsZZiMIVwoBTOb9VgV8unz65qP1CjaEC&#10;UyhkBOLCovY5r2L0iywLslJWhAF45chZAloRycRdVqCoCd2abDwczrIasPAIUoVAX9edk/eI+BhA&#10;KEst1Rrk3ioXO1RURkRqKVTaB75M1ZalkvFNWQYVmck5dRrTm5LQedu+s+WFWOxQ+ErLvgTxmBIe&#10;9GSFdpT0CLUWUbA96j+grJYIAco4kGCzrpHECHUxGj7g5qYSXqVeiOrgj6SH/wcrXx/eItNFzmec&#10;OWFJ8LuvX+6+/bj7/pnNWnpqHxYUdeMpLjbPoaGhSa0Gfw3yQ2AOVpVwO3WFCHWlREHljdqb2cnV&#10;Die0INv6FRSUR+wjJKCmRNtyR2wwQidpbo/SqCYySR/H8/Ph2XjKmSTfaD4bj8hoc4jF/XWPIb5Q&#10;YFl7yDmS9gleHK5D7ELvQ9psAYwuNtqYZOBuuzLIDoLmZJOeHv23MONYnfPzKeX+N8QwPX+DsDrS&#10;+hhtc352GmRcT1jLUcdWbLZNL8AWiluiDqEbYFpfOlSAnziraXhzHj7uBSrOzEtH9J+PJpN22pMx&#10;mc7HZOCpZ3vqEU4SVM4jZ91xFbsN2XvUu4oydYI7uCLJSp3IbLXtqurrpgFNcvTL1G7AqZ2ifv1A&#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E/wPtkAAAAJAQAADwAAAAAAAAABACAAAAAiAAAA&#10;ZHJzL2Rvd25yZXYueG1sUEsBAhQAFAAAAAgAh07iQKDW4+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Ansi="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213995</wp:posOffset>
                </wp:positionH>
                <wp:positionV relativeFrom="paragraph">
                  <wp:posOffset>62865</wp:posOffset>
                </wp:positionV>
                <wp:extent cx="2790825" cy="1762125"/>
                <wp:effectExtent l="13970" t="5715" r="5080" b="133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65408;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CtT7T4CAACIBAAADgAAAGRycy9lMm9Eb2MueG1srVTN&#10;jtMwEL4j8Q6W7zRt1W53q6arZVdFSMuPtPAAruM0FrbHjN0m5QHgDThx4c5z9TmYONlSFoT2QA6R&#10;JzP+Zub7ZrK4bKxhO4VBg8v5aDDkTDkJhXabnL9/t3p2zlmIwhXCgFM536vAL5dPnyxqP1djqMAU&#10;ChmBuDCvfc6rGP08y4KslBVhAF45cpaAVkQycZMVKGpCtyYbD4dnWQ1YeASpQqCvN52T94j4GEAo&#10;Sy3VDcitVS52qKiMiNRSqLQPfJmqLUsl45uyDCoyk3PqNKY3JaHzun1ny4WYb1D4Ssu+BPGYEh70&#10;ZIV2lPQIdSOiYFvUf0BZLREClHEgwWZdI4kR6mI0fMDNXSW8Sr0Q1cEfSQ//D1a+3r1FpoucTzlz&#10;wpLgh69fDt9+HL5/ZtOWntqHOUXdeYqLzXNoaGhSq8HfgvwQmIPrSriNukKEulKioPJG7c3s5GqH&#10;E1qQdf0KCsojthESUFOibbkjNhihkzT7ozSqiUzSx/HsYng+phol+Uazs/GIjDaHmN9f9xjiCwWW&#10;tYecI2mf4MXuNsQu9D6kzRbA6GKljUkGbtbXBtlO0Jys0tOj/xZmHKtzfjGl3P+GGKbnbxBWR1of&#10;o23Oz0+DjOsJaznq2IrNuukFWEOxJ+oQugGm9aVDBfiJs5qGN+fh41ag4sy8dET/xWgyaac9GZPp&#10;bEwGnnrWpx7hJEHlPHLWHa9jtyFbj3pTUaZOcAdXJFmpE5mttl1Vfd00oEmOfpnaDTi1U9SvH8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iaTQ3YAAAACAEAAA8AAAAAAAAAAQAgAAAAIgAAAGRy&#10;cy9kb3ducmV2LnhtbFBLAQIUABQAAAAIAIdO4kD4K1PtPgIAAIgEAAAOAAAAAAAAAAEAIAAAACcB&#10;AABkcnMvZTJvRG9jLnhtbFBLBQYAAAAABgAGAFkBAADX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jc w:val="center"/>
        <w:rPr>
          <w:rFonts w:hAnsi="宋体"/>
          <w:color w:val="auto"/>
          <w:highlight w:val="none"/>
        </w:rPr>
      </w:pPr>
    </w:p>
    <w:p>
      <w:pPr>
        <w:jc w:val="center"/>
        <w:rPr>
          <w:rFonts w:hAnsi="宋体"/>
          <w:color w:val="auto"/>
          <w:highlight w:val="none"/>
        </w:rPr>
      </w:pPr>
      <w:r>
        <w:rPr>
          <w:rFonts w:hAnsi="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3414395</wp:posOffset>
                </wp:positionH>
                <wp:positionV relativeFrom="paragraph">
                  <wp:posOffset>2688590</wp:posOffset>
                </wp:positionV>
                <wp:extent cx="2743200" cy="1771650"/>
                <wp:effectExtent l="13970" t="12065" r="5080"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8480;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i+7XbkICAACIBAAADgAAAGRycy9lMm9Eb2MueG1s&#10;rVTNbtswDL4P2DsIuq9OsqRpjThF16LDgO4H6PYAiizHwiRRo5TY3QNsb7DTLrvvufIco2U3C7IN&#10;6GE+GKJJfSS/j/TiorWGbRUGDa7g45MRZ8pJKLVbF/zD+5tnZ5yFKFwpDDhV8HsV+MXy6ZNF43M1&#10;gRpMqZARiAt54wtex+jzLAuyVlaEE/DKkbMCtCKSieusRNEQujXZZDQ6zRrA0iNIFQJ9ve6dfEDE&#10;xwBCVWmprkFurHKxR0VlRKSWQq194MtUbVUpGd9WVVCRmYJTpzG9KQmdV907Wy5Evkbhay2HEsRj&#10;SjjqyQrtKOke6lpEwTao/4CyWiIEqOKJBJv1jSRGqIvx6Iibu1p4lXohqoPfkx7+H6x8s32HTJcF&#10;n3LmhCXBd9++7r7/3P34wqYdPY0POUXdeYqL7QtoaWhSq8HfgvwYmIOrWri1ukSEplaipPLG3c3s&#10;4GqPEzqQVfMaSsojNhESUFuh7bgjNhihkzT3e2lUG5mkj5P59DlND2eSfOP5fHw6S+JlIn+47jHE&#10;lwos6w4FR9I+wYvtbYhdOSJ/COmyBTC6vNHGJAPXqyuDbCtoTm7Skzo4CjOONQU/n01mPQP/hBil&#10;528QVkdaH6Ntwc8Og4wbCOs46tmK7aodBFhBeU/UIfQDTOtLhxrwM2cNDW/Bw6eNQMWZeeWI/vPx&#10;dNpNezKms/mEDDz0rA49wkmCKnjkrD9exX5DNh71uqZMveAOLkmySicyO237qoa6aUATx8MydRtw&#10;aKeo3z+Q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fsFDo2wAAAAsBAAAPAAAAAAAAAAEAIAAA&#10;ACIAAABkcnMvZG93bnJldi54bWxQSwECFAAUAAAACACHTuJAi+7XbkICAACIBAAADgAAAAAAAAAB&#10;ACAAAAAq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Ansi="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213995</wp:posOffset>
                </wp:positionH>
                <wp:positionV relativeFrom="paragraph">
                  <wp:posOffset>2688590</wp:posOffset>
                </wp:positionV>
                <wp:extent cx="2743200" cy="1771650"/>
                <wp:effectExtent l="13970" t="12065" r="5080"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7456;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MxCCdBDAgAAiAQAAA4AAABkcnMvZTJvRG9jLnhtbK1U&#10;zW7bMAy+D9g7CLovTtKkaY04Rdciw4DuB+j2AIosx8IkUaOU2N0DrG+w0y6777nyHKPlNAu6Dehh&#10;PhiiSX0kv4/0/KK1hm0VBg2u4KPBkDPlJJTarQv+8cPyxRlnIQpXCgNOFfxOBX6xeP5s3vhcjaEG&#10;UypkBOJC3viC1zH6PMuCrJUVYQBeOXJWgFZEMnGdlSgaQrcmGw+Hp1kDWHoEqUKgr9e9k+8R8SmA&#10;UFVaqmuQG6tc7FFRGRGppVBrH/giVVtVSsZ3VRVUZKbg1GlMb0pC51X3zhZzka9R+FrLfQniKSU8&#10;6skK7SjpAepaRME2qP+AsloiBKjiQILN+kYSI9TFaPiIm9taeJV6IaqDP5Ae/h+sfLt9j0yXBT/h&#10;zAlLgu++3e++/9z9+MpOOnoaH3KKuvUUF9uX0NLQpFaDvwH5KTAHV7Vwa3WJCE2tREnljbqb2dHV&#10;Hid0IKvmDZSUR2wiJKC2QttxR2wwQidp7g7SqDYySR/Hs8kJTQ9nknyj2Wx0Ok3iZSJ/uO4xxFcK&#10;LOsOBUfSPsGL7U2IXTkifwjpsgUwulxqY5KB69WVQbYVNCfL9KQOHoUZx5qCn0/H056Bf0IM0/M3&#10;CKsjrY/RtuBnx0HG7QnrOOrZiu2q3QuwgvKOqEPoB5jWlw414BfOGhregofPG4GKM/PaEf3no8mk&#10;m/ZkTKazMRl47Fkde4STBFXwyFl/vIr9hmw86nVNmXrBHVySZJVOZHba9lXt66YBTRzvl6nbgGM7&#10;Rf3+gS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KVo3rZAAAACgEAAA8AAAAAAAAAAQAgAAAA&#10;IgAAAGRycy9kb3ducmV2LnhtbFBLAQIUABQAAAAIAIdO4kDMQgnQQwIAAIgEAAAOAAAAAAAAAAEA&#10;IAAAACgBAABkcnMvZTJvRG9jLnhtbFBLBQYAAAAABgAGAFkBAADd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jc w:val="center"/>
        <w:rPr>
          <w:rFonts w:hAnsi="宋体"/>
          <w:color w:val="auto"/>
          <w:szCs w:val="21"/>
          <w:highlight w:val="none"/>
        </w:rPr>
      </w:pPr>
    </w:p>
    <w:p>
      <w:pPr>
        <w:jc w:val="center"/>
        <w:rPr>
          <w:rFonts w:hAnsi="宋体"/>
          <w:color w:val="auto"/>
          <w:szCs w:val="21"/>
          <w:highlight w:val="none"/>
        </w:rPr>
      </w:pPr>
    </w:p>
    <w:p>
      <w:pPr>
        <w:jc w:val="center"/>
        <w:rPr>
          <w:rFonts w:hAnsi="宋体"/>
          <w:color w:val="auto"/>
          <w:szCs w:val="21"/>
          <w:highlight w:val="none"/>
        </w:rPr>
      </w:pPr>
    </w:p>
    <w:p>
      <w:pPr>
        <w:jc w:val="center"/>
        <w:rPr>
          <w:rFonts w:hAnsi="宋体"/>
          <w:color w:val="auto"/>
          <w:szCs w:val="21"/>
          <w:highlight w:val="none"/>
        </w:rPr>
      </w:pPr>
    </w:p>
    <w:p>
      <w:pPr>
        <w:jc w:val="cente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b/>
          <w:color w:val="auto"/>
          <w:szCs w:val="21"/>
          <w:highlight w:val="none"/>
        </w:rPr>
      </w:pPr>
    </w:p>
    <w:p>
      <w:pPr>
        <w:rPr>
          <w:rFonts w:hAnsi="宋体"/>
          <w:b/>
          <w:color w:val="auto"/>
          <w:szCs w:val="21"/>
          <w:highlight w:val="none"/>
        </w:rPr>
      </w:pPr>
    </w:p>
    <w:p>
      <w:pPr>
        <w:rPr>
          <w:rFonts w:hAnsi="宋体"/>
          <w:b/>
          <w:color w:val="auto"/>
          <w:szCs w:val="21"/>
          <w:highlight w:val="none"/>
        </w:rPr>
      </w:pPr>
    </w:p>
    <w:p>
      <w:pPr>
        <w:rPr>
          <w:rFonts w:hAnsi="宋体"/>
          <w:b/>
          <w:color w:val="auto"/>
          <w:szCs w:val="21"/>
          <w:highlight w:val="none"/>
        </w:rPr>
      </w:pPr>
      <w:r>
        <w:rPr>
          <w:rFonts w:hAnsi="宋体"/>
          <w:b/>
          <w:color w:val="auto"/>
          <w:szCs w:val="21"/>
          <w:highlight w:val="none"/>
        </w:rPr>
        <w:t>注：上述身份证须在有效期限内。</w:t>
      </w:r>
    </w:p>
    <w:p>
      <w:pPr>
        <w:rPr>
          <w:rFonts w:hAnsi="宋体"/>
          <w:color w:val="auto"/>
          <w:highlight w:val="none"/>
        </w:rPr>
      </w:pPr>
    </w:p>
    <w:p>
      <w:pPr>
        <w:pStyle w:val="2"/>
        <w:rPr>
          <w:color w:val="auto"/>
          <w:highlight w:val="none"/>
        </w:rPr>
      </w:pPr>
    </w:p>
    <w:p>
      <w:pPr>
        <w:pStyle w:val="2"/>
        <w:rPr>
          <w:color w:val="auto"/>
          <w:highlight w:val="none"/>
        </w:rPr>
      </w:pPr>
    </w:p>
    <w:p>
      <w:pPr>
        <w:jc w:val="left"/>
        <w:rPr>
          <w:rFonts w:ascii="宋体" w:hAnsi="宋体" w:eastAsia="宋体"/>
          <w:b/>
          <w:color w:val="auto"/>
          <w:szCs w:val="21"/>
          <w:highlight w:val="none"/>
        </w:rPr>
      </w:pPr>
      <w:r>
        <w:rPr>
          <w:rFonts w:ascii="宋体" w:hAnsi="宋体" w:eastAsia="宋体"/>
          <w:b/>
          <w:color w:val="auto"/>
          <w:szCs w:val="21"/>
          <w:highlight w:val="none"/>
        </w:rPr>
        <w:br w:type="page"/>
      </w:r>
    </w:p>
    <w:p>
      <w:pPr>
        <w:autoSpaceDE w:val="0"/>
        <w:autoSpaceDN w:val="0"/>
        <w:adjustRightInd w:val="0"/>
        <w:jc w:val="left"/>
        <w:rPr>
          <w:rFonts w:ascii="宋体" w:hAnsi="宋体" w:eastAsia="宋体"/>
          <w:b/>
          <w:color w:val="auto"/>
          <w:szCs w:val="21"/>
          <w:highlight w:val="none"/>
        </w:rPr>
      </w:pPr>
      <w:r>
        <w:rPr>
          <w:rFonts w:ascii="宋体" w:hAnsi="宋体" w:eastAsia="宋体"/>
          <w:b/>
          <w:color w:val="auto"/>
          <w:szCs w:val="21"/>
          <w:highlight w:val="none"/>
        </w:rPr>
        <w:t>2、</w:t>
      </w:r>
      <w:r>
        <w:rPr>
          <w:rFonts w:hint="eastAsia" w:ascii="宋体" w:hAnsi="宋体" w:eastAsia="宋体"/>
          <w:b/>
          <w:color w:val="auto"/>
          <w:szCs w:val="21"/>
          <w:highlight w:val="none"/>
        </w:rPr>
        <w:t>最近</w:t>
      </w:r>
      <w:r>
        <w:rPr>
          <w:rFonts w:ascii="宋体" w:hAnsi="宋体" w:eastAsia="宋体"/>
          <w:b/>
          <w:color w:val="auto"/>
          <w:szCs w:val="21"/>
          <w:highlight w:val="none"/>
        </w:rPr>
        <w:t>3年报名人牵涉的主要诉讼案件或其他（失信和违法）处罚说明</w:t>
      </w:r>
      <w:r>
        <w:rPr>
          <w:rFonts w:hint="eastAsia" w:ascii="宋体" w:hAnsi="宋体" w:eastAsia="宋体"/>
          <w:b/>
          <w:color w:val="auto"/>
          <w:szCs w:val="21"/>
          <w:highlight w:val="none"/>
        </w:rPr>
        <w:t>格式</w:t>
      </w:r>
    </w:p>
    <w:p>
      <w:pPr>
        <w:autoSpaceDE w:val="0"/>
        <w:autoSpaceDN w:val="0"/>
        <w:adjustRightInd w:val="0"/>
        <w:jc w:val="left"/>
        <w:rPr>
          <w:rFonts w:ascii="宋体" w:hAnsi="宋体" w:eastAsia="宋体"/>
          <w:b/>
          <w:color w:val="auto"/>
          <w:szCs w:val="21"/>
          <w:highlight w:val="none"/>
        </w:rPr>
      </w:pPr>
    </w:p>
    <w:p>
      <w:pPr>
        <w:spacing w:line="360" w:lineRule="auto"/>
        <w:jc w:val="center"/>
        <w:rPr>
          <w:rFonts w:hint="eastAsia" w:hAnsi="宋体" w:cs="宋体"/>
          <w:b/>
          <w:bCs/>
          <w:color w:val="auto"/>
          <w:kern w:val="2"/>
          <w:sz w:val="30"/>
          <w:szCs w:val="30"/>
          <w:highlight w:val="none"/>
          <w:lang w:val="zh-CN"/>
        </w:rPr>
      </w:pPr>
      <w:r>
        <w:rPr>
          <w:rFonts w:hint="eastAsia" w:hAnsi="宋体" w:cs="宋体"/>
          <w:b/>
          <w:bCs/>
          <w:color w:val="auto"/>
          <w:kern w:val="2"/>
          <w:sz w:val="30"/>
          <w:szCs w:val="30"/>
          <w:highlight w:val="none"/>
          <w:lang w:val="zh-CN"/>
        </w:rPr>
        <w:t>最近3年报名人牵涉的主要诉讼案件或其他（失信和违法）处罚说明</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1716"/>
        <w:gridCol w:w="2562"/>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257" w:type="dxa"/>
            <w:noWrap w:val="0"/>
            <w:vAlign w:val="center"/>
          </w:tcPr>
          <w:p>
            <w:pPr>
              <w:spacing w:line="360" w:lineRule="auto"/>
              <w:jc w:val="center"/>
              <w:rPr>
                <w:rFonts w:hint="eastAsia" w:hAnsi="宋体" w:cs="宋体"/>
                <w:color w:val="auto"/>
                <w:sz w:val="21"/>
                <w:szCs w:val="21"/>
                <w:highlight w:val="none"/>
                <w:shd w:val="clear" w:color="auto" w:fill="FFFFFF"/>
              </w:rPr>
            </w:pPr>
            <w:r>
              <w:rPr>
                <w:rFonts w:hint="eastAsia" w:hAnsi="宋体" w:cs="宋体"/>
                <w:color w:val="auto"/>
                <w:sz w:val="21"/>
                <w:highlight w:val="none"/>
                <w:lang w:val="zh-CN"/>
              </w:rPr>
              <w:t>事项名称</w:t>
            </w:r>
          </w:p>
        </w:tc>
        <w:tc>
          <w:tcPr>
            <w:tcW w:w="1716" w:type="dxa"/>
            <w:noWrap w:val="0"/>
            <w:vAlign w:val="center"/>
          </w:tcPr>
          <w:p>
            <w:pPr>
              <w:spacing w:line="360" w:lineRule="auto"/>
              <w:jc w:val="center"/>
              <w:rPr>
                <w:rFonts w:hint="eastAsia" w:hAnsi="宋体" w:cs="宋体"/>
                <w:color w:val="auto"/>
                <w:sz w:val="21"/>
                <w:szCs w:val="21"/>
                <w:highlight w:val="none"/>
                <w:shd w:val="clear" w:color="auto" w:fill="FFFFFF"/>
              </w:rPr>
            </w:pPr>
            <w:r>
              <w:rPr>
                <w:rFonts w:hint="eastAsia" w:hAnsi="宋体" w:cs="宋体"/>
                <w:color w:val="auto"/>
                <w:sz w:val="21"/>
                <w:highlight w:val="none"/>
                <w:lang w:val="zh-CN"/>
              </w:rPr>
              <w:t>认定时间</w:t>
            </w:r>
          </w:p>
        </w:tc>
        <w:tc>
          <w:tcPr>
            <w:tcW w:w="2562" w:type="dxa"/>
            <w:noWrap w:val="0"/>
            <w:vAlign w:val="center"/>
          </w:tcPr>
          <w:p>
            <w:pPr>
              <w:spacing w:line="360" w:lineRule="auto"/>
              <w:jc w:val="center"/>
              <w:rPr>
                <w:rFonts w:hint="eastAsia" w:hAnsi="宋体" w:cs="宋体"/>
                <w:color w:val="auto"/>
                <w:sz w:val="21"/>
                <w:szCs w:val="21"/>
                <w:highlight w:val="none"/>
                <w:shd w:val="clear" w:color="auto" w:fill="FFFFFF"/>
              </w:rPr>
            </w:pPr>
            <w:r>
              <w:rPr>
                <w:rFonts w:hint="eastAsia" w:hAnsi="宋体" w:cs="宋体"/>
                <w:color w:val="auto"/>
                <w:sz w:val="21"/>
                <w:highlight w:val="none"/>
                <w:lang w:val="zh-CN"/>
              </w:rPr>
              <w:t>处罚期届满/异常名录信息失效时间</w:t>
            </w:r>
          </w:p>
        </w:tc>
        <w:tc>
          <w:tcPr>
            <w:tcW w:w="1526" w:type="dxa"/>
            <w:noWrap w:val="0"/>
            <w:vAlign w:val="center"/>
          </w:tcPr>
          <w:p>
            <w:pPr>
              <w:spacing w:line="360" w:lineRule="auto"/>
              <w:jc w:val="center"/>
              <w:rPr>
                <w:rFonts w:hint="eastAsia" w:hAnsi="宋体" w:cs="宋体"/>
                <w:color w:val="auto"/>
                <w:sz w:val="21"/>
                <w:szCs w:val="21"/>
                <w:highlight w:val="none"/>
                <w:shd w:val="clear" w:color="auto" w:fill="FFFFFF"/>
              </w:rPr>
            </w:pPr>
            <w:r>
              <w:rPr>
                <w:rFonts w:hint="eastAsia" w:hAnsi="宋体" w:cs="宋体"/>
                <w:color w:val="auto"/>
                <w:sz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257"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highlight w:val="none"/>
                <w:lang w:val="zh-CN"/>
              </w:rPr>
              <w:t>是否被认定为失信被执行人</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57"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highlight w:val="none"/>
                <w:lang w:val="zh-CN"/>
              </w:rPr>
              <w:t>是否被认定为重大税收违法案件当事人名单</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57"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highlight w:val="none"/>
                <w:lang w:val="zh-CN"/>
              </w:rPr>
              <w:t>是否被认定为严重违法失信行为记录名单</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57"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highlight w:val="none"/>
                <w:lang w:val="zh-CN"/>
              </w:rPr>
              <w:t>有无受各级管理部门的处罚</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57"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highlight w:val="none"/>
                <w:lang w:val="zh-CN"/>
              </w:rPr>
              <w:t>有无发生经济诉讼或纠纷</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57" w:type="dxa"/>
            <w:noWrap w:val="0"/>
            <w:vAlign w:val="center"/>
          </w:tcPr>
          <w:p>
            <w:pPr>
              <w:spacing w:line="360" w:lineRule="auto"/>
              <w:jc w:val="center"/>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rPr>
              <w:t>是否</w:t>
            </w:r>
            <w:r>
              <w:rPr>
                <w:rFonts w:hint="eastAsia" w:ascii="宋体" w:hAnsi="宋体" w:eastAsia="宋体" w:cs="宋体"/>
                <w:color w:val="auto"/>
                <w:sz w:val="21"/>
                <w:highlight w:val="none"/>
                <w:lang w:val="zh-CN"/>
              </w:rPr>
              <w:t>存在报名人或其关联公司曾与东莞市水务集团有限公司及其下属企业签订合同，且在履约过程中因报名人或其关联公司严重违约而导致合同变更、中止、解除的情形</w:t>
            </w:r>
          </w:p>
        </w:tc>
        <w:tc>
          <w:tcPr>
            <w:tcW w:w="1716"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2562" w:type="dxa"/>
            <w:noWrap w:val="0"/>
            <w:vAlign w:val="center"/>
          </w:tcPr>
          <w:p>
            <w:pPr>
              <w:spacing w:line="360" w:lineRule="auto"/>
              <w:jc w:val="center"/>
              <w:rPr>
                <w:rFonts w:hint="eastAsia" w:ascii="宋体" w:hAnsi="宋体" w:eastAsia="宋体" w:cs="宋体"/>
                <w:color w:val="auto"/>
                <w:sz w:val="21"/>
                <w:szCs w:val="21"/>
                <w:highlight w:val="none"/>
                <w:shd w:val="clear" w:color="auto" w:fill="FFFFFF"/>
              </w:rPr>
            </w:pPr>
          </w:p>
        </w:tc>
        <w:tc>
          <w:tcPr>
            <w:tcW w:w="1526" w:type="dxa"/>
            <w:noWrap w:val="0"/>
            <w:vAlign w:val="center"/>
          </w:tcPr>
          <w:p>
            <w:pPr>
              <w:spacing w:line="360" w:lineRule="auto"/>
              <w:jc w:val="center"/>
              <w:rPr>
                <w:rStyle w:val="56"/>
                <w:rFonts w:hint="eastAsia" w:ascii="宋体" w:hAnsi="宋体" w:eastAsia="宋体" w:cs="宋体"/>
                <w:color w:val="auto"/>
                <w:kern w:val="0"/>
                <w:highlight w:val="none"/>
              </w:rPr>
            </w:pPr>
          </w:p>
        </w:tc>
      </w:tr>
    </w:tbl>
    <w:p>
      <w:pPr>
        <w:spacing w:line="360" w:lineRule="auto"/>
        <w:jc w:val="both"/>
        <w:rPr>
          <w:rFonts w:hint="eastAsia" w:hAnsi="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pPr>
        <w:spacing w:line="360" w:lineRule="auto"/>
        <w:ind w:left="424" w:hanging="424" w:hangingChars="202"/>
        <w:jc w:val="both"/>
        <w:rPr>
          <w:rFonts w:hint="default" w:ascii="Times New Roman" w:hAnsi="Times New Roman" w:eastAsia="宋体" w:cs="Times New Roman"/>
          <w:color w:val="auto"/>
          <w:kern w:val="2"/>
          <w:sz w:val="21"/>
          <w:highlight w:val="none"/>
          <w:lang w:val="zh-CN"/>
        </w:rPr>
      </w:pPr>
      <w:r>
        <w:rPr>
          <w:rFonts w:hint="default" w:ascii="Times New Roman" w:hAnsi="Times New Roman" w:eastAsia="宋体" w:cs="Times New Roman"/>
          <w:color w:val="auto"/>
          <w:kern w:val="2"/>
          <w:sz w:val="21"/>
          <w:highlight w:val="none"/>
          <w:lang w:val="zh-CN"/>
        </w:rPr>
        <w:t>（1）根据报名人及其不具有独立法人资格的分支机构的实际情况自行编写，无相关事项的，在 “认定时间”列填“无”；若受到相关处罚的应附处罚相关材料复印件，发生经济诉讼或纠纷的应附法院判决书、仲裁决议等相关材料复印件；若出现相关处罚的处罚期满，但处罚公示没有及时更新的情况，供应商须提供相关材料(复印件)佐证，需原件备查。</w:t>
      </w:r>
    </w:p>
    <w:p>
      <w:pPr>
        <w:spacing w:line="360" w:lineRule="auto"/>
        <w:ind w:left="424" w:hanging="424" w:hangingChars="201"/>
        <w:jc w:val="both"/>
        <w:rPr>
          <w:rFonts w:hint="eastAsia" w:hAnsi="宋体" w:cs="宋体"/>
          <w:b/>
          <w:color w:val="auto"/>
          <w:kern w:val="2"/>
          <w:sz w:val="21"/>
          <w:highlight w:val="none"/>
          <w:lang w:val="zh-CN"/>
        </w:rPr>
      </w:pPr>
      <w:r>
        <w:rPr>
          <w:rFonts w:hint="default" w:ascii="Times New Roman" w:hAnsi="Times New Roman" w:eastAsia="宋体" w:cs="Times New Roman"/>
          <w:b/>
          <w:color w:val="auto"/>
          <w:kern w:val="2"/>
          <w:sz w:val="21"/>
          <w:highlight w:val="none"/>
          <w:lang w:val="zh-CN"/>
        </w:rPr>
        <w:t>（2）报名人在投标文件中必须主动按招标文件的要求填报“最近3年报名人牵涉的主要诉讼案件或仲裁案件或处罚说明”，如果不主动填报而被事后发现的，将取消其</w:t>
      </w:r>
      <w:r>
        <w:rPr>
          <w:rFonts w:hint="default" w:ascii="Times New Roman" w:hAnsi="Times New Roman" w:eastAsia="宋体" w:cs="Times New Roman"/>
          <w:b/>
          <w:color w:val="auto"/>
          <w:kern w:val="2"/>
          <w:sz w:val="21"/>
          <w:highlight w:val="none"/>
          <w:lang w:val="en-US" w:eastAsia="zh-CN"/>
        </w:rPr>
        <w:t>报名（供应商）</w:t>
      </w:r>
      <w:r>
        <w:rPr>
          <w:rFonts w:hint="default" w:ascii="Times New Roman" w:hAnsi="Times New Roman" w:eastAsia="宋体" w:cs="Times New Roman"/>
          <w:b/>
          <w:color w:val="auto"/>
          <w:kern w:val="2"/>
          <w:sz w:val="21"/>
          <w:highlight w:val="none"/>
          <w:lang w:val="zh-CN"/>
        </w:rPr>
        <w:t>资格，并按</w:t>
      </w:r>
      <w:r>
        <w:rPr>
          <w:rFonts w:hint="eastAsia" w:ascii="宋体" w:hAnsi="宋体" w:eastAsia="宋体" w:cs="宋体"/>
          <w:b/>
          <w:color w:val="auto"/>
          <w:kern w:val="2"/>
          <w:sz w:val="21"/>
          <w:highlight w:val="none"/>
          <w:lang w:val="zh-CN"/>
        </w:rPr>
        <w:t>有关规定从重处理。</w:t>
      </w:r>
    </w:p>
    <w:p>
      <w:pPr>
        <w:spacing w:line="360" w:lineRule="auto"/>
        <w:jc w:val="both"/>
        <w:rPr>
          <w:rFonts w:hint="eastAsia" w:hAnsi="宋体" w:cs="宋体"/>
          <w:color w:val="auto"/>
          <w:kern w:val="2"/>
          <w:sz w:val="21"/>
          <w:highlight w:val="none"/>
          <w:lang w:val="zh-CN"/>
        </w:rPr>
      </w:pPr>
    </w:p>
    <w:p>
      <w:pPr>
        <w:spacing w:line="360" w:lineRule="auto"/>
        <w:jc w:val="both"/>
        <w:rPr>
          <w:rFonts w:hint="eastAsia" w:hAnsi="宋体" w:cs="宋体"/>
          <w:color w:val="auto"/>
          <w:kern w:val="2"/>
          <w:sz w:val="21"/>
          <w:highlight w:val="none"/>
          <w:lang w:val="zh-CN"/>
        </w:rPr>
      </w:pPr>
    </w:p>
    <w:p>
      <w:pPr>
        <w:spacing w:line="360" w:lineRule="auto"/>
        <w:ind w:firstLine="5040" w:firstLineChars="2400"/>
        <w:rPr>
          <w:rFonts w:hint="eastAsia" w:hAnsi="宋体" w:cs="宋体"/>
          <w:color w:val="auto"/>
          <w:kern w:val="2"/>
          <w:sz w:val="21"/>
          <w:highlight w:val="none"/>
          <w:lang w:val="zh-CN"/>
        </w:rPr>
      </w:pPr>
      <w:r>
        <w:rPr>
          <w:rFonts w:hint="eastAsia" w:hAnsi="宋体" w:cs="宋体"/>
          <w:color w:val="auto"/>
          <w:kern w:val="2"/>
          <w:sz w:val="21"/>
          <w:highlight w:val="none"/>
          <w:lang w:val="zh-CN"/>
        </w:rPr>
        <w:t>报名人：（加盖报名人法人公章）</w:t>
      </w:r>
    </w:p>
    <w:p>
      <w:pPr>
        <w:spacing w:line="360" w:lineRule="auto"/>
        <w:ind w:firstLine="5040" w:firstLineChars="2400"/>
        <w:rPr>
          <w:rFonts w:hint="eastAsia" w:hAnsi="宋体" w:cs="宋体"/>
          <w:color w:val="auto"/>
          <w:kern w:val="2"/>
          <w:sz w:val="21"/>
          <w:highlight w:val="none"/>
          <w:lang w:val="zh-CN"/>
        </w:rPr>
      </w:pPr>
      <w:r>
        <w:rPr>
          <w:rFonts w:hint="eastAsia" w:hAnsi="宋体" w:cs="宋体"/>
          <w:color w:val="auto"/>
          <w:kern w:val="2"/>
          <w:sz w:val="21"/>
          <w:highlight w:val="none"/>
          <w:lang w:val="zh-CN"/>
        </w:rPr>
        <w:t>日期：   年   月   日</w:t>
      </w:r>
    </w:p>
    <w:p>
      <w:pPr>
        <w:pStyle w:val="2"/>
        <w:rPr>
          <w:color w:val="auto"/>
          <w:highlight w:val="none"/>
        </w:rPr>
      </w:pPr>
    </w:p>
    <w:p>
      <w:pPr>
        <w:spacing w:after="120" w:afterLines="50" w:line="400" w:lineRule="exact"/>
        <w:ind w:leftChars="-1" w:hanging="2"/>
        <w:rPr>
          <w:rFonts w:ascii="宋体" w:hAnsi="宋体" w:eastAsia="宋体"/>
          <w:b/>
          <w:color w:val="auto"/>
          <w:szCs w:val="21"/>
          <w:highlight w:val="none"/>
        </w:rPr>
      </w:pPr>
      <w:r>
        <w:rPr>
          <w:rFonts w:ascii="宋体" w:hAnsi="宋体" w:eastAsia="宋体"/>
          <w:color w:val="auto"/>
          <w:szCs w:val="21"/>
          <w:highlight w:val="none"/>
        </w:rPr>
        <w:br w:type="page"/>
      </w:r>
      <w:r>
        <w:rPr>
          <w:rFonts w:hint="eastAsia" w:ascii="宋体" w:hAnsi="宋体" w:eastAsia="宋体"/>
          <w:b/>
          <w:color w:val="auto"/>
          <w:szCs w:val="21"/>
          <w:highlight w:val="none"/>
          <w:lang w:val="zh-CN"/>
        </w:rPr>
        <w:t xml:space="preserve"> 二</w:t>
      </w:r>
      <w:r>
        <w:rPr>
          <w:rFonts w:hint="eastAsia" w:ascii="宋体" w:hAnsi="宋体" w:eastAsia="宋体"/>
          <w:b/>
          <w:color w:val="auto"/>
          <w:szCs w:val="21"/>
          <w:highlight w:val="none"/>
        </w:rPr>
        <w:t>、报名人基本情况一览表</w:t>
      </w:r>
    </w:p>
    <w:p>
      <w:pPr>
        <w:spacing w:line="400" w:lineRule="exact"/>
        <w:jc w:val="center"/>
        <w:rPr>
          <w:rFonts w:ascii="宋体" w:hAnsi="宋体" w:eastAsia="宋体"/>
          <w:b/>
          <w:bCs/>
          <w:color w:val="auto"/>
          <w:szCs w:val="21"/>
          <w:highlight w:val="none"/>
        </w:rPr>
      </w:pPr>
      <w:r>
        <w:rPr>
          <w:rFonts w:hint="eastAsia" w:ascii="宋体" w:hAnsi="宋体" w:eastAsia="宋体"/>
          <w:b/>
          <w:bCs/>
          <w:color w:val="auto"/>
          <w:szCs w:val="21"/>
          <w:highlight w:val="none"/>
          <w:lang w:val="zh-CN"/>
        </w:rPr>
        <w:t>报名人基本情况一览表</w:t>
      </w:r>
    </w:p>
    <w:p>
      <w:pPr>
        <w:spacing w:line="400" w:lineRule="exact"/>
        <w:ind w:firstLine="420"/>
        <w:rPr>
          <w:rFonts w:ascii="宋体" w:hAnsi="宋体" w:eastAsia="宋体"/>
          <w:color w:val="auto"/>
          <w:szCs w:val="21"/>
          <w:highlight w:val="none"/>
        </w:rPr>
      </w:pPr>
      <w:r>
        <w:rPr>
          <w:rFonts w:ascii="宋体" w:hAnsi="宋体" w:eastAsia="宋体"/>
          <w:color w:val="auto"/>
          <w:szCs w:val="21"/>
          <w:highlight w:val="none"/>
          <w:lang w:val="zh-CN"/>
        </w:rPr>
        <w:t>1</w:t>
      </w:r>
      <w:r>
        <w:rPr>
          <w:rFonts w:hint="eastAsia" w:ascii="宋体" w:hAnsi="宋体" w:eastAsia="宋体"/>
          <w:color w:val="auto"/>
          <w:szCs w:val="21"/>
          <w:highlight w:val="none"/>
          <w:lang w:val="zh-CN"/>
        </w:rPr>
        <w:t>．名称及概况：</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1</w:t>
      </w:r>
      <w:r>
        <w:rPr>
          <w:rFonts w:hint="eastAsia" w:ascii="宋体" w:hAnsi="宋体" w:eastAsia="宋体"/>
          <w:color w:val="auto"/>
          <w:szCs w:val="21"/>
          <w:highlight w:val="none"/>
          <w:lang w:val="zh-CN"/>
        </w:rPr>
        <w:t>）报名人名称：</w:t>
      </w:r>
      <w:r>
        <w:rPr>
          <w:rFonts w:ascii="宋体" w:hAnsi="宋体" w:eastAsia="宋体"/>
          <w:color w:val="auto"/>
          <w:szCs w:val="21"/>
          <w:highlight w:val="none"/>
          <w:lang w:val="zh-CN"/>
        </w:rPr>
        <w:t>________________________________________</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2</w:t>
      </w:r>
      <w:r>
        <w:rPr>
          <w:rFonts w:hint="eastAsia" w:ascii="宋体" w:hAnsi="宋体" w:eastAsia="宋体"/>
          <w:color w:val="auto"/>
          <w:szCs w:val="21"/>
          <w:highlight w:val="none"/>
          <w:lang w:val="zh-CN"/>
        </w:rPr>
        <w:t>）总部地址：</w:t>
      </w:r>
      <w:r>
        <w:rPr>
          <w:rFonts w:ascii="宋体" w:hAnsi="宋体" w:eastAsia="宋体"/>
          <w:color w:val="auto"/>
          <w:szCs w:val="21"/>
          <w:highlight w:val="none"/>
          <w:lang w:val="zh-CN"/>
        </w:rPr>
        <w:t>__________________________________________</w:t>
      </w:r>
    </w:p>
    <w:p>
      <w:pPr>
        <w:spacing w:line="400" w:lineRule="exact"/>
        <w:ind w:firstLine="660"/>
        <w:rPr>
          <w:rFonts w:ascii="宋体" w:hAnsi="宋体" w:eastAsia="宋体"/>
          <w:color w:val="auto"/>
          <w:szCs w:val="21"/>
          <w:highlight w:val="none"/>
          <w:lang w:val="zh-CN"/>
        </w:rPr>
      </w:pP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邮政编码：</w:t>
      </w:r>
      <w:r>
        <w:rPr>
          <w:rFonts w:ascii="宋体" w:hAnsi="宋体" w:eastAsia="宋体"/>
          <w:color w:val="auto"/>
          <w:szCs w:val="21"/>
          <w:highlight w:val="none"/>
          <w:lang w:val="zh-CN"/>
        </w:rPr>
        <w:t>__________________________________________</w:t>
      </w:r>
    </w:p>
    <w:p>
      <w:pPr>
        <w:spacing w:line="400" w:lineRule="exact"/>
        <w:ind w:firstLine="420"/>
        <w:rPr>
          <w:rFonts w:ascii="宋体" w:hAnsi="宋体" w:eastAsia="宋体"/>
          <w:color w:val="auto"/>
          <w:szCs w:val="21"/>
          <w:highlight w:val="none"/>
          <w:lang w:val="zh-CN"/>
        </w:rPr>
      </w:pP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电话号码：</w:t>
      </w:r>
      <w:r>
        <w:rPr>
          <w:rFonts w:ascii="宋体" w:hAnsi="宋体" w:eastAsia="宋体"/>
          <w:color w:val="auto"/>
          <w:szCs w:val="21"/>
          <w:highlight w:val="none"/>
          <w:lang w:val="zh-CN"/>
        </w:rPr>
        <w:t xml:space="preserve">__________________________________________ </w:t>
      </w:r>
    </w:p>
    <w:p>
      <w:pPr>
        <w:spacing w:line="400" w:lineRule="exact"/>
        <w:ind w:firstLine="420"/>
        <w:rPr>
          <w:rFonts w:ascii="宋体" w:hAnsi="宋体" w:eastAsia="宋体"/>
          <w:color w:val="auto"/>
          <w:szCs w:val="21"/>
          <w:highlight w:val="none"/>
          <w:lang w:val="zh-CN"/>
        </w:rPr>
      </w:pP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传真号码：</w:t>
      </w:r>
      <w:r>
        <w:rPr>
          <w:rFonts w:ascii="宋体" w:hAnsi="宋体" w:eastAsia="宋体"/>
          <w:color w:val="auto"/>
          <w:szCs w:val="21"/>
          <w:highlight w:val="none"/>
          <w:lang w:val="zh-CN"/>
        </w:rPr>
        <w:t xml:space="preserve">__________________________________________ </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3</w:t>
      </w:r>
      <w:r>
        <w:rPr>
          <w:rFonts w:hint="eastAsia" w:ascii="宋体" w:hAnsi="宋体" w:eastAsia="宋体"/>
          <w:color w:val="auto"/>
          <w:szCs w:val="21"/>
          <w:highlight w:val="none"/>
          <w:lang w:val="zh-CN"/>
        </w:rPr>
        <w:t>）成立和／或注册日期：</w:t>
      </w:r>
      <w:r>
        <w:rPr>
          <w:rFonts w:ascii="宋体" w:hAnsi="宋体" w:eastAsia="宋体"/>
          <w:color w:val="auto"/>
          <w:szCs w:val="21"/>
          <w:highlight w:val="none"/>
          <w:lang w:val="zh-CN"/>
        </w:rPr>
        <w:t>________________________________</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4</w:t>
      </w:r>
      <w:r>
        <w:rPr>
          <w:rFonts w:hint="eastAsia" w:ascii="宋体" w:hAnsi="宋体" w:eastAsia="宋体"/>
          <w:color w:val="auto"/>
          <w:szCs w:val="21"/>
          <w:highlight w:val="none"/>
          <w:lang w:val="zh-CN"/>
        </w:rPr>
        <w:t>）法人代表：</w:t>
      </w:r>
      <w:r>
        <w:rPr>
          <w:rFonts w:ascii="宋体" w:hAnsi="宋体" w:eastAsia="宋体"/>
          <w:color w:val="auto"/>
          <w:szCs w:val="21"/>
          <w:highlight w:val="none"/>
          <w:lang w:val="zh-CN"/>
        </w:rPr>
        <w:t>_____________________________________ ____</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5</w:t>
      </w:r>
      <w:r>
        <w:rPr>
          <w:rFonts w:hint="eastAsia" w:ascii="宋体" w:hAnsi="宋体" w:eastAsia="宋体"/>
          <w:color w:val="auto"/>
          <w:szCs w:val="21"/>
          <w:highlight w:val="none"/>
          <w:lang w:val="zh-CN"/>
        </w:rPr>
        <w:t>）开户银行：</w:t>
      </w:r>
      <w:r>
        <w:rPr>
          <w:rFonts w:ascii="宋体" w:hAnsi="宋体" w:eastAsia="宋体"/>
          <w:color w:val="auto"/>
          <w:szCs w:val="21"/>
          <w:highlight w:val="none"/>
          <w:lang w:val="zh-CN"/>
        </w:rPr>
        <w:t>__________________________________________</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6</w:t>
      </w:r>
      <w:r>
        <w:rPr>
          <w:rFonts w:hint="eastAsia" w:ascii="宋体" w:hAnsi="宋体" w:eastAsia="宋体"/>
          <w:color w:val="auto"/>
          <w:szCs w:val="21"/>
          <w:highlight w:val="none"/>
          <w:lang w:val="zh-CN"/>
        </w:rPr>
        <w:t>）开户账号：</w:t>
      </w:r>
      <w:r>
        <w:rPr>
          <w:rFonts w:ascii="宋体" w:hAnsi="宋体" w:eastAsia="宋体"/>
          <w:color w:val="auto"/>
          <w:szCs w:val="21"/>
          <w:highlight w:val="none"/>
          <w:lang w:val="zh-CN"/>
        </w:rPr>
        <w:t>__________________________________________</w:t>
      </w:r>
    </w:p>
    <w:p>
      <w:pPr>
        <w:spacing w:line="400" w:lineRule="exact"/>
        <w:ind w:firstLine="42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7</w:t>
      </w:r>
      <w:r>
        <w:rPr>
          <w:rFonts w:hint="eastAsia" w:ascii="宋体" w:hAnsi="宋体" w:eastAsia="宋体"/>
          <w:color w:val="auto"/>
          <w:szCs w:val="21"/>
          <w:highlight w:val="none"/>
          <w:lang w:val="zh-CN"/>
        </w:rPr>
        <w:t>）注册资金：</w:t>
      </w:r>
      <w:r>
        <w:rPr>
          <w:rFonts w:ascii="宋体" w:hAnsi="宋体" w:eastAsia="宋体"/>
          <w:color w:val="auto"/>
          <w:szCs w:val="21"/>
          <w:highlight w:val="none"/>
          <w:lang w:val="zh-CN"/>
        </w:rPr>
        <w:t>__________________________________________</w:t>
      </w:r>
    </w:p>
    <w:p>
      <w:pPr>
        <w:spacing w:line="400" w:lineRule="exact"/>
        <w:ind w:firstLine="420"/>
        <w:rPr>
          <w:rFonts w:ascii="宋体" w:hAnsi="宋体" w:eastAsia="宋体"/>
          <w:color w:val="auto"/>
          <w:szCs w:val="21"/>
          <w:highlight w:val="none"/>
        </w:rPr>
      </w:pPr>
      <w:r>
        <w:rPr>
          <w:rFonts w:hint="eastAsia" w:ascii="宋体" w:hAnsi="宋体" w:eastAsia="宋体"/>
          <w:color w:val="auto"/>
          <w:szCs w:val="21"/>
          <w:highlight w:val="none"/>
          <w:lang w:val="zh-CN"/>
        </w:rPr>
        <w:t>（8）主要负责人姓名：</w:t>
      </w:r>
      <w:r>
        <w:rPr>
          <w:rFonts w:ascii="宋体" w:hAnsi="宋体" w:eastAsia="宋体"/>
          <w:color w:val="auto"/>
          <w:szCs w:val="21"/>
          <w:highlight w:val="none"/>
          <w:lang w:val="zh-CN"/>
        </w:rPr>
        <w:t>____________________________________</w:t>
      </w:r>
    </w:p>
    <w:p>
      <w:pPr>
        <w:spacing w:line="400" w:lineRule="exact"/>
        <w:ind w:firstLine="420"/>
        <w:rPr>
          <w:rFonts w:ascii="宋体" w:hAnsi="宋体" w:eastAsia="宋体"/>
          <w:color w:val="auto"/>
          <w:szCs w:val="21"/>
          <w:highlight w:val="none"/>
        </w:rPr>
      </w:pPr>
      <w:r>
        <w:rPr>
          <w:rFonts w:hint="eastAsia" w:ascii="宋体" w:hAnsi="宋体" w:eastAsia="宋体"/>
          <w:color w:val="auto"/>
          <w:szCs w:val="21"/>
          <w:highlight w:val="none"/>
          <w:lang w:val="zh-CN"/>
        </w:rPr>
        <w:t>（9）项目主要联系人（姓名、职务、通讯）：</w:t>
      </w:r>
      <w:r>
        <w:rPr>
          <w:rFonts w:ascii="宋体" w:hAnsi="宋体" w:eastAsia="宋体"/>
          <w:color w:val="auto"/>
          <w:szCs w:val="21"/>
          <w:highlight w:val="none"/>
          <w:lang w:val="zh-CN"/>
        </w:rPr>
        <w:t>_____________</w:t>
      </w:r>
      <w:r>
        <w:rPr>
          <w:rFonts w:ascii="宋体" w:hAnsi="宋体" w:eastAsia="宋体"/>
          <w:color w:val="auto"/>
          <w:szCs w:val="21"/>
          <w:highlight w:val="none"/>
          <w:u w:val="single"/>
          <w:lang w:val="zh-CN"/>
        </w:rPr>
        <w:t>_</w:t>
      </w:r>
      <w:r>
        <w:rPr>
          <w:rFonts w:hint="eastAsia" w:ascii="宋体" w:hAnsi="宋体" w:eastAsia="宋体"/>
          <w:color w:val="auto"/>
          <w:szCs w:val="21"/>
          <w:highlight w:val="none"/>
          <w:u w:val="single"/>
          <w:lang w:val="zh-CN"/>
        </w:rPr>
        <w:t xml:space="preserve">   </w:t>
      </w:r>
    </w:p>
    <w:p>
      <w:pPr>
        <w:spacing w:line="400" w:lineRule="exact"/>
        <w:ind w:firstLine="420"/>
        <w:rPr>
          <w:rFonts w:ascii="宋体" w:hAnsi="宋体" w:eastAsia="宋体"/>
          <w:color w:val="auto"/>
          <w:szCs w:val="21"/>
          <w:highlight w:val="none"/>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1</w:t>
      </w:r>
      <w:r>
        <w:rPr>
          <w:rFonts w:hint="eastAsia" w:ascii="宋体" w:hAnsi="宋体" w:eastAsia="宋体"/>
          <w:color w:val="auto"/>
          <w:szCs w:val="21"/>
          <w:highlight w:val="none"/>
          <w:lang w:val="zh-CN"/>
        </w:rPr>
        <w:t>0）在中国的代表的姓名和地址（如有）：</w:t>
      </w:r>
      <w:r>
        <w:rPr>
          <w:rFonts w:ascii="宋体" w:hAnsi="宋体" w:eastAsia="宋体"/>
          <w:color w:val="auto"/>
          <w:szCs w:val="21"/>
          <w:highlight w:val="none"/>
          <w:lang w:val="zh-CN"/>
        </w:rPr>
        <w:t>__________________</w:t>
      </w:r>
    </w:p>
    <w:p>
      <w:pPr>
        <w:spacing w:line="400" w:lineRule="exact"/>
        <w:ind w:firstLine="420"/>
        <w:rPr>
          <w:rFonts w:ascii="宋体" w:hAnsi="宋体" w:eastAsia="宋体"/>
          <w:color w:val="auto"/>
          <w:szCs w:val="21"/>
          <w:highlight w:val="none"/>
        </w:rPr>
      </w:pPr>
      <w:r>
        <w:rPr>
          <w:rFonts w:ascii="宋体" w:hAnsi="宋体" w:eastAsia="宋体"/>
          <w:color w:val="auto"/>
          <w:szCs w:val="21"/>
          <w:highlight w:val="none"/>
          <w:lang w:val="zh-CN"/>
        </w:rPr>
        <w:t>2</w:t>
      </w:r>
      <w:r>
        <w:rPr>
          <w:rFonts w:hint="eastAsia" w:ascii="宋体" w:hAnsi="宋体" w:eastAsia="宋体"/>
          <w:color w:val="auto"/>
          <w:szCs w:val="21"/>
          <w:highlight w:val="none"/>
          <w:lang w:val="zh-CN"/>
        </w:rPr>
        <w:t>．供征询之银行的名称和地址：</w:t>
      </w:r>
      <w:r>
        <w:rPr>
          <w:rFonts w:ascii="宋体" w:hAnsi="宋体" w:eastAsia="宋体"/>
          <w:color w:val="auto"/>
          <w:szCs w:val="21"/>
          <w:highlight w:val="none"/>
          <w:lang w:val="zh-CN"/>
        </w:rPr>
        <w:t>____________________________</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lang w:val="zh-CN"/>
        </w:rPr>
        <w:t xml:space="preserve">    </w:t>
      </w:r>
      <w:r>
        <w:rPr>
          <w:rFonts w:ascii="宋体" w:hAnsi="宋体" w:eastAsia="宋体"/>
          <w:color w:val="auto"/>
          <w:szCs w:val="21"/>
          <w:highlight w:val="none"/>
          <w:lang w:val="zh-CN"/>
        </w:rPr>
        <w:t>3</w:t>
      </w:r>
      <w:r>
        <w:rPr>
          <w:rFonts w:hint="eastAsia" w:ascii="宋体" w:hAnsi="宋体" w:eastAsia="宋体"/>
          <w:color w:val="auto"/>
          <w:szCs w:val="21"/>
          <w:highlight w:val="none"/>
          <w:lang w:val="zh-CN"/>
        </w:rPr>
        <w:t>．公司所隶属之国际集团名称（如果是）</w:t>
      </w:r>
      <w:r>
        <w:rPr>
          <w:rFonts w:ascii="宋体" w:hAnsi="宋体" w:eastAsia="宋体"/>
          <w:color w:val="auto"/>
          <w:szCs w:val="21"/>
          <w:highlight w:val="none"/>
          <w:lang w:val="zh-CN"/>
        </w:rPr>
        <w:t>____________________</w:t>
      </w:r>
    </w:p>
    <w:p>
      <w:pPr>
        <w:spacing w:line="400" w:lineRule="exact"/>
        <w:ind w:firstLine="420"/>
        <w:rPr>
          <w:rFonts w:ascii="宋体" w:hAnsi="宋体" w:eastAsia="宋体"/>
          <w:color w:val="auto"/>
          <w:szCs w:val="21"/>
          <w:highlight w:val="none"/>
        </w:rPr>
      </w:pPr>
      <w:r>
        <w:rPr>
          <w:rFonts w:ascii="宋体" w:hAnsi="宋体" w:eastAsia="宋体"/>
          <w:color w:val="auto"/>
          <w:szCs w:val="21"/>
          <w:highlight w:val="none"/>
          <w:lang w:val="zh-CN"/>
        </w:rPr>
        <w:t>4</w:t>
      </w:r>
      <w:r>
        <w:rPr>
          <w:rFonts w:hint="eastAsia" w:ascii="宋体" w:hAnsi="宋体" w:eastAsia="宋体"/>
          <w:color w:val="auto"/>
          <w:szCs w:val="21"/>
          <w:highlight w:val="none"/>
          <w:lang w:val="zh-CN"/>
        </w:rPr>
        <w:t>. 提交资料（包括但不限于组织架构、公司简介等）：</w:t>
      </w:r>
    </w:p>
    <w:p>
      <w:pPr>
        <w:spacing w:line="400" w:lineRule="exact"/>
        <w:ind w:firstLine="630" w:firstLineChars="300"/>
        <w:rPr>
          <w:rFonts w:ascii="宋体" w:hAnsi="宋体" w:eastAsia="宋体"/>
          <w:color w:val="auto"/>
          <w:szCs w:val="21"/>
          <w:highlight w:val="none"/>
          <w:lang w:val="zh-CN"/>
        </w:rPr>
      </w:pPr>
      <w:r>
        <w:rPr>
          <w:rFonts w:hint="eastAsia" w:ascii="宋体" w:hAnsi="宋体" w:eastAsia="宋体"/>
          <w:color w:val="auto"/>
          <w:szCs w:val="21"/>
          <w:highlight w:val="none"/>
          <w:lang w:val="zh-CN"/>
        </w:rPr>
        <w:t>（</w:t>
      </w:r>
      <w:r>
        <w:rPr>
          <w:rFonts w:ascii="宋体" w:hAnsi="宋体" w:eastAsia="宋体"/>
          <w:color w:val="auto"/>
          <w:szCs w:val="21"/>
          <w:highlight w:val="none"/>
          <w:lang w:val="zh-CN"/>
        </w:rPr>
        <w:t>1</w:t>
      </w:r>
      <w:r>
        <w:rPr>
          <w:rFonts w:hint="eastAsia" w:ascii="宋体" w:hAnsi="宋体" w:eastAsia="宋体"/>
          <w:color w:val="auto"/>
          <w:szCs w:val="21"/>
          <w:highlight w:val="none"/>
          <w:lang w:val="zh-CN"/>
        </w:rPr>
        <w:t>）公司简介；</w:t>
      </w:r>
    </w:p>
    <w:p>
      <w:pPr>
        <w:spacing w:line="400" w:lineRule="exact"/>
        <w:ind w:firstLine="1155" w:firstLineChars="550"/>
        <w:rPr>
          <w:rFonts w:ascii="宋体" w:hAnsi="宋体" w:eastAsia="宋体"/>
          <w:color w:val="auto"/>
          <w:szCs w:val="21"/>
          <w:highlight w:val="none"/>
          <w:lang w:val="zh-CN"/>
        </w:rPr>
      </w:pPr>
      <w:r>
        <w:rPr>
          <w:rFonts w:ascii="宋体" w:hAnsi="宋体" w:eastAsia="宋体"/>
          <w:color w:val="auto"/>
          <w:szCs w:val="21"/>
          <w:highlight w:val="none"/>
          <w:lang w:val="zh-CN"/>
        </w:rPr>
        <w:t>__________________________________________________</w:t>
      </w:r>
    </w:p>
    <w:p>
      <w:pPr>
        <w:spacing w:line="400" w:lineRule="exact"/>
        <w:ind w:firstLine="630" w:firstLineChars="300"/>
        <w:rPr>
          <w:rFonts w:ascii="宋体" w:hAnsi="宋体" w:eastAsia="宋体"/>
          <w:color w:val="auto"/>
          <w:szCs w:val="21"/>
          <w:highlight w:val="none"/>
          <w:lang w:val="zh-CN"/>
        </w:rPr>
      </w:pPr>
      <w:r>
        <w:rPr>
          <w:rFonts w:hint="eastAsia" w:ascii="宋体" w:hAnsi="宋体" w:eastAsia="宋体"/>
          <w:color w:val="auto"/>
          <w:szCs w:val="21"/>
          <w:highlight w:val="none"/>
          <w:lang w:val="zh-CN"/>
        </w:rPr>
        <w:t>（2）公司组织架构；</w:t>
      </w:r>
    </w:p>
    <w:p>
      <w:pPr>
        <w:spacing w:line="400" w:lineRule="exact"/>
        <w:ind w:firstLine="1155" w:firstLineChars="550"/>
        <w:rPr>
          <w:rFonts w:ascii="宋体" w:hAnsi="宋体" w:eastAsia="宋体"/>
          <w:color w:val="auto"/>
          <w:szCs w:val="21"/>
          <w:highlight w:val="none"/>
          <w:lang w:val="zh-CN"/>
        </w:rPr>
      </w:pPr>
      <w:r>
        <w:rPr>
          <w:rFonts w:ascii="宋体" w:hAnsi="宋体" w:eastAsia="宋体"/>
          <w:color w:val="auto"/>
          <w:szCs w:val="21"/>
          <w:highlight w:val="none"/>
          <w:lang w:val="zh-CN"/>
        </w:rPr>
        <w:t>_______________________________________________</w:t>
      </w:r>
      <w:r>
        <w:rPr>
          <w:rFonts w:ascii="宋体" w:hAnsi="宋体" w:eastAsia="宋体"/>
          <w:color w:val="auto"/>
          <w:szCs w:val="21"/>
          <w:highlight w:val="none"/>
          <w:u w:val="single"/>
          <w:lang w:val="zh-CN"/>
        </w:rPr>
        <w:t>__</w:t>
      </w:r>
      <w:r>
        <w:rPr>
          <w:rFonts w:hint="eastAsia" w:ascii="宋体" w:hAnsi="宋体" w:eastAsia="宋体"/>
          <w:color w:val="auto"/>
          <w:szCs w:val="21"/>
          <w:highlight w:val="none"/>
          <w:u w:val="single"/>
          <w:lang w:val="zh-CN"/>
        </w:rPr>
        <w:t xml:space="preserve"> </w:t>
      </w:r>
    </w:p>
    <w:p>
      <w:pPr>
        <w:spacing w:line="400" w:lineRule="exact"/>
        <w:ind w:left="1046" w:leftChars="237" w:hanging="548" w:hangingChars="261"/>
        <w:rPr>
          <w:rFonts w:ascii="宋体" w:hAnsi="宋体" w:eastAsia="宋体"/>
          <w:color w:val="auto"/>
          <w:szCs w:val="21"/>
          <w:highlight w:val="none"/>
          <w:lang w:val="zh-CN"/>
        </w:rPr>
      </w:pPr>
      <w:r>
        <w:rPr>
          <w:rFonts w:hint="eastAsia" w:ascii="宋体" w:hAnsi="宋体" w:eastAsia="宋体"/>
          <w:color w:val="auto"/>
          <w:szCs w:val="21"/>
          <w:highlight w:val="none"/>
          <w:lang w:val="zh-CN"/>
        </w:rPr>
        <w:t>（3）东莞市内设有分支机构情况介绍[应提供该分支机构的营业执照副本、税务登记证副本、组织机构代码证副本</w:t>
      </w:r>
      <w:r>
        <w:rPr>
          <w:rFonts w:hint="eastAsia" w:ascii="宋体" w:hAnsi="宋体" w:eastAsia="宋体"/>
          <w:color w:val="auto"/>
          <w:szCs w:val="21"/>
          <w:highlight w:val="none"/>
        </w:rPr>
        <w:t>（</w:t>
      </w:r>
      <w:r>
        <w:rPr>
          <w:rFonts w:hint="eastAsia" w:ascii="宋体" w:hAnsi="宋体" w:eastAsia="宋体"/>
          <w:color w:val="auto"/>
          <w:szCs w:val="21"/>
          <w:highlight w:val="none"/>
          <w:lang w:val="zh-CN"/>
        </w:rPr>
        <w:t>或多</w:t>
      </w:r>
      <w:r>
        <w:rPr>
          <w:rFonts w:ascii="宋体" w:hAnsi="宋体" w:eastAsia="宋体"/>
          <w:color w:val="auto"/>
          <w:szCs w:val="21"/>
          <w:highlight w:val="none"/>
          <w:lang w:val="zh-CN"/>
        </w:rPr>
        <w:t>证合一营业执照</w:t>
      </w:r>
      <w:r>
        <w:rPr>
          <w:rFonts w:hint="eastAsia" w:ascii="宋体" w:hAnsi="宋体" w:eastAsia="宋体"/>
          <w:color w:val="auto"/>
          <w:szCs w:val="21"/>
          <w:highlight w:val="none"/>
          <w:lang w:val="zh-CN"/>
        </w:rPr>
        <w:t>）等证明材料]（若无前述分支机构的无需介绍）</w:t>
      </w:r>
    </w:p>
    <w:p>
      <w:pPr>
        <w:spacing w:line="400" w:lineRule="exact"/>
        <w:ind w:firstLine="420"/>
        <w:rPr>
          <w:rFonts w:ascii="宋体" w:hAnsi="宋体" w:eastAsia="宋体"/>
          <w:color w:val="auto"/>
          <w:szCs w:val="21"/>
          <w:highlight w:val="none"/>
        </w:rPr>
      </w:pPr>
      <w:r>
        <w:rPr>
          <w:rFonts w:hint="eastAsia" w:ascii="宋体" w:hAnsi="宋体" w:eastAsia="宋体"/>
          <w:color w:val="auto"/>
          <w:szCs w:val="21"/>
          <w:highlight w:val="none"/>
          <w:lang w:val="zh-CN"/>
        </w:rPr>
        <w:t>5.从事</w:t>
      </w:r>
      <w:r>
        <w:rPr>
          <w:rFonts w:hint="eastAsia" w:ascii="宋体" w:hAnsi="宋体" w:eastAsia="宋体"/>
          <w:color w:val="auto"/>
          <w:szCs w:val="21"/>
          <w:highlight w:val="none"/>
        </w:rPr>
        <w:t>机电设备维修</w:t>
      </w:r>
      <w:r>
        <w:rPr>
          <w:rFonts w:hint="eastAsia" w:ascii="宋体" w:hAnsi="宋体" w:eastAsia="宋体"/>
          <w:color w:val="auto"/>
          <w:szCs w:val="21"/>
          <w:highlight w:val="none"/>
          <w:lang w:val="zh-CN"/>
        </w:rPr>
        <w:t>服务工作</w:t>
      </w:r>
      <w:r>
        <w:rPr>
          <w:rFonts w:hint="eastAsia" w:ascii="宋体" w:hAnsi="宋体" w:eastAsia="宋体"/>
          <w:color w:val="auto"/>
          <w:szCs w:val="21"/>
          <w:highlight w:val="none"/>
        </w:rPr>
        <w:t>年限：</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p>
    <w:p>
      <w:pPr>
        <w:spacing w:line="400" w:lineRule="exact"/>
        <w:ind w:firstLine="420" w:firstLineChars="200"/>
        <w:rPr>
          <w:rFonts w:ascii="宋体" w:hAnsi="宋体" w:eastAsia="宋体"/>
          <w:color w:val="auto"/>
          <w:szCs w:val="21"/>
          <w:highlight w:val="none"/>
          <w:lang w:val="zh-CN"/>
        </w:rPr>
      </w:pPr>
      <w:r>
        <w:rPr>
          <w:rFonts w:hint="eastAsia" w:ascii="宋体" w:hAnsi="宋体" w:eastAsia="宋体"/>
          <w:color w:val="auto"/>
          <w:szCs w:val="21"/>
          <w:highlight w:val="none"/>
          <w:lang w:val="zh-CN"/>
        </w:rPr>
        <w:t>兹证明上述说明是真实、正确的，并提供了全部能提供的资料和数据，我们同意遵照贵方要求出示有关证明文件。</w:t>
      </w:r>
    </w:p>
    <w:p>
      <w:pPr>
        <w:pStyle w:val="2"/>
        <w:rPr>
          <w:color w:val="auto"/>
          <w:highlight w:val="none"/>
          <w:lang w:val="zh-CN"/>
        </w:rPr>
      </w:pPr>
    </w:p>
    <w:p>
      <w:pPr>
        <w:pStyle w:val="2"/>
        <w:rPr>
          <w:color w:val="auto"/>
          <w:highlight w:val="none"/>
          <w:lang w:val="zh-CN"/>
        </w:rPr>
      </w:pPr>
    </w:p>
    <w:p>
      <w:pPr>
        <w:spacing w:line="400" w:lineRule="exact"/>
        <w:ind w:right="-58" w:firstLine="420"/>
        <w:rPr>
          <w:rFonts w:ascii="宋体" w:hAnsi="宋体" w:eastAsia="宋体"/>
          <w:color w:val="auto"/>
          <w:szCs w:val="21"/>
          <w:highlight w:val="none"/>
        </w:rPr>
      </w:pP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zh-CN"/>
        </w:rPr>
        <w:t>报名人：（加盖报名人法人公章）</w:t>
      </w:r>
    </w:p>
    <w:p>
      <w:pPr>
        <w:spacing w:line="400" w:lineRule="exact"/>
        <w:ind w:right="420" w:firstLine="420"/>
        <w:rPr>
          <w:rFonts w:ascii="宋体" w:hAnsi="宋体" w:eastAsia="宋体"/>
          <w:color w:val="auto"/>
          <w:szCs w:val="21"/>
          <w:highlight w:val="none"/>
          <w:lang w:val="zh-CN"/>
        </w:rPr>
      </w:pP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zh-CN"/>
        </w:rPr>
        <w:t>日  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ind w:right="420"/>
        <w:rPr>
          <w:rFonts w:ascii="宋体" w:hAnsi="宋体" w:eastAsia="宋体"/>
          <w:b/>
          <w:color w:val="auto"/>
          <w:szCs w:val="21"/>
          <w:highlight w:val="none"/>
        </w:rPr>
      </w:pPr>
      <w:r>
        <w:rPr>
          <w:rFonts w:ascii="宋体" w:hAnsi="宋体" w:eastAsia="宋体"/>
          <w:color w:val="auto"/>
          <w:szCs w:val="21"/>
          <w:highlight w:val="none"/>
          <w:lang w:val="zh-CN"/>
        </w:rPr>
        <w:br w:type="page"/>
      </w:r>
      <w:r>
        <w:rPr>
          <w:rFonts w:hint="eastAsia" w:ascii="宋体" w:hAnsi="宋体" w:eastAsia="宋体"/>
          <w:b/>
          <w:bCs/>
          <w:color w:val="auto"/>
          <w:szCs w:val="21"/>
          <w:highlight w:val="none"/>
          <w:lang w:val="zh-CN"/>
        </w:rPr>
        <w:t>三、</w:t>
      </w:r>
      <w:r>
        <w:rPr>
          <w:rFonts w:hint="eastAsia" w:ascii="宋体" w:hAnsi="宋体" w:eastAsia="宋体"/>
          <w:b/>
          <w:color w:val="auto"/>
          <w:szCs w:val="21"/>
          <w:highlight w:val="none"/>
        </w:rPr>
        <w:t>报名人财务状况表格式</w:t>
      </w:r>
    </w:p>
    <w:p>
      <w:pPr>
        <w:spacing w:line="400" w:lineRule="exact"/>
        <w:jc w:val="center"/>
        <w:rPr>
          <w:rFonts w:ascii="宋体" w:hAnsi="宋体" w:eastAsia="宋体"/>
          <w:b/>
          <w:color w:val="auto"/>
          <w:szCs w:val="21"/>
          <w:highlight w:val="none"/>
        </w:rPr>
      </w:pPr>
    </w:p>
    <w:p>
      <w:pPr>
        <w:spacing w:line="400" w:lineRule="exact"/>
        <w:jc w:val="center"/>
        <w:rPr>
          <w:rFonts w:ascii="宋体" w:hAnsi="宋体" w:eastAsia="宋体"/>
          <w:b/>
          <w:color w:val="auto"/>
          <w:szCs w:val="21"/>
          <w:highlight w:val="none"/>
        </w:rPr>
      </w:pPr>
      <w:r>
        <w:rPr>
          <w:rFonts w:hint="eastAsia" w:ascii="宋体" w:hAnsi="宋体" w:eastAsia="宋体"/>
          <w:b/>
          <w:color w:val="auto"/>
          <w:szCs w:val="21"/>
          <w:highlight w:val="none"/>
        </w:rPr>
        <w:t xml:space="preserve">报名人财务状况 </w:t>
      </w:r>
    </w:p>
    <w:p>
      <w:pPr>
        <w:spacing w:line="400" w:lineRule="exact"/>
        <w:jc w:val="center"/>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hint="eastAsia" w:ascii="宋体" w:hAnsi="宋体" w:eastAsia="宋体"/>
          <w:color w:val="auto"/>
          <w:szCs w:val="21"/>
          <w:highlight w:val="none"/>
        </w:rPr>
        <w:t>[价格单位：（人民币）元]</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151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年  度</w:t>
            </w:r>
          </w:p>
        </w:tc>
        <w:tc>
          <w:tcPr>
            <w:tcW w:w="180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总资产（元）</w:t>
            </w:r>
          </w:p>
        </w:tc>
        <w:tc>
          <w:tcPr>
            <w:tcW w:w="180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净资产（元）</w:t>
            </w:r>
          </w:p>
        </w:tc>
        <w:tc>
          <w:tcPr>
            <w:tcW w:w="1519"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年营业额（元）</w:t>
            </w:r>
          </w:p>
        </w:tc>
        <w:tc>
          <w:tcPr>
            <w:tcW w:w="2268"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2018</w:t>
            </w:r>
          </w:p>
        </w:tc>
        <w:tc>
          <w:tcPr>
            <w:tcW w:w="1800" w:type="dxa"/>
            <w:vAlign w:val="center"/>
          </w:tcPr>
          <w:p>
            <w:pPr>
              <w:spacing w:line="400" w:lineRule="exact"/>
              <w:jc w:val="center"/>
              <w:rPr>
                <w:rFonts w:ascii="宋体" w:hAnsi="宋体" w:eastAsia="宋体"/>
                <w:color w:val="auto"/>
                <w:szCs w:val="21"/>
                <w:highlight w:val="none"/>
              </w:rPr>
            </w:pPr>
          </w:p>
        </w:tc>
        <w:tc>
          <w:tcPr>
            <w:tcW w:w="1800" w:type="dxa"/>
            <w:vAlign w:val="center"/>
          </w:tcPr>
          <w:p>
            <w:pPr>
              <w:spacing w:line="400" w:lineRule="exact"/>
              <w:jc w:val="center"/>
              <w:rPr>
                <w:rFonts w:ascii="宋体" w:hAnsi="宋体" w:eastAsia="宋体"/>
                <w:color w:val="auto"/>
                <w:szCs w:val="21"/>
                <w:highlight w:val="none"/>
              </w:rPr>
            </w:pPr>
          </w:p>
        </w:tc>
        <w:tc>
          <w:tcPr>
            <w:tcW w:w="1519" w:type="dxa"/>
          </w:tcPr>
          <w:p>
            <w:pPr>
              <w:spacing w:line="400" w:lineRule="exact"/>
              <w:jc w:val="center"/>
              <w:rPr>
                <w:rFonts w:ascii="宋体" w:hAnsi="宋体" w:eastAsia="宋体"/>
                <w:color w:val="auto"/>
                <w:szCs w:val="21"/>
                <w:highlight w:val="none"/>
              </w:rPr>
            </w:pPr>
          </w:p>
        </w:tc>
        <w:tc>
          <w:tcPr>
            <w:tcW w:w="2268" w:type="dxa"/>
            <w:vAlign w:val="center"/>
          </w:tcPr>
          <w:p>
            <w:pPr>
              <w:spacing w:line="400" w:lineRule="exact"/>
              <w:jc w:val="center"/>
              <w:rPr>
                <w:rFonts w:ascii="宋体" w:hAnsi="宋体"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2019</w:t>
            </w:r>
          </w:p>
        </w:tc>
        <w:tc>
          <w:tcPr>
            <w:tcW w:w="1800" w:type="dxa"/>
            <w:vAlign w:val="center"/>
          </w:tcPr>
          <w:p>
            <w:pPr>
              <w:spacing w:line="400" w:lineRule="exact"/>
              <w:jc w:val="center"/>
              <w:rPr>
                <w:rFonts w:ascii="宋体" w:hAnsi="宋体" w:eastAsia="宋体"/>
                <w:color w:val="auto"/>
                <w:szCs w:val="21"/>
                <w:highlight w:val="none"/>
              </w:rPr>
            </w:pPr>
          </w:p>
        </w:tc>
        <w:tc>
          <w:tcPr>
            <w:tcW w:w="1800" w:type="dxa"/>
            <w:vAlign w:val="center"/>
          </w:tcPr>
          <w:p>
            <w:pPr>
              <w:spacing w:line="400" w:lineRule="exact"/>
              <w:jc w:val="center"/>
              <w:rPr>
                <w:rFonts w:ascii="宋体" w:hAnsi="宋体" w:eastAsia="宋体"/>
                <w:color w:val="auto"/>
                <w:szCs w:val="21"/>
                <w:highlight w:val="none"/>
              </w:rPr>
            </w:pPr>
          </w:p>
        </w:tc>
        <w:tc>
          <w:tcPr>
            <w:tcW w:w="1519" w:type="dxa"/>
          </w:tcPr>
          <w:p>
            <w:pPr>
              <w:spacing w:line="400" w:lineRule="exact"/>
              <w:jc w:val="center"/>
              <w:rPr>
                <w:rFonts w:ascii="宋体" w:hAnsi="宋体" w:eastAsia="宋体"/>
                <w:color w:val="auto"/>
                <w:szCs w:val="21"/>
                <w:highlight w:val="none"/>
              </w:rPr>
            </w:pPr>
          </w:p>
        </w:tc>
        <w:tc>
          <w:tcPr>
            <w:tcW w:w="2268" w:type="dxa"/>
            <w:vAlign w:val="center"/>
          </w:tcPr>
          <w:p>
            <w:pPr>
              <w:spacing w:line="400" w:lineRule="exact"/>
              <w:jc w:val="center"/>
              <w:rPr>
                <w:rFonts w:ascii="宋体" w:hAnsi="宋体"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2020</w:t>
            </w:r>
          </w:p>
        </w:tc>
        <w:tc>
          <w:tcPr>
            <w:tcW w:w="1800" w:type="dxa"/>
            <w:vAlign w:val="center"/>
          </w:tcPr>
          <w:p>
            <w:pPr>
              <w:spacing w:line="400" w:lineRule="exact"/>
              <w:jc w:val="center"/>
              <w:rPr>
                <w:rFonts w:ascii="宋体" w:hAnsi="宋体" w:eastAsia="宋体"/>
                <w:color w:val="auto"/>
                <w:szCs w:val="21"/>
                <w:highlight w:val="none"/>
              </w:rPr>
            </w:pPr>
          </w:p>
        </w:tc>
        <w:tc>
          <w:tcPr>
            <w:tcW w:w="1800" w:type="dxa"/>
            <w:vAlign w:val="center"/>
          </w:tcPr>
          <w:p>
            <w:pPr>
              <w:spacing w:line="400" w:lineRule="exact"/>
              <w:jc w:val="center"/>
              <w:rPr>
                <w:rFonts w:ascii="宋体" w:hAnsi="宋体" w:eastAsia="宋体"/>
                <w:color w:val="auto"/>
                <w:szCs w:val="21"/>
                <w:highlight w:val="none"/>
              </w:rPr>
            </w:pPr>
          </w:p>
        </w:tc>
        <w:tc>
          <w:tcPr>
            <w:tcW w:w="1519" w:type="dxa"/>
          </w:tcPr>
          <w:p>
            <w:pPr>
              <w:spacing w:line="400" w:lineRule="exact"/>
              <w:jc w:val="center"/>
              <w:rPr>
                <w:rFonts w:ascii="宋体" w:hAnsi="宋体" w:eastAsia="宋体"/>
                <w:color w:val="auto"/>
                <w:szCs w:val="21"/>
                <w:highlight w:val="none"/>
              </w:rPr>
            </w:pPr>
          </w:p>
        </w:tc>
        <w:tc>
          <w:tcPr>
            <w:tcW w:w="2268" w:type="dxa"/>
            <w:vAlign w:val="center"/>
          </w:tcPr>
          <w:p>
            <w:pPr>
              <w:spacing w:line="400" w:lineRule="exact"/>
              <w:jc w:val="center"/>
              <w:rPr>
                <w:rFonts w:ascii="宋体" w:hAnsi="宋体"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总计</w:t>
            </w:r>
          </w:p>
        </w:tc>
        <w:tc>
          <w:tcPr>
            <w:tcW w:w="1519" w:type="dxa"/>
          </w:tcPr>
          <w:p>
            <w:pPr>
              <w:spacing w:line="400" w:lineRule="exact"/>
              <w:jc w:val="center"/>
              <w:rPr>
                <w:rFonts w:ascii="宋体" w:hAnsi="宋体" w:eastAsia="宋体"/>
                <w:color w:val="auto"/>
                <w:szCs w:val="21"/>
                <w:highlight w:val="none"/>
              </w:rPr>
            </w:pPr>
          </w:p>
        </w:tc>
        <w:tc>
          <w:tcPr>
            <w:tcW w:w="2268" w:type="dxa"/>
            <w:vAlign w:val="center"/>
          </w:tcPr>
          <w:p>
            <w:pPr>
              <w:spacing w:line="400" w:lineRule="exact"/>
              <w:jc w:val="center"/>
              <w:rPr>
                <w:rFonts w:ascii="宋体" w:hAnsi="宋体" w:eastAsia="宋体"/>
                <w:color w:val="auto"/>
                <w:szCs w:val="21"/>
                <w:highlight w:val="none"/>
              </w:rPr>
            </w:pPr>
          </w:p>
        </w:tc>
      </w:tr>
    </w:tbl>
    <w:p>
      <w:pPr>
        <w:pStyle w:val="69"/>
        <w:spacing w:line="40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注：</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1、如报名人此表数据有虚假,一经查实按无效响应处理。</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2、需提供经会计师事务所审计的审计报告及财务状况表；若报名人为新成立或未进行独立会计师事务所审计的，本表中对应年度的财务信息应填写“/”，报名人的报名文件不作无效响应处理，但存在因不符合评审办法中的评分标准而导致对应项不得分。</w:t>
      </w:r>
    </w:p>
    <w:p>
      <w:pPr>
        <w:pStyle w:val="69"/>
        <w:spacing w:line="400" w:lineRule="exact"/>
        <w:ind w:firstLine="433"/>
        <w:rPr>
          <w:rFonts w:ascii="宋体" w:eastAsia="宋体"/>
          <w:color w:val="auto"/>
          <w:sz w:val="21"/>
          <w:szCs w:val="21"/>
          <w:highlight w:val="none"/>
        </w:rPr>
      </w:pPr>
    </w:p>
    <w:p>
      <w:pPr>
        <w:pStyle w:val="69"/>
        <w:spacing w:line="400" w:lineRule="exact"/>
        <w:ind w:firstLine="433"/>
        <w:rPr>
          <w:rFonts w:ascii="宋体" w:eastAsia="宋体"/>
          <w:color w:val="auto"/>
          <w:sz w:val="21"/>
          <w:szCs w:val="21"/>
          <w:highlight w:val="none"/>
        </w:rPr>
      </w:pPr>
    </w:p>
    <w:p>
      <w:pPr>
        <w:pStyle w:val="69"/>
        <w:spacing w:line="400" w:lineRule="exact"/>
        <w:ind w:firstLine="433"/>
        <w:rPr>
          <w:rFonts w:ascii="宋体" w:eastAsia="宋体"/>
          <w:color w:val="auto"/>
          <w:sz w:val="21"/>
          <w:szCs w:val="21"/>
          <w:highlight w:val="none"/>
        </w:rPr>
      </w:pPr>
    </w:p>
    <w:p>
      <w:pPr>
        <w:spacing w:line="400" w:lineRule="exact"/>
        <w:ind w:right="840" w:firstLine="420"/>
        <w:jc w:val="center"/>
        <w:rPr>
          <w:rFonts w:ascii="宋体" w:hAnsi="宋体" w:eastAsia="宋体"/>
          <w:color w:val="auto"/>
          <w:szCs w:val="21"/>
          <w:highlight w:val="none"/>
        </w:rPr>
      </w:pPr>
      <w:r>
        <w:rPr>
          <w:rFonts w:hint="eastAsia" w:ascii="宋体" w:hAnsi="宋体" w:eastAsia="宋体"/>
          <w:color w:val="auto"/>
          <w:szCs w:val="21"/>
          <w:highlight w:val="none"/>
          <w:lang w:val="zh-CN"/>
        </w:rPr>
        <w:t xml:space="preserve">                                      报名人：（加盖报名人法人公章）</w:t>
      </w:r>
    </w:p>
    <w:p>
      <w:pPr>
        <w:spacing w:line="400" w:lineRule="exact"/>
        <w:ind w:right="840" w:firstLine="5243" w:firstLineChars="2497"/>
        <w:rPr>
          <w:rFonts w:ascii="宋体" w:hAnsi="宋体" w:eastAsia="宋体"/>
          <w:color w:val="auto"/>
          <w:szCs w:val="21"/>
          <w:highlight w:val="none"/>
          <w:lang w:val="zh-CN"/>
        </w:rPr>
      </w:pPr>
      <w:r>
        <w:rPr>
          <w:rFonts w:hint="eastAsia" w:ascii="宋体" w:hAnsi="宋体" w:eastAsia="宋体"/>
          <w:color w:val="auto"/>
          <w:szCs w:val="21"/>
          <w:highlight w:val="none"/>
          <w:lang w:val="zh-CN"/>
        </w:rPr>
        <w:t>日  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p>
    <w:p>
      <w:pPr>
        <w:spacing w:line="240" w:lineRule="auto"/>
        <w:rPr>
          <w:rFonts w:ascii="宋体" w:hAnsi="宋体" w:eastAsia="宋体"/>
          <w:color w:val="auto"/>
          <w:szCs w:val="21"/>
          <w:highlight w:val="none"/>
          <w:lang w:val="zh-CN"/>
        </w:rPr>
      </w:pPr>
      <w:r>
        <w:rPr>
          <w:rFonts w:ascii="宋体" w:hAnsi="宋体" w:eastAsia="宋体"/>
          <w:color w:val="auto"/>
          <w:szCs w:val="21"/>
          <w:highlight w:val="none"/>
          <w:lang w:val="zh-CN"/>
        </w:rPr>
        <w:br w:type="page"/>
      </w:r>
    </w:p>
    <w:p>
      <w:pPr>
        <w:spacing w:line="240" w:lineRule="auto"/>
        <w:jc w:val="left"/>
        <w:rPr>
          <w:rFonts w:ascii="宋体" w:hAnsi="宋体" w:eastAsia="宋体"/>
          <w:b/>
          <w:color w:val="auto"/>
          <w:szCs w:val="21"/>
          <w:highlight w:val="none"/>
        </w:rPr>
      </w:pPr>
      <w:r>
        <w:rPr>
          <w:rFonts w:hint="eastAsia" w:ascii="Times New Roman" w:hAnsi="Times New Roman" w:eastAsia="宋体" w:cs="Times New Roman"/>
          <w:color w:val="auto"/>
          <w:kern w:val="2"/>
          <w:sz w:val="21"/>
          <w:highlight w:val="none"/>
          <w:lang w:val="en-US" w:eastAsia="zh-CN"/>
        </w:rPr>
        <w:t xml:space="preserve">四 </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b/>
          <w:color w:val="auto"/>
          <w:szCs w:val="21"/>
          <w:highlight w:val="none"/>
        </w:rPr>
        <w:t>、报名人业绩表格式</w:t>
      </w:r>
    </w:p>
    <w:p>
      <w:pPr>
        <w:spacing w:line="400" w:lineRule="exact"/>
        <w:jc w:val="center"/>
        <w:rPr>
          <w:rFonts w:ascii="宋体" w:hAnsi="宋体" w:eastAsia="宋体"/>
          <w:b/>
          <w:bCs/>
          <w:color w:val="auto"/>
          <w:szCs w:val="21"/>
          <w:highlight w:val="none"/>
          <w:lang w:val="zh-CN"/>
        </w:rPr>
      </w:pPr>
      <w:r>
        <w:rPr>
          <w:rFonts w:hint="eastAsia" w:ascii="宋体" w:hAnsi="宋体" w:eastAsia="宋体"/>
          <w:b/>
          <w:color w:val="auto"/>
          <w:szCs w:val="21"/>
          <w:highlight w:val="none"/>
        </w:rPr>
        <w:t>（1）</w:t>
      </w:r>
      <w:r>
        <w:rPr>
          <w:rFonts w:hint="eastAsia" w:ascii="宋体" w:hAnsi="宋体" w:eastAsia="宋体"/>
          <w:b/>
          <w:bCs/>
          <w:color w:val="auto"/>
          <w:szCs w:val="21"/>
          <w:highlight w:val="none"/>
        </w:rPr>
        <w:t>报名人</w:t>
      </w:r>
      <w:r>
        <w:rPr>
          <w:rFonts w:ascii="宋体" w:hAnsi="宋体" w:eastAsia="宋体"/>
          <w:b/>
          <w:bCs/>
          <w:color w:val="auto"/>
          <w:szCs w:val="21"/>
          <w:highlight w:val="none"/>
        </w:rPr>
        <w:t>201</w:t>
      </w:r>
      <w:r>
        <w:rPr>
          <w:rFonts w:hint="eastAsia" w:ascii="宋体" w:hAnsi="宋体" w:eastAsia="宋体"/>
          <w:b/>
          <w:bCs/>
          <w:color w:val="auto"/>
          <w:szCs w:val="21"/>
          <w:highlight w:val="none"/>
        </w:rPr>
        <w:t>8</w:t>
      </w:r>
      <w:r>
        <w:rPr>
          <w:rFonts w:ascii="宋体" w:hAnsi="宋体" w:eastAsia="宋体"/>
          <w:b/>
          <w:bCs/>
          <w:color w:val="auto"/>
          <w:szCs w:val="21"/>
          <w:highlight w:val="none"/>
        </w:rPr>
        <w:t>年1月1日</w:t>
      </w:r>
      <w:r>
        <w:rPr>
          <w:rFonts w:hint="eastAsia" w:ascii="宋体" w:hAnsi="宋体" w:eastAsia="宋体"/>
          <w:b/>
          <w:bCs/>
          <w:color w:val="auto"/>
          <w:szCs w:val="21"/>
          <w:highlight w:val="none"/>
        </w:rPr>
        <w:t>（以签订合同时间为准）至今承接的污水泵站（或污水处理厂）机电设备销售或维修服务业绩情况一览</w:t>
      </w:r>
      <w:r>
        <w:rPr>
          <w:rFonts w:hint="eastAsia" w:ascii="宋体" w:hAnsi="宋体" w:eastAsia="宋体"/>
          <w:b/>
          <w:bCs/>
          <w:color w:val="auto"/>
          <w:szCs w:val="21"/>
          <w:highlight w:val="none"/>
          <w:lang w:val="zh-CN"/>
        </w:rPr>
        <w:t>表</w:t>
      </w:r>
    </w:p>
    <w:tbl>
      <w:tblPr>
        <w:tblStyle w:val="47"/>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hint="eastAsia" w:ascii="宋体" w:hAnsi="宋体" w:eastAsia="宋体"/>
                <w:color w:val="auto"/>
                <w:szCs w:val="21"/>
                <w:highlight w:val="none"/>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合同</w:t>
            </w:r>
          </w:p>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签约</w:t>
            </w:r>
          </w:p>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ascii="宋体" w:hAnsi="宋体" w:eastAsia="宋体" w:cs="Courier New"/>
                <w:color w:val="auto"/>
                <w:szCs w:val="21"/>
                <w:highlight w:val="none"/>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bl>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注：</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1、需提供合同复印件，否则评审时将不予考虑。</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2、未按上述要求提供证明材料的业绩在评审时将不予考虑。</w:t>
      </w:r>
    </w:p>
    <w:p>
      <w:pPr>
        <w:spacing w:line="400" w:lineRule="exact"/>
        <w:ind w:firstLine="4830" w:firstLineChars="2300"/>
        <w:rPr>
          <w:rFonts w:ascii="宋体" w:hAnsi="宋体" w:eastAsia="宋体"/>
          <w:color w:val="auto"/>
          <w:szCs w:val="21"/>
          <w:highlight w:val="none"/>
          <w:lang w:val="zh-CN"/>
        </w:rPr>
      </w:pPr>
    </w:p>
    <w:p>
      <w:pPr>
        <w:spacing w:line="400" w:lineRule="exact"/>
        <w:ind w:firstLine="4830" w:firstLineChars="2300"/>
        <w:rPr>
          <w:rFonts w:ascii="宋体" w:hAnsi="宋体" w:eastAsia="宋体"/>
          <w:color w:val="auto"/>
          <w:szCs w:val="21"/>
          <w:highlight w:val="none"/>
          <w:lang w:val="zh-CN"/>
        </w:rPr>
      </w:pPr>
    </w:p>
    <w:p>
      <w:pPr>
        <w:spacing w:line="400" w:lineRule="exact"/>
        <w:ind w:firstLine="4830" w:firstLineChars="2300"/>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报名人：（加盖报名人法人公章）</w:t>
      </w:r>
    </w:p>
    <w:p>
      <w:pPr>
        <w:spacing w:line="400" w:lineRule="exact"/>
        <w:rPr>
          <w:rFonts w:ascii="宋体" w:hAnsi="宋体" w:eastAsia="宋体"/>
          <w:color w:val="auto"/>
          <w:szCs w:val="21"/>
          <w:highlight w:val="none"/>
          <w:lang w:val="zh-CN"/>
        </w:rPr>
      </w:pPr>
      <w:r>
        <w:rPr>
          <w:rFonts w:hint="eastAsia" w:ascii="宋体" w:hAnsi="宋体" w:eastAsia="宋体"/>
          <w:color w:val="auto"/>
          <w:szCs w:val="21"/>
          <w:highlight w:val="none"/>
          <w:lang w:val="zh-CN"/>
        </w:rPr>
        <w:t xml:space="preserve">                                              日</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color w:val="auto"/>
          <w:szCs w:val="21"/>
          <w:highlight w:val="none"/>
          <w:lang w:val="zh-CN"/>
        </w:rPr>
      </w:pPr>
      <w:r>
        <w:rPr>
          <w:rFonts w:ascii="宋体" w:hAnsi="宋体" w:eastAsia="宋体"/>
          <w:color w:val="auto"/>
          <w:szCs w:val="21"/>
          <w:highlight w:val="none"/>
          <w:lang w:val="zh-CN"/>
        </w:rPr>
        <w:br w:type="page"/>
      </w:r>
    </w:p>
    <w:p>
      <w:pPr>
        <w:spacing w:line="400" w:lineRule="exact"/>
        <w:jc w:val="center"/>
        <w:rPr>
          <w:rFonts w:ascii="宋体" w:hAnsi="宋体" w:eastAsia="宋体"/>
          <w:b/>
          <w:bCs/>
          <w:color w:val="auto"/>
          <w:szCs w:val="21"/>
          <w:highlight w:val="none"/>
          <w:lang w:val="zh-CN"/>
        </w:rPr>
      </w:pPr>
      <w:r>
        <w:rPr>
          <w:rFonts w:hint="eastAsia" w:ascii="宋体" w:hAnsi="宋体" w:eastAsia="宋体"/>
          <w:b/>
          <w:color w:val="auto"/>
          <w:szCs w:val="21"/>
          <w:highlight w:val="none"/>
        </w:rPr>
        <w:t>（2）</w:t>
      </w:r>
      <w:r>
        <w:rPr>
          <w:rFonts w:hint="eastAsia" w:ascii="宋体" w:hAnsi="宋体" w:eastAsia="宋体"/>
          <w:b/>
          <w:bCs/>
          <w:color w:val="auto"/>
          <w:szCs w:val="21"/>
          <w:highlight w:val="none"/>
        </w:rPr>
        <w:t>报名人</w:t>
      </w:r>
      <w:r>
        <w:rPr>
          <w:rFonts w:ascii="宋体" w:hAnsi="宋体" w:eastAsia="宋体"/>
          <w:b/>
          <w:bCs/>
          <w:color w:val="auto"/>
          <w:szCs w:val="21"/>
          <w:highlight w:val="none"/>
        </w:rPr>
        <w:t>201</w:t>
      </w:r>
      <w:r>
        <w:rPr>
          <w:rFonts w:hint="eastAsia" w:ascii="宋体" w:hAnsi="宋体" w:eastAsia="宋体"/>
          <w:b/>
          <w:bCs/>
          <w:color w:val="auto"/>
          <w:szCs w:val="21"/>
          <w:highlight w:val="none"/>
          <w:lang w:val="en-US" w:eastAsia="zh-CN"/>
        </w:rPr>
        <w:t>8</w:t>
      </w:r>
      <w:r>
        <w:rPr>
          <w:rFonts w:ascii="宋体" w:hAnsi="宋体" w:eastAsia="宋体"/>
          <w:b/>
          <w:bCs/>
          <w:color w:val="auto"/>
          <w:szCs w:val="21"/>
          <w:highlight w:val="none"/>
        </w:rPr>
        <w:t>年1月1日</w:t>
      </w:r>
      <w:r>
        <w:rPr>
          <w:rFonts w:hint="eastAsia" w:ascii="宋体" w:hAnsi="宋体" w:eastAsia="宋体"/>
          <w:b/>
          <w:bCs/>
          <w:color w:val="auto"/>
          <w:szCs w:val="21"/>
          <w:highlight w:val="none"/>
        </w:rPr>
        <w:t>（以签订合同时间为准）至今承接的普通机电设备销售或维修服务业绩情况一览</w:t>
      </w:r>
      <w:r>
        <w:rPr>
          <w:rFonts w:hint="eastAsia" w:ascii="宋体" w:hAnsi="宋体" w:eastAsia="宋体"/>
          <w:b/>
          <w:bCs/>
          <w:color w:val="auto"/>
          <w:szCs w:val="21"/>
          <w:highlight w:val="none"/>
          <w:lang w:val="zh-CN"/>
        </w:rPr>
        <w:t>表</w:t>
      </w:r>
    </w:p>
    <w:tbl>
      <w:tblPr>
        <w:tblStyle w:val="47"/>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hint="eastAsia" w:ascii="宋体" w:hAnsi="宋体" w:eastAsia="宋体"/>
                <w:color w:val="auto"/>
                <w:szCs w:val="21"/>
                <w:highlight w:val="none"/>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合同</w:t>
            </w:r>
          </w:p>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签约</w:t>
            </w:r>
          </w:p>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lang w:val="zh-CN"/>
              </w:rPr>
            </w:pPr>
            <w:r>
              <w:rPr>
                <w:rFonts w:ascii="宋体" w:hAnsi="宋体" w:eastAsia="宋体"/>
                <w:color w:val="auto"/>
                <w:szCs w:val="21"/>
                <w:highlight w:val="none"/>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ascii="宋体" w:hAnsi="宋体" w:eastAsia="宋体" w:cs="Courier New"/>
                <w:color w:val="auto"/>
                <w:szCs w:val="21"/>
                <w:highlight w:val="none"/>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p>
        </w:tc>
      </w:tr>
    </w:tbl>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注：</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1、需提供合同复印件，否则评审时将不予考虑。</w:t>
      </w:r>
    </w:p>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2、未按上述要求提供证明材料的业绩在评审时将不予考虑。</w:t>
      </w:r>
    </w:p>
    <w:p>
      <w:pPr>
        <w:spacing w:line="400" w:lineRule="exact"/>
        <w:ind w:firstLine="4830" w:firstLineChars="2300"/>
        <w:rPr>
          <w:rFonts w:ascii="宋体" w:hAnsi="宋体" w:eastAsia="宋体"/>
          <w:color w:val="auto"/>
          <w:szCs w:val="21"/>
          <w:highlight w:val="none"/>
          <w:lang w:val="zh-CN"/>
        </w:rPr>
      </w:pPr>
    </w:p>
    <w:p>
      <w:pPr>
        <w:spacing w:line="400" w:lineRule="exact"/>
        <w:ind w:firstLine="4830" w:firstLineChars="2300"/>
        <w:rPr>
          <w:rFonts w:ascii="宋体" w:hAnsi="宋体" w:eastAsia="宋体"/>
          <w:color w:val="auto"/>
          <w:szCs w:val="21"/>
          <w:highlight w:val="none"/>
          <w:lang w:val="zh-CN"/>
        </w:rPr>
      </w:pPr>
    </w:p>
    <w:p>
      <w:pPr>
        <w:spacing w:line="400" w:lineRule="exact"/>
        <w:ind w:firstLine="4830" w:firstLineChars="2300"/>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报名人：（加盖报名人法人公章）</w:t>
      </w:r>
    </w:p>
    <w:p>
      <w:pPr>
        <w:spacing w:line="400" w:lineRule="exact"/>
        <w:rPr>
          <w:rFonts w:ascii="宋体" w:hAnsi="宋体" w:eastAsia="宋体"/>
          <w:color w:val="auto"/>
          <w:szCs w:val="21"/>
          <w:highlight w:val="none"/>
          <w:lang w:val="zh-CN"/>
        </w:rPr>
      </w:pPr>
      <w:r>
        <w:rPr>
          <w:rFonts w:hint="eastAsia" w:ascii="宋体" w:hAnsi="宋体" w:eastAsia="宋体"/>
          <w:color w:val="auto"/>
          <w:szCs w:val="21"/>
          <w:highlight w:val="none"/>
          <w:lang w:val="zh-CN"/>
        </w:rPr>
        <w:t xml:space="preserve">                                              日</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spacing w:line="400" w:lineRule="exact"/>
        <w:rPr>
          <w:rFonts w:ascii="宋体" w:hAnsi="宋体" w:eastAsia="宋体"/>
          <w:color w:val="auto"/>
          <w:szCs w:val="21"/>
          <w:highlight w:val="none"/>
          <w:lang w:val="zh-CN"/>
        </w:rPr>
      </w:pPr>
    </w:p>
    <w:p>
      <w:pPr>
        <w:rPr>
          <w:rFonts w:ascii="宋体" w:hAnsi="宋体" w:eastAsia="宋体"/>
          <w:b/>
          <w:color w:val="auto"/>
          <w:szCs w:val="21"/>
          <w:highlight w:val="none"/>
        </w:rPr>
      </w:pPr>
      <w:r>
        <w:rPr>
          <w:rFonts w:hint="eastAsia" w:ascii="宋体" w:hAnsi="宋体" w:eastAsia="宋体"/>
          <w:b/>
          <w:color w:val="auto"/>
          <w:szCs w:val="21"/>
          <w:highlight w:val="none"/>
        </w:rPr>
        <w:br w:type="page"/>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lang w:val="en-US" w:eastAsia="zh-CN"/>
        </w:rPr>
        <w:t>五</w:t>
      </w:r>
      <w:r>
        <w:rPr>
          <w:rFonts w:hint="eastAsia" w:ascii="宋体" w:hAnsi="宋体" w:eastAsia="宋体"/>
          <w:b/>
          <w:color w:val="auto"/>
          <w:szCs w:val="21"/>
          <w:highlight w:val="none"/>
        </w:rPr>
        <w:t>、拟投入本项目的项目负责人简历表</w:t>
      </w:r>
    </w:p>
    <w:p>
      <w:pPr>
        <w:spacing w:line="400" w:lineRule="exact"/>
        <w:ind w:firstLine="422" w:firstLineChars="200"/>
        <w:jc w:val="center"/>
        <w:rPr>
          <w:rFonts w:ascii="宋体" w:hAnsi="宋体" w:eastAsia="宋体"/>
          <w:b/>
          <w:color w:val="auto"/>
          <w:szCs w:val="21"/>
          <w:highlight w:val="none"/>
        </w:rPr>
      </w:pPr>
    </w:p>
    <w:p>
      <w:pPr>
        <w:spacing w:line="400" w:lineRule="exact"/>
        <w:ind w:firstLine="422" w:firstLineChars="200"/>
        <w:jc w:val="center"/>
        <w:rPr>
          <w:rFonts w:ascii="宋体" w:hAnsi="宋体" w:eastAsia="宋体"/>
          <w:b/>
          <w:color w:val="auto"/>
          <w:szCs w:val="21"/>
          <w:highlight w:val="none"/>
        </w:rPr>
      </w:pPr>
      <w:r>
        <w:rPr>
          <w:rFonts w:hint="eastAsia" w:ascii="宋体" w:hAnsi="宋体" w:eastAsia="宋体"/>
          <w:b/>
          <w:color w:val="auto"/>
          <w:szCs w:val="21"/>
          <w:highlight w:val="none"/>
        </w:rPr>
        <w:t>拟投入本项目的项目负责人简历表</w:t>
      </w:r>
    </w:p>
    <w:tbl>
      <w:tblPr>
        <w:tblStyle w:val="47"/>
        <w:tblW w:w="5000" w:type="pct"/>
        <w:jc w:val="center"/>
        <w:tblLayout w:type="autofit"/>
        <w:tblCellMar>
          <w:top w:w="0" w:type="dxa"/>
          <w:left w:w="108" w:type="dxa"/>
          <w:bottom w:w="0" w:type="dxa"/>
          <w:right w:w="108" w:type="dxa"/>
        </w:tblCellMar>
      </w:tblPr>
      <w:tblGrid>
        <w:gridCol w:w="1579"/>
        <w:gridCol w:w="851"/>
        <w:gridCol w:w="516"/>
        <w:gridCol w:w="873"/>
        <w:gridCol w:w="475"/>
        <w:gridCol w:w="929"/>
        <w:gridCol w:w="570"/>
        <w:gridCol w:w="423"/>
        <w:gridCol w:w="453"/>
        <w:gridCol w:w="845"/>
        <w:gridCol w:w="455"/>
        <w:gridCol w:w="1317"/>
      </w:tblGrid>
      <w:tr>
        <w:tblPrEx>
          <w:tblCellMar>
            <w:top w:w="0" w:type="dxa"/>
            <w:left w:w="108" w:type="dxa"/>
            <w:bottom w:w="0" w:type="dxa"/>
            <w:right w:w="108" w:type="dxa"/>
          </w:tblCellMar>
        </w:tblPrEx>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500" w:type="pct"/>
            <w:tcBorders>
              <w:top w:val="single" w:color="auto" w:sz="8" w:space="0"/>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500"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ascii="宋体" w:hAnsi="宋体" w:eastAsia="宋体" w:cs="宋体"/>
                <w:b/>
                <w:bCs/>
                <w:color w:val="auto"/>
                <w:szCs w:val="21"/>
                <w:highlight w:val="none"/>
                <w:u w:val="single"/>
              </w:rPr>
              <w:t xml:space="preserve"> </w:t>
            </w:r>
            <w:r>
              <w:rPr>
                <w:rFonts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服务单位</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注：1、拟投入本项目的项目负责人需提供本简历表。</w:t>
      </w:r>
    </w:p>
    <w:p>
      <w:pPr>
        <w:spacing w:line="400" w:lineRule="exact"/>
        <w:ind w:left="685" w:leftChars="176" w:hanging="315" w:hangingChars="150"/>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须提供证书复印件、以及社会保障部门（或税务部门）出具的供应商征集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left="685" w:leftChars="176" w:hanging="315" w:hangingChars="150"/>
        <w:rPr>
          <w:rFonts w:ascii="宋体" w:hAnsi="宋体" w:eastAsia="宋体"/>
          <w:color w:val="auto"/>
          <w:szCs w:val="21"/>
          <w:highlight w:val="none"/>
        </w:rPr>
      </w:pP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zh-CN"/>
        </w:rPr>
        <w:t>报名人：（加盖报名人法人公章）</w:t>
      </w:r>
    </w:p>
    <w:p>
      <w:pPr>
        <w:spacing w:before="120" w:after="120" w:line="400" w:lineRule="exact"/>
        <w:ind w:left="629" w:firstLine="5040"/>
        <w:rPr>
          <w:rFonts w:ascii="宋体" w:hAnsi="宋体" w:eastAsia="宋体"/>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b/>
          <w:color w:val="auto"/>
          <w:szCs w:val="21"/>
          <w:highlight w:val="none"/>
        </w:rPr>
      </w:pPr>
      <w:r>
        <w:rPr>
          <w:rFonts w:ascii="宋体" w:hAnsi="宋体" w:eastAsia="宋体"/>
          <w:b/>
          <w:color w:val="auto"/>
          <w:szCs w:val="21"/>
          <w:highlight w:val="none"/>
        </w:rPr>
        <w:br w:type="page"/>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lang w:val="en-US" w:eastAsia="zh-CN"/>
        </w:rPr>
        <w:t>六</w:t>
      </w:r>
      <w:r>
        <w:rPr>
          <w:rFonts w:hint="eastAsia" w:ascii="宋体" w:hAnsi="宋体" w:eastAsia="宋体"/>
          <w:b/>
          <w:color w:val="auto"/>
          <w:szCs w:val="21"/>
          <w:highlight w:val="none"/>
        </w:rPr>
        <w:t>、拟投入本项目人员情况一览表格式</w:t>
      </w:r>
    </w:p>
    <w:p>
      <w:pPr>
        <w:spacing w:line="400" w:lineRule="exact"/>
        <w:jc w:val="center"/>
        <w:rPr>
          <w:rFonts w:ascii="宋体" w:hAnsi="宋体" w:eastAsia="宋体"/>
          <w:b/>
          <w:color w:val="auto"/>
          <w:szCs w:val="21"/>
          <w:highlight w:val="none"/>
        </w:rPr>
      </w:pPr>
      <w:r>
        <w:rPr>
          <w:rFonts w:hint="eastAsia" w:ascii="宋体" w:hAnsi="宋体" w:eastAsia="宋体"/>
          <w:b/>
          <w:color w:val="auto"/>
          <w:szCs w:val="21"/>
          <w:highlight w:val="none"/>
        </w:rPr>
        <w:t>拟投入本项目人员情况一览表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169"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姓名</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性别</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年龄</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学历</w:t>
            </w:r>
          </w:p>
        </w:tc>
        <w:tc>
          <w:tcPr>
            <w:tcW w:w="164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资格证书</w:t>
            </w:r>
          </w:p>
        </w:tc>
        <w:tc>
          <w:tcPr>
            <w:tcW w:w="141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拟任职务或承担内容</w:t>
            </w:r>
          </w:p>
        </w:tc>
        <w:tc>
          <w:tcPr>
            <w:tcW w:w="1656"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专业年限</w:t>
            </w:r>
          </w:p>
        </w:tc>
        <w:tc>
          <w:tcPr>
            <w:tcW w:w="94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bl>
    <w:p>
      <w:pPr>
        <w:overflowPunct w:val="0"/>
        <w:spacing w:before="120" w:line="400" w:lineRule="exact"/>
        <w:ind w:left="267" w:leftChars="-73" w:hanging="420" w:hangingChars="200"/>
        <w:rPr>
          <w:rFonts w:ascii="宋体" w:hAnsi="宋体" w:eastAsia="宋体"/>
          <w:color w:val="auto"/>
          <w:szCs w:val="21"/>
          <w:highlight w:val="none"/>
        </w:rPr>
      </w:pPr>
      <w:r>
        <w:rPr>
          <w:rFonts w:hint="eastAsia" w:ascii="宋体" w:hAnsi="宋体" w:eastAsia="宋体"/>
          <w:color w:val="auto"/>
          <w:szCs w:val="21"/>
          <w:highlight w:val="none"/>
        </w:rPr>
        <w:t>注：需提供以上人员证书复印件、以及社会保障部门（或税务部门）出具的供应商征集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right="420" w:firstLine="4935" w:firstLineChars="2350"/>
        <w:rPr>
          <w:rFonts w:ascii="宋体" w:hAnsi="宋体" w:eastAsia="宋体"/>
          <w:color w:val="auto"/>
          <w:szCs w:val="21"/>
          <w:highlight w:val="none"/>
          <w:lang w:val="zh-CN"/>
        </w:rPr>
      </w:pPr>
    </w:p>
    <w:p>
      <w:pPr>
        <w:spacing w:line="400" w:lineRule="exact"/>
        <w:ind w:right="420" w:firstLine="4935" w:firstLineChars="2350"/>
        <w:rPr>
          <w:rFonts w:ascii="宋体" w:hAnsi="宋体" w:eastAsia="宋体"/>
          <w:color w:val="auto"/>
          <w:szCs w:val="21"/>
          <w:highlight w:val="none"/>
          <w:lang w:val="zh-CN"/>
        </w:rPr>
      </w:pPr>
    </w:p>
    <w:p>
      <w:pPr>
        <w:spacing w:line="400" w:lineRule="exact"/>
        <w:ind w:right="420" w:firstLine="4935" w:firstLineChars="2350"/>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报名人：（加盖报名人法人公章）</w:t>
      </w:r>
    </w:p>
    <w:p>
      <w:pPr>
        <w:spacing w:line="400" w:lineRule="exact"/>
        <w:ind w:firstLine="4935" w:firstLineChars="2350"/>
        <w:rPr>
          <w:rFonts w:ascii="宋体" w:hAnsi="宋体" w:eastAsia="宋体"/>
          <w:color w:val="auto"/>
          <w:szCs w:val="21"/>
          <w:highlight w:val="none"/>
          <w:lang w:val="zh-CN"/>
        </w:rPr>
      </w:pPr>
      <w:r>
        <w:rPr>
          <w:rFonts w:hint="eastAsia" w:ascii="宋体" w:hAnsi="宋体" w:eastAsia="宋体"/>
          <w:color w:val="auto"/>
          <w:szCs w:val="21"/>
          <w:highlight w:val="none"/>
        </w:rPr>
        <w:t xml:space="preserve">日  期：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cs="宋体"/>
          <w:color w:val="auto"/>
          <w:szCs w:val="21"/>
          <w:highlight w:val="none"/>
          <w:lang w:bidi="ar"/>
        </w:rPr>
      </w:pPr>
      <w:r>
        <w:rPr>
          <w:rFonts w:ascii="宋体" w:hAnsi="宋体" w:eastAsia="宋体"/>
          <w:color w:val="auto"/>
          <w:szCs w:val="21"/>
          <w:highlight w:val="none"/>
          <w:lang w:val="zh-CN"/>
        </w:rPr>
        <w:br w:type="page"/>
      </w:r>
      <w:r>
        <w:rPr>
          <w:rFonts w:hint="eastAsia" w:ascii="宋体" w:hAnsi="宋体" w:eastAsia="宋体" w:cs="宋体"/>
          <w:color w:val="auto"/>
          <w:szCs w:val="21"/>
          <w:highlight w:val="none"/>
          <w:lang w:val="en-US" w:eastAsia="zh-CN" w:bidi="ar"/>
        </w:rPr>
        <w:t xml:space="preserve">七  </w:t>
      </w:r>
      <w:r>
        <w:rPr>
          <w:rFonts w:hint="eastAsia" w:ascii="宋体" w:hAnsi="宋体" w:eastAsia="宋体" w:cs="宋体"/>
          <w:color w:val="auto"/>
          <w:szCs w:val="21"/>
          <w:highlight w:val="none"/>
          <w:lang w:bidi="ar"/>
        </w:rPr>
        <w:t>、拟投入本项目机械设备情况一览表格式</w:t>
      </w:r>
    </w:p>
    <w:p>
      <w:pPr>
        <w:spacing w:before="120" w:after="120" w:line="400" w:lineRule="exact"/>
        <w:ind w:right="368"/>
        <w:rPr>
          <w:rFonts w:ascii="宋体" w:hAnsi="宋体" w:eastAsia="宋体"/>
          <w:color w:val="auto"/>
          <w:szCs w:val="21"/>
          <w:highlight w:val="none"/>
          <w:lang w:val="zh-CN"/>
        </w:rPr>
      </w:pPr>
      <w:r>
        <w:rPr>
          <w:rFonts w:ascii="宋体" w:hAnsi="宋体" w:eastAsia="宋体"/>
          <w:color w:val="auto"/>
          <w:szCs w:val="21"/>
          <w:highlight w:val="none"/>
          <w:lang w:val="zh-CN"/>
        </w:rPr>
        <w:br w:type="page"/>
      </w:r>
    </w:p>
    <w:p>
      <w:pPr>
        <w:spacing w:before="120" w:after="120" w:line="400" w:lineRule="exact"/>
        <w:ind w:right="368"/>
        <w:rPr>
          <w:rFonts w:ascii="宋体" w:hAnsi="宋体" w:cs="宋体"/>
          <w:color w:val="auto"/>
          <w:szCs w:val="21"/>
          <w:highlight w:val="none"/>
          <w:lang w:val="zh-CN"/>
        </w:rPr>
      </w:pPr>
      <w:r>
        <w:rPr>
          <w:rFonts w:hint="eastAsia" w:ascii="宋体" w:hAnsi="宋体" w:eastAsia="宋体"/>
          <w:b/>
          <w:color w:val="auto"/>
          <w:szCs w:val="21"/>
          <w:highlight w:val="none"/>
          <w:lang w:val="en-US" w:eastAsia="zh-CN"/>
        </w:rPr>
        <w:t>八</w:t>
      </w:r>
      <w:r>
        <w:rPr>
          <w:rFonts w:hint="eastAsia" w:ascii="宋体" w:hAnsi="宋体" w:eastAsia="宋体"/>
          <w:b/>
          <w:color w:val="auto"/>
          <w:szCs w:val="21"/>
          <w:highlight w:val="none"/>
          <w:lang w:val="zh-CN"/>
        </w:rPr>
        <w:t>、</w:t>
      </w:r>
      <w:r>
        <w:rPr>
          <w:rFonts w:hint="eastAsia" w:ascii="宋体" w:hAnsi="宋体" w:cs="宋体"/>
          <w:color w:val="auto"/>
          <w:szCs w:val="21"/>
          <w:highlight w:val="none"/>
          <w:lang w:val="zh-CN"/>
        </w:rPr>
        <w:t>总体实施方案</w:t>
      </w:r>
      <w:r>
        <w:rPr>
          <w:rFonts w:ascii="宋体" w:hAnsi="宋体" w:cs="宋体"/>
          <w:color w:val="auto"/>
          <w:szCs w:val="21"/>
          <w:highlight w:val="none"/>
          <w:lang w:val="zh-CN"/>
        </w:rPr>
        <w:br w:type="page"/>
      </w:r>
    </w:p>
    <w:p>
      <w:pPr>
        <w:spacing w:before="120" w:after="120" w:line="400" w:lineRule="exact"/>
        <w:ind w:right="368"/>
        <w:rPr>
          <w:rFonts w:hAnsi="宋体" w:cs="宋体"/>
          <w:color w:val="auto"/>
          <w:szCs w:val="21"/>
          <w:highlight w:val="none"/>
          <w:lang w:val="zh-CN"/>
        </w:rPr>
      </w:pPr>
      <w:r>
        <w:rPr>
          <w:rFonts w:hint="eastAsia" w:ascii="宋体" w:hAnsi="宋体" w:eastAsia="宋体"/>
          <w:b/>
          <w:color w:val="auto"/>
          <w:szCs w:val="21"/>
          <w:highlight w:val="none"/>
          <w:lang w:val="en-US" w:eastAsia="zh-CN"/>
        </w:rPr>
        <w:t>九</w:t>
      </w:r>
      <w:r>
        <w:rPr>
          <w:rFonts w:hint="eastAsia" w:ascii="宋体" w:hAnsi="宋体" w:eastAsia="宋体"/>
          <w:b/>
          <w:color w:val="auto"/>
          <w:szCs w:val="21"/>
          <w:highlight w:val="none"/>
          <w:lang w:val="zh-CN"/>
        </w:rPr>
        <w:t>、</w:t>
      </w:r>
      <w:r>
        <w:rPr>
          <w:rFonts w:hint="eastAsia" w:hAnsi="宋体" w:cs="宋体"/>
          <w:color w:val="auto"/>
          <w:szCs w:val="21"/>
          <w:highlight w:val="none"/>
          <w:lang w:val="zh-CN"/>
        </w:rPr>
        <w:t>应急处理方案</w:t>
      </w:r>
      <w:r>
        <w:rPr>
          <w:rFonts w:hAnsi="宋体" w:cs="宋体"/>
          <w:color w:val="auto"/>
          <w:szCs w:val="21"/>
          <w:highlight w:val="none"/>
          <w:lang w:val="zh-CN"/>
        </w:rPr>
        <w:br w:type="page"/>
      </w:r>
    </w:p>
    <w:p>
      <w:pPr>
        <w:spacing w:before="120" w:after="120" w:line="400" w:lineRule="exact"/>
        <w:ind w:right="368"/>
        <w:rPr>
          <w:rFonts w:ascii="宋体" w:hAnsi="宋体" w:eastAsia="宋体"/>
          <w:color w:val="auto"/>
          <w:szCs w:val="21"/>
          <w:highlight w:val="none"/>
          <w:lang w:val="zh-CN"/>
        </w:rPr>
      </w:pPr>
    </w:p>
    <w:p>
      <w:pPr>
        <w:spacing w:before="120" w:after="120" w:line="400" w:lineRule="exact"/>
        <w:ind w:right="368"/>
        <w:rPr>
          <w:rFonts w:ascii="宋体" w:hAnsi="宋体" w:eastAsia="宋体"/>
          <w:b/>
          <w:color w:val="auto"/>
          <w:szCs w:val="21"/>
          <w:highlight w:val="none"/>
        </w:rPr>
      </w:pPr>
      <w:r>
        <w:rPr>
          <w:rFonts w:hint="eastAsia" w:ascii="宋体" w:hAnsi="宋体" w:eastAsia="宋体"/>
          <w:b/>
          <w:color w:val="auto"/>
          <w:szCs w:val="21"/>
          <w:highlight w:val="none"/>
          <w:lang w:val="zh-CN"/>
        </w:rPr>
        <w:t>十、</w:t>
      </w:r>
      <w:r>
        <w:rPr>
          <w:rFonts w:hint="eastAsia" w:ascii="宋体" w:hAnsi="宋体" w:eastAsia="宋体"/>
          <w:b/>
          <w:color w:val="auto"/>
          <w:szCs w:val="21"/>
          <w:highlight w:val="none"/>
        </w:rPr>
        <w:t>有限空间作业实施方案</w:t>
      </w:r>
    </w:p>
    <w:p>
      <w:pPr>
        <w:rPr>
          <w:rFonts w:ascii="宋体" w:hAnsi="宋体" w:eastAsia="宋体"/>
          <w:b/>
          <w:color w:val="auto"/>
          <w:szCs w:val="21"/>
          <w:highlight w:val="none"/>
          <w:lang w:val="zh-CN"/>
        </w:rPr>
      </w:pPr>
      <w:r>
        <w:rPr>
          <w:rFonts w:hint="eastAsia" w:ascii="宋体" w:hAnsi="宋体" w:eastAsia="宋体"/>
          <w:b/>
          <w:color w:val="auto"/>
          <w:szCs w:val="21"/>
          <w:highlight w:val="none"/>
          <w:lang w:val="zh-CN"/>
        </w:rPr>
        <w:br w:type="page"/>
      </w:r>
    </w:p>
    <w:p>
      <w:pPr>
        <w:spacing w:before="120" w:after="120" w:line="400" w:lineRule="exact"/>
        <w:ind w:right="368"/>
        <w:rPr>
          <w:rFonts w:ascii="宋体" w:hAnsi="宋体" w:eastAsia="宋体"/>
          <w:b/>
          <w:color w:val="auto"/>
          <w:szCs w:val="21"/>
          <w:highlight w:val="none"/>
          <w:lang w:val="zh-CN"/>
        </w:rPr>
      </w:pPr>
      <w:r>
        <w:rPr>
          <w:rFonts w:hint="eastAsia" w:ascii="宋体" w:hAnsi="宋体" w:eastAsia="宋体"/>
          <w:b/>
          <w:color w:val="auto"/>
          <w:szCs w:val="21"/>
          <w:highlight w:val="none"/>
        </w:rPr>
        <w:t>十</w:t>
      </w:r>
      <w:r>
        <w:rPr>
          <w:rFonts w:hint="eastAsia" w:ascii="宋体" w:hAnsi="宋体" w:eastAsia="宋体"/>
          <w:b/>
          <w:color w:val="auto"/>
          <w:szCs w:val="21"/>
          <w:highlight w:val="none"/>
          <w:lang w:val="en-US" w:eastAsia="zh-CN"/>
        </w:rPr>
        <w:t>一</w:t>
      </w:r>
      <w:r>
        <w:rPr>
          <w:rFonts w:hint="eastAsia" w:ascii="宋体" w:hAnsi="宋体" w:eastAsia="宋体"/>
          <w:b/>
          <w:color w:val="auto"/>
          <w:szCs w:val="21"/>
          <w:highlight w:val="none"/>
        </w:rPr>
        <w:t>、</w:t>
      </w:r>
      <w:r>
        <w:rPr>
          <w:rFonts w:hint="eastAsia" w:ascii="宋体" w:hAnsi="宋体" w:eastAsia="宋体"/>
          <w:b/>
          <w:color w:val="auto"/>
          <w:szCs w:val="21"/>
          <w:highlight w:val="none"/>
          <w:lang w:val="zh-CN"/>
        </w:rPr>
        <w:t>合同条款偏离表格式</w:t>
      </w:r>
    </w:p>
    <w:p>
      <w:pPr>
        <w:spacing w:line="400" w:lineRule="exact"/>
        <w:jc w:val="center"/>
        <w:rPr>
          <w:rFonts w:ascii="宋体" w:hAnsi="宋体" w:eastAsia="宋体"/>
          <w:b/>
          <w:color w:val="auto"/>
          <w:szCs w:val="21"/>
          <w:highlight w:val="none"/>
        </w:rPr>
      </w:pPr>
      <w:r>
        <w:rPr>
          <w:rFonts w:hint="eastAsia" w:ascii="宋体" w:hAnsi="宋体" w:eastAsia="宋体"/>
          <w:b/>
          <w:bCs/>
          <w:color w:val="auto"/>
          <w:szCs w:val="21"/>
          <w:highlight w:val="none"/>
          <w:lang w:val="zh-CN"/>
        </w:rPr>
        <w:t>合同条款偏离表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465"/>
        <w:gridCol w:w="2546"/>
        <w:gridCol w:w="1205"/>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2" w:type="pct"/>
            <w:vMerge w:val="restar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2160" w:type="pct"/>
            <w:gridSpan w:val="2"/>
            <w:vAlign w:val="center"/>
          </w:tcPr>
          <w:p>
            <w:pPr>
              <w:spacing w:before="120" w:after="120" w:line="400" w:lineRule="exact"/>
              <w:ind w:left="-107" w:leftChars="-51"/>
              <w:jc w:val="center"/>
              <w:rPr>
                <w:rFonts w:ascii="宋体" w:hAnsi="宋体" w:eastAsia="宋体"/>
                <w:color w:val="auto"/>
                <w:szCs w:val="21"/>
                <w:highlight w:val="none"/>
              </w:rPr>
            </w:pPr>
            <w:r>
              <w:rPr>
                <w:rFonts w:hint="eastAsia" w:ascii="宋体" w:hAnsi="宋体" w:eastAsia="宋体"/>
                <w:color w:val="auto"/>
                <w:szCs w:val="21"/>
                <w:highlight w:val="none"/>
              </w:rPr>
              <w:t>征集文件要求</w:t>
            </w:r>
          </w:p>
        </w:tc>
        <w:tc>
          <w:tcPr>
            <w:tcW w:w="2348" w:type="pct"/>
            <w:gridSpan w:val="2"/>
            <w:vAlign w:val="center"/>
          </w:tcPr>
          <w:p>
            <w:pPr>
              <w:spacing w:before="120" w:after="120" w:line="400" w:lineRule="exact"/>
              <w:ind w:left="-88"/>
              <w:jc w:val="center"/>
              <w:rPr>
                <w:rFonts w:ascii="宋体" w:hAnsi="宋体" w:eastAsia="宋体"/>
                <w:color w:val="auto"/>
                <w:szCs w:val="21"/>
                <w:highlight w:val="none"/>
              </w:rPr>
            </w:pPr>
            <w:r>
              <w:rPr>
                <w:rFonts w:hint="eastAsia" w:ascii="宋体" w:hAnsi="宋体" w:eastAsia="宋体"/>
                <w:color w:val="auto"/>
                <w:szCs w:val="21"/>
                <w:highlight w:val="none"/>
              </w:rPr>
              <w:t>报名文件内容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2" w:type="pct"/>
            <w:vMerge w:val="continue"/>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78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条款号</w:t>
            </w:r>
          </w:p>
        </w:tc>
        <w:tc>
          <w:tcPr>
            <w:tcW w:w="1371"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简要内容</w:t>
            </w:r>
          </w:p>
        </w:tc>
        <w:tc>
          <w:tcPr>
            <w:tcW w:w="64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偏离情况</w:t>
            </w:r>
          </w:p>
        </w:tc>
        <w:tc>
          <w:tcPr>
            <w:tcW w:w="169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bCs/>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9</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10</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bl>
    <w:p>
      <w:pPr>
        <w:spacing w:line="400" w:lineRule="exact"/>
        <w:ind w:left="583" w:leftChars="-59" w:hanging="707" w:hangingChars="337"/>
        <w:rPr>
          <w:rFonts w:ascii="宋体" w:hAnsi="宋体" w:eastAsia="宋体"/>
          <w:color w:val="auto"/>
          <w:szCs w:val="21"/>
          <w:highlight w:val="none"/>
        </w:rPr>
      </w:pPr>
      <w:r>
        <w:rPr>
          <w:rFonts w:hint="eastAsia" w:ascii="宋体" w:hAnsi="宋体" w:eastAsia="宋体"/>
          <w:color w:val="auto"/>
          <w:szCs w:val="21"/>
          <w:highlight w:val="none"/>
        </w:rPr>
        <w:t>注：1、</w:t>
      </w:r>
      <w:r>
        <w:rPr>
          <w:rFonts w:hint="eastAsia" w:ascii="宋体" w:hAnsi="宋体" w:eastAsia="宋体"/>
          <w:b/>
          <w:color w:val="auto"/>
          <w:szCs w:val="21"/>
          <w:highlight w:val="none"/>
          <w:u w:val="single"/>
        </w:rPr>
        <w:t>报名人应对照征集文件合同格式内合同条款及附件，逐条、如实地填写“偏离情况”项</w:t>
      </w:r>
      <w:r>
        <w:rPr>
          <w:rFonts w:hint="eastAsia" w:ascii="宋体" w:hAnsi="宋体" w:eastAsia="宋体"/>
          <w:color w:val="auto"/>
          <w:szCs w:val="21"/>
          <w:highlight w:val="none"/>
        </w:rPr>
        <w:t>。</w:t>
      </w:r>
      <w:r>
        <w:rPr>
          <w:rFonts w:hint="eastAsia" w:ascii="宋体" w:hAnsi="宋体" w:eastAsia="宋体"/>
          <w:b/>
          <w:color w:val="auto"/>
          <w:szCs w:val="21"/>
          <w:highlight w:val="none"/>
          <w:u w:val="single"/>
        </w:rPr>
        <w:t>“偏离情况”项为正偏离（或负偏离）的，必须在“具体偏离内容”项内详细说明与征集文件的偏离内容，“偏离情况”项为无偏离的，在“具体偏离内容”项内填“无”。若发现虚假填写本表，或对合同及其附件响应有负偏离的，按无效报名文件处理。若发现此表未逐条填写视为完全满足征集文件要求。</w:t>
      </w:r>
    </w:p>
    <w:p>
      <w:pPr>
        <w:spacing w:line="400" w:lineRule="exact"/>
        <w:ind w:left="583" w:leftChars="141" w:hanging="287" w:hangingChars="137"/>
        <w:rPr>
          <w:rFonts w:ascii="宋体" w:hAnsi="宋体" w:eastAsia="宋体"/>
          <w:color w:val="auto"/>
          <w:szCs w:val="21"/>
          <w:highlight w:val="none"/>
        </w:rPr>
      </w:pPr>
      <w:r>
        <w:rPr>
          <w:rFonts w:hint="eastAsia" w:ascii="宋体" w:hAnsi="宋体" w:eastAsia="宋体"/>
          <w:color w:val="auto"/>
          <w:szCs w:val="21"/>
          <w:highlight w:val="none"/>
        </w:rPr>
        <w:t>2、偏离情况（报名文件对征集文件合同条款的响应程度）分为：正偏离、负偏离、无偏离。正偏离是指报名人提供的服务商务条件优于征集文件的要求；负偏离是指报名人提供的服务商务条件不满足或不完全满足征集文件的要求；无偏离是指报名人提供的服务商务条件完全满足征集文件的要求。</w:t>
      </w:r>
    </w:p>
    <w:p>
      <w:pPr>
        <w:spacing w:line="400" w:lineRule="exact"/>
        <w:ind w:left="548" w:leftChars="111" w:hanging="315" w:hangingChars="150"/>
        <w:rPr>
          <w:rFonts w:ascii="宋体" w:hAnsi="宋体" w:eastAsia="宋体"/>
          <w:color w:val="auto"/>
          <w:szCs w:val="21"/>
          <w:highlight w:val="none"/>
        </w:rPr>
      </w:pPr>
      <w:r>
        <w:rPr>
          <w:rFonts w:hint="eastAsia" w:ascii="宋体" w:hAnsi="宋体" w:eastAsia="宋体"/>
          <w:color w:val="auto"/>
          <w:szCs w:val="21"/>
          <w:highlight w:val="none"/>
        </w:rPr>
        <w:t>3、如报名人差异内容较多可另附页说明，并在本偏离表“具体偏离内容”项注明其在报名文件中的具体页码。</w:t>
      </w:r>
    </w:p>
    <w:p>
      <w:pPr>
        <w:pStyle w:val="2"/>
        <w:rPr>
          <w:color w:val="auto"/>
          <w:highlight w:val="none"/>
        </w:rPr>
      </w:pPr>
    </w:p>
    <w:p>
      <w:pPr>
        <w:pStyle w:val="2"/>
        <w:rPr>
          <w:color w:val="auto"/>
          <w:highlight w:val="none"/>
        </w:rPr>
      </w:pPr>
    </w:p>
    <w:p>
      <w:pPr>
        <w:spacing w:line="400" w:lineRule="exact"/>
        <w:ind w:right="420" w:firstLine="4393" w:firstLineChars="2092"/>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报名人：（加盖报名人法人公章）</w:t>
      </w:r>
    </w:p>
    <w:p>
      <w:pPr>
        <w:spacing w:line="400" w:lineRule="exact"/>
        <w:ind w:firstLine="4393" w:firstLineChars="2092"/>
        <w:rPr>
          <w:rFonts w:ascii="宋体" w:hAnsi="宋体" w:eastAsia="宋体"/>
          <w:color w:val="auto"/>
          <w:szCs w:val="21"/>
          <w:highlight w:val="none"/>
          <w:lang w:val="zh-CN"/>
        </w:rPr>
      </w:pPr>
      <w:r>
        <w:rPr>
          <w:rFonts w:hint="eastAsia" w:ascii="宋体" w:hAnsi="宋体" w:eastAsia="宋体"/>
          <w:color w:val="auto"/>
          <w:szCs w:val="21"/>
          <w:highlight w:val="none"/>
          <w:lang w:val="zh-CN"/>
        </w:rPr>
        <w:t>法定代表人或其授权代表签名（或盖私章）：</w:t>
      </w:r>
    </w:p>
    <w:p>
      <w:pPr>
        <w:spacing w:line="400" w:lineRule="exact"/>
        <w:ind w:firstLine="5355" w:firstLineChars="2550"/>
        <w:rPr>
          <w:rFonts w:ascii="宋体" w:hAnsi="宋体" w:eastAsia="宋体"/>
          <w:color w:val="auto"/>
          <w:szCs w:val="21"/>
          <w:highlight w:val="none"/>
          <w:lang w:val="zh-CN"/>
        </w:rPr>
      </w:pPr>
      <w:r>
        <w:rPr>
          <w:rFonts w:hint="eastAsia" w:ascii="宋体" w:hAnsi="宋体" w:eastAsia="宋体"/>
          <w:color w:val="auto"/>
          <w:szCs w:val="21"/>
          <w:highlight w:val="none"/>
          <w:lang w:val="zh-CN"/>
        </w:rPr>
        <w:t>日</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pStyle w:val="2"/>
        <w:spacing w:line="400" w:lineRule="exact"/>
        <w:rPr>
          <w:rFonts w:ascii="宋体" w:hAnsi="宋体" w:eastAsia="宋体" w:cs="Times New Roman"/>
          <w:color w:val="auto"/>
          <w:szCs w:val="21"/>
          <w:highlight w:val="none"/>
        </w:rPr>
      </w:pPr>
    </w:p>
    <w:p>
      <w:pPr>
        <w:pStyle w:val="2"/>
        <w:spacing w:line="400" w:lineRule="exact"/>
        <w:rPr>
          <w:rFonts w:ascii="宋体" w:hAnsi="宋体" w:eastAsia="宋体" w:cs="Times New Roman"/>
          <w:color w:val="auto"/>
          <w:szCs w:val="21"/>
          <w:highlight w:val="none"/>
        </w:rPr>
      </w:pPr>
    </w:p>
    <w:p>
      <w:pPr>
        <w:spacing w:line="400" w:lineRule="exact"/>
        <w:rPr>
          <w:rFonts w:ascii="宋体" w:hAnsi="宋体" w:eastAsia="宋体"/>
          <w:b/>
          <w:color w:val="auto"/>
          <w:szCs w:val="21"/>
          <w:highlight w:val="none"/>
        </w:rPr>
      </w:pPr>
      <w:bookmarkStart w:id="21" w:name="_Hlk54164694"/>
      <w:r>
        <w:rPr>
          <w:rFonts w:ascii="宋体" w:hAnsi="宋体" w:eastAsia="宋体"/>
          <w:b/>
          <w:color w:val="auto"/>
          <w:szCs w:val="21"/>
          <w:highlight w:val="none"/>
        </w:rPr>
        <w:br w:type="page"/>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十</w:t>
      </w:r>
      <w:r>
        <w:rPr>
          <w:rFonts w:hint="eastAsia" w:ascii="宋体" w:hAnsi="宋体" w:eastAsia="宋体"/>
          <w:b/>
          <w:color w:val="auto"/>
          <w:szCs w:val="21"/>
          <w:highlight w:val="none"/>
          <w:lang w:val="en-US" w:eastAsia="zh-CN"/>
        </w:rPr>
        <w:t>二</w:t>
      </w:r>
      <w:r>
        <w:rPr>
          <w:rFonts w:ascii="宋体" w:hAnsi="宋体" w:eastAsia="宋体"/>
          <w:b/>
          <w:color w:val="auto"/>
          <w:szCs w:val="21"/>
          <w:highlight w:val="none"/>
        </w:rPr>
        <w:t>、</w:t>
      </w:r>
      <w:r>
        <w:rPr>
          <w:rFonts w:hint="eastAsia" w:ascii="宋体" w:hAnsi="宋体" w:eastAsia="宋体"/>
          <w:b/>
          <w:color w:val="auto"/>
          <w:szCs w:val="21"/>
          <w:highlight w:val="none"/>
        </w:rPr>
        <w:t>反映报名人信誉和能力的其他资料</w:t>
      </w:r>
    </w:p>
    <w:p>
      <w:pPr>
        <w:spacing w:line="400" w:lineRule="exact"/>
        <w:ind w:right="84"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报名人资格证明文件以外的其他资质证书及获得的相关获奖、社会评价资料证明文件复印件等报名人认为有需要证明其具备为本次机电设备、设施维修项目相关服务能力的有关其它商务文件（不做强制要求）。</w:t>
      </w:r>
      <w:bookmarkEnd w:id="21"/>
    </w:p>
    <w:p>
      <w:pPr>
        <w:rPr>
          <w:rFonts w:ascii="宋体" w:hAnsi="宋体" w:eastAsia="宋体"/>
          <w:bCs/>
          <w:color w:val="auto"/>
          <w:szCs w:val="21"/>
          <w:highlight w:val="none"/>
        </w:rPr>
      </w:pPr>
      <w:r>
        <w:rPr>
          <w:rFonts w:hint="eastAsia" w:ascii="宋体" w:hAnsi="宋体" w:eastAsia="宋体"/>
          <w:bCs/>
          <w:color w:val="auto"/>
          <w:szCs w:val="21"/>
          <w:highlight w:val="none"/>
        </w:rPr>
        <w:br w:type="page"/>
      </w:r>
    </w:p>
    <w:p>
      <w:pPr>
        <w:pStyle w:val="4"/>
        <w:rPr>
          <w:rFonts w:ascii="Times New Roman" w:hAnsi="Times New Roman" w:cs="Times New Roman"/>
          <w:color w:val="auto"/>
          <w:highlight w:val="none"/>
        </w:rPr>
      </w:pPr>
      <w:bookmarkStart w:id="22" w:name="_Toc8110"/>
      <w:r>
        <w:rPr>
          <w:rFonts w:ascii="Times New Roman" w:hAnsi="Times New Roman" w:cs="Times New Roman"/>
          <w:color w:val="auto"/>
          <w:highlight w:val="none"/>
        </w:rPr>
        <w:t>第</w:t>
      </w:r>
      <w:r>
        <w:rPr>
          <w:rFonts w:hint="eastAsia" w:ascii="Times New Roman" w:hAnsi="Times New Roman" w:cs="Times New Roman"/>
          <w:color w:val="auto"/>
          <w:highlight w:val="none"/>
        </w:rPr>
        <w:t>四</w:t>
      </w:r>
      <w:r>
        <w:rPr>
          <w:rFonts w:ascii="Times New Roman" w:hAnsi="Times New Roman" w:cs="Times New Roman"/>
          <w:color w:val="auto"/>
          <w:highlight w:val="none"/>
        </w:rPr>
        <w:t xml:space="preserve">部分 </w:t>
      </w:r>
      <w:r>
        <w:rPr>
          <w:rFonts w:hint="eastAsia" w:ascii="Times New Roman" w:hAnsi="Times New Roman" w:cs="Times New Roman"/>
          <w:color w:val="auto"/>
          <w:highlight w:val="none"/>
        </w:rPr>
        <w:t>合同条款</w:t>
      </w:r>
      <w:bookmarkEnd w:id="22"/>
    </w:p>
    <w:p>
      <w:pPr>
        <w:spacing w:line="360" w:lineRule="auto"/>
        <w:jc w:val="center"/>
        <w:rPr>
          <w:rFonts w:ascii="Times New Roman" w:hAnsi="Times New Roman" w:eastAsia="宋体" w:cs="Times New Roman"/>
          <w:b/>
          <w:bCs/>
          <w:color w:val="auto"/>
          <w:szCs w:val="21"/>
          <w:highlight w:val="none"/>
        </w:rPr>
      </w:pPr>
    </w:p>
    <w:p>
      <w:pPr>
        <w:tabs>
          <w:tab w:val="left" w:pos="840"/>
        </w:tabs>
        <w:wordWrap w:val="0"/>
        <w:autoSpaceDE w:val="0"/>
        <w:autoSpaceDN w:val="0"/>
        <w:adjustRightInd w:val="0"/>
        <w:spacing w:line="360" w:lineRule="auto"/>
        <w:jc w:val="right"/>
        <w:rPr>
          <w:rFonts w:ascii="宋体" w:hAnsi="宋体" w:eastAsia="宋体" w:cs="Times New Roman"/>
          <w:b/>
          <w:bCs/>
          <w:color w:val="auto"/>
          <w:sz w:val="24"/>
          <w:highlight w:val="none"/>
        </w:rPr>
      </w:pPr>
      <w:r>
        <w:rPr>
          <w:rFonts w:ascii="宋体" w:hAnsi="Calibri" w:eastAsia="宋体" w:cs="Times New Roman"/>
          <w:color w:val="auto"/>
          <w:kern w:val="0"/>
          <w:sz w:val="24"/>
          <w:highlight w:val="none"/>
        </w:rPr>
        <w:t>合同编号：</w:t>
      </w:r>
      <w:r>
        <w:rPr>
          <w:rFonts w:hint="eastAsia" w:ascii="宋体" w:hAnsi="Calibri" w:eastAsia="宋体" w:cs="Times New Roman"/>
          <w:color w:val="auto"/>
          <w:kern w:val="0"/>
          <w:sz w:val="24"/>
          <w:highlight w:val="none"/>
          <w:u w:val="single"/>
        </w:rPr>
        <w:t xml:space="preserve">  </w:t>
      </w:r>
      <w:r>
        <w:rPr>
          <w:rFonts w:hint="eastAsia" w:ascii="宋体" w:hAnsi="Calibri" w:eastAsia="宋体" w:cs="Times New Roman"/>
          <w:color w:val="auto"/>
          <w:kern w:val="0"/>
          <w:sz w:val="32"/>
          <w:szCs w:val="32"/>
          <w:highlight w:val="none"/>
          <w:u w:val="single"/>
        </w:rPr>
        <w:t xml:space="preserve">            </w:t>
      </w:r>
    </w:p>
    <w:p>
      <w:pPr>
        <w:tabs>
          <w:tab w:val="left" w:pos="840"/>
        </w:tabs>
        <w:autoSpaceDE w:val="0"/>
        <w:autoSpaceDN w:val="0"/>
        <w:adjustRightInd w:val="0"/>
        <w:spacing w:line="360" w:lineRule="auto"/>
        <w:jc w:val="center"/>
        <w:rPr>
          <w:rFonts w:ascii="宋体" w:hAnsi="宋体" w:eastAsia="宋体" w:cs="Times New Roman"/>
          <w:b/>
          <w:bCs/>
          <w:color w:val="auto"/>
          <w:sz w:val="24"/>
          <w:highlight w:val="none"/>
          <w:lang w:val="zh-CN"/>
        </w:rPr>
      </w:pPr>
    </w:p>
    <w:p>
      <w:pPr>
        <w:autoSpaceDE w:val="0"/>
        <w:autoSpaceDN w:val="0"/>
        <w:adjustRightInd w:val="0"/>
        <w:spacing w:line="600" w:lineRule="auto"/>
        <w:jc w:val="center"/>
        <w:rPr>
          <w:rFonts w:ascii="宋体" w:hAnsi="宋体" w:eastAsia="宋体"/>
          <w:b/>
          <w:color w:val="auto"/>
          <w:kern w:val="0"/>
          <w:sz w:val="44"/>
          <w:szCs w:val="32"/>
          <w:highlight w:val="none"/>
        </w:rPr>
      </w:pPr>
    </w:p>
    <w:p>
      <w:pPr>
        <w:autoSpaceDE w:val="0"/>
        <w:autoSpaceDN w:val="0"/>
        <w:adjustRightInd w:val="0"/>
        <w:spacing w:line="360" w:lineRule="auto"/>
        <w:jc w:val="center"/>
        <w:rPr>
          <w:rFonts w:ascii="宋体" w:hAnsi="宋体" w:eastAsia="宋体"/>
          <w:b/>
          <w:color w:val="auto"/>
          <w:kern w:val="0"/>
          <w:sz w:val="44"/>
          <w:szCs w:val="32"/>
          <w:highlight w:val="none"/>
        </w:rPr>
      </w:pPr>
      <w:r>
        <w:rPr>
          <w:rFonts w:hint="eastAsia" w:ascii="宋体" w:hAnsi="宋体" w:eastAsia="宋体"/>
          <w:b/>
          <w:color w:val="auto"/>
          <w:kern w:val="0"/>
          <w:sz w:val="44"/>
          <w:szCs w:val="32"/>
          <w:highlight w:val="none"/>
        </w:rPr>
        <w:t>机电设备维修供应商框架合同</w:t>
      </w: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jc w:val="left"/>
        <w:rPr>
          <w:rFonts w:ascii="宋体" w:hAnsi="宋体" w:eastAsia="宋体"/>
          <w:b/>
          <w:color w:val="auto"/>
          <w:kern w:val="0"/>
          <w:sz w:val="24"/>
          <w:szCs w:val="21"/>
          <w:highlight w:val="none"/>
        </w:rPr>
      </w:pPr>
    </w:p>
    <w:p>
      <w:pPr>
        <w:autoSpaceDE w:val="0"/>
        <w:autoSpaceDN w:val="0"/>
        <w:adjustRightInd w:val="0"/>
        <w:spacing w:line="360" w:lineRule="auto"/>
        <w:ind w:firstLine="562" w:firstLineChars="200"/>
        <w:rPr>
          <w:rFonts w:ascii="宋体" w:hAnsi="宋体" w:eastAsia="宋体"/>
          <w:b/>
          <w:color w:val="auto"/>
          <w:kern w:val="0"/>
          <w:sz w:val="28"/>
          <w:szCs w:val="22"/>
          <w:highlight w:val="none"/>
          <w:u w:val="single"/>
        </w:rPr>
      </w:pPr>
      <w:r>
        <w:rPr>
          <w:rFonts w:hint="eastAsia" w:ascii="宋体" w:hAnsi="宋体" w:eastAsia="宋体"/>
          <w:b/>
          <w:color w:val="auto"/>
          <w:kern w:val="0"/>
          <w:sz w:val="28"/>
          <w:szCs w:val="22"/>
          <w:highlight w:val="none"/>
        </w:rPr>
        <w:t>甲    方：</w:t>
      </w:r>
      <w:r>
        <w:rPr>
          <w:rFonts w:hint="eastAsia" w:ascii="宋体" w:hAnsi="宋体" w:eastAsia="宋体"/>
          <w:b/>
          <w:color w:val="auto"/>
          <w:kern w:val="0"/>
          <w:sz w:val="28"/>
          <w:szCs w:val="22"/>
          <w:highlight w:val="none"/>
          <w:u w:val="single"/>
        </w:rPr>
        <w:t>东莞市水务集团管网有限公司</w:t>
      </w:r>
    </w:p>
    <w:p>
      <w:pPr>
        <w:autoSpaceDE w:val="0"/>
        <w:autoSpaceDN w:val="0"/>
        <w:adjustRightInd w:val="0"/>
        <w:spacing w:line="360" w:lineRule="auto"/>
        <w:jc w:val="left"/>
        <w:rPr>
          <w:rFonts w:ascii="宋体" w:hAnsi="宋体" w:eastAsia="宋体"/>
          <w:b/>
          <w:color w:val="auto"/>
          <w:kern w:val="0"/>
          <w:sz w:val="28"/>
          <w:szCs w:val="22"/>
          <w:highlight w:val="none"/>
        </w:rPr>
      </w:pPr>
    </w:p>
    <w:p>
      <w:pPr>
        <w:autoSpaceDE w:val="0"/>
        <w:autoSpaceDN w:val="0"/>
        <w:adjustRightInd w:val="0"/>
        <w:spacing w:line="360" w:lineRule="auto"/>
        <w:ind w:firstLine="562" w:firstLineChars="200"/>
        <w:jc w:val="left"/>
        <w:rPr>
          <w:rFonts w:ascii="宋体" w:hAnsi="宋体" w:eastAsia="宋体"/>
          <w:b/>
          <w:color w:val="auto"/>
          <w:kern w:val="0"/>
          <w:sz w:val="28"/>
          <w:szCs w:val="22"/>
          <w:highlight w:val="none"/>
          <w:u w:val="single"/>
        </w:rPr>
      </w:pPr>
      <w:r>
        <w:rPr>
          <w:rFonts w:hint="eastAsia" w:ascii="宋体" w:hAnsi="宋体" w:eastAsia="宋体"/>
          <w:b/>
          <w:color w:val="auto"/>
          <w:kern w:val="0"/>
          <w:sz w:val="28"/>
          <w:szCs w:val="22"/>
          <w:highlight w:val="none"/>
        </w:rPr>
        <w:t>乙    方：</w:t>
      </w:r>
      <w:r>
        <w:rPr>
          <w:rFonts w:hint="eastAsia" w:ascii="宋体" w:hAnsi="宋体" w:eastAsia="宋体"/>
          <w:b/>
          <w:color w:val="auto"/>
          <w:kern w:val="0"/>
          <w:sz w:val="28"/>
          <w:szCs w:val="22"/>
          <w:highlight w:val="none"/>
          <w:u w:val="single"/>
        </w:rPr>
        <w:t xml:space="preserve">    </w:t>
      </w:r>
      <w:r>
        <w:rPr>
          <w:rFonts w:ascii="宋体" w:hAnsi="宋体" w:eastAsia="宋体"/>
          <w:b/>
          <w:color w:val="auto"/>
          <w:kern w:val="0"/>
          <w:sz w:val="28"/>
          <w:szCs w:val="22"/>
          <w:highlight w:val="none"/>
          <w:u w:val="single"/>
        </w:rPr>
        <w:t xml:space="preserve">                           </w:t>
      </w:r>
    </w:p>
    <w:p>
      <w:pPr>
        <w:autoSpaceDE w:val="0"/>
        <w:autoSpaceDN w:val="0"/>
        <w:adjustRightInd w:val="0"/>
        <w:spacing w:line="360" w:lineRule="auto"/>
        <w:ind w:firstLine="1687" w:firstLineChars="600"/>
        <w:jc w:val="left"/>
        <w:rPr>
          <w:rFonts w:ascii="宋体" w:hAnsi="宋体" w:eastAsia="宋体"/>
          <w:b/>
          <w:color w:val="auto"/>
          <w:kern w:val="0"/>
          <w:sz w:val="28"/>
          <w:szCs w:val="22"/>
          <w:highlight w:val="none"/>
        </w:rPr>
      </w:pPr>
    </w:p>
    <w:p>
      <w:pPr>
        <w:autoSpaceDE w:val="0"/>
        <w:autoSpaceDN w:val="0"/>
        <w:adjustRightInd w:val="0"/>
        <w:spacing w:line="360" w:lineRule="auto"/>
        <w:ind w:firstLine="562" w:firstLineChars="200"/>
        <w:jc w:val="left"/>
        <w:rPr>
          <w:rFonts w:ascii="宋体" w:hAnsi="宋体" w:eastAsia="宋体"/>
          <w:b/>
          <w:color w:val="auto"/>
          <w:kern w:val="0"/>
          <w:sz w:val="28"/>
          <w:szCs w:val="22"/>
          <w:highlight w:val="none"/>
          <w:u w:val="single"/>
        </w:rPr>
      </w:pPr>
      <w:r>
        <w:rPr>
          <w:rFonts w:hint="eastAsia" w:ascii="宋体" w:hAnsi="宋体" w:eastAsia="宋体"/>
          <w:b/>
          <w:color w:val="auto"/>
          <w:kern w:val="0"/>
          <w:sz w:val="28"/>
          <w:szCs w:val="22"/>
          <w:highlight w:val="none"/>
        </w:rPr>
        <w:t>签约地点：</w:t>
      </w:r>
      <w:r>
        <w:rPr>
          <w:rFonts w:hint="eastAsia" w:ascii="宋体" w:hAnsi="宋体" w:eastAsia="宋体"/>
          <w:b/>
          <w:color w:val="auto"/>
          <w:kern w:val="0"/>
          <w:sz w:val="28"/>
          <w:szCs w:val="22"/>
          <w:highlight w:val="none"/>
          <w:u w:val="single"/>
        </w:rPr>
        <w:t xml:space="preserve">                               </w:t>
      </w:r>
    </w:p>
    <w:p>
      <w:pPr>
        <w:autoSpaceDE w:val="0"/>
        <w:autoSpaceDN w:val="0"/>
        <w:adjustRightInd w:val="0"/>
        <w:spacing w:line="360" w:lineRule="auto"/>
        <w:jc w:val="left"/>
        <w:rPr>
          <w:rFonts w:ascii="宋体" w:hAnsi="宋体" w:eastAsia="宋体"/>
          <w:b/>
          <w:color w:val="auto"/>
          <w:kern w:val="0"/>
          <w:sz w:val="28"/>
          <w:szCs w:val="22"/>
          <w:highlight w:val="none"/>
        </w:rPr>
      </w:pPr>
    </w:p>
    <w:p>
      <w:pPr>
        <w:autoSpaceDE w:val="0"/>
        <w:autoSpaceDN w:val="0"/>
        <w:adjustRightInd w:val="0"/>
        <w:spacing w:line="360" w:lineRule="auto"/>
        <w:ind w:firstLine="562" w:firstLineChars="200"/>
        <w:jc w:val="left"/>
        <w:rPr>
          <w:rFonts w:ascii="宋体" w:hAnsi="宋体" w:eastAsia="宋体"/>
          <w:b/>
          <w:color w:val="auto"/>
          <w:kern w:val="0"/>
          <w:sz w:val="28"/>
          <w:szCs w:val="22"/>
          <w:highlight w:val="none"/>
          <w:u w:val="single"/>
        </w:rPr>
      </w:pPr>
      <w:r>
        <w:rPr>
          <w:rFonts w:hint="eastAsia" w:ascii="宋体" w:hAnsi="宋体" w:eastAsia="宋体"/>
          <w:b/>
          <w:color w:val="auto"/>
          <w:kern w:val="0"/>
          <w:sz w:val="28"/>
          <w:szCs w:val="22"/>
          <w:highlight w:val="none"/>
        </w:rPr>
        <w:t>签约日期：</w:t>
      </w:r>
      <w:r>
        <w:rPr>
          <w:rFonts w:hint="eastAsia" w:ascii="宋体" w:hAnsi="宋体" w:eastAsia="宋体"/>
          <w:b/>
          <w:color w:val="auto"/>
          <w:kern w:val="0"/>
          <w:sz w:val="28"/>
          <w:szCs w:val="22"/>
          <w:highlight w:val="none"/>
          <w:u w:val="single"/>
        </w:rPr>
        <w:t xml:space="preserve">                               </w:t>
      </w:r>
    </w:p>
    <w:p>
      <w:pPr>
        <w:pageBreakBefore/>
        <w:autoSpaceDE w:val="0"/>
        <w:autoSpaceDN w:val="0"/>
        <w:adjustRightInd w:val="0"/>
        <w:spacing w:line="360" w:lineRule="auto"/>
        <w:ind w:firstLine="422" w:firstLineChars="200"/>
        <w:jc w:val="left"/>
        <w:rPr>
          <w:rFonts w:ascii="宋体" w:hAnsi="宋体" w:eastAsia="宋体" w:cs="楷体"/>
          <w:color w:val="auto"/>
          <w:kern w:val="0"/>
          <w:szCs w:val="21"/>
          <w:highlight w:val="none"/>
          <w:u w:val="single"/>
        </w:rPr>
      </w:pPr>
      <w:r>
        <w:rPr>
          <w:rFonts w:hint="eastAsia" w:ascii="宋体" w:hAnsi="宋体" w:eastAsia="宋体" w:cs="楷体"/>
          <w:b/>
          <w:bCs/>
          <w:color w:val="auto"/>
          <w:kern w:val="0"/>
          <w:szCs w:val="21"/>
          <w:highlight w:val="none"/>
        </w:rPr>
        <w:t>甲方：</w:t>
      </w:r>
      <w:r>
        <w:rPr>
          <w:rFonts w:hint="eastAsia" w:ascii="宋体" w:hAnsi="宋体" w:eastAsia="宋体" w:cs="楷体"/>
          <w:b/>
          <w:bCs/>
          <w:color w:val="auto"/>
          <w:kern w:val="0"/>
          <w:szCs w:val="21"/>
          <w:highlight w:val="none"/>
          <w:u w:val="single"/>
        </w:rPr>
        <w:t xml:space="preserve">东莞市水务集团管网有限公司 </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乙方：</w:t>
      </w:r>
      <w:r>
        <w:rPr>
          <w:rFonts w:hint="eastAsia" w:ascii="宋体" w:hAnsi="宋体" w:eastAsia="宋体" w:cs="楷体"/>
          <w:b/>
          <w:bCs/>
          <w:color w:val="auto"/>
          <w:kern w:val="0"/>
          <w:szCs w:val="21"/>
          <w:highlight w:val="none"/>
          <w:u w:val="single"/>
        </w:rPr>
        <w:t xml:space="preserve">                           </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根据《中华人民共和国民法典》等有关法律法规，结合甲方在其母公司（东莞市水务集团有限公司）官网（网址</w:t>
      </w:r>
      <w:r>
        <w:rPr>
          <w:rFonts w:ascii="宋体" w:hAnsi="宋体" w:eastAsia="宋体" w:cs="楷体"/>
          <w:color w:val="auto"/>
          <w:kern w:val="0"/>
          <w:szCs w:val="21"/>
          <w:highlight w:val="none"/>
        </w:rPr>
        <w:t>http://www.dgswjt.cn/</w:t>
      </w:r>
      <w:r>
        <w:rPr>
          <w:rFonts w:hint="eastAsia" w:ascii="宋体" w:hAnsi="宋体" w:eastAsia="宋体" w:cs="楷体"/>
          <w:color w:val="auto"/>
          <w:kern w:val="0"/>
          <w:szCs w:val="21"/>
          <w:highlight w:val="none"/>
        </w:rPr>
        <w:t>）公开征集机电设备维修服务单位的公告及征集结果，乙方承诺服从甲方的《东莞市水务集团管网有限公司机电设备维修供应商库管理办法（试行）》（下称“《管理办法》”，甲方有权结合实际对《管理办法》进行修订，并书面通知乙方；乙方若不接受，可以在3个工作日内书面申请退出并解除合同，否则，视为同意并遵守修订后的《管理办法》）。甲、乙双方本着平等互利、友好合作的原则，就乙方获得甲方（含其分公司、子公司，下同）机电设备维修在库供应商的服务资格</w:t>
      </w:r>
      <w:r>
        <w:rPr>
          <w:rFonts w:hint="eastAsia" w:ascii="Times New Roman" w:hAnsi="Times New Roman" w:eastAsia="宋体" w:cs="Times New Roman"/>
          <w:color w:val="auto"/>
          <w:szCs w:val="21"/>
          <w:highlight w:val="none"/>
        </w:rPr>
        <w:t>及为甲方提供</w:t>
      </w:r>
      <w:r>
        <w:rPr>
          <w:rFonts w:hint="eastAsia" w:ascii="宋体" w:hAnsi="宋体" w:eastAsia="宋体" w:cs="楷体"/>
          <w:color w:val="auto"/>
          <w:kern w:val="0"/>
          <w:szCs w:val="21"/>
          <w:highlight w:val="none"/>
        </w:rPr>
        <w:t>机电设备维修</w:t>
      </w:r>
      <w:r>
        <w:rPr>
          <w:rFonts w:hint="eastAsia" w:ascii="Times New Roman" w:hAnsi="Times New Roman" w:eastAsia="宋体" w:cs="Times New Roman"/>
          <w:color w:val="auto"/>
          <w:szCs w:val="21"/>
          <w:highlight w:val="none"/>
        </w:rPr>
        <w:t>服务</w:t>
      </w:r>
      <w:r>
        <w:rPr>
          <w:rFonts w:hint="eastAsia" w:ascii="宋体" w:hAnsi="宋体" w:eastAsia="宋体" w:cs="楷体"/>
          <w:color w:val="auto"/>
          <w:kern w:val="0"/>
          <w:szCs w:val="21"/>
          <w:highlight w:val="none"/>
        </w:rPr>
        <w:t>之事宜，达成如下协议：</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一、服务内容及要求</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1.1 服务范围：甲方（含其分公司、子公司，下同）机电设备维修项目，包括合同服务期内，</w:t>
      </w:r>
      <w:r>
        <w:rPr>
          <w:rFonts w:hint="eastAsia" w:ascii="宋体" w:hAnsi="宋体" w:eastAsia="宋体" w:cs="楷体"/>
          <w:bCs/>
          <w:color w:val="auto"/>
          <w:kern w:val="0"/>
          <w:szCs w:val="21"/>
          <w:highlight w:val="none"/>
        </w:rPr>
        <w:t>甲方机</w:t>
      </w:r>
      <w:r>
        <w:rPr>
          <w:rFonts w:hint="eastAsia" w:ascii="宋体" w:hAnsi="宋体" w:eastAsia="宋体" w:cs="楷体"/>
          <w:color w:val="auto"/>
          <w:kern w:val="0"/>
          <w:szCs w:val="21"/>
          <w:highlight w:val="none"/>
        </w:rPr>
        <w:t>电设备（指机电安装专业为主的设施，不包括全土建专业的或土建专业为主的设施）的维修、技术改造、重置、应急抢修、设备拆卸、零配件加工及修复等技术服务项目，对于上述工作而引发的开挖、井室修复及改造、管道接合、路面恢复等零星土建工作也在本合同服务范围内。</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1.2 涉及到成套设备或专业化技术要求较高的设备设施维修项目，如乙方不具备该项技术服务能力、行业准入资格，或由政府主管部门要求统一由第三方运营服务的项目，甲方有权另行委托专业的技术服务单位进行专项服务，乙方对此无异议。</w:t>
      </w:r>
    </w:p>
    <w:p>
      <w:pPr>
        <w:pStyle w:val="3"/>
        <w:ind w:firstLineChars="200"/>
        <w:rPr>
          <w:b w:val="0"/>
          <w:bCs w:val="0"/>
          <w:color w:val="auto"/>
          <w:highlight w:val="none"/>
          <w:lang w:val="en-US"/>
        </w:rPr>
      </w:pPr>
      <w:r>
        <w:rPr>
          <w:rFonts w:hint="eastAsia" w:ascii="宋体" w:hAnsi="宋体" w:cs="楷体"/>
          <w:b w:val="0"/>
          <w:bCs w:val="0"/>
          <w:color w:val="auto"/>
          <w:kern w:val="0"/>
          <w:szCs w:val="21"/>
          <w:highlight w:val="none"/>
          <w:lang w:val="en-US"/>
        </w:rPr>
        <w:t>1.3服务地点：</w:t>
      </w:r>
      <w:r>
        <w:rPr>
          <w:rFonts w:hAnsi="Times New Roman"/>
          <w:b w:val="0"/>
          <w:bCs w:val="0"/>
          <w:color w:val="auto"/>
          <w:szCs w:val="21"/>
          <w:highlight w:val="none"/>
        </w:rPr>
        <w:t>本次</w:t>
      </w:r>
      <w:r>
        <w:rPr>
          <w:rFonts w:hint="eastAsia" w:hAnsi="Times New Roman"/>
          <w:b w:val="0"/>
          <w:bCs w:val="0"/>
          <w:color w:val="auto"/>
          <w:szCs w:val="21"/>
          <w:highlight w:val="none"/>
          <w:lang w:val="en-US"/>
        </w:rPr>
        <w:t>机电设备、设施维修</w:t>
      </w:r>
      <w:r>
        <w:rPr>
          <w:rFonts w:hAnsi="Times New Roman"/>
          <w:b w:val="0"/>
          <w:bCs w:val="0"/>
          <w:color w:val="auto"/>
          <w:szCs w:val="21"/>
          <w:highlight w:val="none"/>
        </w:rPr>
        <w:t>服务项目的服务地点分布于东莞市各镇街（园区）</w:t>
      </w:r>
      <w:r>
        <w:rPr>
          <w:rFonts w:hint="eastAsia" w:hAnsi="Times New Roman"/>
          <w:b w:val="0"/>
          <w:bCs w:val="0"/>
          <w:color w:val="auto"/>
          <w:szCs w:val="21"/>
          <w:highlight w:val="none"/>
        </w:rPr>
        <w:t>。</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ascii="宋体" w:hAnsi="宋体" w:eastAsia="宋体" w:cs="楷体"/>
          <w:color w:val="auto"/>
          <w:kern w:val="0"/>
          <w:szCs w:val="21"/>
          <w:highlight w:val="none"/>
        </w:rPr>
        <w:t>1.</w:t>
      </w:r>
      <w:r>
        <w:rPr>
          <w:rFonts w:hint="eastAsia" w:ascii="宋体" w:hAnsi="宋体" w:eastAsia="宋体" w:cs="楷体"/>
          <w:color w:val="auto"/>
          <w:kern w:val="0"/>
          <w:szCs w:val="21"/>
          <w:highlight w:val="none"/>
        </w:rPr>
        <w:t>4</w:t>
      </w:r>
      <w:r>
        <w:rPr>
          <w:rFonts w:ascii="宋体" w:hAnsi="宋体" w:eastAsia="宋体" w:cs="楷体"/>
          <w:color w:val="auto"/>
          <w:kern w:val="0"/>
          <w:szCs w:val="21"/>
          <w:highlight w:val="none"/>
        </w:rPr>
        <w:t xml:space="preserve"> </w:t>
      </w:r>
      <w:r>
        <w:rPr>
          <w:rFonts w:hint="eastAsia" w:ascii="宋体" w:hAnsi="宋体" w:eastAsia="宋体" w:cs="楷体"/>
          <w:color w:val="auto"/>
          <w:kern w:val="0"/>
          <w:szCs w:val="21"/>
          <w:highlight w:val="none"/>
        </w:rPr>
        <w:t>依法或甲方认为需另行采购的单项项目不在本合同服务范围内。</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1.5 甲方有一定的维修能力，能够自行实施的维修工作，将不对外进行委托，</w:t>
      </w:r>
      <w:r>
        <w:rPr>
          <w:rFonts w:hint="eastAsia" w:ascii="Times New Roman" w:hAnsi="Times New Roman" w:eastAsia="宋体" w:cs="Times New Roman"/>
          <w:color w:val="auto"/>
          <w:szCs w:val="21"/>
          <w:highlight w:val="none"/>
        </w:rPr>
        <w:t>乙方对此不得有异议</w:t>
      </w:r>
      <w:r>
        <w:rPr>
          <w:rFonts w:hint="eastAsia" w:ascii="宋体" w:hAnsi="宋体" w:eastAsia="宋体" w:cs="楷体"/>
          <w:color w:val="auto"/>
          <w:kern w:val="0"/>
          <w:szCs w:val="21"/>
          <w:highlight w:val="none"/>
        </w:rPr>
        <w:t>。</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二、服务方式及服务期</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2.1 服务方式的确定：</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在库合同服务期内，对于服务范围内的项目，在设置各单项报价最高限价（估算或预算）后：</w:t>
      </w:r>
    </w:p>
    <w:p>
      <w:pPr>
        <w:autoSpaceDE w:val="0"/>
        <w:autoSpaceDN w:val="0"/>
        <w:adjustRightInd w:val="0"/>
        <w:spacing w:line="360" w:lineRule="auto"/>
        <w:ind w:firstLine="42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2.1.1 项目估算（或预算）金额在10万元（含）以上100万元（不含）以下的单项项目，由甲方向在库供应商进行询价，在库供应商通过竞下浮率的方式竞价（下浮率不低于6.3%），下浮最多者为该单项项目的服务单位（若最低报价相同的，相同报价的供应商再次报价或直接抽签</w:t>
      </w:r>
      <w:r>
        <w:rPr>
          <w:rFonts w:hint="eastAsia" w:ascii="Times New Roman" w:hAnsi="Times New Roman" w:eastAsia="宋体" w:cs="Times New Roman"/>
          <w:color w:val="auto"/>
          <w:szCs w:val="21"/>
          <w:highlight w:val="none"/>
        </w:rPr>
        <w:t>或选取供应商积分较高者</w:t>
      </w:r>
      <w:r>
        <w:rPr>
          <w:rFonts w:hint="eastAsia" w:ascii="宋体" w:hAnsi="宋体" w:eastAsia="宋体" w:cs="Times New Roman"/>
          <w:color w:val="auto"/>
          <w:kern w:val="0"/>
          <w:szCs w:val="21"/>
          <w:highlight w:val="none"/>
        </w:rPr>
        <w:t>，直到确认单项项目的服务单位为止），并根据项目的实施情况按实结算或按任务通知单的要求结算。</w:t>
      </w:r>
    </w:p>
    <w:p>
      <w:pPr>
        <w:autoSpaceDE w:val="0"/>
        <w:autoSpaceDN w:val="0"/>
        <w:adjustRightInd w:val="0"/>
        <w:spacing w:line="360" w:lineRule="auto"/>
        <w:ind w:firstLine="42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2.1.2 项目估算（或预算）金额在10万元（不含）以下单项项目，在设置项目最高限价并统一下浮6.3%后由甲方根据在甲方母公司网站上公示的在库供应商的排名先后顺序采用循环排号（即轮候派单）的方式确定服务单位，并根据项目的实施情况按实结算或按任务通知单的要求结算。</w:t>
      </w:r>
    </w:p>
    <w:p>
      <w:pPr>
        <w:pStyle w:val="3"/>
        <w:ind w:firstLineChars="200"/>
        <w:rPr>
          <w:rFonts w:ascii="宋体" w:hAnsi="宋体" w:cs="楷体"/>
          <w:b w:val="0"/>
          <w:bCs w:val="0"/>
          <w:color w:val="auto"/>
          <w:kern w:val="0"/>
          <w:szCs w:val="21"/>
          <w:highlight w:val="none"/>
        </w:rPr>
      </w:pPr>
      <w:r>
        <w:rPr>
          <w:rFonts w:hint="eastAsia" w:ascii="宋体" w:hAnsi="宋体"/>
          <w:b w:val="0"/>
          <w:bCs w:val="0"/>
          <w:color w:val="auto"/>
          <w:kern w:val="0"/>
          <w:szCs w:val="21"/>
          <w:highlight w:val="none"/>
        </w:rPr>
        <w:t>竞价或轮候派单结束后，获得具体单项项目的服务单位为乙方时，甲方向乙方通过以书面的任务通知单的形式直接委托实施</w:t>
      </w:r>
      <w:r>
        <w:rPr>
          <w:rFonts w:hint="eastAsia" w:ascii="宋体" w:hAnsi="宋体" w:cs="楷体"/>
          <w:b w:val="0"/>
          <w:bCs w:val="0"/>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2.1.3在合同服务期内，甲方根据机电设备维修项目的实际需要，由甲方与乙方确认的任务通知单确定工作内容、服务时限等要求，任务通知单中单项服务项目的下浮率将作为结算依据。任务通知单作为本合同的附件，与本合同同具法律效力。</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2.2 乙方在接到任务通知单后3个小时内需予以电话或信息响应，并于次日（包括节假日）上午12点前正式实际性的开展所需的技术服务工作，并于接到任务通知单后的2个自然日内提交技术服务方案给甲方审核。对于紧急的技术服务项目，乙方在接到任务通知单后3个小时内需实际性的开展所需的技术服务工作。</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2.3 甲方通过向乙方发出书面的任务通知单的形式启动开展工作。但如果已经委派给乙方的项目，因乙方自身原因造成进度滞后，甲方将有权暂停乙方后续参与竞价或轮候派单的资格，直至乙方采取积极措施消除其已承接的工程项目滞后的状况。</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2.4 乙方必须清楚理解：乙方所承接服务方式为循环排号法（轮候派单）时，与承接服务项目金额的大小均无关，同时，本合同服务资格的取得并不意味着服务机会的获得或单项服务项目的提供，甲方无法预计也无法保证乙方所能获得的具体单项服务项目数量和具体金额，乙方不得因此要求甲方提供任何形式的赔偿。</w:t>
      </w:r>
    </w:p>
    <w:p>
      <w:pPr>
        <w:spacing w:line="360" w:lineRule="auto"/>
        <w:ind w:firstLine="424" w:firstLineChars="202"/>
        <w:rPr>
          <w:rFonts w:ascii="Times New Roman" w:hAnsi="Times New Roman" w:eastAsia="宋体" w:cs="Times New Roman"/>
          <w:color w:val="auto"/>
          <w:szCs w:val="21"/>
          <w:highlight w:val="none"/>
        </w:rPr>
      </w:pPr>
      <w:r>
        <w:rPr>
          <w:rFonts w:hint="eastAsia"/>
          <w:color w:val="auto"/>
          <w:highlight w:val="none"/>
        </w:rPr>
        <w:t>2.5</w:t>
      </w:r>
      <w:r>
        <w:rPr>
          <w:rFonts w:hint="eastAsia" w:ascii="宋体" w:hAnsi="宋体" w:eastAsia="宋体" w:cs="宋体"/>
          <w:color w:val="auto"/>
          <w:szCs w:val="21"/>
          <w:highlight w:val="none"/>
          <w:lang w:bidi="ar"/>
        </w:rPr>
        <w:t>根据项目的实际需要，甲方有权将本合同范围内的项目按约定委派给乙方或另行通过其他方式委托其他有资质的第三方进行，乙方对此无异议。</w:t>
      </w:r>
    </w:p>
    <w:p>
      <w:pPr>
        <w:autoSpaceDE w:val="0"/>
        <w:autoSpaceDN w:val="0"/>
        <w:adjustRightInd w:val="0"/>
        <w:spacing w:line="360" w:lineRule="auto"/>
        <w:ind w:firstLine="420" w:firstLineChars="200"/>
        <w:jc w:val="left"/>
        <w:rPr>
          <w:rFonts w:ascii="Times New Roman" w:hAnsi="Times New Roman" w:eastAsia="宋体" w:cs="Times New Roman"/>
          <w:bCs/>
          <w:color w:val="auto"/>
          <w:szCs w:val="21"/>
          <w:highlight w:val="none"/>
        </w:rPr>
      </w:pPr>
      <w:r>
        <w:rPr>
          <w:rFonts w:hint="eastAsia" w:ascii="宋体" w:hAnsi="宋体" w:eastAsia="宋体" w:cs="楷体"/>
          <w:color w:val="auto"/>
          <w:kern w:val="0"/>
          <w:szCs w:val="21"/>
          <w:highlight w:val="none"/>
        </w:rPr>
        <w:t xml:space="preserve">2.6 </w:t>
      </w:r>
      <w:r>
        <w:rPr>
          <w:rFonts w:ascii="Times New Roman" w:hAnsi="Times New Roman" w:eastAsia="宋体" w:cs="Times New Roman"/>
          <w:bCs/>
          <w:color w:val="auto"/>
          <w:szCs w:val="21"/>
          <w:highlight w:val="none"/>
        </w:rPr>
        <w:t>本合同范围内的</w:t>
      </w:r>
      <w:r>
        <w:rPr>
          <w:rFonts w:hint="eastAsia" w:ascii="Times New Roman" w:hAnsi="Times New Roman" w:eastAsia="宋体" w:cs="Times New Roman"/>
          <w:bCs/>
          <w:color w:val="auto"/>
          <w:szCs w:val="21"/>
          <w:highlight w:val="none"/>
        </w:rPr>
        <w:t>机电</w:t>
      </w:r>
      <w:r>
        <w:rPr>
          <w:rFonts w:ascii="Times New Roman" w:hAnsi="Times New Roman" w:eastAsia="宋体" w:cs="Times New Roman"/>
          <w:bCs/>
          <w:color w:val="auto"/>
          <w:szCs w:val="21"/>
          <w:highlight w:val="none"/>
        </w:rPr>
        <w:t>服务项目，存在位置分布不一（分布于东莞市各镇街、园区）、工程量大小不一、施工地点性质不一等特点，乙方报名前需充分考虑这些因素，不能因为上述项目特征而拒绝接单。</w:t>
      </w:r>
    </w:p>
    <w:p>
      <w:pPr>
        <w:autoSpaceDE w:val="0"/>
        <w:autoSpaceDN w:val="0"/>
        <w:adjustRightInd w:val="0"/>
        <w:spacing w:line="360" w:lineRule="auto"/>
        <w:ind w:firstLine="420" w:firstLineChars="200"/>
        <w:jc w:val="left"/>
        <w:rPr>
          <w:color w:val="auto"/>
          <w:highlight w:val="none"/>
        </w:rPr>
      </w:pPr>
      <w:r>
        <w:rPr>
          <w:rFonts w:hint="eastAsia" w:ascii="Times New Roman" w:hAnsi="Times New Roman" w:eastAsia="宋体" w:cs="Times New Roman"/>
          <w:bCs/>
          <w:color w:val="auto"/>
          <w:szCs w:val="21"/>
          <w:highlight w:val="none"/>
        </w:rPr>
        <w:t>2.7</w:t>
      </w:r>
      <w:r>
        <w:rPr>
          <w:rFonts w:ascii="Times New Roman" w:hAnsi="Times New Roman" w:eastAsia="宋体" w:cs="Times New Roman"/>
          <w:bCs/>
          <w:color w:val="auto"/>
          <w:szCs w:val="21"/>
          <w:highlight w:val="none"/>
        </w:rPr>
        <w:t>分配任务后，乙方拒绝接受该任务的由原排号在该乙方之后的在库供应商接受委派任务。如果乙方因自身的技术、力量或组织等原因难以承接的，乙方需将结果及详细原因书面回复甲方。</w:t>
      </w:r>
      <w:r>
        <w:rPr>
          <w:rFonts w:hint="eastAsia" w:ascii="Times New Roman" w:hAnsi="Times New Roman" w:eastAsia="宋体" w:cs="Times New Roman"/>
          <w:bCs/>
          <w:color w:val="auto"/>
          <w:szCs w:val="21"/>
          <w:highlight w:val="none"/>
        </w:rPr>
        <w:t>乙方在合同有效期内拒绝接单的，甲方有权按照《管理办法》规定暂停向乙方询价或停止向乙方派单，除此之外，</w:t>
      </w:r>
      <w:r>
        <w:rPr>
          <w:rFonts w:ascii="Times New Roman" w:hAnsi="Times New Roman" w:eastAsia="宋体" w:cs="Times New Roman"/>
          <w:bCs/>
          <w:color w:val="auto"/>
          <w:szCs w:val="21"/>
          <w:highlight w:val="none"/>
        </w:rPr>
        <w:t>甲方有权取消</w:t>
      </w:r>
      <w:r>
        <w:rPr>
          <w:rFonts w:hint="eastAsia" w:ascii="Times New Roman" w:hAnsi="Times New Roman" w:eastAsia="宋体" w:cs="Times New Roman"/>
          <w:bCs/>
          <w:color w:val="auto"/>
          <w:szCs w:val="21"/>
          <w:highlight w:val="none"/>
        </w:rPr>
        <w:t>乙方</w:t>
      </w:r>
      <w:r>
        <w:rPr>
          <w:rFonts w:ascii="Times New Roman" w:hAnsi="Times New Roman" w:eastAsia="宋体" w:cs="Times New Roman"/>
          <w:bCs/>
          <w:color w:val="auto"/>
          <w:szCs w:val="21"/>
          <w:highlight w:val="none"/>
        </w:rPr>
        <w:t>在库供应商资格，有权单方面解除本合同，并没收履约担保</w:t>
      </w:r>
      <w:r>
        <w:rPr>
          <w:rFonts w:hint="eastAsia" w:ascii="Times New Roman" w:hAnsi="Times New Roman" w:eastAsia="宋体" w:cs="Times New Roman"/>
          <w:bCs/>
          <w:color w:val="auto"/>
          <w:szCs w:val="21"/>
          <w:highlight w:val="none"/>
        </w:rPr>
        <w:t>，乙方对此无异议</w:t>
      </w:r>
      <w:r>
        <w:rPr>
          <w:rFonts w:ascii="Times New Roman" w:hAnsi="Times New Roman" w:eastAsia="宋体" w:cs="Times New Roman"/>
          <w:bCs/>
          <w:color w:val="auto"/>
          <w:szCs w:val="21"/>
          <w:highlight w:val="none"/>
        </w:rPr>
        <w:t>。</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2.8 有任何一单不按响应时间提供服务的，或以非正当理由拒绝委派任务的，对甲方的经济利益、企业形象造成影响的，甲方有权单方解除合同。</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2.9乙方应遵守甲方《管理办法》，并按照该《管理办法》提供服务。若因甲方临时变更服务范围，乙方应无条件服从甲方的要求。</w:t>
      </w:r>
    </w:p>
    <w:p>
      <w:pPr>
        <w:autoSpaceDE w:val="0"/>
        <w:autoSpaceDN w:val="0"/>
        <w:adjustRightInd w:val="0"/>
        <w:spacing w:line="360" w:lineRule="auto"/>
        <w:ind w:firstLine="420" w:firstLineChars="200"/>
        <w:jc w:val="left"/>
        <w:rPr>
          <w:rFonts w:ascii="Times New Roman" w:hAnsi="Times New Roman" w:eastAsia="宋体" w:cs="Times New Roman"/>
          <w:bCs/>
          <w:color w:val="auto"/>
          <w:szCs w:val="21"/>
          <w:highlight w:val="none"/>
        </w:rPr>
      </w:pPr>
      <w:r>
        <w:rPr>
          <w:rFonts w:hint="eastAsia" w:ascii="宋体" w:hAnsi="宋体" w:eastAsia="宋体" w:cs="Arial"/>
          <w:color w:val="auto"/>
          <w:kern w:val="0"/>
          <w:szCs w:val="21"/>
          <w:highlight w:val="none"/>
        </w:rPr>
        <w:t xml:space="preserve">2.10 </w:t>
      </w:r>
      <w:r>
        <w:rPr>
          <w:rFonts w:hint="eastAsia" w:ascii="宋体" w:hAnsi="宋体" w:eastAsia="宋体" w:cs="Arial"/>
          <w:b/>
          <w:bCs/>
          <w:color w:val="auto"/>
          <w:kern w:val="0"/>
          <w:szCs w:val="21"/>
          <w:highlight w:val="none"/>
        </w:rPr>
        <w:t>在库服务期：自乙方收到甲方正式通知成为在库供应商之日起至2022年6月8日</w:t>
      </w:r>
      <w:r>
        <w:rPr>
          <w:rFonts w:ascii="Times New Roman" w:hAnsi="Times New Roman" w:eastAsia="宋体" w:cs="Times New Roman"/>
          <w:b/>
          <w:bCs/>
          <w:color w:val="auto"/>
          <w:szCs w:val="21"/>
          <w:highlight w:val="none"/>
        </w:rPr>
        <w:t>。</w:t>
      </w:r>
      <w:r>
        <w:rPr>
          <w:rFonts w:ascii="Times New Roman" w:hAnsi="Times New Roman" w:eastAsia="宋体" w:cs="Times New Roman"/>
          <w:bCs/>
          <w:color w:val="auto"/>
          <w:szCs w:val="21"/>
          <w:highlight w:val="none"/>
        </w:rPr>
        <w:t>根据甲方组织架构，乙方需与甲方及</w:t>
      </w:r>
      <w:r>
        <w:rPr>
          <w:rFonts w:ascii="Times New Roman" w:hAnsi="Times New Roman" w:eastAsia="宋体" w:cs="Times New Roman"/>
          <w:color w:val="auto"/>
          <w:szCs w:val="21"/>
          <w:highlight w:val="none"/>
        </w:rPr>
        <w:t>甲方子公司</w:t>
      </w:r>
      <w:r>
        <w:rPr>
          <w:rFonts w:ascii="Times New Roman" w:hAnsi="Times New Roman" w:eastAsia="宋体" w:cs="Times New Roman"/>
          <w:bCs/>
          <w:color w:val="auto"/>
          <w:szCs w:val="21"/>
          <w:highlight w:val="none"/>
        </w:rPr>
        <w:t>签订本框架合同。</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eastAsia="宋体"/>
          <w:color w:val="auto"/>
          <w:highlight w:val="none"/>
        </w:rPr>
        <w:t>2.11</w:t>
      </w:r>
      <w:r>
        <w:rPr>
          <w:rFonts w:hint="eastAsia" w:ascii="宋体" w:hAnsi="宋体" w:eastAsia="宋体" w:cs="楷体"/>
          <w:color w:val="auto"/>
          <w:kern w:val="0"/>
          <w:szCs w:val="21"/>
          <w:highlight w:val="none"/>
        </w:rPr>
        <w:t>合同服务期满后，如甲方需委托乙方继续开展服务范围内的服务时，经双方洽商同意及签订补充协议后，可以按本合同约定的计价及结算方式向乙方续期签订补充协议。</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2.12乙方在服务期限内，在履行本合同、甲方征集文件（含公告、《管理办法》）任务通知单等约定的义务过程中出现违反国家法律法规、主管部门规章制度、擅自提高价格或提供伪劣服务内容、服务质量低劣造成甲方损失等情况的，甲方有权视不同情况分别给予警告、没收履约担保或取消其在库供应商资格等措施。</w:t>
      </w:r>
    </w:p>
    <w:p>
      <w:pPr>
        <w:pStyle w:val="3"/>
        <w:ind w:firstLineChars="200"/>
        <w:rPr>
          <w:b w:val="0"/>
          <w:bCs w:val="0"/>
          <w:color w:val="auto"/>
          <w:highlight w:val="none"/>
          <w:lang w:val="en-US"/>
        </w:rPr>
      </w:pPr>
      <w:r>
        <w:rPr>
          <w:rFonts w:hint="eastAsia" w:ascii="宋体" w:hAnsi="宋体" w:cs="楷体"/>
          <w:b w:val="0"/>
          <w:bCs w:val="0"/>
          <w:color w:val="auto"/>
          <w:kern w:val="0"/>
          <w:szCs w:val="21"/>
          <w:highlight w:val="none"/>
          <w:lang w:val="en-US"/>
        </w:rPr>
        <w:t>2.13</w:t>
      </w:r>
      <w:r>
        <w:rPr>
          <w:rFonts w:hint="eastAsia" w:hAnsi="Times New Roman"/>
          <w:b w:val="0"/>
          <w:bCs w:val="0"/>
          <w:color w:val="auto"/>
          <w:szCs w:val="21"/>
          <w:highlight w:val="none"/>
          <w:lang w:val="en-US"/>
        </w:rPr>
        <w:t>如行业主管部门、国资委、行政主管部门对项目实施方有资质或许可要求，该项目的</w:t>
      </w:r>
      <w:r>
        <w:rPr>
          <w:rFonts w:hint="eastAsia" w:ascii="宋体" w:hAnsi="宋体"/>
          <w:b w:val="0"/>
          <w:bCs w:val="0"/>
          <w:color w:val="auto"/>
          <w:kern w:val="0"/>
          <w:szCs w:val="21"/>
          <w:highlight w:val="none"/>
        </w:rPr>
        <w:t>服务单位</w:t>
      </w:r>
      <w:r>
        <w:rPr>
          <w:rFonts w:hint="eastAsia" w:hAnsi="Times New Roman"/>
          <w:b w:val="0"/>
          <w:bCs w:val="0"/>
          <w:color w:val="auto"/>
          <w:szCs w:val="21"/>
          <w:highlight w:val="none"/>
          <w:lang w:val="en-US"/>
        </w:rPr>
        <w:t>须在符合资质、许可的单位中产生，乙方不得持反对意见。</w:t>
      </w:r>
    </w:p>
    <w:p>
      <w:pPr>
        <w:pStyle w:val="3"/>
        <w:ind w:firstLine="211"/>
        <w:rPr>
          <w:color w:val="auto"/>
          <w:highlight w:val="none"/>
          <w:lang w:val="en-US"/>
        </w:rPr>
      </w:pP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三、技术要求</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3.1 技术服务方案审核</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3.1.1 乙方提供的技术服务方案，需包括实施方案、设备材料及零配件等资产详细清单、设计方案、工期计划、人员配置方案、安全文明施工方案等。</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3.1.1.1 乙方以经监理单位、甲方审核后的技术方案实施，甲方、监理单位以技术服务方案为基础对技术服务进行验收。如甲方</w:t>
      </w:r>
      <w:r>
        <w:rPr>
          <w:rFonts w:ascii="宋体" w:hAnsi="宋体" w:eastAsia="宋体" w:cs="Times New Roman"/>
          <w:color w:val="auto"/>
          <w:szCs w:val="21"/>
          <w:highlight w:val="none"/>
        </w:rPr>
        <w:t>没有委托监理单位的，审核及验收等工作没有监理</w:t>
      </w:r>
      <w:r>
        <w:rPr>
          <w:rFonts w:hint="eastAsia" w:ascii="宋体" w:hAnsi="宋体" w:eastAsia="宋体" w:cs="Times New Roman"/>
          <w:color w:val="auto"/>
          <w:szCs w:val="21"/>
          <w:highlight w:val="none"/>
        </w:rPr>
        <w:t>单位参与</w:t>
      </w:r>
      <w:r>
        <w:rPr>
          <w:rFonts w:ascii="宋体" w:hAnsi="宋体" w:eastAsia="宋体" w:cs="Times New Roman"/>
          <w:color w:val="auto"/>
          <w:szCs w:val="21"/>
          <w:highlight w:val="none"/>
        </w:rPr>
        <w:t>，下同。</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3.1.1.2 对于设备吊运、拆卸等非实际工程性技术服务无需上报技术服务方案。</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3.2 物资供货要求</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3.2.1 单项项目中，甲方提供清单中货品可由甲方提供的，甲方有权从单项项目清单中扣除，费用也相应扣减，甲方不可提供的货品，且甲方对于设备、仪表、零配件、备品备件等有品牌档次、系统通配性、型号要求的，乙方需按要求供货，未经监理单位、甲方同意不得更改。甲方对品牌档次、系统通配性、型号、规格尺寸无要求的，乙方接到任务通知单后，需将选型后的设备、仪表、零配件、备品备件等的品牌型号、规格尺寸等参数上报监理单位、甲方审核确认后方可执行采购。</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3.2.2 零配件质量要求</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3.2.2.1 所有设备、仪表、零配件、备品备件、材料、附件等</w:t>
      </w:r>
      <w:r>
        <w:rPr>
          <w:rFonts w:hint="eastAsia" w:ascii="宋体" w:hAnsi="宋体" w:eastAsia="宋体"/>
          <w:color w:val="auto"/>
          <w:kern w:val="0"/>
          <w:szCs w:val="21"/>
          <w:highlight w:val="none"/>
        </w:rPr>
        <w:t>必须是正规原厂生产的、全新的、未使用过的质量合格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3.2.2.2</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所有设备和材料运输到达施工场地时的包装必须是原厂完整的，由甲方签收后方可拆包安装。</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3.2.2.3 工程施工所用材料及配件均为按国家及行业标准规格条例生产的合格正规产品、符合设计规范要求。所有备品备件须满足国家及行业环保和质量标准。</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3.2.2.4 服务过程中供应的货物必须有质量检验合格证、装箱单、产品安装使用说明书、出厂监测报告、检验报告（或测试性能、测试报告）及甲方要求的其他合格证明文件等相关资料。</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3.3 设备维修施工要求</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3.3.1 乙方开展设备设施的维修、技术改造等相关作业前，实施方案通过监理单位（如有）、甲方审核同意后方可实施。实施过程中，乙方不得擅自扩大实施范围。</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3.3.2 乙方进行施工作业时，需尽可能的保证污水处理厂/泵站其他设备设施的正常运作，不得擅自操作非作业范围的设备设施，如需泵站管网等调度配合的应提前制订方案并获得甲方审核同意后按方案计划实施，施工安装过程中应积极与甲方沟通并服从甲方安排</w:t>
      </w:r>
      <w:r>
        <w:rPr>
          <w:rFonts w:hint="eastAsia" w:ascii="宋体" w:hAnsi="宋体" w:eastAsia="宋体" w:cs="Times New Roman"/>
          <w:i/>
          <w:iCs/>
          <w:color w:val="auto"/>
          <w:szCs w:val="21"/>
          <w:highlight w:val="none"/>
        </w:rPr>
        <w:t>。</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3.3.3 施工现场用水、用电在有条件的情况下由甲方提供水、电接入点，乙方自行接入，乙方需做好用水、用电安全防护措施并无条件接受甲方监督，用水、用电费用由甲方承担。如施工现场甲方无法提供水、电接入点，施工用水、用电由乙方自行解决并承担相关费用。</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3.3.4 涉及各种特殊工种作业的，需实行持证上岗、专人专证的管理制度。</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3.3.5 施工作业过程中，如对污水处理厂/泵站其他设备设施造成损毁的，由乙方负责按实际损失进行赔偿。</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3.3.6 单项项目中，甲方有权增加单项项目清单上的内容，新增清单的费用由甲方承担，服务单位不得以任何理由停止单项项目的工作，否则甲方视不同情况分别对乙方采取警告、扣除履约保证金、取消协议资格等措施。</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 关于停水作业的要求</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3.4.1 涉及粗格栅机、闸门、提升泵、拍门等水下设备设施维修、重置作业，需要采取堵水、停水、抽水等施工措施的，如无特殊说明则由乙方负责实施。</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3.4.2 乙方收到任务通知单后需进行现场踏勘，充分考虑是否需要采用堵水、抽水等措施及由此产生的相关的费用。</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3.4.3 在污水处理厂/泵站堵水、抽水、停水等作业前，乙方应上报详细的作业方案，包括停水措施、停水时间等，并征得甲方同意。如果有必要，还需征得东莞市生态环境局或属地镇街相关主管部门的同意后方可实施。</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 安全生产管理</w:t>
      </w:r>
    </w:p>
    <w:p>
      <w:pPr>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3.5.1 乙方需做好施工作业的安全文明施工作业管理，遵守甲方各项安全生产的规章管理制度。对施工作业过程中造成的一切安全责任事故，由乙方负责。</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 乙方的技术服务需遵守甲方的安全生产管理制度，服从并需签署甲方制定的相关安全协议，服从污水处理厂运营项目或污水泵站属地管理机构的管理要求。</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3.5.3 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的，甲方有权要求乙方承担按具体委派项目暂定合同价（不含乙方销项税）的20%或与履约担保等额的违约金（以两者较高的金额作为该次违约金金额）。</w:t>
      </w:r>
    </w:p>
    <w:p>
      <w:pPr>
        <w:autoSpaceDN w:val="0"/>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3.6 人员配置的要求</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Times New Roman"/>
          <w:color w:val="auto"/>
          <w:szCs w:val="21"/>
          <w:highlight w:val="none"/>
        </w:rPr>
        <w:t xml:space="preserve">3.6.1 </w:t>
      </w:r>
      <w:r>
        <w:rPr>
          <w:rFonts w:hint="eastAsia" w:ascii="宋体" w:hAnsi="宋体" w:eastAsia="宋体" w:cs="Times New Roman"/>
          <w:b/>
          <w:bCs/>
          <w:color w:val="auto"/>
          <w:szCs w:val="21"/>
          <w:highlight w:val="none"/>
        </w:rPr>
        <w:t>乙方应在东莞市范围内设置项目部，并设置固定的维修厂地，要求具备水泵维修能力</w:t>
      </w:r>
      <w:r>
        <w:rPr>
          <w:rFonts w:hint="eastAsia" w:ascii="宋体" w:hAnsi="宋体" w:eastAsia="宋体" w:cs="Times New Roman"/>
          <w:color w:val="auto"/>
          <w:szCs w:val="21"/>
          <w:highlight w:val="none"/>
        </w:rPr>
        <w:t>。</w:t>
      </w:r>
      <w:r>
        <w:rPr>
          <w:rFonts w:hint="eastAsia" w:ascii="宋体" w:hAnsi="宋体" w:eastAsia="宋体" w:cs="宋体"/>
          <w:bCs/>
          <w:color w:val="auto"/>
          <w:szCs w:val="21"/>
          <w:highlight w:val="none"/>
        </w:rPr>
        <w:t>每个项目管理部的管理人员要求为：配置项目负责人不少于1名，</w:t>
      </w:r>
      <w:r>
        <w:rPr>
          <w:rFonts w:hint="eastAsia" w:ascii="宋体" w:hAnsi="宋体" w:eastAsia="宋体" w:cs="宋体"/>
          <w:b/>
          <w:bCs/>
          <w:color w:val="auto"/>
          <w:szCs w:val="21"/>
          <w:highlight w:val="none"/>
        </w:rPr>
        <w:t>安全管理人员</w:t>
      </w:r>
      <w:r>
        <w:rPr>
          <w:rFonts w:hint="eastAsia" w:ascii="宋体" w:hAnsi="宋体" w:eastAsia="宋体" w:cs="宋体"/>
          <w:bCs/>
          <w:color w:val="auto"/>
          <w:szCs w:val="21"/>
          <w:highlight w:val="none"/>
        </w:rPr>
        <w:t>（具有安全员C证或以上）不少于1名。乙方须提交上述人员与乙方的社保关系证明，如出现社保中断等情况，甲方有权停止乙方的接单资格。</w:t>
      </w:r>
    </w:p>
    <w:p>
      <w:pPr>
        <w:autoSpaceDN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3.6.2 项目负责人在承担各单项项目期间不得承接其他项目，单项项目实施期间必须</w:t>
      </w:r>
      <w:r>
        <w:rPr>
          <w:rFonts w:hint="eastAsia" w:ascii="宋体" w:hAnsi="宋体" w:eastAsia="宋体" w:cs="宋体"/>
          <w:bCs/>
          <w:color w:val="auto"/>
          <w:szCs w:val="21"/>
          <w:highlight w:val="none"/>
        </w:rPr>
        <w:t>全程</w:t>
      </w:r>
      <w:r>
        <w:rPr>
          <w:rFonts w:hint="eastAsia" w:ascii="宋体" w:hAnsi="宋体" w:eastAsia="宋体" w:cs="宋体"/>
          <w:color w:val="auto"/>
          <w:szCs w:val="21"/>
          <w:highlight w:val="none"/>
        </w:rPr>
        <w:t>驻现场。管理人员在合同期间不得随意更换，确需更换的，应取得甲方书面同意。项目负责人及安全管理人员为核心人员，必须接受甲方就质量技术要求、安全知识、风险识别能力的培训及考评。</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3.6.3 乙方派出的机电设备维修服务人员应具备相应的专业知识及技术水平，熟悉本服务项目设施和设备规格、技术指标及相关操作，有足够能力完成个单项项目的机电设备维修服务工作；乙方派出的作业人员必须持证上岗。</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3.6.4 乙方应定期组织其所有服务人员参加相关安全培训、职业健康体检，为其购买社会保险。</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3.6.5 乙方应按要求购买第三方责任险，并将相关资料报送甲方备案。</w:t>
      </w:r>
    </w:p>
    <w:p>
      <w:pPr>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3.6.6 乙方设置的项目部需具备相应的设备维修条件、物质存储条件，具有配套的专业维修工器具。</w:t>
      </w:r>
    </w:p>
    <w:p>
      <w:pPr>
        <w:autoSpaceDN w:val="0"/>
        <w:spacing w:line="360" w:lineRule="auto"/>
        <w:ind w:firstLine="420" w:firstLineChars="200"/>
        <w:rPr>
          <w:rFonts w:ascii="宋体" w:hAnsi="宋体" w:cs="宋体"/>
          <w:color w:val="auto"/>
          <w:szCs w:val="21"/>
          <w:highlight w:val="none"/>
        </w:rPr>
      </w:pPr>
      <w:r>
        <w:rPr>
          <w:rFonts w:ascii="宋体" w:hAnsi="宋体" w:eastAsia="宋体" w:cs="宋体"/>
          <w:color w:val="auto"/>
          <w:szCs w:val="21"/>
          <w:highlight w:val="none"/>
        </w:rPr>
        <w:t>3.6.7</w:t>
      </w:r>
      <w:r>
        <w:rPr>
          <w:rFonts w:hint="eastAsia" w:ascii="宋体" w:hAnsi="宋体" w:eastAsia="宋体" w:cs="宋体"/>
          <w:color w:val="auto"/>
          <w:szCs w:val="21"/>
          <w:highlight w:val="none"/>
        </w:rPr>
        <w:t>在服务期内，甲方通过邮箱发送电子任务通知单的方式</w:t>
      </w:r>
      <w:r>
        <w:rPr>
          <w:rFonts w:hint="eastAsia" w:ascii="宋体" w:hAnsi="宋体" w:eastAsia="宋体" w:cs="宋体"/>
          <w:color w:val="auto"/>
          <w:szCs w:val="21"/>
          <w:highlight w:val="none"/>
          <w:u w:val="single"/>
        </w:rPr>
        <w:t>通知乙方专职主管，</w:t>
      </w:r>
      <w:r>
        <w:rPr>
          <w:rFonts w:hint="eastAsia" w:ascii="宋体" w:hAnsi="宋体" w:eastAsia="宋体" w:cs="宋体"/>
          <w:color w:val="auto"/>
          <w:szCs w:val="21"/>
          <w:highlight w:val="none"/>
        </w:rPr>
        <w:t>委派单项任</w:t>
      </w:r>
      <w:r>
        <w:rPr>
          <w:rFonts w:hint="eastAsia" w:ascii="宋体" w:hAnsi="宋体" w:eastAsia="宋体" w:cs="宋体"/>
          <w:color w:val="auto"/>
          <w:szCs w:val="21"/>
          <w:highlight w:val="none"/>
          <w:u w:val="single"/>
        </w:rPr>
        <w:t>务。</w:t>
      </w:r>
    </w:p>
    <w:p>
      <w:pPr>
        <w:autoSpaceDN w:val="0"/>
        <w:spacing w:line="360" w:lineRule="auto"/>
        <w:ind w:left="420" w:leftChars="200"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3.7 执行标准</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本技术服务项目参照下列标准执行，如有更新版，乙方应按最新的版本执行。</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CJJ60-2011《城镇污水处理厂运行、维护及安全技术规程》</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CJJ68-2007《城镇排水管渠与泵站维护技术规程》</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GB50334-2017《城镇污水处理厂工程质量验收规范》</w:t>
      </w:r>
    </w:p>
    <w:p>
      <w:pPr>
        <w:autoSpaceDE w:val="0"/>
        <w:autoSpaceDN w:val="0"/>
        <w:adjustRightInd w:val="0"/>
        <w:spacing w:line="360" w:lineRule="auto"/>
        <w:ind w:firstLine="570"/>
        <w:jc w:val="left"/>
        <w:rPr>
          <w:rFonts w:ascii="宋体" w:hAnsi="Calibri" w:eastAsia="宋体" w:cs="Times New Roman"/>
          <w:color w:val="auto"/>
          <w:kern w:val="0"/>
          <w:sz w:val="24"/>
          <w:highlight w:val="none"/>
        </w:rPr>
      </w:pPr>
      <w:r>
        <w:rPr>
          <w:color w:val="auto"/>
          <w:highlight w:val="none"/>
        </w:rPr>
        <w:fldChar w:fldCharType="begin"/>
      </w:r>
      <w:r>
        <w:rPr>
          <w:color w:val="auto"/>
          <w:highlight w:val="none"/>
        </w:rPr>
        <w:instrText xml:space="preserve"> HYPERLINK "https://www.antpedia.com/standard/6921126-1.html" \t "https://cn.bing.com/_blank" </w:instrText>
      </w:r>
      <w:r>
        <w:rPr>
          <w:color w:val="auto"/>
          <w:highlight w:val="none"/>
        </w:rPr>
        <w:fldChar w:fldCharType="separate"/>
      </w:r>
      <w:r>
        <w:rPr>
          <w:rFonts w:hint="eastAsia" w:ascii="宋体" w:hAnsi="宋体" w:eastAsia="宋体" w:cs="Times New Roman"/>
          <w:color w:val="auto"/>
          <w:kern w:val="0"/>
          <w:szCs w:val="21"/>
          <w:highlight w:val="none"/>
        </w:rPr>
        <w:t>CJ/T 257-2014《铝合金及不锈钢闸门</w:t>
      </w:r>
      <w:r>
        <w:rPr>
          <w:rFonts w:hint="eastAsia" w:ascii="宋体" w:hAnsi="宋体" w:eastAsia="宋体" w:cs="Times New Roman"/>
          <w:color w:val="auto"/>
          <w:kern w:val="0"/>
          <w:szCs w:val="21"/>
          <w:highlight w:val="none"/>
        </w:rPr>
        <w:fldChar w:fldCharType="end"/>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JB/T7928-1999《通用阀门供货要求》</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GB/T12220-2005《通用阀门标志》</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CJ/T3006-1992《供水排水用铸铁阀门》</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GB6067-2010《起重机械安全规程》</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GB4879-1999《防锈包装》</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GB4942.2《低压设备外壳防护等级》</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GBJ14《钢结构设计规范》</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GBJ205《钢结构工程施工及验收规范》</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JB2839《人字形刷握及集电环》</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SYJ4007《涂装前钢材表面处理规范》</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CJ/T3035《城镇建设和建筑工业产品型号编制规则》</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JB2759《机电产品包装通用技术条件》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GB3214《水泵流量的测定方法》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YB3208《焊接件通用技术要求》</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TJ231《机械设备安装工程施工及验收规范》</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GB4216.2 2.5《巴灰铸铁管法兰及垫片技术条件》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GB4216.9《灰铸铁管法兰用石棉橡胶垫片尺寸》</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GB4216.10《灰铸铁管法兰及垫片技术条件》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GB6414《铸件尺寸公差》</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YB3211《涂漆通用技术条件》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YB3214《包装通用技术条件》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GB1184《形状与位置公差，未注公差的规定》</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JB2855《机床涂漆技术条件》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SDZ014-85《防腐技术条件》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GBn193《出口机械、电工、仪器仪表产品包装通用技术条件》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GB5226《机床电气设备通用技术条件》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GB1804《公差与配合未注公差尺寸的极限偏差》</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JB8《产品标牌》</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GB4720《自控设备》</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GB9089《严酷条件下户外场所电气设施一般防护要求》</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JJ12.3《建筑机械焊接件通用技术条件》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CJ/T3035《城镇建设和建筑工业产品型号编制规则》</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GB/T1176-2008《铸造铜合金技术要求》</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GB/T4942.1-2006《电机处壳防护等级》</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GB/T13306-2011《标牌》</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GB/T13384-2008《机电产品包装通用技术条件》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GB755《旋转电机基本技术条件》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GB3216《离心泵、混流泵、轴流泵和旋涡泵试验方法》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GB5013.2《额定电压450/750V 及以下橡皮绝缘软电缆》</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GB9439《灰铸铁件》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GB1220《不锈钢棒》</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GB1348《球墨铸铁件》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GB2556《一般用途管法兰密封面形状和尺寸》</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GB2555《一般用途管法兰连接尺寸》</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GB2828《逐批检查计数抽样程序及抽样表》</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GB/T12785《潜水电泵试验方法》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GB191《包装储运图标标志》</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GB/T22719.1-2008交流低压电机散嵌绕组匝间绝缘 第1部分：试验方法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GB/T22719.2-2008 交流低压电机散嵌绕组匝间绝缘 第2部分：试验限值</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GB18613-2012《中小型三相异步电动机能效限值及能效等级》</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JB5803《污水污物潜水电泵技术条件》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ISO1217:2009《容积式压缩机—验收试验》</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JISB8341-1999《容积式压缩机—试验和检查方法》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JB/T8941.1-1999《一般用途罗茨鼓风机技术条件》</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JB/T8941.2-1999《一般用途罗茨鼓风机性能试验方法》</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GB12238-2008《法兰和对夹连接弹性密封蝶阀》</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GB/T13927-2008《工业阀门压力实验》</w:t>
      </w:r>
    </w:p>
    <w:p>
      <w:pPr>
        <w:autoSpaceDE w:val="0"/>
        <w:autoSpaceDN w:val="0"/>
        <w:adjustRightInd w:val="0"/>
        <w:spacing w:line="360" w:lineRule="auto"/>
        <w:ind w:firstLine="5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GB12221-2005《金属阀门结构长度》</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《应急管理部办公厅关于印发《有限空间作业安全指导手册》和4个专题系列折页的通知（应急厅函〔2020〕299号）》</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楷体"/>
          <w:color w:val="auto"/>
          <w:kern w:val="0"/>
          <w:szCs w:val="21"/>
          <w:highlight w:val="none"/>
        </w:rPr>
        <w:t>本项目的技术要求按上述标准执行，甲方征集文件（含公告、《管理办法》、任务通知单）等或本合同未明确的技术标准，严格按上述标准执行，服务期内如果上述标准有更新，则按更新后的版本执行。</w:t>
      </w:r>
    </w:p>
    <w:p>
      <w:pPr>
        <w:autoSpaceDE w:val="0"/>
        <w:autoSpaceDN w:val="0"/>
        <w:adjustRightInd w:val="0"/>
        <w:spacing w:line="360" w:lineRule="auto"/>
        <w:ind w:firstLine="422" w:firstLineChars="200"/>
        <w:jc w:val="left"/>
        <w:rPr>
          <w:rFonts w:ascii="宋体" w:hAnsi="宋体" w:eastAsia="宋体" w:cs="楷体"/>
          <w:b/>
          <w:color w:val="auto"/>
          <w:kern w:val="0"/>
          <w:szCs w:val="21"/>
          <w:highlight w:val="none"/>
        </w:rPr>
      </w:pPr>
      <w:r>
        <w:rPr>
          <w:rFonts w:hint="eastAsia" w:ascii="宋体" w:hAnsi="宋体" w:eastAsia="宋体" w:cs="楷体"/>
          <w:b/>
          <w:color w:val="auto"/>
          <w:kern w:val="0"/>
          <w:szCs w:val="21"/>
          <w:highlight w:val="none"/>
        </w:rPr>
        <w:t>四、验收</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1、验收标准：按照单项项目用户需求书“技术要求”的具体规定、委派项目专项技术要求等进行验收。</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2、经验收合格后，验收报告、工程量清单由乙方、监理单位（如有）和甲方各方共同签字确认。</w:t>
      </w:r>
    </w:p>
    <w:p>
      <w:pPr>
        <w:pStyle w:val="3"/>
        <w:ind w:firstLineChars="200"/>
        <w:rPr>
          <w:b w:val="0"/>
          <w:bCs w:val="0"/>
          <w:color w:val="auto"/>
          <w:highlight w:val="none"/>
          <w:lang w:val="en-US"/>
        </w:rPr>
      </w:pPr>
      <w:r>
        <w:rPr>
          <w:rFonts w:hint="eastAsia" w:ascii="宋体" w:hAnsi="宋体" w:cs="楷体"/>
          <w:b w:val="0"/>
          <w:bCs w:val="0"/>
          <w:color w:val="auto"/>
          <w:kern w:val="0"/>
          <w:szCs w:val="21"/>
          <w:highlight w:val="none"/>
          <w:lang w:val="en-US"/>
        </w:rPr>
        <w:t>3、</w:t>
      </w:r>
      <w:r>
        <w:rPr>
          <w:rFonts w:hint="eastAsia" w:ascii="宋体" w:hAnsi="宋体"/>
          <w:b w:val="0"/>
          <w:bCs w:val="0"/>
          <w:color w:val="auto"/>
          <w:szCs w:val="21"/>
          <w:highlight w:val="none"/>
        </w:rPr>
        <w:t>乙方在服务过程中应按进度情况及时整理资料，项目完工后</w:t>
      </w:r>
      <w:r>
        <w:rPr>
          <w:rFonts w:hint="eastAsia" w:ascii="宋体" w:hAnsi="宋体"/>
          <w:b w:val="0"/>
          <w:bCs w:val="0"/>
          <w:color w:val="auto"/>
          <w:szCs w:val="21"/>
          <w:highlight w:val="none"/>
          <w:lang w:val="en-US"/>
        </w:rPr>
        <w:t>1个月</w:t>
      </w:r>
      <w:r>
        <w:rPr>
          <w:rFonts w:hint="eastAsia" w:ascii="宋体" w:hAnsi="宋体"/>
          <w:b w:val="0"/>
          <w:bCs w:val="0"/>
          <w:color w:val="auto"/>
          <w:szCs w:val="21"/>
          <w:highlight w:val="none"/>
        </w:rPr>
        <w:t>内将合格的竣工</w:t>
      </w:r>
      <w:r>
        <w:rPr>
          <w:rFonts w:hint="eastAsia" w:ascii="宋体" w:hAnsi="宋体"/>
          <w:b w:val="0"/>
          <w:bCs w:val="0"/>
          <w:color w:val="auto"/>
          <w:szCs w:val="21"/>
          <w:highlight w:val="none"/>
          <w:lang w:val="en-US"/>
        </w:rPr>
        <w:t>和结算</w:t>
      </w:r>
      <w:r>
        <w:rPr>
          <w:rFonts w:hint="eastAsia" w:ascii="宋体" w:hAnsi="宋体"/>
          <w:b w:val="0"/>
          <w:bCs w:val="0"/>
          <w:color w:val="auto"/>
          <w:szCs w:val="21"/>
          <w:highlight w:val="none"/>
        </w:rPr>
        <w:t>资料移交给甲方。</w:t>
      </w:r>
    </w:p>
    <w:p>
      <w:pPr>
        <w:autoSpaceDE w:val="0"/>
        <w:autoSpaceDN w:val="0"/>
        <w:adjustRightInd w:val="0"/>
        <w:spacing w:line="360" w:lineRule="auto"/>
        <w:ind w:firstLine="422" w:firstLineChars="200"/>
        <w:jc w:val="left"/>
        <w:rPr>
          <w:rFonts w:ascii="宋体" w:hAnsi="宋体" w:eastAsia="宋体" w:cs="楷体"/>
          <w:b/>
          <w:color w:val="auto"/>
          <w:kern w:val="0"/>
          <w:szCs w:val="21"/>
          <w:highlight w:val="none"/>
        </w:rPr>
      </w:pPr>
      <w:r>
        <w:rPr>
          <w:rFonts w:hint="eastAsia" w:ascii="宋体" w:hAnsi="宋体" w:eastAsia="宋体" w:cs="楷体"/>
          <w:b/>
          <w:color w:val="auto"/>
          <w:kern w:val="0"/>
          <w:szCs w:val="21"/>
          <w:highlight w:val="none"/>
        </w:rPr>
        <w:t>五、质保期</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5.1 除单项项目另有约定外，维修、技改等技术服务质保期为6个月（具体以任务通知单要求为准），自各单项项目验收合格之日起计算。</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5.2 设备拆卸等无实际工程内容的技术服务不设质保期。</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5.3 质保期内，如所供零配件或维修技术服务发生故障，乙方应在接到甲方报修电话后3小时内予以响应，无偿承担故障维修。乙方应在24小时内修复故障，48小时内不能维修的故障应及时以新零配件替换，48小时内必须排除一切故障（单项项目用户需求书或任务通知单中另有要求的，按照要求执行）。否则甲方将自行采取必要的措施，包括委托第三方技术服务单位提供相应的技术服务，由此产生的风险和费用均由乙方承担，甲方有权从乙方未支付费用中抵扣或启用履约保证金，乙方对此无异议。</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六、履约担保</w:t>
      </w:r>
    </w:p>
    <w:p>
      <w:pPr>
        <w:autoSpaceDE w:val="0"/>
        <w:autoSpaceDN w:val="0"/>
        <w:adjustRightInd w:val="0"/>
        <w:spacing w:line="360" w:lineRule="auto"/>
        <w:ind w:right="-483" w:firstLine="478" w:firstLineChars="228"/>
        <w:jc w:val="left"/>
        <w:rPr>
          <w:rFonts w:ascii="宋体" w:hAnsi="宋体" w:eastAsia="宋体" w:cs="楷体"/>
          <w:bCs/>
          <w:color w:val="auto"/>
          <w:kern w:val="0"/>
          <w:szCs w:val="21"/>
          <w:highlight w:val="none"/>
        </w:rPr>
      </w:pPr>
      <w:r>
        <w:rPr>
          <w:rFonts w:hint="eastAsia" w:ascii="宋体" w:hAnsi="宋体" w:eastAsia="宋体" w:cs="楷体"/>
          <w:color w:val="auto"/>
          <w:kern w:val="0"/>
          <w:szCs w:val="21"/>
          <w:highlight w:val="none"/>
        </w:rPr>
        <w:t>6.</w:t>
      </w:r>
      <w:r>
        <w:rPr>
          <w:rFonts w:ascii="宋体" w:hAnsi="宋体" w:eastAsia="宋体" w:cs="楷体"/>
          <w:color w:val="auto"/>
          <w:kern w:val="0"/>
          <w:szCs w:val="21"/>
          <w:highlight w:val="none"/>
        </w:rPr>
        <w:t>1</w:t>
      </w:r>
      <w:r>
        <w:rPr>
          <w:rFonts w:hint="eastAsia" w:ascii="宋体" w:hAnsi="宋体" w:eastAsia="宋体" w:cs="楷体"/>
          <w:color w:val="auto"/>
          <w:kern w:val="0"/>
          <w:szCs w:val="21"/>
          <w:highlight w:val="none"/>
        </w:rPr>
        <w:t xml:space="preserve"> </w:t>
      </w:r>
      <w:r>
        <w:rPr>
          <w:rFonts w:hint="eastAsia" w:ascii="宋体" w:hAnsi="宋体" w:eastAsia="宋体" w:cs="楷体"/>
          <w:bCs/>
          <w:color w:val="auto"/>
          <w:kern w:val="0"/>
          <w:szCs w:val="21"/>
          <w:highlight w:val="none"/>
        </w:rPr>
        <w:t>乙方应当根据甲方征集文件（含公告、《管理办法》）、任务通知单等的规定在签订本合同前向甲方提供履约担保，履约担保的形式为：</w:t>
      </w:r>
      <w:r>
        <w:rPr>
          <w:rFonts w:hint="eastAsia" w:ascii="宋体" w:hAnsi="宋体" w:eastAsia="宋体" w:cs="楷体"/>
          <w:color w:val="auto"/>
          <w:kern w:val="0"/>
          <w:szCs w:val="21"/>
          <w:highlight w:val="none"/>
          <w:u w:val="single"/>
        </w:rPr>
        <w:t>履约保证金（银行转账形式）金额为人民币壹万元</w:t>
      </w:r>
      <w:r>
        <w:rPr>
          <w:rFonts w:hint="eastAsia" w:ascii="宋体" w:hAnsi="宋体" w:eastAsia="宋体" w:cs="楷体"/>
          <w:bCs/>
          <w:color w:val="auto"/>
          <w:kern w:val="0"/>
          <w:szCs w:val="21"/>
          <w:highlight w:val="none"/>
          <w:u w:val="single"/>
        </w:rPr>
        <w:t xml:space="preserve"> </w:t>
      </w:r>
      <w:r>
        <w:rPr>
          <w:rFonts w:hint="eastAsia" w:ascii="宋体" w:hAnsi="宋体" w:eastAsia="宋体" w:cs="楷体"/>
          <w:bCs/>
          <w:color w:val="auto"/>
          <w:kern w:val="0"/>
          <w:szCs w:val="21"/>
          <w:highlight w:val="none"/>
        </w:rPr>
        <w:t>；</w:t>
      </w:r>
    </w:p>
    <w:p>
      <w:pPr>
        <w:autoSpaceDE w:val="0"/>
        <w:autoSpaceDN w:val="0"/>
        <w:adjustRightInd w:val="0"/>
        <w:spacing w:line="360" w:lineRule="auto"/>
        <w:ind w:right="-483" w:firstLine="478" w:firstLineChars="228"/>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甲方（含其分公司、子公司）、乙方一致同意，履约保证金由东莞市水务集团管网有限公司统一收取，合同各方对此无异议。</w:t>
      </w:r>
    </w:p>
    <w:p>
      <w:pPr>
        <w:autoSpaceDE w:val="0"/>
        <w:autoSpaceDN w:val="0"/>
        <w:adjustRightInd w:val="0"/>
        <w:spacing w:line="360" w:lineRule="auto"/>
        <w:ind w:right="-483" w:firstLine="478" w:firstLineChars="228"/>
        <w:jc w:val="lef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 xml:space="preserve">6.1.1履约保证金帐户： </w:t>
      </w:r>
    </w:p>
    <w:p>
      <w:pPr>
        <w:autoSpaceDE w:val="0"/>
        <w:autoSpaceDN w:val="0"/>
        <w:adjustRightInd w:val="0"/>
        <w:snapToGrid w:val="0"/>
        <w:spacing w:line="360" w:lineRule="auto"/>
        <w:ind w:left="548" w:leftChars="261" w:firstLine="105" w:firstLineChars="50"/>
        <w:jc w:val="left"/>
        <w:rPr>
          <w:rFonts w:ascii="宋体" w:hAnsi="宋体" w:eastAsia="宋体" w:cs="Times New Roman"/>
          <w:color w:val="auto"/>
          <w:kern w:val="0"/>
          <w:szCs w:val="22"/>
          <w:highlight w:val="none"/>
        </w:rPr>
      </w:pPr>
      <w:r>
        <w:rPr>
          <w:rFonts w:hint="eastAsia" w:ascii="宋体" w:hAnsi="宋体" w:eastAsia="宋体" w:cs="Times New Roman"/>
          <w:color w:val="auto"/>
          <w:kern w:val="0"/>
          <w:szCs w:val="22"/>
          <w:highlight w:val="none"/>
        </w:rPr>
        <w:t>开户名称：东莞市水务集团管网有限公司</w:t>
      </w:r>
    </w:p>
    <w:p>
      <w:pPr>
        <w:autoSpaceDE w:val="0"/>
        <w:autoSpaceDN w:val="0"/>
        <w:adjustRightInd w:val="0"/>
        <w:snapToGrid w:val="0"/>
        <w:spacing w:line="360" w:lineRule="auto"/>
        <w:ind w:left="548" w:leftChars="261" w:firstLine="105" w:firstLineChars="50"/>
        <w:jc w:val="left"/>
        <w:rPr>
          <w:rFonts w:ascii="宋体" w:hAnsi="宋体" w:eastAsia="宋体" w:cs="Times New Roman"/>
          <w:color w:val="auto"/>
          <w:kern w:val="0"/>
          <w:szCs w:val="22"/>
          <w:highlight w:val="none"/>
        </w:rPr>
      </w:pPr>
      <w:r>
        <w:rPr>
          <w:rFonts w:hint="eastAsia" w:ascii="宋体" w:hAnsi="宋体" w:eastAsia="宋体" w:cs="Times New Roman"/>
          <w:color w:val="auto"/>
          <w:kern w:val="0"/>
          <w:szCs w:val="22"/>
          <w:highlight w:val="none"/>
        </w:rPr>
        <w:t>银行账号：</w:t>
      </w:r>
      <w:r>
        <w:rPr>
          <w:rFonts w:ascii="宋体" w:hAnsi="宋体" w:eastAsia="宋体" w:cs="Times New Roman"/>
          <w:color w:val="auto"/>
          <w:kern w:val="0"/>
          <w:szCs w:val="22"/>
          <w:highlight w:val="none"/>
        </w:rPr>
        <w:t>8114801014000043052</w:t>
      </w:r>
    </w:p>
    <w:p>
      <w:pPr>
        <w:autoSpaceDE w:val="0"/>
        <w:autoSpaceDN w:val="0"/>
        <w:adjustRightInd w:val="0"/>
        <w:snapToGrid w:val="0"/>
        <w:spacing w:line="360" w:lineRule="auto"/>
        <w:ind w:left="548" w:leftChars="261" w:firstLine="105" w:firstLineChars="50"/>
        <w:jc w:val="left"/>
        <w:rPr>
          <w:rFonts w:ascii="宋体" w:hAnsi="Times New Roman" w:eastAsia="宋体" w:cs="Times New Roman"/>
          <w:color w:val="auto"/>
          <w:kern w:val="0"/>
          <w:sz w:val="24"/>
          <w:highlight w:val="none"/>
        </w:rPr>
      </w:pPr>
      <w:r>
        <w:rPr>
          <w:rFonts w:hint="eastAsia" w:ascii="宋体" w:hAnsi="宋体" w:eastAsia="宋体" w:cs="Times New Roman"/>
          <w:color w:val="auto"/>
          <w:kern w:val="0"/>
          <w:szCs w:val="22"/>
          <w:highlight w:val="none"/>
        </w:rPr>
        <w:t>开户银行：中信银行东莞分行营业部</w:t>
      </w:r>
    </w:p>
    <w:p>
      <w:pPr>
        <w:tabs>
          <w:tab w:val="left" w:pos="360"/>
          <w:tab w:val="left" w:pos="1418"/>
          <w:tab w:val="left" w:pos="4725"/>
        </w:tabs>
        <w:autoSpaceDE w:val="0"/>
        <w:autoSpaceDN w:val="0"/>
        <w:adjustRightInd w:val="0"/>
        <w:spacing w:line="360" w:lineRule="auto"/>
        <w:ind w:firstLine="424" w:firstLineChars="202"/>
        <w:jc w:val="left"/>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2 履约担保用于补偿甲方因乙方不能完全履行其合同义务而蒙受的损失，如发生下列任一情况时，甲方除有权依合同追究乙方违约责任外，还有权提取履约担保并进行相应处理：</w:t>
      </w:r>
    </w:p>
    <w:p>
      <w:pPr>
        <w:autoSpaceDE w:val="0"/>
        <w:autoSpaceDN w:val="0"/>
        <w:adjustRightInd w:val="0"/>
        <w:spacing w:line="360" w:lineRule="auto"/>
        <w:ind w:right="-483" w:firstLine="424" w:firstLineChars="202"/>
        <w:jc w:val="left"/>
        <w:rPr>
          <w:rFonts w:ascii="宋体" w:hAnsi="宋体" w:eastAsia="宋体" w:cs="Times New Roman"/>
          <w:color w:val="auto"/>
          <w:kern w:val="0"/>
          <w:szCs w:val="21"/>
          <w:highlight w:val="none"/>
        </w:rPr>
      </w:pPr>
      <w:r>
        <w:rPr>
          <w:rFonts w:hint="eastAsia" w:ascii="宋体" w:hAnsi="宋体" w:eastAsia="宋体" w:cs="楷体"/>
          <w:bCs/>
          <w:color w:val="auto"/>
          <w:kern w:val="0"/>
          <w:szCs w:val="21"/>
          <w:highlight w:val="none"/>
        </w:rPr>
        <w:t>6</w:t>
      </w:r>
      <w:r>
        <w:rPr>
          <w:rFonts w:ascii="宋体" w:hAnsi="宋体" w:eastAsia="宋体" w:cs="楷体"/>
          <w:bCs/>
          <w:color w:val="auto"/>
          <w:kern w:val="0"/>
          <w:szCs w:val="21"/>
          <w:highlight w:val="none"/>
        </w:rPr>
        <w:t>.</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.1</w:t>
      </w:r>
      <w:r>
        <w:rPr>
          <w:rFonts w:hint="eastAsia" w:ascii="宋体" w:hAnsi="宋体" w:eastAsia="宋体" w:cs="楷体"/>
          <w:bCs/>
          <w:color w:val="auto"/>
          <w:kern w:val="0"/>
          <w:szCs w:val="21"/>
          <w:highlight w:val="none"/>
        </w:rPr>
        <w:t xml:space="preserve"> </w:t>
      </w:r>
      <w:r>
        <w:rPr>
          <w:rFonts w:hint="eastAsia" w:ascii="宋体" w:hAnsi="宋体" w:eastAsia="宋体" w:cs="Times New Roman"/>
          <w:color w:val="auto"/>
          <w:kern w:val="0"/>
          <w:szCs w:val="21"/>
          <w:highlight w:val="none"/>
        </w:rPr>
        <w:t>未经甲方书面同意，乙方将本合同部分或全部转包给第三人，或者未经甲方书面同意，将本合同项目分包给第三人的，甲方有权依法没收其履约担保。</w:t>
      </w:r>
    </w:p>
    <w:p>
      <w:pPr>
        <w:autoSpaceDE w:val="0"/>
        <w:autoSpaceDN w:val="0"/>
        <w:adjustRightInd w:val="0"/>
        <w:spacing w:line="360" w:lineRule="auto"/>
        <w:ind w:right="-483" w:firstLine="424" w:firstLineChars="202"/>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6</w:t>
      </w:r>
      <w:r>
        <w:rPr>
          <w:rFonts w:ascii="宋体" w:hAnsi="宋体" w:eastAsia="宋体" w:cs="楷体"/>
          <w:bCs/>
          <w:color w:val="auto"/>
          <w:kern w:val="0"/>
          <w:szCs w:val="21"/>
          <w:highlight w:val="none"/>
        </w:rPr>
        <w:t>.</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.2</w:t>
      </w:r>
      <w:r>
        <w:rPr>
          <w:rFonts w:hint="eastAsia" w:ascii="宋体" w:hAnsi="宋体" w:eastAsia="宋体" w:cs="楷体"/>
          <w:bCs/>
          <w:color w:val="auto"/>
          <w:kern w:val="0"/>
          <w:szCs w:val="21"/>
          <w:highlight w:val="none"/>
        </w:rPr>
        <w:t xml:space="preserve"> </w:t>
      </w:r>
      <w:r>
        <w:rPr>
          <w:rFonts w:ascii="Times New Roman" w:hAnsi="Times New Roman" w:eastAsia="宋体" w:cs="Times New Roman"/>
          <w:color w:val="auto"/>
          <w:highlight w:val="none"/>
        </w:rPr>
        <w:t>在合同履行期间，乙方</w:t>
      </w:r>
      <w:r>
        <w:rPr>
          <w:rFonts w:ascii="Times New Roman" w:hAnsi="Times New Roman" w:eastAsia="宋体" w:cs="Times New Roman"/>
          <w:color w:val="auto"/>
          <w:szCs w:val="21"/>
          <w:highlight w:val="none"/>
        </w:rPr>
        <w:t>不履行、怠于履行或没有在约定时间内完成</w:t>
      </w:r>
      <w:r>
        <w:rPr>
          <w:rFonts w:hint="eastAsia" w:ascii="Times New Roman" w:hAnsi="Times New Roman" w:eastAsia="宋体" w:cs="Times New Roman"/>
          <w:color w:val="auto"/>
          <w:szCs w:val="21"/>
          <w:highlight w:val="none"/>
        </w:rPr>
        <w:t>单项项目</w:t>
      </w:r>
      <w:r>
        <w:rPr>
          <w:rFonts w:ascii="Times New Roman" w:hAnsi="Times New Roman" w:eastAsia="宋体" w:cs="Times New Roman"/>
          <w:color w:val="auto"/>
          <w:szCs w:val="21"/>
          <w:highlight w:val="none"/>
        </w:rPr>
        <w:t>全部义务</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甲方有权要求乙方承担</w:t>
      </w:r>
      <w:r>
        <w:rPr>
          <w:rFonts w:ascii="Times New Roman" w:hAnsi="Times New Roman" w:eastAsia="宋体" w:cs="Times New Roman"/>
          <w:color w:val="auto"/>
          <w:szCs w:val="21"/>
          <w:highlight w:val="none"/>
        </w:rPr>
        <w:t>具体委派项目合同价（不含乙方销项税）的20%或履约担保等额的违约金（以两者较高的金额作为违约金金额）</w:t>
      </w:r>
      <w:r>
        <w:rPr>
          <w:rFonts w:hint="eastAsia" w:ascii="Times New Roman" w:hAnsi="Times New Roman" w:eastAsia="宋体" w:cs="Times New Roman"/>
          <w:color w:val="auto"/>
          <w:szCs w:val="21"/>
          <w:highlight w:val="none"/>
        </w:rPr>
        <w:t>，乙方对此无异议</w:t>
      </w:r>
      <w:r>
        <w:rPr>
          <w:rFonts w:hint="eastAsia" w:ascii="宋体" w:hAnsi="宋体" w:eastAsia="宋体" w:cs="楷体"/>
          <w:bCs/>
          <w:color w:val="auto"/>
          <w:kern w:val="0"/>
          <w:szCs w:val="21"/>
          <w:highlight w:val="none"/>
        </w:rPr>
        <w:t>。</w:t>
      </w:r>
    </w:p>
    <w:p>
      <w:pPr>
        <w:autoSpaceDE w:val="0"/>
        <w:autoSpaceDN w:val="0"/>
        <w:adjustRightInd w:val="0"/>
        <w:spacing w:line="360" w:lineRule="auto"/>
        <w:ind w:right="-483" w:firstLine="424" w:firstLineChars="202"/>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6</w:t>
      </w:r>
      <w:r>
        <w:rPr>
          <w:rFonts w:ascii="宋体" w:hAnsi="宋体" w:eastAsia="宋体" w:cs="楷体"/>
          <w:bCs/>
          <w:color w:val="auto"/>
          <w:kern w:val="0"/>
          <w:szCs w:val="21"/>
          <w:highlight w:val="none"/>
        </w:rPr>
        <w:t>.</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.3</w:t>
      </w:r>
      <w:r>
        <w:rPr>
          <w:rFonts w:hint="eastAsia" w:ascii="宋体" w:hAnsi="宋体" w:eastAsia="宋体" w:cs="楷体"/>
          <w:bCs/>
          <w:color w:val="auto"/>
          <w:kern w:val="0"/>
          <w:szCs w:val="21"/>
          <w:highlight w:val="none"/>
        </w:rPr>
        <w:t xml:space="preserve"> 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或未付服务费予以支付或作出相应处理，由此产生的一切法律后果由乙方承担。</w:t>
      </w:r>
    </w:p>
    <w:p>
      <w:pPr>
        <w:autoSpaceDE w:val="0"/>
        <w:autoSpaceDN w:val="0"/>
        <w:adjustRightInd w:val="0"/>
        <w:spacing w:line="360" w:lineRule="auto"/>
        <w:ind w:right="-483" w:firstLine="424" w:firstLineChars="202"/>
        <w:jc w:val="left"/>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.4</w:t>
      </w:r>
      <w:r>
        <w:rPr>
          <w:rFonts w:hint="eastAsia" w:ascii="宋体" w:hAnsi="宋体" w:eastAsia="宋体" w:cs="楷体"/>
          <w:bCs/>
          <w:color w:val="auto"/>
          <w:kern w:val="0"/>
          <w:szCs w:val="21"/>
          <w:highlight w:val="none"/>
        </w:rPr>
        <w:t>在合同履行期间，乙方违约产生的违约金、赔偿或其他应付费用等款项，甲方有权直接从未付款项中直接抵扣或启用履约担保予以支付。</w:t>
      </w:r>
    </w:p>
    <w:p>
      <w:pPr>
        <w:autoSpaceDE w:val="0"/>
        <w:autoSpaceDN w:val="0"/>
        <w:adjustRightInd w:val="0"/>
        <w:spacing w:line="360" w:lineRule="auto"/>
        <w:ind w:right="-483" w:firstLine="424" w:firstLineChars="202"/>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.5</w:t>
      </w:r>
      <w:r>
        <w:rPr>
          <w:rFonts w:hint="eastAsia" w:ascii="宋体" w:hAnsi="宋体" w:eastAsia="宋体" w:cs="楷体"/>
          <w:bCs/>
          <w:color w:val="auto"/>
          <w:kern w:val="0"/>
          <w:szCs w:val="21"/>
          <w:highlight w:val="none"/>
        </w:rPr>
        <w:t xml:space="preserve"> 合同期内，乙方不能及时完成合同某项义务的，甲方有权委托第三方服务单位实施，费用由乙方承担并从未付款项中直接抵扣或使用履约担保用于处理该项工作。</w:t>
      </w:r>
    </w:p>
    <w:p>
      <w:pPr>
        <w:autoSpaceDE w:val="0"/>
        <w:autoSpaceDN w:val="0"/>
        <w:adjustRightInd w:val="0"/>
        <w:spacing w:line="360" w:lineRule="auto"/>
        <w:ind w:right="-483" w:firstLine="424" w:firstLineChars="202"/>
        <w:jc w:val="left"/>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2</w:t>
      </w: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 xml:space="preserve"> 其他根据本合同约定或法律规定，甲方可使用履约担保的情形。</w:t>
      </w:r>
    </w:p>
    <w:p>
      <w:pPr>
        <w:autoSpaceDE w:val="0"/>
        <w:autoSpaceDN w:val="0"/>
        <w:adjustRightInd w:val="0"/>
        <w:spacing w:line="360" w:lineRule="auto"/>
        <w:ind w:right="-483" w:firstLine="424" w:firstLineChars="202"/>
        <w:jc w:val="left"/>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3 在乙方完成本合同下全部义务，且在合同期限届满并完成协议资格合同及全部单项项目的服务义务后28日内，甲方将履约担保余额无息退还乙方。</w:t>
      </w:r>
    </w:p>
    <w:p>
      <w:pPr>
        <w:autoSpaceDE w:val="0"/>
        <w:autoSpaceDN w:val="0"/>
        <w:adjustRightInd w:val="0"/>
        <w:spacing w:line="360" w:lineRule="auto"/>
        <w:ind w:right="-483" w:firstLine="424" w:firstLineChars="202"/>
        <w:jc w:val="left"/>
        <w:rPr>
          <w:rFonts w:ascii="宋体" w:hAnsi="宋体" w:eastAsia="宋体" w:cs="楷体"/>
          <w:color w:val="auto"/>
          <w:kern w:val="0"/>
          <w:szCs w:val="21"/>
          <w:highlight w:val="none"/>
        </w:rPr>
      </w:pP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4  在合同履行过程中，不论何种原因导致</w:t>
      </w:r>
      <w:r>
        <w:rPr>
          <w:rFonts w:hint="eastAsia" w:ascii="宋体" w:hAnsi="宋体" w:eastAsia="宋体" w:cs="楷体"/>
          <w:bCs/>
          <w:color w:val="auto"/>
          <w:kern w:val="0"/>
          <w:szCs w:val="21"/>
          <w:highlight w:val="none"/>
          <w:u w:val="single"/>
        </w:rPr>
        <w:t>履约保证金</w:t>
      </w:r>
      <w:r>
        <w:rPr>
          <w:rFonts w:hint="eastAsia" w:ascii="宋体" w:hAnsi="宋体" w:eastAsia="宋体" w:cs="楷体"/>
          <w:bCs/>
          <w:color w:val="auto"/>
          <w:kern w:val="0"/>
          <w:szCs w:val="21"/>
          <w:highlight w:val="none"/>
        </w:rPr>
        <w:t>数额不符合甲方征集文件（含公告、《管理办法》）、任务通知单等要求的，乙方应当在5日内予以补足。逾期不予补足的，甲方有权按需补足的金额要求乙方承担违约金，并要求限期补足。如乙方仍不补足的，甲方有权单方解除合同。</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七、服务费结算及付款方式</w:t>
      </w:r>
    </w:p>
    <w:p>
      <w:pPr>
        <w:autoSpaceDE w:val="0"/>
        <w:autoSpaceDN w:val="0"/>
        <w:adjustRightIn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楷体"/>
          <w:color w:val="auto"/>
          <w:kern w:val="0"/>
          <w:szCs w:val="21"/>
          <w:highlight w:val="none"/>
        </w:rPr>
        <w:t>7.1 在库合同服务期内，单项项目的承担以甲方任务通知单为准，</w:t>
      </w:r>
      <w:r>
        <w:rPr>
          <w:rFonts w:hint="eastAsia" w:ascii="宋体" w:hAnsi="宋体" w:eastAsia="宋体" w:cs="楷体"/>
          <w:b/>
          <w:bCs/>
          <w:color w:val="auto"/>
          <w:kern w:val="0"/>
          <w:szCs w:val="21"/>
          <w:highlight w:val="none"/>
        </w:rPr>
        <w:t>甲、乙双方不再就单项项目签订单项合同</w:t>
      </w:r>
      <w:r>
        <w:rPr>
          <w:rFonts w:hint="eastAsia" w:ascii="宋体" w:hAnsi="宋体" w:eastAsia="宋体" w:cs="楷体"/>
          <w:color w:val="auto"/>
          <w:kern w:val="0"/>
          <w:szCs w:val="21"/>
          <w:highlight w:val="none"/>
        </w:rPr>
        <w:t>，本框架合同、任务通知单、单项项目用户需求书及现场工程量签证表等资料作为单项项目支付进度款及结算付款的依据</w:t>
      </w:r>
      <w:r>
        <w:rPr>
          <w:rFonts w:hint="eastAsia" w:ascii="Times New Roman" w:hAnsi="Times New Roman" w:eastAsia="宋体" w:cs="Times New Roman"/>
          <w:color w:val="auto"/>
          <w:szCs w:val="21"/>
          <w:highlight w:val="none"/>
        </w:rPr>
        <w:t>（乙方请款时应提交作业前、作业中、作业后的现场照片，照片须为水印照片，并有对应的参照物）</w:t>
      </w:r>
      <w:r>
        <w:rPr>
          <w:rFonts w:hint="eastAsia" w:ascii="宋体" w:hAnsi="宋体" w:eastAsia="宋体" w:cs="楷体"/>
          <w:color w:val="auto"/>
          <w:kern w:val="0"/>
          <w:szCs w:val="21"/>
          <w:highlight w:val="none"/>
        </w:rPr>
        <w:t>。每个单项项目在完成实施并经甲方及其委托的监理单位（如</w:t>
      </w:r>
      <w:r>
        <w:rPr>
          <w:rFonts w:ascii="宋体" w:hAnsi="宋体" w:eastAsia="宋体" w:cs="楷体"/>
          <w:color w:val="auto"/>
          <w:kern w:val="0"/>
          <w:szCs w:val="21"/>
          <w:highlight w:val="none"/>
        </w:rPr>
        <w:t>有</w:t>
      </w:r>
      <w:r>
        <w:rPr>
          <w:rFonts w:hint="eastAsia" w:ascii="宋体" w:hAnsi="宋体" w:eastAsia="宋体" w:cs="楷体"/>
          <w:color w:val="auto"/>
          <w:kern w:val="0"/>
          <w:szCs w:val="21"/>
          <w:highlight w:val="none"/>
        </w:rPr>
        <w:t>）验收合格后进行结算、付款。</w:t>
      </w:r>
    </w:p>
    <w:p>
      <w:pPr>
        <w:autoSpaceDE w:val="0"/>
        <w:autoSpaceDN w:val="0"/>
        <w:adjustRightIn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楷体"/>
          <w:color w:val="auto"/>
          <w:kern w:val="0"/>
          <w:szCs w:val="21"/>
          <w:highlight w:val="none"/>
        </w:rPr>
        <w:t>最终</w:t>
      </w:r>
      <w:r>
        <w:rPr>
          <w:rFonts w:hint="eastAsia" w:ascii="宋体" w:hAnsi="宋体" w:eastAsia="宋体" w:cs="Times New Roman"/>
          <w:color w:val="auto"/>
          <w:szCs w:val="21"/>
          <w:highlight w:val="none"/>
        </w:rPr>
        <w:t>结算价=（现场签证工程量*综合单价）*（1+</w:t>
      </w:r>
      <w:r>
        <w:rPr>
          <w:rFonts w:hint="eastAsia" w:ascii="宋体" w:hAnsi="宋体" w:eastAsia="宋体" w:cs="Times New Roman"/>
          <w:bCs/>
          <w:color w:val="auto"/>
          <w:kern w:val="0"/>
          <w:szCs w:val="21"/>
          <w:highlight w:val="none"/>
        </w:rPr>
        <w:t>增值税税率</w:t>
      </w:r>
      <w:r>
        <w:rPr>
          <w:rFonts w:hint="eastAsia" w:ascii="宋体" w:hAnsi="宋体" w:eastAsia="宋体" w:cs="Times New Roman"/>
          <w:color w:val="auto"/>
          <w:szCs w:val="21"/>
          <w:highlight w:val="none"/>
        </w:rPr>
        <w:t>）（注：综合单价为不含税全费用综合单价，有报价单价按报价单价执行；无报价单价的，经甲、乙双方协商确认综合单价并结合下浮率后确定）。</w:t>
      </w:r>
    </w:p>
    <w:p>
      <w:pPr>
        <w:tabs>
          <w:tab w:val="left" w:pos="-72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楷体"/>
          <w:color w:val="auto"/>
          <w:kern w:val="0"/>
          <w:szCs w:val="21"/>
          <w:highlight w:val="none"/>
        </w:rPr>
        <w:t xml:space="preserve">7.2 </w:t>
      </w:r>
      <w:r>
        <w:rPr>
          <w:rFonts w:hint="eastAsia" w:ascii="宋体" w:hAnsi="宋体" w:eastAsia="宋体" w:cs="Times New Roman"/>
          <w:bCs/>
          <w:color w:val="auto"/>
          <w:kern w:val="0"/>
          <w:szCs w:val="21"/>
          <w:highlight w:val="none"/>
        </w:rPr>
        <w:t>依法计得并根据本合同约定确定的销项税额由甲方承担。根据《中华人民共和国增值税暂行条例》（国务院令第691号修订版）及当前税务部门的相关规定，本合同项目服务费的增值税税率为</w:t>
      </w:r>
      <w:r>
        <w:rPr>
          <w:rFonts w:hint="eastAsia" w:ascii="宋体" w:hAnsi="宋体" w:eastAsia="宋体" w:cs="Times New Roman"/>
          <w:bCs/>
          <w:color w:val="auto"/>
          <w:kern w:val="0"/>
          <w:szCs w:val="21"/>
          <w:highlight w:val="none"/>
          <w:u w:val="single"/>
        </w:rPr>
        <w:t xml:space="preserve">      % </w:t>
      </w:r>
      <w:r>
        <w:rPr>
          <w:rFonts w:hint="eastAsia" w:ascii="宋体" w:hAnsi="宋体" w:eastAsia="宋体" w:cs="Times New Roman"/>
          <w:bCs/>
          <w:color w:val="auto"/>
          <w:kern w:val="0"/>
          <w:szCs w:val="21"/>
          <w:highlight w:val="none"/>
        </w:rPr>
        <w:t>，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w:t>
      </w:r>
    </w:p>
    <w:p>
      <w:pPr>
        <w:tabs>
          <w:tab w:val="left" w:pos="-72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u w:val="single"/>
        </w:rPr>
      </w:pPr>
      <w:r>
        <w:rPr>
          <w:rFonts w:hint="eastAsia" w:ascii="宋体" w:hAnsi="宋体" w:eastAsia="宋体" w:cs="楷体"/>
          <w:color w:val="auto"/>
          <w:kern w:val="0"/>
          <w:szCs w:val="21"/>
          <w:highlight w:val="none"/>
        </w:rPr>
        <w:t>7.3 甲方（或其分公司、子公司）在收到乙方递交的符合甲方（或其分公司、子公司）结算标准的竣工结算资料及完整的结算资料（</w:t>
      </w:r>
      <w:r>
        <w:rPr>
          <w:rFonts w:hint="eastAsia" w:ascii="Times New Roman" w:hAnsi="Times New Roman" w:eastAsia="宋体" w:cs="Times New Roman"/>
          <w:bCs/>
          <w:color w:val="auto"/>
          <w:szCs w:val="21"/>
          <w:highlight w:val="none"/>
        </w:rPr>
        <w:t>具体详见附件5</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《机电设备维修项目请款资料清单》</w:t>
      </w:r>
      <w:r>
        <w:rPr>
          <w:rFonts w:hint="eastAsia" w:ascii="宋体" w:hAnsi="宋体" w:eastAsia="宋体" w:cs="楷体"/>
          <w:color w:val="auto"/>
          <w:kern w:val="0"/>
          <w:szCs w:val="21"/>
          <w:highlight w:val="none"/>
        </w:rPr>
        <w:t>）后，应在15个工作日内完成审查，并出具结算审核书。</w:t>
      </w:r>
    </w:p>
    <w:p>
      <w:pPr>
        <w:autoSpaceDE w:val="0"/>
        <w:autoSpaceDN w:val="0"/>
        <w:adjustRightInd w:val="0"/>
        <w:spacing w:line="360" w:lineRule="auto"/>
        <w:ind w:firstLine="424" w:firstLineChars="202"/>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7.4 乙方对甲方（或其分公司、子公司）出具的结算审核书应在5个工作日内给予确认或者提出修改意见。经监理单位（如有）及甲方（或其分公司、子公司）核实后，根据结算审核书确认的金额按本合同、用户需求书及任务通知单约定支付。</w:t>
      </w:r>
    </w:p>
    <w:p>
      <w:pPr>
        <w:tabs>
          <w:tab w:val="left" w:pos="-72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楷体"/>
          <w:color w:val="auto"/>
          <w:kern w:val="0"/>
          <w:szCs w:val="21"/>
          <w:highlight w:val="none"/>
        </w:rPr>
        <w:t>7.</w:t>
      </w:r>
      <w:r>
        <w:rPr>
          <w:rFonts w:hint="eastAsia" w:ascii="宋体" w:hAnsi="宋体" w:eastAsia="宋体" w:cs="Times New Roman"/>
          <w:bCs/>
          <w:color w:val="auto"/>
          <w:kern w:val="0"/>
          <w:szCs w:val="21"/>
          <w:highlight w:val="none"/>
        </w:rPr>
        <w:t>5 付款方式</w:t>
      </w:r>
    </w:p>
    <w:p>
      <w:pPr>
        <w:tabs>
          <w:tab w:val="left" w:pos="-72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楷体"/>
          <w:color w:val="auto"/>
          <w:kern w:val="0"/>
          <w:szCs w:val="21"/>
          <w:highlight w:val="none"/>
        </w:rPr>
        <w:t>7.</w:t>
      </w:r>
      <w:r>
        <w:rPr>
          <w:rFonts w:hint="eastAsia" w:ascii="宋体" w:hAnsi="宋体" w:eastAsia="宋体" w:cs="Times New Roman"/>
          <w:bCs/>
          <w:color w:val="auto"/>
          <w:kern w:val="0"/>
          <w:szCs w:val="21"/>
          <w:highlight w:val="none"/>
        </w:rPr>
        <w:t xml:space="preserve">5.1 </w:t>
      </w:r>
      <w:r>
        <w:rPr>
          <w:rFonts w:hint="eastAsia" w:ascii="宋体" w:hAnsi="宋体" w:eastAsia="宋体" w:cs="楷体"/>
          <w:color w:val="auto"/>
          <w:kern w:val="0"/>
          <w:szCs w:val="21"/>
          <w:highlight w:val="none"/>
        </w:rPr>
        <w:t>每个单项工程项目不设置预付款申请。</w:t>
      </w:r>
    </w:p>
    <w:p>
      <w:pPr>
        <w:widowControl/>
        <w:adjustRightInd w:val="0"/>
        <w:spacing w:line="360" w:lineRule="auto"/>
        <w:ind w:firstLine="424" w:firstLineChars="202"/>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7.5.2 每个单项工程项目暂定合同价不超过10万元（不含10万元）的，不设进度款申请。</w:t>
      </w:r>
    </w:p>
    <w:p>
      <w:pPr>
        <w:widowControl/>
        <w:adjustRightInd w:val="0"/>
        <w:spacing w:line="360" w:lineRule="auto"/>
        <w:ind w:firstLine="424" w:firstLineChars="202"/>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7.5.3 每个单项工程项目暂定合同价超过10万元以上（含10万元），单项项目工程量完成60%时可申请至有报价单价的现场签证工程量价款的40%；项目实施完成后，可申请至单项工程项目有报价单价的</w:t>
      </w:r>
      <w:r>
        <w:rPr>
          <w:rFonts w:hint="eastAsia" w:ascii="宋体" w:hAnsi="宋体" w:eastAsia="宋体" w:cs="Times New Roman"/>
          <w:color w:val="auto"/>
          <w:szCs w:val="21"/>
          <w:highlight w:val="none"/>
        </w:rPr>
        <w:t>现场签证工程量价款的</w:t>
      </w:r>
      <w:r>
        <w:rPr>
          <w:rFonts w:hint="eastAsia" w:ascii="宋体" w:hAnsi="宋体" w:eastAsia="宋体" w:cs="楷体"/>
          <w:color w:val="auto"/>
          <w:kern w:val="0"/>
          <w:szCs w:val="21"/>
          <w:highlight w:val="none"/>
        </w:rPr>
        <w:t>80%。</w:t>
      </w:r>
    </w:p>
    <w:p>
      <w:pPr>
        <w:tabs>
          <w:tab w:val="left" w:pos="-720"/>
        </w:tabs>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7.5.4 每个单项工程项目结算价不过超过10万元（不含10万元）的，项目实施完成后，可申请支付至结算价的100%，</w:t>
      </w:r>
      <w:r>
        <w:rPr>
          <w:rFonts w:hint="eastAsia" w:ascii="宋体" w:hAnsi="宋体" w:eastAsia="宋体" w:cs="Times New Roman"/>
          <w:color w:val="auto"/>
          <w:kern w:val="0"/>
          <w:szCs w:val="21"/>
          <w:highlight w:val="none"/>
        </w:rPr>
        <w:t>质保期内乙方未履行保修义务的，甲方按照相关违约条款追究乙方违约责任</w:t>
      </w:r>
      <w:r>
        <w:rPr>
          <w:rFonts w:hint="eastAsia" w:ascii="宋体" w:hAnsi="宋体" w:eastAsia="宋体" w:cs="楷体"/>
          <w:color w:val="auto"/>
          <w:kern w:val="0"/>
          <w:szCs w:val="21"/>
          <w:highlight w:val="none"/>
        </w:rPr>
        <w:t>；结算价超过10万元（含10万元），项目实施完成后可申请支付至结算价的97%，剩下3%作为质保金，待质保期满后，甲方根据乙方质保期提供服务的情况与乙方进行结算，由乙方再行申请支付。</w:t>
      </w:r>
    </w:p>
    <w:p>
      <w:pPr>
        <w:tabs>
          <w:tab w:val="left" w:pos="-720"/>
        </w:tabs>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7.5.5 每次费用支付前7个工作日，乙方都需提交甲方（含甲方分公司</w:t>
      </w:r>
      <w:r>
        <w:rPr>
          <w:rFonts w:ascii="宋体" w:hAnsi="宋体" w:eastAsia="宋体" w:cs="楷体"/>
          <w:color w:val="auto"/>
          <w:kern w:val="0"/>
          <w:szCs w:val="21"/>
          <w:highlight w:val="none"/>
        </w:rPr>
        <w:t>、子公司</w:t>
      </w:r>
      <w:r>
        <w:rPr>
          <w:rFonts w:hint="eastAsia" w:ascii="宋体" w:hAnsi="宋体" w:eastAsia="宋体" w:cs="楷体"/>
          <w:color w:val="auto"/>
          <w:kern w:val="0"/>
          <w:szCs w:val="21"/>
          <w:highlight w:val="none"/>
        </w:rPr>
        <w:t>）等额有效的增值税专用发票。乙方延迟提交发票或提交发票不符合甲方（或其分公司、子公司）要求的，甲方（或其分公司、子公司）有权顺延付款时间而不承担任何违约责任。</w:t>
      </w:r>
    </w:p>
    <w:p>
      <w:pPr>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s="楷体"/>
          <w:color w:val="auto"/>
          <w:kern w:val="0"/>
          <w:szCs w:val="21"/>
          <w:highlight w:val="none"/>
        </w:rPr>
        <w:t xml:space="preserve">7.6 </w:t>
      </w:r>
      <w:r>
        <w:rPr>
          <w:rFonts w:hint="eastAsia" w:ascii="宋体" w:hAnsi="宋体" w:eastAsia="宋体"/>
          <w:color w:val="auto"/>
          <w:kern w:val="0"/>
          <w:szCs w:val="21"/>
          <w:highlight w:val="none"/>
        </w:rPr>
        <w:t>乙方的指定收款账户信息如下：</w:t>
      </w:r>
    </w:p>
    <w:p>
      <w:pPr>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账户名称：</w:t>
      </w:r>
    </w:p>
    <w:p>
      <w:pPr>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开户行：</w:t>
      </w:r>
    </w:p>
    <w:p>
      <w:pPr>
        <w:autoSpaceDE w:val="0"/>
        <w:autoSpaceDN w:val="0"/>
        <w:adjustRightInd w:val="0"/>
        <w:spacing w:line="360" w:lineRule="auto"/>
        <w:ind w:firstLine="424" w:firstLineChars="202"/>
        <w:jc w:val="left"/>
        <w:rPr>
          <w:rFonts w:ascii="宋体" w:hAnsi="宋体" w:eastAsia="宋体" w:cs="楷体"/>
          <w:color w:val="auto"/>
          <w:kern w:val="0"/>
          <w:szCs w:val="21"/>
          <w:highlight w:val="none"/>
        </w:rPr>
      </w:pPr>
      <w:r>
        <w:rPr>
          <w:rFonts w:hint="eastAsia" w:ascii="宋体" w:hAnsi="宋体" w:eastAsia="宋体"/>
          <w:color w:val="auto"/>
          <w:kern w:val="0"/>
          <w:szCs w:val="21"/>
          <w:highlight w:val="none"/>
        </w:rPr>
        <w:t>账号：</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八、甲方权利和义务</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8.1 审核乙方提交的技术服务方案（但不免除乙方应当承担的合同责任），如发现服务方案不符合</w:t>
      </w:r>
      <w:r>
        <w:rPr>
          <w:rFonts w:ascii="宋体" w:hAnsi="宋体" w:eastAsia="宋体" w:cs="楷体"/>
          <w:bCs/>
          <w:color w:val="auto"/>
          <w:kern w:val="0"/>
          <w:szCs w:val="21"/>
          <w:highlight w:val="none"/>
        </w:rPr>
        <w:t>相关规范</w:t>
      </w:r>
      <w:r>
        <w:rPr>
          <w:rFonts w:hint="eastAsia" w:ascii="宋体" w:hAnsi="宋体" w:eastAsia="宋体" w:cs="楷体"/>
          <w:bCs/>
          <w:color w:val="auto"/>
          <w:kern w:val="0"/>
          <w:szCs w:val="21"/>
          <w:highlight w:val="none"/>
        </w:rPr>
        <w:t>要求</w:t>
      </w:r>
      <w:r>
        <w:rPr>
          <w:rFonts w:ascii="宋体" w:hAnsi="宋体" w:eastAsia="宋体" w:cs="楷体"/>
          <w:bCs/>
          <w:color w:val="auto"/>
          <w:kern w:val="0"/>
          <w:szCs w:val="21"/>
          <w:highlight w:val="none"/>
        </w:rPr>
        <w:t>或</w:t>
      </w:r>
      <w:r>
        <w:rPr>
          <w:rFonts w:hint="eastAsia" w:ascii="宋体" w:hAnsi="宋体" w:eastAsia="宋体" w:cs="楷体"/>
          <w:bCs/>
          <w:color w:val="auto"/>
          <w:kern w:val="0"/>
          <w:szCs w:val="21"/>
          <w:highlight w:val="none"/>
        </w:rPr>
        <w:t>偏离</w:t>
      </w:r>
      <w:r>
        <w:rPr>
          <w:rFonts w:ascii="宋体" w:hAnsi="宋体" w:eastAsia="宋体" w:cs="楷体"/>
          <w:bCs/>
          <w:color w:val="auto"/>
          <w:kern w:val="0"/>
          <w:szCs w:val="21"/>
          <w:highlight w:val="none"/>
        </w:rPr>
        <w:t>项目实施要求的</w:t>
      </w:r>
      <w:r>
        <w:rPr>
          <w:rFonts w:hint="eastAsia" w:ascii="宋体" w:hAnsi="宋体" w:eastAsia="宋体" w:cs="楷体"/>
          <w:bCs/>
          <w:color w:val="auto"/>
          <w:kern w:val="0"/>
          <w:szCs w:val="21"/>
          <w:highlight w:val="none"/>
        </w:rPr>
        <w:t>，</w:t>
      </w:r>
      <w:r>
        <w:rPr>
          <w:rFonts w:ascii="宋体" w:hAnsi="宋体" w:eastAsia="宋体" w:cs="楷体"/>
          <w:bCs/>
          <w:color w:val="auto"/>
          <w:kern w:val="0"/>
          <w:szCs w:val="21"/>
          <w:highlight w:val="none"/>
        </w:rPr>
        <w:t>有权</w:t>
      </w:r>
      <w:r>
        <w:rPr>
          <w:rFonts w:hint="eastAsia" w:ascii="宋体" w:hAnsi="宋体" w:eastAsia="宋体" w:cs="楷体"/>
          <w:bCs/>
          <w:color w:val="auto"/>
          <w:kern w:val="0"/>
          <w:szCs w:val="21"/>
          <w:highlight w:val="none"/>
        </w:rPr>
        <w:t>要求</w:t>
      </w:r>
      <w:r>
        <w:rPr>
          <w:rFonts w:ascii="宋体" w:hAnsi="宋体" w:eastAsia="宋体" w:cs="楷体"/>
          <w:bCs/>
          <w:color w:val="auto"/>
          <w:kern w:val="0"/>
          <w:szCs w:val="21"/>
          <w:highlight w:val="none"/>
        </w:rPr>
        <w:t>乙方</w:t>
      </w:r>
      <w:r>
        <w:rPr>
          <w:rFonts w:hint="eastAsia" w:ascii="宋体" w:hAnsi="宋体" w:eastAsia="宋体" w:cs="楷体"/>
          <w:bCs/>
          <w:color w:val="auto"/>
          <w:kern w:val="0"/>
          <w:szCs w:val="21"/>
          <w:highlight w:val="none"/>
        </w:rPr>
        <w:t>在限期内进行</w:t>
      </w:r>
      <w:r>
        <w:rPr>
          <w:rFonts w:ascii="宋体" w:hAnsi="宋体" w:eastAsia="宋体" w:cs="楷体"/>
          <w:bCs/>
          <w:color w:val="auto"/>
          <w:kern w:val="0"/>
          <w:szCs w:val="21"/>
          <w:highlight w:val="none"/>
        </w:rPr>
        <w:t>修改。</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w:t>
      </w:r>
      <w:r>
        <w:rPr>
          <w:rFonts w:ascii="宋体" w:hAnsi="宋体" w:eastAsia="宋体" w:cs="楷体"/>
          <w:bCs/>
          <w:color w:val="auto"/>
          <w:kern w:val="0"/>
          <w:szCs w:val="21"/>
          <w:highlight w:val="none"/>
        </w:rPr>
        <w:t>2</w:t>
      </w:r>
      <w:r>
        <w:rPr>
          <w:rFonts w:hint="eastAsia" w:ascii="宋体" w:hAnsi="宋体" w:eastAsia="宋体" w:cs="楷体"/>
          <w:bCs/>
          <w:color w:val="auto"/>
          <w:kern w:val="0"/>
          <w:szCs w:val="21"/>
          <w:highlight w:val="none"/>
        </w:rPr>
        <w:t xml:space="preserve"> 审核确认选型后的设备、仪表、零配件、备品备件等的品牌型号、规格尺寸等参数。</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8.3 有权不定期地对乙方的服务实施情况进行监督、检查。如发现乙方存在未按相关文件规定执行，或不符合设计和规范要求行为的（包括但不限于采购运用于本项目的材料、设备不符合质量要求），甲方有权要求乙方限期改正等，由此产生的费用由乙方全部承担。</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w:t>
      </w:r>
      <w:r>
        <w:rPr>
          <w:rFonts w:ascii="宋体" w:hAnsi="宋体" w:eastAsia="宋体" w:cs="楷体"/>
          <w:bCs/>
          <w:color w:val="auto"/>
          <w:kern w:val="0"/>
          <w:szCs w:val="21"/>
          <w:highlight w:val="none"/>
        </w:rPr>
        <w:t>4</w:t>
      </w:r>
      <w:r>
        <w:rPr>
          <w:rFonts w:hint="eastAsia" w:ascii="宋体" w:hAnsi="宋体" w:eastAsia="宋体" w:cs="楷体"/>
          <w:bCs/>
          <w:color w:val="auto"/>
          <w:kern w:val="0"/>
          <w:szCs w:val="21"/>
          <w:highlight w:val="none"/>
        </w:rPr>
        <w:t xml:space="preserve"> 监督、指导乙方进行技术服务工作，具有纠正乙方出现问题的权利，甲方有权要求乙方对不符合要求的技术服务措施提出书面整改意见，乙方应在甲方规定的时间内完成整改。</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w:t>
      </w:r>
      <w:r>
        <w:rPr>
          <w:rFonts w:ascii="宋体" w:hAnsi="宋体" w:eastAsia="宋体" w:cs="楷体"/>
          <w:bCs/>
          <w:color w:val="auto"/>
          <w:kern w:val="0"/>
          <w:szCs w:val="21"/>
          <w:highlight w:val="none"/>
        </w:rPr>
        <w:t>5</w:t>
      </w:r>
      <w:r>
        <w:rPr>
          <w:rFonts w:hint="eastAsia" w:ascii="宋体" w:hAnsi="宋体" w:eastAsia="宋体" w:cs="楷体"/>
          <w:bCs/>
          <w:color w:val="auto"/>
          <w:kern w:val="0"/>
          <w:szCs w:val="21"/>
          <w:highlight w:val="none"/>
        </w:rPr>
        <w:t xml:space="preserve"> 服务期内，甲方有权依据国家、行业有关规范标准，调整完善服务技术要求，乙方同意遵照执行。如服务期内相关管理部门出台相关执行标准，则执行新的标准，当新的标准与用户需求书中的执行标准要求不一致时，以要求最高的规范标准作为本项目的执行标准。在合同服务期内，乙方同意不因相关执行标准的调整而要求甲方增加费用或要求补偿。</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w:t>
      </w: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 xml:space="preserve"> 甲方按照既定的审批支付程序，及时办理服务费的支付手续。</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w:t>
      </w:r>
      <w:r>
        <w:rPr>
          <w:rFonts w:ascii="宋体" w:hAnsi="宋体" w:eastAsia="宋体" w:cs="楷体"/>
          <w:bCs/>
          <w:color w:val="auto"/>
          <w:kern w:val="0"/>
          <w:szCs w:val="21"/>
          <w:highlight w:val="none"/>
        </w:rPr>
        <w:t>7</w:t>
      </w:r>
      <w:r>
        <w:rPr>
          <w:rFonts w:hint="eastAsia" w:ascii="宋体" w:hAnsi="宋体" w:eastAsia="宋体" w:cs="楷体"/>
          <w:bCs/>
          <w:color w:val="auto"/>
          <w:kern w:val="0"/>
          <w:szCs w:val="21"/>
          <w:highlight w:val="none"/>
        </w:rPr>
        <w:t xml:space="preserve"> 施工现场用水、用电在有条件的情况下由甲方负责提供水、电接入点，</w:t>
      </w:r>
      <w:r>
        <w:rPr>
          <w:rFonts w:ascii="宋体" w:hAnsi="宋体" w:eastAsia="宋体" w:cs="楷体"/>
          <w:bCs/>
          <w:color w:val="auto"/>
          <w:kern w:val="0"/>
          <w:szCs w:val="21"/>
          <w:highlight w:val="none"/>
        </w:rPr>
        <w:t>乙方自行</w:t>
      </w:r>
      <w:r>
        <w:rPr>
          <w:rFonts w:hint="eastAsia" w:ascii="宋体" w:hAnsi="宋体" w:eastAsia="宋体" w:cs="楷体"/>
          <w:bCs/>
          <w:color w:val="auto"/>
          <w:kern w:val="0"/>
          <w:szCs w:val="21"/>
          <w:highlight w:val="none"/>
        </w:rPr>
        <w:t>接入</w:t>
      </w:r>
      <w:r>
        <w:rPr>
          <w:rFonts w:ascii="宋体" w:hAnsi="宋体" w:eastAsia="宋体" w:cs="楷体"/>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 xml:space="preserve">8.8 </w:t>
      </w:r>
      <w:r>
        <w:rPr>
          <w:rFonts w:hint="eastAsia" w:ascii="宋体" w:hAnsi="宋体" w:eastAsia="宋体" w:cs="Times New Roman"/>
          <w:color w:val="auto"/>
          <w:szCs w:val="21"/>
          <w:highlight w:val="none"/>
        </w:rPr>
        <w:t>合同期内如因</w:t>
      </w:r>
      <w:r>
        <w:rPr>
          <w:rFonts w:ascii="宋体" w:hAnsi="宋体" w:eastAsia="宋体" w:cs="楷体"/>
          <w:bCs/>
          <w:color w:val="auto"/>
          <w:kern w:val="0"/>
          <w:szCs w:val="21"/>
          <w:highlight w:val="none"/>
        </w:rPr>
        <w:t>甲方</w:t>
      </w:r>
      <w:r>
        <w:rPr>
          <w:rFonts w:hint="eastAsia" w:ascii="宋体" w:hAnsi="宋体" w:eastAsia="宋体" w:cs="Times New Roman"/>
          <w:color w:val="auto"/>
          <w:szCs w:val="21"/>
          <w:highlight w:val="none"/>
        </w:rPr>
        <w:t>需要加强对乙方的管理工作，</w:t>
      </w:r>
      <w:r>
        <w:rPr>
          <w:rFonts w:ascii="宋体" w:hAnsi="宋体" w:eastAsia="宋体" w:cs="楷体"/>
          <w:bCs/>
          <w:color w:val="auto"/>
          <w:kern w:val="0"/>
          <w:szCs w:val="21"/>
          <w:highlight w:val="none"/>
        </w:rPr>
        <w:t>甲方</w:t>
      </w:r>
      <w:r>
        <w:rPr>
          <w:rFonts w:hint="eastAsia" w:ascii="宋体" w:hAnsi="宋体" w:eastAsia="宋体" w:cs="Times New Roman"/>
          <w:color w:val="auto"/>
          <w:szCs w:val="21"/>
          <w:highlight w:val="none"/>
        </w:rPr>
        <w:t>有权出具相应的管理措施，乙方应无条件接受</w:t>
      </w:r>
      <w:r>
        <w:rPr>
          <w:rFonts w:ascii="宋体" w:hAnsi="宋体" w:eastAsia="宋体" w:cs="楷体"/>
          <w:bCs/>
          <w:color w:val="auto"/>
          <w:kern w:val="0"/>
          <w:szCs w:val="21"/>
          <w:highlight w:val="none"/>
        </w:rPr>
        <w:t>甲方</w:t>
      </w:r>
      <w:r>
        <w:rPr>
          <w:rFonts w:hint="eastAsia" w:ascii="宋体" w:hAnsi="宋体" w:eastAsia="宋体" w:cs="Times New Roman"/>
          <w:color w:val="auto"/>
          <w:szCs w:val="21"/>
          <w:highlight w:val="none"/>
        </w:rPr>
        <w:t>的管理工作，乙方不得持有异议。</w:t>
      </w:r>
    </w:p>
    <w:p>
      <w:pPr>
        <w:autoSpaceDE w:val="0"/>
        <w:autoSpaceDN w:val="0"/>
        <w:adjustRightInd w:val="0"/>
        <w:spacing w:line="360" w:lineRule="auto"/>
        <w:ind w:firstLine="420" w:firstLineChars="200"/>
        <w:jc w:val="left"/>
        <w:rPr>
          <w:rFonts w:ascii="Times New Roman" w:hAnsi="Times New Roman" w:eastAsia="宋体" w:cs="Times New Roman"/>
          <w:color w:val="auto"/>
          <w:szCs w:val="21"/>
          <w:highlight w:val="none"/>
        </w:rPr>
      </w:pPr>
      <w:r>
        <w:rPr>
          <w:rFonts w:hint="eastAsia" w:ascii="宋体" w:hAnsi="宋体" w:eastAsia="宋体" w:cs="楷体"/>
          <w:bCs/>
          <w:color w:val="auto"/>
          <w:kern w:val="0"/>
          <w:szCs w:val="21"/>
          <w:highlight w:val="none"/>
        </w:rPr>
        <w:t>8.9</w:t>
      </w:r>
      <w:r>
        <w:rPr>
          <w:rFonts w:ascii="Times New Roman" w:hAnsi="Times New Roman" w:eastAsia="宋体" w:cs="Times New Roman"/>
          <w:color w:val="auto"/>
          <w:highlight w:val="none"/>
        </w:rPr>
        <w:t>乙方</w:t>
      </w:r>
      <w:r>
        <w:rPr>
          <w:rFonts w:ascii="Times New Roman" w:hAnsi="Times New Roman" w:eastAsia="宋体" w:cs="Times New Roman"/>
          <w:color w:val="auto"/>
          <w:szCs w:val="21"/>
          <w:highlight w:val="none"/>
        </w:rPr>
        <w:t>有违反本项目管理及合同约定等行为的，甲方有权</w:t>
      </w:r>
      <w:r>
        <w:rPr>
          <w:rFonts w:hint="eastAsia" w:ascii="Times New Roman" w:hAnsi="Times New Roman" w:eastAsia="宋体" w:cs="Times New Roman"/>
          <w:color w:val="auto"/>
          <w:szCs w:val="21"/>
          <w:highlight w:val="none"/>
        </w:rPr>
        <w:t>上报甲方集团公司将乙方列入黑名单，</w:t>
      </w:r>
      <w:r>
        <w:rPr>
          <w:rFonts w:ascii="Times New Roman" w:hAnsi="Times New Roman" w:eastAsia="宋体" w:cs="Times New Roman"/>
          <w:color w:val="auto"/>
          <w:szCs w:val="21"/>
          <w:highlight w:val="none"/>
        </w:rPr>
        <w:t>向东莞阳光网、东莞日报等媒体公开乙方失信行为，并</w:t>
      </w:r>
      <w:r>
        <w:rPr>
          <w:rFonts w:hint="eastAsia" w:ascii="Times New Roman" w:hAnsi="Times New Roman" w:eastAsia="宋体" w:cs="Times New Roman"/>
          <w:color w:val="auto"/>
          <w:szCs w:val="21"/>
          <w:highlight w:val="none"/>
        </w:rPr>
        <w:t>有权</w:t>
      </w:r>
      <w:r>
        <w:rPr>
          <w:rFonts w:ascii="Times New Roman" w:hAnsi="Times New Roman" w:eastAsia="宋体" w:cs="Times New Roman"/>
          <w:color w:val="auto"/>
          <w:szCs w:val="21"/>
          <w:highlight w:val="none"/>
        </w:rPr>
        <w:t>上报东莞市住建局、东莞市水污染治理现场指挥部等</w:t>
      </w:r>
      <w:r>
        <w:rPr>
          <w:rFonts w:hint="eastAsia" w:ascii="Times New Roman" w:hAnsi="Times New Roman" w:eastAsia="宋体" w:cs="Times New Roman"/>
          <w:color w:val="auto"/>
          <w:szCs w:val="21"/>
          <w:highlight w:val="none"/>
        </w:rPr>
        <w:t>相关行政主管</w:t>
      </w:r>
      <w:r>
        <w:rPr>
          <w:rFonts w:ascii="Times New Roman" w:hAnsi="Times New Roman" w:eastAsia="宋体" w:cs="Times New Roman"/>
          <w:color w:val="auto"/>
          <w:szCs w:val="21"/>
          <w:highlight w:val="none"/>
        </w:rPr>
        <w:t>部门</w:t>
      </w:r>
      <w:r>
        <w:rPr>
          <w:rFonts w:hint="eastAsia" w:ascii="Times New Roman" w:hAnsi="Times New Roman" w:eastAsia="宋体" w:cs="Times New Roman"/>
          <w:color w:val="auto"/>
          <w:szCs w:val="21"/>
          <w:highlight w:val="none"/>
        </w:rPr>
        <w:t>建议</w:t>
      </w:r>
      <w:r>
        <w:rPr>
          <w:rFonts w:ascii="Times New Roman" w:hAnsi="Times New Roman" w:eastAsia="宋体" w:cs="Times New Roman"/>
          <w:color w:val="auto"/>
          <w:szCs w:val="21"/>
          <w:highlight w:val="none"/>
        </w:rPr>
        <w:t>取消乙方参加东莞市公开招标项目的投标资格等，并按相关规定对乙方进行处理，由此产生的影响将由乙方承担。</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ascii="宋体" w:hAnsi="宋体" w:eastAsia="宋体" w:cs="楷体"/>
          <w:color w:val="auto"/>
          <w:kern w:val="0"/>
          <w:szCs w:val="21"/>
          <w:highlight w:val="none"/>
        </w:rPr>
        <w:t>8.10在合同履行期间，甲方有权要求终止或单方解除合同，乙方未开始工作的，甲方无需支付任何费用；已开始工作的，甲方应根据乙方已进行的实际工作量结算相关费用。上述情况下本合同终止或解除的，双方互不追究责任。</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8.11 合同文件及甲方征集文件（含公告、《管理办法》）、任务通知单等的内容约定的甲方其他权利义务。</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九、乙方权利和义务</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9.1 在满足甲方公开征集文件的前提下，严格按照其申请入库响应时提供的服务资料（包括、设备、人员等）并按照合同要求履行合同义务（含本合同、甲方公开征集文件、任务通知单等）。根据项目实际情况，如需调整服务的，应按甲方要求无条件调整服务方案等，并以调整后的方案进行服务工作。</w:t>
      </w:r>
    </w:p>
    <w:p>
      <w:pPr>
        <w:autoSpaceDE w:val="0"/>
        <w:autoSpaceDN w:val="0"/>
        <w:adjustRightInd w:val="0"/>
        <w:spacing w:line="360" w:lineRule="auto"/>
        <w:ind w:firstLine="424" w:firstLineChars="202"/>
        <w:jc w:val="left"/>
        <w:rPr>
          <w:rFonts w:ascii="宋体" w:hAnsi="宋体" w:eastAsia="宋体" w:cs="楷体"/>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2</w:t>
      </w:r>
      <w:r>
        <w:rPr>
          <w:rFonts w:hint="eastAsia" w:ascii="宋体" w:hAnsi="宋体" w:eastAsia="宋体" w:cs="楷体"/>
          <w:bCs/>
          <w:color w:val="auto"/>
          <w:kern w:val="0"/>
          <w:szCs w:val="21"/>
          <w:highlight w:val="none"/>
        </w:rPr>
        <w:t xml:space="preserve"> 在服务过程中，遵守有关安全生产管理规定，建立完善安全管理制度，安全生产事故报告制度，采取必要的安全防护措施（如为乙方人员配置统一的工作服和反光袖套、气体检测措施及通风措施等），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足额赔偿。若乙方产生劳动纠纷或仲裁或诉讼，均由乙方自行处理并承担损害赔偿，甲方不承担任何责任。</w:t>
      </w:r>
      <w:r>
        <w:rPr>
          <w:rFonts w:hint="eastAsia" w:ascii="宋体" w:hAnsi="宋体" w:eastAsia="宋体"/>
          <w:color w:val="auto"/>
          <w:kern w:val="0"/>
          <w:szCs w:val="21"/>
          <w:highlight w:val="none"/>
        </w:rPr>
        <w:t>若甲方需参加诉讼，相关费用（包括但不限于诉讼费、律师费、鉴定费、公证费、交通住宿费等全部）及损失全部由乙方承担，甲方有权在未付款项中直接抵扣或启动履约担保支付。</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3</w:t>
      </w:r>
      <w:r>
        <w:rPr>
          <w:rFonts w:hint="eastAsia" w:ascii="宋体" w:hAnsi="宋体" w:eastAsia="宋体" w:cs="楷体"/>
          <w:bCs/>
          <w:color w:val="auto"/>
          <w:kern w:val="0"/>
          <w:szCs w:val="21"/>
          <w:highlight w:val="none"/>
        </w:rPr>
        <w:t xml:space="preserve"> 建立及完善符合本项目实施所要求的内部管理制度，如因质量问题、操作不当或乙方自身管理原因而造成一切责任及经济损失由乙方承担。</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4</w:t>
      </w:r>
      <w:r>
        <w:rPr>
          <w:rFonts w:hint="eastAsia" w:ascii="宋体" w:hAnsi="宋体" w:eastAsia="宋体" w:cs="楷体"/>
          <w:bCs/>
          <w:color w:val="auto"/>
          <w:kern w:val="0"/>
          <w:szCs w:val="21"/>
          <w:highlight w:val="none"/>
        </w:rPr>
        <w:t xml:space="preserve"> 在服务范围内按规范进行设备吊运及拆卸，并做好过程中设备的保护工作。若乙方防护不力而造成一切责任及经济损失由乙方承担。造成甲方损失的，甲方有权单方解除合同，</w:t>
      </w:r>
      <w:r>
        <w:rPr>
          <w:rFonts w:hint="eastAsia" w:ascii="宋体" w:hAnsi="宋体" w:eastAsia="宋体" w:cs="楷体"/>
          <w:color w:val="auto"/>
          <w:kern w:val="0"/>
          <w:szCs w:val="21"/>
          <w:highlight w:val="none"/>
        </w:rPr>
        <w:t>乙方</w:t>
      </w:r>
      <w:r>
        <w:rPr>
          <w:rFonts w:hint="eastAsia" w:ascii="宋体" w:hAnsi="宋体" w:eastAsia="宋体" w:cs="楷体"/>
          <w:bCs/>
          <w:color w:val="auto"/>
          <w:kern w:val="0"/>
          <w:szCs w:val="21"/>
          <w:highlight w:val="none"/>
        </w:rPr>
        <w:t>除赔偿甲方损失外，还</w:t>
      </w:r>
      <w:r>
        <w:rPr>
          <w:rFonts w:hint="eastAsia" w:ascii="宋体" w:hAnsi="宋体" w:eastAsia="宋体" w:cs="楷体"/>
          <w:color w:val="auto"/>
          <w:kern w:val="0"/>
          <w:szCs w:val="21"/>
          <w:highlight w:val="none"/>
        </w:rPr>
        <w:t>应向甲方支付该具体委派项目合同价（不含乙方销项税）的20%或与履约担保等额的违约金（以两者较高的金额作为该次违约金金额）。</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5</w:t>
      </w:r>
      <w:r>
        <w:rPr>
          <w:rFonts w:hint="eastAsia" w:ascii="宋体" w:hAnsi="宋体" w:eastAsia="宋体" w:cs="楷体"/>
          <w:bCs/>
          <w:color w:val="auto"/>
          <w:kern w:val="0"/>
          <w:szCs w:val="21"/>
          <w:highlight w:val="none"/>
        </w:rPr>
        <w:t xml:space="preserve"> 在本合同履行期间，乙方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w:t>
      </w:r>
      <w:r>
        <w:rPr>
          <w:rFonts w:hint="eastAsia" w:ascii="宋体" w:hAnsi="宋体" w:eastAsia="宋体"/>
          <w:color w:val="auto"/>
          <w:kern w:val="0"/>
          <w:szCs w:val="21"/>
          <w:highlight w:val="none"/>
        </w:rPr>
        <w:t>无须对这些意外事故、工伤、死亡承担任何责任</w:t>
      </w:r>
      <w:r>
        <w:rPr>
          <w:rFonts w:hint="eastAsia" w:ascii="宋体" w:hAnsi="宋体" w:eastAsia="宋体" w:cs="楷体"/>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6</w:t>
      </w:r>
      <w:r>
        <w:rPr>
          <w:rFonts w:hint="eastAsia" w:ascii="宋体" w:hAnsi="宋体" w:eastAsia="宋体" w:cs="楷体"/>
          <w:bCs/>
          <w:color w:val="auto"/>
          <w:kern w:val="0"/>
          <w:szCs w:val="21"/>
          <w:highlight w:val="none"/>
        </w:rPr>
        <w:t>、严格遵守国家法律、法规，协助甲方做好社会治安综合管理工作和计划生育等工作。乙方员工有违法乱纪的行为，乙方应承担一切经济责任和法律责任。</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9.7 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autoSpaceDE w:val="0"/>
        <w:autoSpaceDN w:val="0"/>
        <w:adjustRightInd w:val="0"/>
        <w:spacing w:line="360" w:lineRule="auto"/>
        <w:ind w:firstLine="424" w:firstLineChars="202"/>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9.8 建立健全内部管理制度，并接受甲方及有关主管部门对项目服务状况、服务质量的监督检查。</w:t>
      </w:r>
      <w:r>
        <w:rPr>
          <w:rFonts w:hint="eastAsia" w:ascii="宋体" w:hAnsi="宋体" w:eastAsia="宋体" w:cs="Times New Roman"/>
          <w:color w:val="auto"/>
          <w:kern w:val="0"/>
          <w:szCs w:val="21"/>
          <w:highlight w:val="none"/>
        </w:rPr>
        <w:t>因乙方原因导致甲方损失的，乙方应当全额赔偿甲方的损失。</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9</w:t>
      </w:r>
      <w:r>
        <w:rPr>
          <w:rFonts w:hint="eastAsia" w:ascii="宋体" w:hAnsi="宋体" w:eastAsia="宋体" w:cs="楷体"/>
          <w:bCs/>
          <w:color w:val="auto"/>
          <w:kern w:val="0"/>
          <w:szCs w:val="21"/>
          <w:highlight w:val="none"/>
        </w:rPr>
        <w:t xml:space="preserve"> 在合同期限内保存好全部与技术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9.10 如施工现场甲方无法提供水、电接入点，乙方自行解决施工用水、用电并承担相关费用。</w:t>
      </w:r>
    </w:p>
    <w:p>
      <w:pPr>
        <w:spacing w:line="360" w:lineRule="auto"/>
        <w:ind w:firstLine="420" w:firstLineChars="200"/>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11</w:t>
      </w:r>
      <w:r>
        <w:rPr>
          <w:rFonts w:hint="eastAsia" w:ascii="宋体" w:hAnsi="宋体" w:eastAsia="宋体" w:cs="楷体"/>
          <w:bCs/>
          <w:color w:val="auto"/>
          <w:kern w:val="0"/>
          <w:szCs w:val="21"/>
          <w:highlight w:val="none"/>
        </w:rPr>
        <w:t xml:space="preserve"> 如有必要</w:t>
      </w:r>
      <w:r>
        <w:rPr>
          <w:rFonts w:ascii="宋体" w:hAnsi="宋体" w:eastAsia="宋体" w:cs="楷体"/>
          <w:bCs/>
          <w:color w:val="auto"/>
          <w:kern w:val="0"/>
          <w:szCs w:val="21"/>
          <w:highlight w:val="none"/>
        </w:rPr>
        <w:t>，</w:t>
      </w:r>
      <w:r>
        <w:rPr>
          <w:rFonts w:hint="eastAsia" w:ascii="宋体" w:hAnsi="宋体" w:eastAsia="宋体" w:cs="楷体"/>
          <w:bCs/>
          <w:color w:val="auto"/>
          <w:kern w:val="0"/>
          <w:szCs w:val="21"/>
          <w:highlight w:val="none"/>
        </w:rPr>
        <w:t>乙方负责完成污水处理厂/泵站堵水、抽水、停水等作业方案并协助甲方向东莞市生态环境局或属地镇街相关部门上报，乙方按需组织方案论证会议（并承担会务及评审专家的费用），无条件修改作业方案直至批准实施并承担相关费用。如乙方需停水停产作业的，在污水处理厂/泵站/管网堵水、抽水、停水等作业前，应上报详细的作业方案，包括停水措施、停水时间等，并征得甲方同意。如果有必要，还需征得市生态环境局或属地镇街相关主管部门的同意后方可实施。乙方擅自在污水处理厂/泵站实施堵水、抽水、停水等作业的，造成甲方损失的，</w:t>
      </w:r>
      <w:r>
        <w:rPr>
          <w:rFonts w:hint="eastAsia" w:ascii="宋体" w:hAnsi="宋体" w:eastAsia="宋体" w:cs="Times New Roman"/>
          <w:color w:val="auto"/>
          <w:kern w:val="0"/>
          <w:szCs w:val="21"/>
          <w:highlight w:val="none"/>
        </w:rPr>
        <w:t>应当全额赔偿甲方的损失。同时，甲方有权单方解除合同，有权要求乙方向其支付履约担保等额的违约金。</w:t>
      </w:r>
    </w:p>
    <w:p>
      <w:pPr>
        <w:autoSpaceDE w:val="0"/>
        <w:autoSpaceDN w:val="0"/>
        <w:adjustRightInd w:val="0"/>
        <w:spacing w:line="360" w:lineRule="auto"/>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 xml:space="preserve">    9.</w:t>
      </w:r>
      <w:r>
        <w:rPr>
          <w:rFonts w:ascii="宋体" w:hAnsi="宋体" w:eastAsia="宋体" w:cs="楷体"/>
          <w:bCs/>
          <w:color w:val="auto"/>
          <w:kern w:val="0"/>
          <w:szCs w:val="21"/>
          <w:highlight w:val="none"/>
        </w:rPr>
        <w:t>1</w:t>
      </w:r>
      <w:r>
        <w:rPr>
          <w:rFonts w:hint="eastAsia" w:ascii="宋体" w:hAnsi="宋体" w:eastAsia="宋体" w:cs="楷体"/>
          <w:bCs/>
          <w:color w:val="auto"/>
          <w:kern w:val="0"/>
          <w:szCs w:val="21"/>
          <w:highlight w:val="none"/>
        </w:rPr>
        <w:t>2 乙方保证对其在讨论、签订、履行本合同及任务通知单过程中所获悉的属于甲方或委托方的且无法从公开渠道获得的文件资料及项目信息予以严格保密并应采取相应的保密措施，保证其自身及工作人员不私自使用或向任何第三方泄露，否则乙方承担由此给甲方或委托方造成的一切损失。</w:t>
      </w:r>
    </w:p>
    <w:p>
      <w:pPr>
        <w:autoSpaceDN w:val="0"/>
        <w:spacing w:line="360" w:lineRule="auto"/>
        <w:ind w:firstLine="420" w:firstLineChars="200"/>
        <w:jc w:val="left"/>
        <w:rPr>
          <w:rFonts w:ascii="宋体" w:hAnsi="宋体" w:cs="楷体"/>
          <w:color w:val="auto"/>
          <w:kern w:val="0"/>
          <w:szCs w:val="21"/>
          <w:highlight w:val="none"/>
        </w:rPr>
      </w:pPr>
      <w:r>
        <w:rPr>
          <w:rFonts w:ascii="宋体" w:hAnsi="宋体" w:eastAsia="宋体" w:cs="楷体"/>
          <w:bCs/>
          <w:color w:val="auto"/>
          <w:kern w:val="0"/>
          <w:szCs w:val="21"/>
          <w:highlight w:val="none"/>
        </w:rPr>
        <w:t>9.13</w:t>
      </w:r>
      <w:r>
        <w:rPr>
          <w:rFonts w:hint="eastAsia" w:ascii="宋体" w:hAnsi="宋体" w:eastAsia="宋体" w:cs="楷体"/>
          <w:bCs/>
          <w:color w:val="auto"/>
          <w:kern w:val="0"/>
          <w:szCs w:val="21"/>
          <w:highlight w:val="none"/>
        </w:rPr>
        <w:t>为确保服务质量及与甲方沟通联络，乙方须设置专职主管（姓名：</w:t>
      </w:r>
      <w:r>
        <w:rPr>
          <w:rFonts w:ascii="宋体" w:hAnsi="宋体" w:eastAsia="宋体" w:cs="楷体"/>
          <w:bCs/>
          <w:color w:val="auto"/>
          <w:kern w:val="0"/>
          <w:szCs w:val="21"/>
          <w:highlight w:val="none"/>
        </w:rPr>
        <w:t xml:space="preserve">         </w:t>
      </w:r>
      <w:r>
        <w:rPr>
          <w:rFonts w:hint="eastAsia" w:ascii="宋体" w:hAnsi="宋体" w:eastAsia="宋体" w:cs="楷体"/>
          <w:bCs/>
          <w:color w:val="auto"/>
          <w:kern w:val="0"/>
          <w:szCs w:val="21"/>
          <w:highlight w:val="none"/>
        </w:rPr>
        <w:t xml:space="preserve">；电话：   </w:t>
      </w:r>
      <w:r>
        <w:rPr>
          <w:rFonts w:ascii="宋体" w:hAnsi="宋体" w:eastAsia="宋体" w:cs="楷体"/>
          <w:bCs/>
          <w:color w:val="auto"/>
          <w:kern w:val="0"/>
          <w:szCs w:val="21"/>
          <w:highlight w:val="non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电子邮箱：</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楷体"/>
          <w:bCs/>
          <w:color w:val="auto"/>
          <w:kern w:val="0"/>
          <w:szCs w:val="21"/>
          <w:highlight w:val="none"/>
        </w:rPr>
        <w:t>，同时须提交专职主管与乙方的社保关系证明，专职主管负责对本项目的服务范围、服务质量的检查监督及与甲方日常业务联系；如出现社保中断等情况，甲方有权停止乙方的接单资格。</w:t>
      </w:r>
    </w:p>
    <w:p>
      <w:pPr>
        <w:autoSpaceDE w:val="0"/>
        <w:autoSpaceDN w:val="0"/>
        <w:adjustRightInd w:val="0"/>
        <w:spacing w:line="360" w:lineRule="auto"/>
        <w:ind w:firstLine="420"/>
        <w:jc w:val="left"/>
        <w:rPr>
          <w:rFonts w:ascii="宋体" w:hAnsi="宋体" w:eastAsia="宋体" w:cs="楷体"/>
          <w:bCs/>
          <w:color w:val="auto"/>
          <w:kern w:val="0"/>
          <w:szCs w:val="21"/>
          <w:highlight w:val="none"/>
        </w:rPr>
      </w:pPr>
      <w:r>
        <w:rPr>
          <w:rFonts w:ascii="宋体" w:hAnsi="宋体" w:eastAsia="宋体" w:cs="楷体"/>
          <w:bCs/>
          <w:color w:val="auto"/>
          <w:kern w:val="0"/>
          <w:szCs w:val="21"/>
          <w:highlight w:val="none"/>
        </w:rPr>
        <w:t xml:space="preserve">9.14 </w:t>
      </w:r>
      <w:r>
        <w:rPr>
          <w:rFonts w:hint="eastAsia" w:ascii="宋体" w:hAnsi="宋体" w:eastAsia="宋体" w:cs="楷体"/>
          <w:bCs/>
          <w:color w:val="auto"/>
          <w:kern w:val="0"/>
          <w:szCs w:val="21"/>
          <w:highlight w:val="none"/>
        </w:rPr>
        <w:t>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的，甲方有权要求乙方按具体委派项目合同价（不含乙方销项税）的</w:t>
      </w:r>
      <w:r>
        <w:rPr>
          <w:rFonts w:ascii="宋体" w:hAnsi="宋体" w:eastAsia="宋体" w:cs="楷体"/>
          <w:bCs/>
          <w:color w:val="auto"/>
          <w:kern w:val="0"/>
          <w:szCs w:val="21"/>
          <w:highlight w:val="none"/>
        </w:rPr>
        <w:t>20%或与履约担保等额的违约金（以两者较高的金额作为该次违约金金额）。</w:t>
      </w:r>
    </w:p>
    <w:p>
      <w:pPr>
        <w:autoSpaceDE w:val="0"/>
        <w:autoSpaceDN w:val="0"/>
        <w:adjustRightInd w:val="0"/>
        <w:spacing w:line="360" w:lineRule="auto"/>
        <w:ind w:firstLine="420" w:firstLineChars="200"/>
        <w:jc w:val="left"/>
        <w:rPr>
          <w:rFonts w:ascii="宋体" w:hAnsi="宋体" w:eastAsia="宋体" w:cs="楷体"/>
          <w:b/>
          <w:color w:val="auto"/>
          <w:kern w:val="0"/>
          <w:szCs w:val="21"/>
          <w:highlight w:val="none"/>
        </w:rPr>
      </w:pPr>
      <w:r>
        <w:rPr>
          <w:rFonts w:hint="eastAsia" w:ascii="宋体" w:hAnsi="宋体" w:eastAsia="宋体" w:cs="楷体"/>
          <w:bCs/>
          <w:color w:val="auto"/>
          <w:kern w:val="0"/>
          <w:szCs w:val="21"/>
          <w:highlight w:val="none"/>
        </w:rPr>
        <w:t>9.</w:t>
      </w:r>
      <w:r>
        <w:rPr>
          <w:rFonts w:hint="eastAsia" w:ascii="宋体" w:hAnsi="宋体" w:eastAsia="宋体" w:cs="楷体"/>
          <w:b/>
          <w:color w:val="auto"/>
          <w:kern w:val="0"/>
          <w:szCs w:val="21"/>
          <w:highlight w:val="none"/>
        </w:rPr>
        <w:t>15 乙方施工时，应对施工现场施工人员、项目负责人及技术人员实行实名制管理。</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w:t>
      </w:r>
      <w:r>
        <w:rPr>
          <w:rFonts w:ascii="宋体" w:hAnsi="宋体" w:eastAsia="宋体" w:cs="楷体"/>
          <w:bCs/>
          <w:color w:val="auto"/>
          <w:kern w:val="0"/>
          <w:szCs w:val="21"/>
          <w:highlight w:val="none"/>
        </w:rPr>
        <w:t>1</w:t>
      </w:r>
      <w:r>
        <w:rPr>
          <w:rFonts w:hint="eastAsia" w:ascii="宋体" w:hAnsi="宋体" w:eastAsia="宋体" w:cs="楷体"/>
          <w:bCs/>
          <w:color w:val="auto"/>
          <w:kern w:val="0"/>
          <w:szCs w:val="21"/>
          <w:highlight w:val="none"/>
        </w:rPr>
        <w:t>6 乙方不得将本合同及单项项目全部转让给第三人，或者未经甲方书面同意，将本合同及单项项目部分转让给第三人。</w:t>
      </w:r>
    </w:p>
    <w:p>
      <w:pPr>
        <w:autoSpaceDE w:val="0"/>
        <w:autoSpaceDN w:val="0"/>
        <w:adjustRightInd w:val="0"/>
        <w:spacing w:line="360" w:lineRule="auto"/>
        <w:ind w:firstLine="420" w:firstLineChars="20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9.17 合同文件、任务通知单及甲方征集文件（含公告、《管理办法》）、任务通知单等约定的乙方其他权利义务。</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十、违约责任</w:t>
      </w:r>
    </w:p>
    <w:p>
      <w:pPr>
        <w:widowControl/>
        <w:autoSpaceDE w:val="0"/>
        <w:autoSpaceDN w:val="0"/>
        <w:adjustRightInd w:val="0"/>
        <w:spacing w:line="360" w:lineRule="auto"/>
        <w:ind w:left="-619" w:leftChars="-295" w:firstLine="1039" w:firstLineChars="495"/>
        <w:jc w:val="left"/>
        <w:textAlignment w:val="bottom"/>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在合同履行期间，乙方违约产生的违约金、赔偿或其他应付费用等款项，甲方有权直接从未付款项中直接抵扣或启用履约担保予以支付。</w:t>
      </w:r>
    </w:p>
    <w:p>
      <w:pPr>
        <w:widowControl/>
        <w:autoSpaceDE w:val="0"/>
        <w:autoSpaceDN w:val="0"/>
        <w:adjustRightInd w:val="0"/>
        <w:spacing w:line="360" w:lineRule="auto"/>
        <w:ind w:firstLine="420" w:firstLineChars="200"/>
        <w:jc w:val="left"/>
        <w:textAlignment w:val="bottom"/>
        <w:rPr>
          <w:rFonts w:ascii="宋体" w:hAnsi="宋体" w:eastAsia="宋体" w:cs="楷体"/>
          <w:color w:val="auto"/>
          <w:kern w:val="0"/>
          <w:szCs w:val="21"/>
          <w:highlight w:val="none"/>
        </w:rPr>
      </w:pPr>
      <w:r>
        <w:rPr>
          <w:rFonts w:ascii="宋体" w:hAnsi="宋体" w:eastAsia="宋体" w:cs="楷体"/>
          <w:color w:val="auto"/>
          <w:kern w:val="0"/>
          <w:szCs w:val="21"/>
          <w:highlight w:val="none"/>
        </w:rPr>
        <w:t>10.1 在库期间，甲方发出报价邀请后，乙方</w:t>
      </w:r>
      <w:r>
        <w:rPr>
          <w:rFonts w:hint="eastAsia" w:ascii="宋体" w:hAnsi="宋体" w:eastAsia="宋体" w:cs="楷体"/>
          <w:color w:val="auto"/>
          <w:kern w:val="0"/>
          <w:szCs w:val="21"/>
          <w:highlight w:val="none"/>
        </w:rPr>
        <w:t>无</w:t>
      </w:r>
      <w:r>
        <w:rPr>
          <w:rFonts w:ascii="宋体" w:hAnsi="宋体" w:eastAsia="宋体" w:cs="楷体"/>
          <w:color w:val="auto"/>
          <w:kern w:val="0"/>
          <w:szCs w:val="21"/>
          <w:highlight w:val="none"/>
        </w:rPr>
        <w:t>正当理由</w:t>
      </w:r>
      <w:r>
        <w:rPr>
          <w:rFonts w:hint="eastAsia" w:ascii="宋体" w:hAnsi="宋体" w:eastAsia="宋体" w:cs="楷体"/>
          <w:color w:val="auto"/>
          <w:kern w:val="0"/>
          <w:szCs w:val="21"/>
          <w:highlight w:val="none"/>
        </w:rPr>
        <w:t>拒绝报价或接单的，</w:t>
      </w:r>
      <w:r>
        <w:rPr>
          <w:rFonts w:hint="eastAsia" w:ascii="Times New Roman" w:hAnsi="Times New Roman" w:eastAsia="宋体" w:cs="Times New Roman"/>
          <w:color w:val="auto"/>
          <w:szCs w:val="21"/>
          <w:highlight w:val="none"/>
        </w:rPr>
        <w:t>甲方有权按照《管理办法》规定暂停乙方报价或停止向乙方派单，</w:t>
      </w:r>
      <w:r>
        <w:rPr>
          <w:rFonts w:ascii="Times New Roman" w:hAnsi="Times New Roman" w:eastAsia="宋体" w:cs="Times New Roman"/>
          <w:color w:val="auto"/>
          <w:szCs w:val="21"/>
          <w:highlight w:val="none"/>
        </w:rPr>
        <w:t>同时</w:t>
      </w:r>
      <w:r>
        <w:rPr>
          <w:rFonts w:hint="eastAsia" w:ascii="Times New Roman" w:hAnsi="Times New Roman" w:eastAsia="宋体" w:cs="Times New Roman"/>
          <w:color w:val="auto"/>
          <w:szCs w:val="21"/>
          <w:highlight w:val="none"/>
        </w:rPr>
        <w:t>乙方</w:t>
      </w:r>
      <w:r>
        <w:rPr>
          <w:rFonts w:ascii="Times New Roman" w:hAnsi="Times New Roman" w:eastAsia="宋体" w:cs="Times New Roman"/>
          <w:color w:val="auto"/>
          <w:szCs w:val="21"/>
          <w:highlight w:val="none"/>
        </w:rPr>
        <w:t>应向甲方支付2,000.00元/次的违约金</w:t>
      </w:r>
      <w:r>
        <w:rPr>
          <w:rFonts w:hint="eastAsia" w:ascii="Times New Roman" w:hAnsi="Times New Roman" w:eastAsia="宋体" w:cs="Times New Roman"/>
          <w:color w:val="auto"/>
          <w:szCs w:val="21"/>
          <w:highlight w:val="none"/>
        </w:rPr>
        <w:t>，除此之外，</w:t>
      </w:r>
      <w:r>
        <w:rPr>
          <w:rFonts w:ascii="Times New Roman" w:hAnsi="Times New Roman" w:eastAsia="宋体" w:cs="Times New Roman"/>
          <w:color w:val="auto"/>
          <w:szCs w:val="21"/>
          <w:highlight w:val="none"/>
        </w:rPr>
        <w:t>甲方有权取消</w:t>
      </w:r>
      <w:r>
        <w:rPr>
          <w:rFonts w:hint="eastAsia" w:ascii="Times New Roman" w:hAnsi="Times New Roman" w:eastAsia="宋体" w:cs="Times New Roman"/>
          <w:color w:val="auto"/>
          <w:szCs w:val="21"/>
          <w:highlight w:val="none"/>
        </w:rPr>
        <w:t>乙方</w:t>
      </w:r>
      <w:r>
        <w:rPr>
          <w:rFonts w:ascii="Times New Roman" w:hAnsi="Times New Roman" w:eastAsia="宋体" w:cs="Times New Roman"/>
          <w:color w:val="auto"/>
          <w:szCs w:val="21"/>
          <w:highlight w:val="none"/>
        </w:rPr>
        <w:t>在库供应商资格，有权单方面解除本合同，并没收履约担保</w:t>
      </w:r>
      <w:r>
        <w:rPr>
          <w:rFonts w:hint="eastAsia" w:ascii="Times New Roman" w:hAnsi="Times New Roman" w:eastAsia="宋体" w:cs="Times New Roman"/>
          <w:color w:val="auto"/>
          <w:szCs w:val="21"/>
          <w:highlight w:val="none"/>
        </w:rPr>
        <w:t>，乙方对此无异议</w:t>
      </w:r>
      <w:r>
        <w:rPr>
          <w:rFonts w:ascii="Times New Roman" w:hAnsi="Times New Roman" w:eastAsia="宋体" w:cs="Times New Roman"/>
          <w:color w:val="auto"/>
          <w:szCs w:val="21"/>
          <w:highlight w:val="none"/>
        </w:rPr>
        <w:t>。</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2</w:t>
      </w:r>
      <w:r>
        <w:rPr>
          <w:rFonts w:hint="eastAsia" w:ascii="宋体" w:hAnsi="宋体" w:eastAsia="宋体" w:cs="楷体"/>
          <w:color w:val="auto"/>
          <w:kern w:val="0"/>
          <w:szCs w:val="21"/>
          <w:highlight w:val="none"/>
        </w:rPr>
        <w:t xml:space="preserve"> 乙方拒绝接受具体委派项目的，甲方有权单方解除本合同，乙方不得提出任何异议，且乙方须向甲方支付与承担履约保证金等额的违约金。同时，造成甲方的经济损失（包括但不限于重新采购、委托第三方的费用），由乙方承担全部赔偿责任。</w:t>
      </w:r>
    </w:p>
    <w:p>
      <w:pPr>
        <w:widowControl/>
        <w:autoSpaceDE w:val="0"/>
        <w:autoSpaceDN w:val="0"/>
        <w:adjustRightInd w:val="0"/>
        <w:spacing w:line="360" w:lineRule="auto"/>
        <w:ind w:firstLine="420" w:firstLineChars="200"/>
        <w:jc w:val="left"/>
        <w:textAlignment w:val="bottom"/>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3</w:t>
      </w:r>
      <w:r>
        <w:rPr>
          <w:rFonts w:hint="eastAsia" w:ascii="宋体" w:hAnsi="宋体" w:eastAsia="宋体" w:cs="楷体"/>
          <w:color w:val="auto"/>
          <w:kern w:val="0"/>
          <w:szCs w:val="21"/>
          <w:highlight w:val="none"/>
        </w:rPr>
        <w:t xml:space="preserve"> 乙方在接到任务通知单后，</w:t>
      </w:r>
      <w:r>
        <w:rPr>
          <w:rFonts w:ascii="宋体" w:hAnsi="宋体" w:eastAsia="宋体" w:cs="楷体"/>
          <w:color w:val="auto"/>
          <w:kern w:val="0"/>
          <w:szCs w:val="21"/>
          <w:highlight w:val="none"/>
        </w:rPr>
        <w:t>未按</w:t>
      </w:r>
      <w:r>
        <w:rPr>
          <w:rFonts w:hint="eastAsia" w:ascii="宋体" w:hAnsi="宋体" w:eastAsia="宋体" w:cs="楷体"/>
          <w:color w:val="auto"/>
          <w:kern w:val="0"/>
          <w:szCs w:val="21"/>
          <w:highlight w:val="none"/>
        </w:rPr>
        <w:t>约定</w:t>
      </w:r>
      <w:r>
        <w:rPr>
          <w:rFonts w:ascii="宋体" w:hAnsi="宋体" w:eastAsia="宋体" w:cs="楷体"/>
          <w:color w:val="auto"/>
          <w:kern w:val="0"/>
          <w:szCs w:val="21"/>
          <w:highlight w:val="none"/>
        </w:rPr>
        <w:t>的方式</w:t>
      </w:r>
      <w:r>
        <w:rPr>
          <w:rFonts w:hint="eastAsia" w:ascii="宋体" w:hAnsi="宋体" w:eastAsia="宋体" w:cs="楷体"/>
          <w:color w:val="auto"/>
          <w:kern w:val="0"/>
          <w:szCs w:val="21"/>
          <w:highlight w:val="none"/>
        </w:rPr>
        <w:t>及承诺的时间予以响应</w:t>
      </w:r>
      <w:r>
        <w:rPr>
          <w:rFonts w:ascii="宋体" w:hAnsi="宋体" w:eastAsia="宋体" w:cs="楷体"/>
          <w:color w:val="auto"/>
          <w:kern w:val="0"/>
          <w:szCs w:val="21"/>
          <w:highlight w:val="none"/>
        </w:rPr>
        <w:t>，</w:t>
      </w:r>
      <w:r>
        <w:rPr>
          <w:rFonts w:hint="eastAsia" w:ascii="宋体" w:hAnsi="宋体" w:eastAsia="宋体" w:cs="楷体"/>
          <w:color w:val="auto"/>
          <w:kern w:val="0"/>
          <w:szCs w:val="21"/>
          <w:highlight w:val="none"/>
        </w:rPr>
        <w:t>或</w:t>
      </w:r>
      <w:r>
        <w:rPr>
          <w:rFonts w:ascii="宋体" w:hAnsi="宋体" w:eastAsia="宋体" w:cs="楷体"/>
          <w:color w:val="auto"/>
          <w:kern w:val="0"/>
          <w:szCs w:val="21"/>
          <w:highlight w:val="none"/>
        </w:rPr>
        <w:t>未</w:t>
      </w:r>
      <w:r>
        <w:rPr>
          <w:rFonts w:hint="eastAsia" w:ascii="宋体" w:hAnsi="宋体" w:eastAsia="宋体" w:cs="楷体"/>
          <w:color w:val="auto"/>
          <w:kern w:val="0"/>
          <w:szCs w:val="21"/>
          <w:highlight w:val="none"/>
        </w:rPr>
        <w:t>及时</w:t>
      </w:r>
      <w:r>
        <w:rPr>
          <w:rFonts w:ascii="宋体" w:hAnsi="宋体" w:eastAsia="宋体" w:cs="楷体"/>
          <w:color w:val="auto"/>
          <w:kern w:val="0"/>
          <w:szCs w:val="21"/>
          <w:highlight w:val="none"/>
        </w:rPr>
        <w:t>开展技术服务工作的，</w:t>
      </w:r>
      <w:r>
        <w:rPr>
          <w:rFonts w:hint="eastAsia" w:ascii="宋体" w:hAnsi="宋体" w:eastAsia="宋体" w:cs="楷体"/>
          <w:color w:val="auto"/>
          <w:kern w:val="0"/>
          <w:szCs w:val="21"/>
          <w:highlight w:val="none"/>
        </w:rPr>
        <w:t>甲方有权要求乙方按1</w:t>
      </w:r>
      <w:r>
        <w:rPr>
          <w:rFonts w:ascii="宋体" w:hAnsi="宋体" w:eastAsia="宋体" w:cs="楷体"/>
          <w:color w:val="auto"/>
          <w:kern w:val="0"/>
          <w:szCs w:val="21"/>
          <w:highlight w:val="none"/>
        </w:rPr>
        <w:t>,000.00</w:t>
      </w:r>
      <w:r>
        <w:rPr>
          <w:rFonts w:hint="eastAsia" w:ascii="宋体" w:hAnsi="宋体" w:eastAsia="宋体" w:cs="楷体"/>
          <w:color w:val="auto"/>
          <w:kern w:val="0"/>
          <w:szCs w:val="21"/>
          <w:highlight w:val="none"/>
        </w:rPr>
        <w:t>元/天承担违约金并直接从未付款项中抵扣，逾期超过15日的，甲方有权单方解除合同，且乙方须承担与履约担保等额的违约金。</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hint="eastAsia" w:ascii="宋体" w:hAnsi="宋体" w:eastAsia="宋体"/>
          <w:color w:val="auto"/>
          <w:kern w:val="0"/>
          <w:szCs w:val="21"/>
          <w:highlight w:val="none"/>
        </w:rPr>
        <w:t>4</w:t>
      </w:r>
      <w:r>
        <w:rPr>
          <w:rFonts w:hint="eastAsia" w:ascii="宋体" w:hAnsi="宋体" w:eastAsia="宋体" w:cs="楷体"/>
          <w:color w:val="auto"/>
          <w:kern w:val="0"/>
          <w:szCs w:val="21"/>
          <w:highlight w:val="none"/>
        </w:rPr>
        <w:t xml:space="preserve"> 乙方应严格按本合同及任务通知单约定的时间完成具体委派项目技术服务。若非甲方的原因，乙方逾期完成具体委派项目技术服务工作的，每逾期一日，乙方按1,000.00元/天承担违约金。逾期超过15日的，甲方有权单方解除合同，且乙方须承担与履约担保等额的违约金。同时，造成甲方的经济损失（包括但不限于重新采购、委托第三方的费用），由乙方承担全部赔偿。</w:t>
      </w:r>
    </w:p>
    <w:p>
      <w:pPr>
        <w:widowControl/>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5</w:t>
      </w:r>
      <w:r>
        <w:rPr>
          <w:rFonts w:hint="eastAsia" w:ascii="宋体" w:hAnsi="宋体" w:eastAsia="宋体" w:cs="楷体"/>
          <w:color w:val="auto"/>
          <w:kern w:val="0"/>
          <w:szCs w:val="21"/>
          <w:highlight w:val="none"/>
        </w:rPr>
        <w:t xml:space="preserve"> 乙方所更换</w:t>
      </w:r>
      <w:r>
        <w:rPr>
          <w:rFonts w:ascii="宋体" w:hAnsi="宋体" w:eastAsia="宋体" w:cs="楷体"/>
          <w:color w:val="auto"/>
          <w:kern w:val="0"/>
          <w:szCs w:val="21"/>
          <w:highlight w:val="none"/>
        </w:rPr>
        <w:t>或重置</w:t>
      </w:r>
      <w:r>
        <w:rPr>
          <w:rFonts w:hint="eastAsia" w:ascii="宋体" w:hAnsi="宋体" w:eastAsia="宋体" w:cs="楷体"/>
          <w:color w:val="auto"/>
          <w:kern w:val="0"/>
          <w:szCs w:val="21"/>
          <w:highlight w:val="none"/>
        </w:rPr>
        <w:t>设备（包括但不限于品牌、型号、规格、质量）不符合</w:t>
      </w:r>
      <w:r>
        <w:rPr>
          <w:rFonts w:ascii="宋体" w:hAnsi="宋体" w:eastAsia="宋体" w:cs="楷体"/>
          <w:color w:val="auto"/>
          <w:kern w:val="0"/>
          <w:szCs w:val="21"/>
          <w:highlight w:val="none"/>
        </w:rPr>
        <w:t>相关质量标准</w:t>
      </w:r>
      <w:r>
        <w:rPr>
          <w:rFonts w:hint="eastAsia" w:ascii="宋体" w:hAnsi="宋体" w:eastAsia="宋体" w:cs="楷体"/>
          <w:color w:val="auto"/>
          <w:kern w:val="0"/>
          <w:szCs w:val="21"/>
          <w:highlight w:val="none"/>
        </w:rPr>
        <w:t>，或对于必须采用</w:t>
      </w:r>
      <w:r>
        <w:rPr>
          <w:rFonts w:ascii="宋体" w:hAnsi="宋体" w:eastAsia="宋体" w:cs="楷体"/>
          <w:color w:val="auto"/>
          <w:kern w:val="0"/>
          <w:szCs w:val="21"/>
          <w:highlight w:val="none"/>
        </w:rPr>
        <w:t>原设备制造商</w:t>
      </w:r>
      <w:r>
        <w:rPr>
          <w:rFonts w:hint="eastAsia" w:ascii="宋体" w:hAnsi="宋体" w:eastAsia="宋体" w:cs="楷体"/>
          <w:color w:val="auto"/>
          <w:kern w:val="0"/>
          <w:szCs w:val="21"/>
          <w:highlight w:val="none"/>
        </w:rPr>
        <w:t>产品（包括</w:t>
      </w:r>
      <w:r>
        <w:rPr>
          <w:rFonts w:ascii="宋体" w:hAnsi="宋体" w:eastAsia="宋体" w:cs="楷体"/>
          <w:color w:val="auto"/>
          <w:kern w:val="0"/>
          <w:szCs w:val="21"/>
          <w:highlight w:val="none"/>
        </w:rPr>
        <w:t>但不限于</w:t>
      </w:r>
      <w:r>
        <w:rPr>
          <w:rFonts w:hint="eastAsia" w:ascii="宋体" w:hAnsi="宋体" w:eastAsia="宋体" w:cs="楷体"/>
          <w:color w:val="auto"/>
          <w:kern w:val="0"/>
          <w:szCs w:val="21"/>
          <w:highlight w:val="none"/>
        </w:rPr>
        <w:t>设备</w:t>
      </w:r>
      <w:r>
        <w:rPr>
          <w:rFonts w:ascii="宋体" w:hAnsi="宋体" w:eastAsia="宋体" w:cs="楷体"/>
          <w:color w:val="auto"/>
          <w:kern w:val="0"/>
          <w:szCs w:val="21"/>
          <w:highlight w:val="none"/>
        </w:rPr>
        <w:t>、</w:t>
      </w:r>
      <w:r>
        <w:rPr>
          <w:rFonts w:hint="eastAsia" w:ascii="宋体" w:hAnsi="宋体" w:eastAsia="宋体" w:cs="楷体"/>
          <w:color w:val="auto"/>
          <w:kern w:val="0"/>
          <w:szCs w:val="21"/>
          <w:highlight w:val="none"/>
        </w:rPr>
        <w:t>配件</w:t>
      </w:r>
      <w:r>
        <w:rPr>
          <w:rFonts w:ascii="宋体" w:hAnsi="宋体" w:eastAsia="宋体" w:cs="楷体"/>
          <w:color w:val="auto"/>
          <w:kern w:val="0"/>
          <w:szCs w:val="21"/>
          <w:highlight w:val="none"/>
        </w:rPr>
        <w:t>、</w:t>
      </w:r>
      <w:r>
        <w:rPr>
          <w:rFonts w:hint="eastAsia" w:ascii="宋体" w:hAnsi="宋体" w:eastAsia="宋体" w:cs="楷体"/>
          <w:color w:val="auto"/>
          <w:kern w:val="0"/>
          <w:szCs w:val="21"/>
          <w:highlight w:val="none"/>
        </w:rPr>
        <w:t>备品备件及专用工具）但</w:t>
      </w:r>
      <w:r>
        <w:rPr>
          <w:rFonts w:ascii="宋体" w:hAnsi="宋体" w:eastAsia="宋体" w:cs="楷体"/>
          <w:color w:val="auto"/>
          <w:kern w:val="0"/>
          <w:szCs w:val="21"/>
          <w:highlight w:val="none"/>
        </w:rPr>
        <w:t>未</w:t>
      </w:r>
      <w:r>
        <w:rPr>
          <w:rFonts w:hint="eastAsia" w:ascii="宋体" w:hAnsi="宋体" w:eastAsia="宋体" w:cs="楷体"/>
          <w:color w:val="auto"/>
          <w:kern w:val="0"/>
          <w:szCs w:val="21"/>
          <w:highlight w:val="none"/>
        </w:rPr>
        <w:t>采用</w:t>
      </w:r>
      <w:r>
        <w:rPr>
          <w:rFonts w:ascii="宋体" w:hAnsi="宋体" w:eastAsia="宋体" w:cs="楷体"/>
          <w:color w:val="auto"/>
          <w:kern w:val="0"/>
          <w:szCs w:val="21"/>
          <w:highlight w:val="none"/>
        </w:rPr>
        <w:t>的，</w:t>
      </w:r>
      <w:r>
        <w:rPr>
          <w:rFonts w:hint="eastAsia" w:ascii="宋体" w:hAnsi="宋体" w:eastAsia="宋体" w:cs="楷体"/>
          <w:color w:val="auto"/>
          <w:kern w:val="0"/>
          <w:szCs w:val="21"/>
          <w:highlight w:val="none"/>
        </w:rPr>
        <w:t>甲方有权要求乙方无条件限期</w:t>
      </w:r>
      <w:r>
        <w:rPr>
          <w:rFonts w:ascii="宋体" w:hAnsi="宋体" w:eastAsia="宋体" w:cs="楷体"/>
          <w:color w:val="auto"/>
          <w:kern w:val="0"/>
          <w:szCs w:val="21"/>
          <w:highlight w:val="none"/>
        </w:rPr>
        <w:t>整改</w:t>
      </w:r>
      <w:r>
        <w:rPr>
          <w:rFonts w:hint="eastAsia" w:ascii="宋体" w:hAnsi="宋体" w:eastAsia="宋体" w:cs="楷体"/>
          <w:color w:val="auto"/>
          <w:kern w:val="0"/>
          <w:szCs w:val="21"/>
          <w:highlight w:val="none"/>
        </w:rPr>
        <w:t>，乙方在限期内仍未整改完毕的，应向甲方支付该具体委派项目合同价（不含乙方销项税）的20%或与履约担保等额的违约金（以两者较高的金额作为该次违约金金额）。且甲方有权单方解除合同，造成甲方损失的，乙方需全额赔偿。</w:t>
      </w:r>
      <w:r>
        <w:rPr>
          <w:rFonts w:hint="eastAsia" w:ascii="宋体" w:hAnsi="宋体" w:eastAsia="宋体"/>
          <w:color w:val="auto"/>
          <w:kern w:val="0"/>
          <w:szCs w:val="21"/>
          <w:highlight w:val="none"/>
        </w:rPr>
        <w:t>乙方自检合格后，甲方或监理验收出现材料、设备、施工质量等不合格的，视为乙方违约，乙方须无条件采取相应措施进行整改，如乙方未能按整改通知单指定时限内完成整改，应向甲方支付违约金</w:t>
      </w:r>
      <w:r>
        <w:rPr>
          <w:rFonts w:hint="eastAsia" w:ascii="Times New Roman" w:hAnsi="Calibri" w:eastAsia="宋体" w:cs="Times New Roman"/>
          <w:color w:val="auto"/>
          <w:kern w:val="0"/>
          <w:szCs w:val="21"/>
          <w:highlight w:val="none"/>
        </w:rPr>
        <w:t>3,</w:t>
      </w:r>
      <w:r>
        <w:rPr>
          <w:rFonts w:ascii="Times New Roman" w:hAnsi="Calibri" w:eastAsia="宋体" w:cs="Times New Roman"/>
          <w:color w:val="auto"/>
          <w:kern w:val="0"/>
          <w:szCs w:val="21"/>
          <w:highlight w:val="none"/>
        </w:rPr>
        <w:t>000</w:t>
      </w:r>
      <w:r>
        <w:rPr>
          <w:rFonts w:hint="eastAsia" w:ascii="Times New Roman" w:hAnsi="Calibri" w:eastAsia="宋体" w:cs="Times New Roman"/>
          <w:color w:val="auto"/>
          <w:kern w:val="0"/>
          <w:szCs w:val="21"/>
          <w:highlight w:val="none"/>
        </w:rPr>
        <w:t>.00</w:t>
      </w:r>
      <w:r>
        <w:rPr>
          <w:rFonts w:hint="eastAsia" w:ascii="宋体" w:hAnsi="宋体" w:eastAsia="宋体"/>
          <w:color w:val="auto"/>
          <w:kern w:val="0"/>
          <w:szCs w:val="21"/>
          <w:highlight w:val="none"/>
        </w:rPr>
        <w:t>元</w:t>
      </w:r>
      <w:r>
        <w:rPr>
          <w:rFonts w:ascii="Times New Roman" w:hAnsi="Calibri" w:eastAsia="宋体" w:cs="Times New Roman"/>
          <w:color w:val="auto"/>
          <w:kern w:val="0"/>
          <w:szCs w:val="21"/>
          <w:highlight w:val="none"/>
        </w:rPr>
        <w:t>/</w:t>
      </w:r>
      <w:r>
        <w:rPr>
          <w:rFonts w:hint="eastAsia" w:ascii="宋体" w:hAnsi="宋体" w:eastAsia="宋体"/>
          <w:color w:val="auto"/>
          <w:kern w:val="0"/>
          <w:szCs w:val="21"/>
          <w:highlight w:val="none"/>
        </w:rPr>
        <w:t>次</w:t>
      </w:r>
      <w:r>
        <w:rPr>
          <w:rFonts w:ascii="Times New Roman" w:hAnsi="Calibri" w:eastAsia="宋体" w:cs="Times New Roman"/>
          <w:color w:val="auto"/>
          <w:kern w:val="0"/>
          <w:szCs w:val="21"/>
          <w:highlight w:val="none"/>
        </w:rPr>
        <w:t>/</w:t>
      </w:r>
      <w:r>
        <w:rPr>
          <w:rFonts w:hint="eastAsia" w:ascii="宋体" w:hAnsi="宋体" w:eastAsia="宋体"/>
          <w:color w:val="auto"/>
          <w:kern w:val="0"/>
          <w:szCs w:val="21"/>
          <w:highlight w:val="none"/>
        </w:rPr>
        <w:t>项，并自行承担整改所发生的费用。各单项项目验收移交后发现有确需保修而乙方未按合同履行保修义务的，甲方有权直接委托第三方进行保修，该费用在乙方剩余服务费（或质量保证金）内抵扣支付给第三方，甲方同时保留合同有关条款对乙方进行</w:t>
      </w:r>
      <w:r>
        <w:rPr>
          <w:rFonts w:hint="eastAsia" w:ascii="宋体" w:hAnsi="宋体" w:eastAsia="宋体"/>
          <w:b/>
          <w:bCs/>
          <w:color w:val="auto"/>
          <w:kern w:val="0"/>
          <w:szCs w:val="21"/>
          <w:highlight w:val="none"/>
        </w:rPr>
        <w:t>追究</w:t>
      </w:r>
      <w:r>
        <w:rPr>
          <w:rFonts w:hint="eastAsia" w:ascii="宋体" w:hAnsi="宋体" w:eastAsia="宋体"/>
          <w:color w:val="auto"/>
          <w:kern w:val="0"/>
          <w:szCs w:val="21"/>
          <w:highlight w:val="none"/>
        </w:rPr>
        <w:t>违约</w:t>
      </w:r>
      <w:r>
        <w:rPr>
          <w:rFonts w:hint="eastAsia" w:ascii="宋体" w:hAnsi="宋体" w:eastAsia="宋体"/>
          <w:b/>
          <w:bCs/>
          <w:color w:val="auto"/>
          <w:kern w:val="0"/>
          <w:szCs w:val="21"/>
          <w:highlight w:val="none"/>
        </w:rPr>
        <w:t>责任</w:t>
      </w:r>
      <w:r>
        <w:rPr>
          <w:rFonts w:hint="eastAsia" w:ascii="宋体" w:hAnsi="宋体" w:eastAsia="宋体"/>
          <w:color w:val="auto"/>
          <w:kern w:val="0"/>
          <w:szCs w:val="21"/>
          <w:highlight w:val="none"/>
        </w:rPr>
        <w:t>的权利。因乙方返工或整改造成延期的，乙方需承担逾期交付验收的违约责任。乙方未能进行安全文明施工的，甲方（或监理公司）将发出书面通知要求整改；整改不合格的视为乙方违约，甲方有权要求乙方按</w:t>
      </w:r>
      <w:r>
        <w:rPr>
          <w:rFonts w:ascii="宋体" w:hAnsi="宋体" w:eastAsia="宋体"/>
          <w:bCs/>
          <w:color w:val="auto"/>
          <w:kern w:val="0"/>
          <w:szCs w:val="21"/>
          <w:highlight w:val="none"/>
        </w:rPr>
        <w:t>5</w:t>
      </w:r>
      <w:r>
        <w:rPr>
          <w:rFonts w:hint="eastAsia" w:ascii="宋体" w:hAnsi="宋体" w:eastAsia="宋体"/>
          <w:bCs/>
          <w:color w:val="auto"/>
          <w:kern w:val="0"/>
          <w:szCs w:val="21"/>
          <w:highlight w:val="none"/>
        </w:rPr>
        <w:t>,</w:t>
      </w:r>
      <w:r>
        <w:rPr>
          <w:rFonts w:ascii="宋体" w:hAnsi="宋体" w:eastAsia="宋体"/>
          <w:bCs/>
          <w:color w:val="auto"/>
          <w:kern w:val="0"/>
          <w:szCs w:val="21"/>
          <w:highlight w:val="none"/>
        </w:rPr>
        <w:t>000</w:t>
      </w:r>
      <w:r>
        <w:rPr>
          <w:rFonts w:hint="eastAsia" w:ascii="宋体" w:hAnsi="宋体" w:eastAsia="宋体"/>
          <w:bCs/>
          <w:color w:val="auto"/>
          <w:kern w:val="0"/>
          <w:szCs w:val="21"/>
          <w:highlight w:val="none"/>
        </w:rPr>
        <w:t>.00元</w:t>
      </w:r>
      <w:r>
        <w:rPr>
          <w:rFonts w:ascii="Times New Roman" w:hAnsi="Calibri" w:eastAsia="宋体" w:cs="Times New Roman"/>
          <w:bCs/>
          <w:color w:val="auto"/>
          <w:kern w:val="0"/>
          <w:szCs w:val="21"/>
          <w:highlight w:val="none"/>
        </w:rPr>
        <w:t>/</w:t>
      </w:r>
      <w:r>
        <w:rPr>
          <w:rFonts w:hint="eastAsia" w:ascii="宋体" w:hAnsi="宋体" w:eastAsia="宋体"/>
          <w:bCs/>
          <w:color w:val="auto"/>
          <w:kern w:val="0"/>
          <w:szCs w:val="21"/>
          <w:highlight w:val="none"/>
        </w:rPr>
        <w:t>次</w:t>
      </w:r>
      <w:r>
        <w:rPr>
          <w:rFonts w:ascii="Times New Roman" w:hAnsi="Calibri" w:eastAsia="宋体" w:cs="Times New Roman"/>
          <w:bCs/>
          <w:color w:val="auto"/>
          <w:kern w:val="0"/>
          <w:szCs w:val="21"/>
          <w:highlight w:val="none"/>
        </w:rPr>
        <w:t>/</w:t>
      </w:r>
      <w:r>
        <w:rPr>
          <w:rFonts w:hint="eastAsia" w:ascii="宋体" w:hAnsi="宋体" w:eastAsia="宋体"/>
          <w:bCs/>
          <w:color w:val="auto"/>
          <w:kern w:val="0"/>
          <w:szCs w:val="21"/>
          <w:highlight w:val="none"/>
        </w:rPr>
        <w:t>项</w:t>
      </w:r>
      <w:r>
        <w:rPr>
          <w:rFonts w:hint="eastAsia" w:ascii="宋体" w:hAnsi="宋体" w:eastAsia="宋体"/>
          <w:color w:val="auto"/>
          <w:kern w:val="0"/>
          <w:szCs w:val="21"/>
          <w:highlight w:val="none"/>
        </w:rPr>
        <w:t>支付违约金。因上述所有违约事项产生的违约金，甲方有权直接从未付工程款中直接抵扣或选择启用履约保证金予以偿付。</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6</w:t>
      </w:r>
      <w:r>
        <w:rPr>
          <w:rFonts w:hint="eastAsia" w:ascii="宋体" w:hAnsi="宋体" w:eastAsia="宋体" w:cs="楷体"/>
          <w:color w:val="auto"/>
          <w:kern w:val="0"/>
          <w:szCs w:val="21"/>
          <w:highlight w:val="none"/>
        </w:rPr>
        <w:t xml:space="preserve"> 未经甲方书面同意，乙方变更主要技术服务人员的，甲方有权要求乙方承担与履约担保等额的违约金。经甲方书面通知后，在规定的整改期限范围内，乙方仍无法配备符合甲方要求的技术服务人员的，甲方有权单方解除合同并没收履约担保。</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7</w:t>
      </w:r>
      <w:r>
        <w:rPr>
          <w:rFonts w:hint="eastAsia" w:ascii="宋体" w:hAnsi="宋体" w:eastAsia="宋体" w:cs="楷体"/>
          <w:color w:val="auto"/>
          <w:kern w:val="0"/>
          <w:szCs w:val="21"/>
          <w:highlight w:val="none"/>
        </w:rPr>
        <w:t xml:space="preserve"> 乙方违反本合同约定或法律规定将项目全部或部分转让给第三人的，甲方有权单方解除合同，乙方须向甲方支付与履约担保等额的违约金，并赔偿由此给甲方造成的一切损失。如因乙方将项目全部或部分转让给第三人的导致安全事故或人身损害事故的，造成甲方其他损失的或甲方被认定承担赔偿责任的，甲方有权向乙方追偿并要求乙方承担人民币</w:t>
      </w:r>
      <w:r>
        <w:rPr>
          <w:rFonts w:hint="eastAsia" w:ascii="宋体" w:hAnsi="宋体" w:eastAsia="宋体" w:cs="楷体"/>
          <w:bCs/>
          <w:color w:val="auto"/>
          <w:kern w:val="0"/>
          <w:szCs w:val="21"/>
          <w:highlight w:val="none"/>
        </w:rPr>
        <w:t>100,000.00元</w:t>
      </w:r>
      <w:r>
        <w:rPr>
          <w:rFonts w:hint="eastAsia" w:ascii="宋体" w:hAnsi="宋体" w:eastAsia="宋体" w:cs="楷体"/>
          <w:color w:val="auto"/>
          <w:kern w:val="0"/>
          <w:szCs w:val="21"/>
          <w:highlight w:val="none"/>
        </w:rPr>
        <w:t>的违约金。</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8</w:t>
      </w:r>
      <w:r>
        <w:rPr>
          <w:rFonts w:hint="eastAsia" w:ascii="宋体" w:hAnsi="宋体" w:eastAsia="宋体" w:cs="楷体"/>
          <w:color w:val="auto"/>
          <w:kern w:val="0"/>
          <w:szCs w:val="21"/>
          <w:highlight w:val="none"/>
        </w:rPr>
        <w:t xml:space="preserve"> 乙方存在如下情形之一的，甲方有权书面通知乙方单方解除本合同，取消乙方服务资格，并没收乙方履约担保，且乙方应赔偿给甲方造成的损失：</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（1）提供虚假信息、误导或欺骗甲方，以谋取非法利益的；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（2）违反诚信信用原则，没有严格执行相关质量、服务，损害甲方或相关用户单位的利益的；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（3）违反有关法律法规以及本合同的约定，损害甲方利益的；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（4）拒绝接受甲方及相关部门监督、检查的；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（5）出现信用危机、财务危机、生产经营危机甚至破产、倒闭，无法继续履行本合同的；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（6）采用非法手段进行不正当竞争的，构成恶劣影响；</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（7）经营资格已注销或者行政许可被撤回、撤销、吊销的；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（8）因违法国家有关法律法规的；</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w:t>
      </w:r>
      <w:r>
        <w:rPr>
          <w:rFonts w:ascii="宋体" w:hAnsi="宋体" w:eastAsia="宋体" w:cs="楷体"/>
          <w:color w:val="auto"/>
          <w:kern w:val="0"/>
          <w:szCs w:val="21"/>
          <w:highlight w:val="none"/>
        </w:rPr>
        <w:t>9</w:t>
      </w:r>
      <w:r>
        <w:rPr>
          <w:rFonts w:hint="eastAsia" w:ascii="宋体" w:hAnsi="宋体" w:eastAsia="宋体" w:cs="楷体"/>
          <w:color w:val="auto"/>
          <w:kern w:val="0"/>
          <w:szCs w:val="21"/>
          <w:highlight w:val="none"/>
        </w:rPr>
        <w:t>）违反本合同约定，泄露服务项目内容的。</w:t>
      </w:r>
    </w:p>
    <w:p>
      <w:pPr>
        <w:widowControl/>
        <w:spacing w:line="360" w:lineRule="auto"/>
        <w:ind w:firstLine="420"/>
        <w:rPr>
          <w:rFonts w:ascii="宋体" w:hAnsi="宋体" w:eastAsia="宋体" w:cs="Times New Roman"/>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9</w:t>
      </w:r>
      <w:r>
        <w:rPr>
          <w:rFonts w:hint="eastAsia" w:ascii="宋体" w:hAnsi="宋体" w:eastAsia="宋体" w:cs="楷体"/>
          <w:color w:val="auto"/>
          <w:kern w:val="0"/>
          <w:szCs w:val="21"/>
          <w:highlight w:val="none"/>
        </w:rPr>
        <w:t xml:space="preserve"> 乙方应及时足额向工人发放工资待遇以及其他劳动待遇等，不得无故拖欠或克扣，如有违反的，由乙方全部负责。如对甲方工作造成影响的，根据工人诉求，甲方有权从未付服务费用中直接抵扣或启用履约保证金予以支付，由此导致的法律后果由乙方全部承担</w:t>
      </w:r>
      <w:r>
        <w:rPr>
          <w:rFonts w:hint="eastAsia" w:ascii="宋体" w:hAnsi="宋体" w:eastAsia="宋体" w:cs="楷体"/>
          <w:b/>
          <w:bCs/>
          <w:color w:val="auto"/>
          <w:kern w:val="0"/>
          <w:szCs w:val="21"/>
          <w:highlight w:val="none"/>
        </w:rPr>
        <w:t>。</w:t>
      </w:r>
      <w:r>
        <w:rPr>
          <w:rFonts w:hint="eastAsia" w:ascii="宋体" w:hAnsi="宋体" w:eastAsia="宋体" w:cs="Times New Roman"/>
          <w:color w:val="auto"/>
          <w:kern w:val="0"/>
          <w:szCs w:val="21"/>
          <w:highlight w:val="none"/>
        </w:rPr>
        <w:t>严重者甲方有权报相关行政主管部门处理，并保留单方解除本合同的权利。</w:t>
      </w:r>
    </w:p>
    <w:p>
      <w:pPr>
        <w:autoSpaceDE w:val="0"/>
        <w:autoSpaceDN w:val="0"/>
        <w:adjustRightInd w:val="0"/>
        <w:spacing w:line="360" w:lineRule="auto"/>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 xml:space="preserve">    10.</w:t>
      </w:r>
      <w:r>
        <w:rPr>
          <w:rFonts w:ascii="宋体" w:hAnsi="宋体" w:eastAsia="宋体" w:cs="楷体"/>
          <w:color w:val="auto"/>
          <w:kern w:val="0"/>
          <w:szCs w:val="21"/>
          <w:highlight w:val="none"/>
        </w:rPr>
        <w:t>10</w:t>
      </w:r>
      <w:r>
        <w:rPr>
          <w:rFonts w:hint="eastAsia" w:ascii="宋体" w:hAnsi="宋体" w:eastAsia="宋体" w:cs="楷体"/>
          <w:color w:val="auto"/>
          <w:kern w:val="0"/>
          <w:szCs w:val="21"/>
          <w:highlight w:val="none"/>
        </w:rPr>
        <w:t xml:space="preserve"> 乙方必须积极响应并接受相关部门的监督检查，若受到相关部门的批评，经调查认定情况属实的，甲方视情节轻重确定乙方的违约金金额；造成恶劣影响的，甲方有权单方解除合同并没收履约担保。</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11</w:t>
      </w:r>
      <w:r>
        <w:rPr>
          <w:rFonts w:hint="eastAsia" w:ascii="宋体" w:hAnsi="宋体" w:eastAsia="宋体" w:cs="楷体"/>
          <w:color w:val="auto"/>
          <w:kern w:val="0"/>
          <w:szCs w:val="21"/>
          <w:highlight w:val="none"/>
        </w:rPr>
        <w:t xml:space="preserve"> 乙方履行的合同义务不符合要求的，甲方有权要求乙方在甲方规定的限期内整改完毕，并有权要求乙方支付违约金，合同内已有明确违约金金额的，从其约定，若无约定的，乙方应向甲方支付具体委派项目合同价（不含乙方销项税）的</w:t>
      </w:r>
      <w:r>
        <w:rPr>
          <w:rFonts w:ascii="宋体" w:hAnsi="宋体" w:eastAsia="宋体" w:cs="楷体"/>
          <w:color w:val="auto"/>
          <w:kern w:val="0"/>
          <w:szCs w:val="21"/>
          <w:highlight w:val="none"/>
        </w:rPr>
        <w:t>20%或与履约</w:t>
      </w:r>
      <w:r>
        <w:rPr>
          <w:rFonts w:hint="eastAsia" w:ascii="宋体" w:hAnsi="宋体" w:eastAsia="宋体" w:cs="楷体"/>
          <w:color w:val="auto"/>
          <w:kern w:val="0"/>
          <w:szCs w:val="21"/>
          <w:highlight w:val="none"/>
        </w:rPr>
        <w:t>保证金等额的违约金（以两者较高的金额作为该次违约金金额）。若限期整改后不符合甲方要求或出现无故停工累计达7日，甲方有权单方解除合同，并没收履保证金，若由此给甲方造成损失的，乙方还应当承担全部赔偿责任。</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10.</w:t>
      </w:r>
      <w:r>
        <w:rPr>
          <w:rFonts w:ascii="宋体" w:hAnsi="宋体" w:eastAsia="宋体" w:cs="楷体"/>
          <w:color w:val="auto"/>
          <w:kern w:val="0"/>
          <w:szCs w:val="21"/>
          <w:highlight w:val="none"/>
        </w:rPr>
        <w:t>12</w:t>
      </w:r>
      <w:r>
        <w:rPr>
          <w:rFonts w:hint="eastAsia" w:ascii="宋体" w:hAnsi="宋体" w:eastAsia="宋体" w:cs="楷体"/>
          <w:color w:val="auto"/>
          <w:kern w:val="0"/>
          <w:szCs w:val="21"/>
          <w:highlight w:val="none"/>
        </w:rPr>
        <w:t xml:space="preserve"> 乙方应承担的违约金、赔偿及罚款等其他费用，甲方有权从未付款项或履保证金中直接抵扣。抵扣后履保证金不足的，乙方应在收到甲方通知之日起</w:t>
      </w:r>
      <w:r>
        <w:rPr>
          <w:rFonts w:ascii="宋体" w:hAnsi="宋体" w:eastAsia="宋体" w:cs="楷体"/>
          <w:color w:val="auto"/>
          <w:kern w:val="0"/>
          <w:szCs w:val="21"/>
          <w:highlight w:val="none"/>
        </w:rPr>
        <w:t>5</w:t>
      </w:r>
      <w:r>
        <w:rPr>
          <w:rFonts w:hint="eastAsia" w:ascii="宋体" w:hAnsi="宋体" w:eastAsia="宋体" w:cs="楷体"/>
          <w:color w:val="auto"/>
          <w:kern w:val="0"/>
          <w:szCs w:val="21"/>
          <w:highlight w:val="none"/>
        </w:rPr>
        <w:t>个日历日内向甲方补足，如果乙方逾期未补足相关费用，甲方将暂停乙方的在库供应商资格直至乙方补足，且乙方需按照1,000.00元每日承担违约金。超过30天的，乙方除承担上述违约金外，甲方有权单方解除合同。</w:t>
      </w:r>
    </w:p>
    <w:p>
      <w:pPr>
        <w:widowControl/>
        <w:spacing w:line="360" w:lineRule="auto"/>
        <w:ind w:firstLine="420"/>
        <w:rPr>
          <w:rFonts w:ascii="宋体" w:hAnsi="宋体" w:eastAsia="宋体" w:cs="Times New Roman"/>
          <w:color w:val="auto"/>
          <w:kern w:val="0"/>
          <w:szCs w:val="21"/>
          <w:highlight w:val="none"/>
        </w:rPr>
      </w:pPr>
      <w:r>
        <w:rPr>
          <w:rFonts w:hint="eastAsia" w:ascii="宋体" w:hAnsi="宋体" w:eastAsia="宋体" w:cs="楷体"/>
          <w:color w:val="auto"/>
          <w:kern w:val="0"/>
          <w:szCs w:val="21"/>
          <w:highlight w:val="none"/>
        </w:rPr>
        <w:t>10.</w:t>
      </w:r>
      <w:r>
        <w:rPr>
          <w:rFonts w:hint="eastAsia" w:ascii="宋体" w:hAnsi="宋体" w:eastAsia="宋体" w:cs="Times New Roman"/>
          <w:color w:val="auto"/>
          <w:kern w:val="0"/>
          <w:szCs w:val="21"/>
          <w:highlight w:val="none"/>
        </w:rPr>
        <w:t>13 乙方在在库合同服务期内，与其它服务单位之间如存在关联关系的，甲方有权单方解除合同，并没收履保证金。所谓关联关系，是指公司控股股东、实际控制人、董事、监事、高级管理人员与其直接或者间接控制的企业之间的关系；以及可能导致公司利益转移的其他关系。但是，国家控股的企业之间不应因为同受国家控股而具有关联关系。</w:t>
      </w:r>
    </w:p>
    <w:p>
      <w:pPr>
        <w:widowControl/>
        <w:spacing w:line="360" w:lineRule="auto"/>
        <w:ind w:firstLine="420"/>
        <w:rPr>
          <w:rFonts w:ascii="宋体" w:hAnsi="宋体" w:eastAsia="宋体" w:cs="Times New Roman"/>
          <w:color w:val="auto"/>
          <w:kern w:val="0"/>
          <w:szCs w:val="21"/>
          <w:highlight w:val="none"/>
        </w:rPr>
      </w:pPr>
      <w:r>
        <w:rPr>
          <w:rFonts w:hint="eastAsia" w:ascii="宋体" w:hAnsi="宋体" w:eastAsia="宋体" w:cs="楷体"/>
          <w:color w:val="auto"/>
          <w:kern w:val="0"/>
          <w:szCs w:val="21"/>
          <w:highlight w:val="none"/>
        </w:rPr>
        <w:t>10.</w:t>
      </w:r>
      <w:r>
        <w:rPr>
          <w:rFonts w:hint="eastAsia" w:ascii="宋体" w:hAnsi="宋体" w:eastAsia="宋体" w:cs="Times New Roman"/>
          <w:color w:val="auto"/>
          <w:kern w:val="0"/>
          <w:szCs w:val="21"/>
          <w:highlight w:val="none"/>
        </w:rPr>
        <w:t>14 乙方项目负责人作为项目重要管理人员，应全程参与项目开始至结束，如项目负责人未能到场参与到货验收、安全交底、安全检查、安装验收、中间验收、试运行等关键节点，将视为乙方违约，乙方须向甲方支付违约金3,000.00元/次。</w:t>
      </w:r>
    </w:p>
    <w:p>
      <w:pPr>
        <w:widowControl/>
        <w:spacing w:line="360" w:lineRule="auto"/>
        <w:ind w:firstLine="420"/>
        <w:rPr>
          <w:rFonts w:ascii="Times New Roman" w:hAnsi="Times New Roman" w:eastAsia="宋体" w:cs="Times New Roman"/>
          <w:bCs/>
          <w:color w:val="auto"/>
          <w:szCs w:val="21"/>
          <w:highlight w:val="none"/>
        </w:rPr>
      </w:pPr>
      <w:r>
        <w:rPr>
          <w:rFonts w:hint="eastAsia" w:ascii="宋体" w:hAnsi="宋体" w:eastAsia="宋体" w:cs="Times New Roman"/>
          <w:color w:val="auto"/>
          <w:kern w:val="0"/>
          <w:szCs w:val="21"/>
          <w:highlight w:val="none"/>
        </w:rPr>
        <w:t xml:space="preserve">10.15 </w:t>
      </w:r>
      <w:r>
        <w:rPr>
          <w:rFonts w:ascii="Times New Roman" w:hAnsi="Times New Roman" w:eastAsia="宋体" w:cs="Times New Roman"/>
          <w:bCs/>
          <w:color w:val="auto"/>
          <w:szCs w:val="21"/>
          <w:highlight w:val="none"/>
        </w:rPr>
        <w:t>各项目实施过程中</w:t>
      </w:r>
      <w:r>
        <w:rPr>
          <w:rFonts w:hint="eastAsia" w:ascii="Times New Roman" w:hAnsi="Times New Roman" w:eastAsia="宋体" w:cs="Times New Roman"/>
          <w:bCs/>
          <w:color w:val="auto"/>
          <w:szCs w:val="21"/>
          <w:highlight w:val="none"/>
        </w:rPr>
        <w:t>乙方违反</w:t>
      </w:r>
      <w:r>
        <w:rPr>
          <w:rFonts w:ascii="Times New Roman" w:hAnsi="Times New Roman" w:eastAsia="宋体" w:cs="Times New Roman"/>
          <w:color w:val="auto"/>
          <w:szCs w:val="21"/>
          <w:highlight w:val="none"/>
        </w:rPr>
        <w:t>甲方</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安全生产管理制度</w:t>
      </w:r>
      <w:r>
        <w:rPr>
          <w:rFonts w:hint="eastAsia" w:ascii="Times New Roman" w:hAnsi="Times New Roman" w:eastAsia="宋体" w:cs="Times New Roman"/>
          <w:color w:val="auto"/>
          <w:szCs w:val="21"/>
          <w:highlight w:val="none"/>
        </w:rPr>
        <w:t>及相关规定的，甲方有权暂停乙方报价或派单，并视情况要求乙方承担500.00—10,000.00元/次的违约金</w:t>
      </w:r>
      <w:r>
        <w:rPr>
          <w:rFonts w:ascii="Times New Roman" w:hAnsi="Times New Roman" w:eastAsia="宋体" w:cs="Times New Roman"/>
          <w:b/>
          <w:bCs/>
          <w:color w:val="auto"/>
          <w:szCs w:val="21"/>
          <w:highlight w:val="none"/>
        </w:rPr>
        <w:t>；</w:t>
      </w:r>
      <w:r>
        <w:rPr>
          <w:rFonts w:ascii="Times New Roman" w:hAnsi="Times New Roman" w:eastAsia="宋体" w:cs="Times New Roman"/>
          <w:bCs/>
          <w:color w:val="auto"/>
          <w:szCs w:val="21"/>
          <w:highlight w:val="none"/>
        </w:rPr>
        <w:t>对于造成严重后果的，或可能发生重大伤亡潜在因素的，甲方有权根据收集到的证据提前终止合同而无需承担由此引起的任何责任。</w:t>
      </w:r>
    </w:p>
    <w:p>
      <w:pPr>
        <w:widowControl/>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10.16乙方在服务过程中应按进度情况及时整理资料，项目完工后1个月内将完整的竣工验收及结算资料移交给甲方，并在工程结算经双方确认后15个工作日内提交完整的结算款请款资料，否则甲方有权暂停乙方派单资格，每逾期一日，甲方有权要求乙方承担1,000.00元/天的违约金（最高不超过单项项目暂定价的20%）。</w:t>
      </w:r>
    </w:p>
    <w:p>
      <w:pPr>
        <w:widowControl/>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10.17项目实施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期限内整改，若整改达不到甲方要求的，甲方有权没收履约担保或取消乙方在库供应商资格。</w:t>
      </w:r>
    </w:p>
    <w:p>
      <w:pPr>
        <w:widowControl/>
        <w:spacing w:line="360" w:lineRule="auto"/>
        <w:ind w:firstLine="4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10.18乙方在服务期限内，在履行本合同、甲方征集文件（含公告、《管理办法》）、任务通知单等约定的义务过程中出现违反国家法律法规、主管部门规章制度、擅自提高价格或提供伪劣服务内容、服务质量低劣造成甲方损失等情况的，甲方有权视不同情况分别给予警告、没收履约担保或取消其在库供应商项目的资格等措施。</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十一、争议解决</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pPr>
        <w:autoSpaceDE w:val="0"/>
        <w:autoSpaceDN w:val="0"/>
        <w:adjustRightInd w:val="0"/>
        <w:spacing w:line="360" w:lineRule="auto"/>
        <w:ind w:firstLine="422" w:firstLineChars="200"/>
        <w:jc w:val="left"/>
        <w:rPr>
          <w:rFonts w:ascii="宋体" w:hAnsi="宋体" w:eastAsia="宋体"/>
          <w:b/>
          <w:color w:val="auto"/>
          <w:kern w:val="0"/>
          <w:szCs w:val="21"/>
          <w:highlight w:val="none"/>
        </w:rPr>
      </w:pPr>
      <w:r>
        <w:rPr>
          <w:rFonts w:hint="eastAsia" w:ascii="宋体" w:hAnsi="宋体" w:eastAsia="宋体"/>
          <w:b/>
          <w:color w:val="auto"/>
          <w:kern w:val="0"/>
          <w:szCs w:val="21"/>
          <w:highlight w:val="none"/>
        </w:rPr>
        <w:t>十二、不可抗力</w:t>
      </w:r>
    </w:p>
    <w:p>
      <w:pPr>
        <w:autoSpaceDE w:val="0"/>
        <w:autoSpaceDN w:val="0"/>
        <w:adjustRightInd w:val="0"/>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12.1 由于不可抗力因素（指火灾、地震、洪水、战争等）使乙方不能在合同规定的期限内提供服务时，乙方必须立即以书面形式通知甲方，并以书面形式向甲方提供有关政府机关所出具的不可抗力因素证明。</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olor w:val="auto"/>
          <w:kern w:val="0"/>
          <w:szCs w:val="21"/>
          <w:highlight w:val="none"/>
        </w:rPr>
        <w:t>12.2 在不可抗力发生时，乙方应尽快以书面形式将不可抗力的情况和原因通知甲方。除非甲方书面另有要求，乙方应尽可能继续履行合同义务，以及寻求合理的方案履行未受不可抗力影响的其它事项。</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十三、其他</w:t>
      </w:r>
    </w:p>
    <w:p>
      <w:pPr>
        <w:tabs>
          <w:tab w:val="left" w:pos="-72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楷体"/>
          <w:color w:val="auto"/>
          <w:kern w:val="0"/>
          <w:szCs w:val="21"/>
          <w:highlight w:val="none"/>
        </w:rPr>
        <w:t xml:space="preserve">13.1 </w:t>
      </w:r>
      <w:r>
        <w:rPr>
          <w:rFonts w:hint="eastAsia" w:ascii="宋体" w:hAnsi="宋体" w:eastAsia="宋体" w:cs="Times New Roman"/>
          <w:bCs/>
          <w:color w:val="auto"/>
          <w:kern w:val="0"/>
          <w:szCs w:val="21"/>
          <w:highlight w:val="none"/>
        </w:rPr>
        <w:t>因乙方被取消服务资格或单项项目急剧增加而造成在库供应商数量不能满足正常工作需求的，甲方有权对本合同供应商库进行补充，并按照甲方在</w:t>
      </w:r>
      <w:r>
        <w:rPr>
          <w:rFonts w:hint="eastAsia" w:ascii="宋体" w:hAnsi="宋体" w:eastAsia="宋体" w:cs="Times New Roman"/>
          <w:color w:val="auto"/>
          <w:kern w:val="0"/>
          <w:szCs w:val="21"/>
          <w:highlight w:val="none"/>
        </w:rPr>
        <w:t>甲方母公司网站上公示的候选供应商的排名先后顺序进行补充，</w:t>
      </w:r>
      <w:r>
        <w:rPr>
          <w:rFonts w:hint="eastAsia" w:ascii="宋体" w:hAnsi="宋体" w:eastAsia="宋体" w:cs="Times New Roman"/>
          <w:bCs/>
          <w:color w:val="auto"/>
          <w:kern w:val="0"/>
          <w:szCs w:val="21"/>
          <w:highlight w:val="none"/>
        </w:rPr>
        <w:t>以保证服务单位数量的正常需求；若候选供应商仍不能满足服务需求的，甲方将不定期在甲方母公司网站上进行再次征集。</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13.2 乙方知悉及声明：乙方作为甲方具备服务资格的供应商，并不必然可以获得具体服务项目的服务机会。甲方无法预计及保证乙方在在库合同服务期内所能获得的具体服务项目数量和具体金额，对此，乙方保证不向甲方追讨任何费用或主张任何权利和责任。</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13.3 在合同期内，因设备革新或者厂区</w:t>
      </w:r>
      <w:r>
        <w:rPr>
          <w:rFonts w:ascii="宋体" w:hAnsi="宋体" w:eastAsia="宋体" w:cs="楷体"/>
          <w:color w:val="auto"/>
          <w:kern w:val="0"/>
          <w:szCs w:val="21"/>
          <w:highlight w:val="none"/>
        </w:rPr>
        <w:t>建设需要</w:t>
      </w:r>
      <w:r>
        <w:rPr>
          <w:rFonts w:hint="eastAsia" w:ascii="宋体" w:hAnsi="宋体" w:eastAsia="宋体" w:cs="楷体"/>
          <w:color w:val="auto"/>
          <w:kern w:val="0"/>
          <w:szCs w:val="21"/>
          <w:highlight w:val="none"/>
        </w:rPr>
        <w:t>或者因甲方管理需要等因素调整技术服务范围时，乙方应遵照执行。由此造成的经济损失，甲方不需承担任何赔偿责任。</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13.4 在合同期内，非因甲方原因，乙方未能按要求做好技术服务及安全生产</w:t>
      </w:r>
      <w:r>
        <w:rPr>
          <w:rFonts w:ascii="宋体" w:hAnsi="宋体" w:eastAsia="宋体" w:cs="楷体"/>
          <w:color w:val="auto"/>
          <w:kern w:val="0"/>
          <w:szCs w:val="21"/>
          <w:highlight w:val="none"/>
        </w:rPr>
        <w:t>管理</w:t>
      </w:r>
      <w:r>
        <w:rPr>
          <w:rFonts w:hint="eastAsia" w:ascii="宋体" w:hAnsi="宋体" w:eastAsia="宋体" w:cs="楷体"/>
          <w:color w:val="auto"/>
          <w:kern w:val="0"/>
          <w:szCs w:val="21"/>
          <w:highlight w:val="none"/>
        </w:rPr>
        <w:t>工作，造成第三方的人身和财产损失，由乙方独自承担法律和经济责任</w:t>
      </w:r>
      <w:r>
        <w:rPr>
          <w:rFonts w:ascii="宋体" w:hAnsi="宋体" w:eastAsia="宋体" w:cs="楷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 xml:space="preserve">13.5 </w:t>
      </w:r>
      <w:r>
        <w:rPr>
          <w:rFonts w:ascii="宋体" w:hAnsi="宋体" w:eastAsia="宋体" w:cs="楷体"/>
          <w:color w:val="auto"/>
          <w:kern w:val="0"/>
          <w:szCs w:val="21"/>
          <w:highlight w:val="none"/>
        </w:rPr>
        <w:t>本</w:t>
      </w:r>
      <w:r>
        <w:rPr>
          <w:rFonts w:hint="eastAsia" w:ascii="宋体" w:hAnsi="宋体" w:eastAsia="宋体" w:cs="楷体"/>
          <w:color w:val="auto"/>
          <w:kern w:val="0"/>
          <w:szCs w:val="21"/>
          <w:highlight w:val="none"/>
        </w:rPr>
        <w:t>合同</w:t>
      </w:r>
      <w:r>
        <w:rPr>
          <w:rFonts w:ascii="宋体" w:hAnsi="宋体" w:eastAsia="宋体" w:cs="楷体"/>
          <w:color w:val="auto"/>
          <w:kern w:val="0"/>
          <w:szCs w:val="21"/>
          <w:highlight w:val="none"/>
        </w:rPr>
        <w:t>如有未尽事宜，由甲</w:t>
      </w:r>
      <w:r>
        <w:rPr>
          <w:rFonts w:hint="eastAsia" w:ascii="宋体" w:hAnsi="宋体" w:eastAsia="宋体" w:cs="楷体"/>
          <w:color w:val="auto"/>
          <w:kern w:val="0"/>
          <w:szCs w:val="21"/>
          <w:highlight w:val="none"/>
        </w:rPr>
        <w:t>、</w:t>
      </w:r>
      <w:r>
        <w:rPr>
          <w:rFonts w:ascii="宋体" w:hAnsi="宋体" w:eastAsia="宋体" w:cs="楷体"/>
          <w:color w:val="auto"/>
          <w:kern w:val="0"/>
          <w:szCs w:val="21"/>
          <w:highlight w:val="none"/>
        </w:rPr>
        <w:t>乙双方订立补充协议，补充协议与本</w:t>
      </w:r>
      <w:r>
        <w:rPr>
          <w:rFonts w:hint="eastAsia" w:ascii="宋体" w:hAnsi="宋体" w:eastAsia="宋体" w:cs="楷体"/>
          <w:color w:val="auto"/>
          <w:kern w:val="0"/>
          <w:szCs w:val="21"/>
          <w:highlight w:val="none"/>
        </w:rPr>
        <w:t>合同同</w:t>
      </w:r>
      <w:r>
        <w:rPr>
          <w:rFonts w:ascii="宋体" w:hAnsi="宋体" w:eastAsia="宋体" w:cs="楷体"/>
          <w:color w:val="auto"/>
          <w:kern w:val="0"/>
          <w:szCs w:val="21"/>
          <w:highlight w:val="none"/>
        </w:rPr>
        <w:t>具法律效力。</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13.6 本合同所列之附件及甲方向乙方派发的任务通知单，均与本合同同具法律效力。</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楷体"/>
          <w:color w:val="auto"/>
          <w:kern w:val="0"/>
          <w:szCs w:val="21"/>
          <w:highlight w:val="none"/>
        </w:rPr>
        <w:t>13.7</w:t>
      </w:r>
      <w:r>
        <w:rPr>
          <w:rFonts w:ascii="宋体" w:hAnsi="宋体" w:eastAsia="宋体" w:cs="Times New Roman"/>
          <w:color w:val="auto"/>
          <w:kern w:val="0"/>
          <w:szCs w:val="21"/>
          <w:highlight w:val="none"/>
        </w:rPr>
        <w:t>本合同一式</w:t>
      </w:r>
      <w:r>
        <w:rPr>
          <w:rFonts w:hint="eastAsia" w:ascii="宋体" w:hAnsi="宋体" w:eastAsia="宋体" w:cs="Times New Roman"/>
          <w:color w:val="auto"/>
          <w:kern w:val="0"/>
          <w:szCs w:val="21"/>
          <w:highlight w:val="none"/>
          <w:u w:val="single"/>
        </w:rPr>
        <w:t>陆</w:t>
      </w:r>
      <w:r>
        <w:rPr>
          <w:rFonts w:ascii="宋体" w:hAnsi="宋体" w:eastAsia="宋体" w:cs="Times New Roman"/>
          <w:color w:val="auto"/>
          <w:kern w:val="0"/>
          <w:szCs w:val="21"/>
          <w:highlight w:val="none"/>
        </w:rPr>
        <w:t>份，甲方执</w:t>
      </w:r>
      <w:r>
        <w:rPr>
          <w:rFonts w:ascii="宋体" w:hAnsi="宋体" w:eastAsia="宋体" w:cs="Times New Roman"/>
          <w:color w:val="auto"/>
          <w:kern w:val="0"/>
          <w:szCs w:val="21"/>
          <w:highlight w:val="none"/>
          <w:u w:val="single"/>
        </w:rPr>
        <w:t>肆</w:t>
      </w:r>
      <w:r>
        <w:rPr>
          <w:rFonts w:ascii="宋体" w:hAnsi="宋体" w:eastAsia="宋体" w:cs="Times New Roman"/>
          <w:color w:val="auto"/>
          <w:kern w:val="0"/>
          <w:szCs w:val="21"/>
          <w:highlight w:val="none"/>
        </w:rPr>
        <w:t>份，乙方执</w:t>
      </w:r>
      <w:r>
        <w:rPr>
          <w:rFonts w:ascii="宋体" w:hAnsi="宋体" w:eastAsia="宋体" w:cs="Times New Roman"/>
          <w:color w:val="auto"/>
          <w:kern w:val="0"/>
          <w:szCs w:val="21"/>
          <w:highlight w:val="none"/>
          <w:u w:val="single"/>
        </w:rPr>
        <w:t>贰</w:t>
      </w:r>
      <w:r>
        <w:rPr>
          <w:rFonts w:ascii="宋体" w:hAnsi="宋体" w:eastAsia="宋体" w:cs="Times New Roman"/>
          <w:color w:val="auto"/>
          <w:kern w:val="0"/>
          <w:szCs w:val="21"/>
          <w:highlight w:val="none"/>
        </w:rPr>
        <w:t>份</w:t>
      </w:r>
      <w:r>
        <w:rPr>
          <w:rFonts w:hint="eastAsia" w:ascii="宋体" w:hAnsi="宋体" w:eastAsia="宋体" w:cs="楷体"/>
          <w:color w:val="auto"/>
          <w:kern w:val="0"/>
          <w:szCs w:val="21"/>
          <w:highlight w:val="none"/>
        </w:rPr>
        <w:t>，均具有同等效力。本合同自双方法定代表人或负责人签字并加盖公章后生效。</w:t>
      </w: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p>
    <w:p>
      <w:pPr>
        <w:autoSpaceDE w:val="0"/>
        <w:autoSpaceDN w:val="0"/>
        <w:adjustRightInd w:val="0"/>
        <w:spacing w:line="360" w:lineRule="auto"/>
        <w:ind w:firstLine="422" w:firstLineChars="200"/>
        <w:jc w:val="left"/>
        <w:rPr>
          <w:rFonts w:ascii="宋体" w:hAnsi="宋体" w:eastAsia="宋体" w:cs="楷体"/>
          <w:b/>
          <w:bCs/>
          <w:color w:val="auto"/>
          <w:kern w:val="0"/>
          <w:szCs w:val="21"/>
          <w:highlight w:val="none"/>
        </w:rPr>
      </w:pPr>
      <w:r>
        <w:rPr>
          <w:rFonts w:hint="eastAsia" w:ascii="宋体" w:hAnsi="宋体" w:eastAsia="宋体" w:cs="楷体"/>
          <w:b/>
          <w:bCs/>
          <w:color w:val="auto"/>
          <w:kern w:val="0"/>
          <w:szCs w:val="21"/>
          <w:highlight w:val="none"/>
        </w:rPr>
        <w:t>附件：</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1：廉洁协议书</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有限空间作业安全承诺书</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3：任务通知单</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4：整改通知书</w:t>
      </w:r>
    </w:p>
    <w:p>
      <w:pPr>
        <w:spacing w:line="360" w:lineRule="auto"/>
        <w:ind w:firstLine="525" w:firstLineChars="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：限期整改承诺书</w:t>
      </w:r>
    </w:p>
    <w:p>
      <w:pPr>
        <w:pStyle w:val="2"/>
        <w:rPr>
          <w:rFonts w:eastAsia="宋体"/>
          <w:color w:val="auto"/>
          <w:highlight w:val="none"/>
        </w:rPr>
      </w:pPr>
      <w:r>
        <w:rPr>
          <w:rFonts w:hint="eastAsia" w:ascii="Times New Roman" w:hAnsi="Times New Roman" w:eastAsia="宋体" w:cs="Times New Roman"/>
          <w:color w:val="auto"/>
          <w:szCs w:val="21"/>
          <w:highlight w:val="none"/>
        </w:rPr>
        <w:t xml:space="preserve">     6：机电设备维修项目请款资料清单</w:t>
      </w:r>
    </w:p>
    <w:p>
      <w:pPr>
        <w:spacing w:line="360" w:lineRule="auto"/>
        <w:ind w:firstLine="525" w:firstLineChars="2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《东莞市水务集团管网有限公司机电设备维修供应商库管理办法（试行）》</w:t>
      </w:r>
    </w:p>
    <w:p>
      <w:pPr>
        <w:widowControl/>
        <w:spacing w:line="360" w:lineRule="auto"/>
        <w:ind w:firstLine="525" w:firstLineChars="250"/>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bidi="ar"/>
        </w:rPr>
        <w:t>8：安全生产管理协议书</w:t>
      </w:r>
    </w:p>
    <w:p>
      <w:pPr>
        <w:spacing w:line="360" w:lineRule="auto"/>
        <w:ind w:firstLine="525" w:firstLineChars="250"/>
        <w:jc w:val="left"/>
        <w:rPr>
          <w:rFonts w:hint="eastAsia" w:ascii="Times New Roman" w:hAnsi="Times New Roman" w:eastAsia="宋体" w:cs="Times New Roman"/>
          <w:bCs w:val="0"/>
          <w:color w:val="auto"/>
          <w:sz w:val="21"/>
          <w:szCs w:val="21"/>
          <w:highlight w:val="none"/>
        </w:rPr>
      </w:pPr>
      <w:r>
        <w:rPr>
          <w:rFonts w:hint="eastAsia" w:ascii="Times New Roman" w:hAnsi="Times New Roman" w:eastAsia="宋体" w:cs="Times New Roman"/>
          <w:bCs w:val="0"/>
          <w:color w:val="auto"/>
          <w:sz w:val="21"/>
          <w:szCs w:val="21"/>
          <w:highlight w:val="none"/>
        </w:rPr>
        <w:t>9：承诺书</w:t>
      </w:r>
    </w:p>
    <w:p>
      <w:pPr>
        <w:spacing w:line="360" w:lineRule="auto"/>
        <w:ind w:firstLine="525" w:firstLineChars="250"/>
        <w:jc w:val="left"/>
        <w:rPr>
          <w:rFonts w:hint="eastAsia" w:ascii="Times New Roman" w:hAnsi="Times New Roman" w:eastAsia="宋体" w:cs="Times New Roman"/>
          <w:color w:val="auto"/>
          <w:szCs w:val="21"/>
          <w:highlight w:val="none"/>
        </w:rPr>
      </w:pPr>
    </w:p>
    <w:p>
      <w:pPr>
        <w:pStyle w:val="3"/>
        <w:ind w:firstLine="211"/>
        <w:rPr>
          <w:color w:val="auto"/>
          <w:highlight w:val="none"/>
        </w:rPr>
      </w:pPr>
    </w:p>
    <w:p>
      <w:pPr>
        <w:pStyle w:val="3"/>
        <w:ind w:firstLine="211"/>
        <w:rPr>
          <w:color w:val="auto"/>
          <w:highlight w:val="none"/>
        </w:rPr>
      </w:pPr>
    </w:p>
    <w:p>
      <w:pPr>
        <w:pStyle w:val="3"/>
        <w:ind w:firstLine="211"/>
        <w:rPr>
          <w:color w:val="auto"/>
          <w:highlight w:val="none"/>
        </w:rPr>
      </w:pPr>
    </w:p>
    <w:p>
      <w:pPr>
        <w:pStyle w:val="3"/>
        <w:ind w:firstLine="211"/>
        <w:rPr>
          <w:color w:val="auto"/>
          <w:highlight w:val="none"/>
        </w:rPr>
      </w:pPr>
    </w:p>
    <w:p>
      <w:pPr>
        <w:pStyle w:val="3"/>
        <w:ind w:firstLine="211"/>
        <w:rPr>
          <w:color w:val="auto"/>
          <w:highlight w:val="none"/>
        </w:rPr>
      </w:pPr>
    </w:p>
    <w:p>
      <w:pPr>
        <w:spacing w:line="360" w:lineRule="auto"/>
        <w:ind w:firstLine="525" w:firstLineChars="250"/>
        <w:jc w:val="left"/>
        <w:rPr>
          <w:rFonts w:ascii="宋体" w:hAnsi="宋体" w:eastAsia="宋体" w:cs="楷体"/>
          <w:bCs/>
          <w:color w:val="auto"/>
          <w:kern w:val="0"/>
          <w:szCs w:val="21"/>
          <w:highlight w:val="none"/>
        </w:rPr>
      </w:pPr>
      <w:r>
        <w:rPr>
          <w:rFonts w:hint="eastAsia" w:ascii="宋体" w:hAnsi="宋体" w:eastAsia="宋体" w:cs="楷体"/>
          <w:bCs/>
          <w:color w:val="auto"/>
          <w:kern w:val="0"/>
          <w:szCs w:val="21"/>
          <w:highlight w:val="none"/>
        </w:rPr>
        <w:t>甲方：                                 乙方：</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                           法定代表人：</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负责人：                               负责人：</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电话：                                 电话：</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传真：                                 传真：</w:t>
      </w:r>
    </w:p>
    <w:p>
      <w:pPr>
        <w:autoSpaceDE w:val="0"/>
        <w:autoSpaceDN w:val="0"/>
        <w:adjustRightInd w:val="0"/>
        <w:spacing w:line="560" w:lineRule="exact"/>
        <w:ind w:left="6010" w:leftChars="262" w:hanging="5460" w:hangingChars="26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开户名称：                             开户名称： </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开户银行：                             开户银行：</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账号：                                 账号：</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税号：                                 税号：</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邮政编码：                             邮政编码：</w:t>
      </w:r>
    </w:p>
    <w:p>
      <w:pPr>
        <w:autoSpaceDE w:val="0"/>
        <w:autoSpaceDN w:val="0"/>
        <w:adjustRightInd w:val="0"/>
        <w:spacing w:line="560" w:lineRule="exact"/>
        <w:ind w:left="554" w:leftChars="262" w:hanging="4" w:hangingChars="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电子邮箱：                             电子邮箱：</w:t>
      </w:r>
    </w:p>
    <w:p>
      <w:pPr>
        <w:autoSpaceDE w:val="0"/>
        <w:autoSpaceDN w:val="0"/>
        <w:adjustRightInd w:val="0"/>
        <w:spacing w:line="560" w:lineRule="exact"/>
        <w:ind w:left="554" w:leftChars="262" w:hanging="4" w:hangingChars="2"/>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 xml:space="preserve"> </w:t>
      </w:r>
    </w:p>
    <w:p>
      <w:pPr>
        <w:autoSpaceDE w:val="0"/>
        <w:autoSpaceDN w:val="0"/>
        <w:adjustRightInd w:val="0"/>
        <w:spacing w:line="360" w:lineRule="auto"/>
        <w:ind w:firstLine="630" w:firstLineChars="3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本合同</w:t>
      </w:r>
      <w:r>
        <w:rPr>
          <w:rFonts w:hint="eastAsia" w:ascii="宋体" w:hAnsi="宋体" w:eastAsia="宋体"/>
          <w:color w:val="auto"/>
          <w:kern w:val="0"/>
          <w:szCs w:val="21"/>
          <w:highlight w:val="none"/>
          <w:u w:val="single"/>
        </w:rPr>
        <w:t xml:space="preserve">    年  月  日</w:t>
      </w:r>
      <w:r>
        <w:rPr>
          <w:rFonts w:hint="eastAsia" w:ascii="宋体" w:hAnsi="宋体" w:eastAsia="宋体"/>
          <w:color w:val="auto"/>
          <w:kern w:val="0"/>
          <w:szCs w:val="21"/>
          <w:highlight w:val="none"/>
        </w:rPr>
        <w:t>签订于</w:t>
      </w:r>
      <w:r>
        <w:rPr>
          <w:rFonts w:hint="eastAsia" w:ascii="宋体" w:hAnsi="宋体" w:eastAsia="宋体"/>
          <w:color w:val="auto"/>
          <w:kern w:val="0"/>
          <w:szCs w:val="21"/>
          <w:highlight w:val="none"/>
          <w:u w:val="single"/>
        </w:rPr>
        <w:t xml:space="preserve">  东莞市  </w:t>
      </w:r>
      <w:r>
        <w:rPr>
          <w:rFonts w:hint="eastAsia" w:ascii="宋体" w:hAnsi="宋体" w:eastAsia="宋体"/>
          <w:color w:val="auto"/>
          <w:kern w:val="0"/>
          <w:szCs w:val="21"/>
          <w:highlight w:val="none"/>
        </w:rPr>
        <w:t>。</w:t>
      </w:r>
    </w:p>
    <w:p>
      <w:pPr>
        <w:tabs>
          <w:tab w:val="left" w:pos="-720"/>
        </w:tabs>
        <w:autoSpaceDE w:val="0"/>
        <w:autoSpaceDN w:val="0"/>
        <w:adjustRightInd w:val="0"/>
        <w:spacing w:line="360" w:lineRule="auto"/>
        <w:jc w:val="left"/>
        <w:rPr>
          <w:rFonts w:ascii="宋体" w:hAnsi="宋体" w:eastAsia="宋体" w:cs="Times New Roman"/>
          <w:color w:val="auto"/>
          <w:kern w:val="0"/>
          <w:szCs w:val="21"/>
          <w:highlight w:val="none"/>
        </w:rPr>
      </w:pPr>
    </w:p>
    <w:p>
      <w:pPr>
        <w:spacing w:line="360" w:lineRule="auto"/>
        <w:rPr>
          <w:rFonts w:ascii="宋体" w:hAnsi="宋体" w:eastAsia="宋体" w:cs="Times New Roman"/>
          <w:color w:val="auto"/>
          <w:szCs w:val="21"/>
          <w:highlight w:val="none"/>
        </w:rPr>
      </w:pPr>
    </w:p>
    <w:p>
      <w:pPr>
        <w:pageBreakBefore/>
        <w:autoSpaceDE w:val="0"/>
        <w:autoSpaceDN w:val="0"/>
        <w:adjustRightInd w:val="0"/>
        <w:spacing w:line="360" w:lineRule="auto"/>
        <w:jc w:val="left"/>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附件1：廉洁协议书</w:t>
      </w:r>
    </w:p>
    <w:p>
      <w:pPr>
        <w:autoSpaceDE w:val="0"/>
        <w:autoSpaceDN w:val="0"/>
        <w:adjustRightInd w:val="0"/>
        <w:spacing w:line="360" w:lineRule="auto"/>
        <w:jc w:val="center"/>
        <w:rPr>
          <w:rFonts w:ascii="宋体" w:hAnsi="宋体" w:eastAsia="宋体" w:cs="Times New Roman"/>
          <w:color w:val="auto"/>
          <w:kern w:val="0"/>
          <w:sz w:val="44"/>
          <w:szCs w:val="44"/>
          <w:highlight w:val="none"/>
        </w:rPr>
      </w:pPr>
      <w:r>
        <w:rPr>
          <w:rFonts w:hint="eastAsia" w:ascii="宋体" w:hAnsi="宋体" w:eastAsia="宋体" w:cs="Times New Roman"/>
          <w:color w:val="auto"/>
          <w:kern w:val="0"/>
          <w:sz w:val="44"/>
          <w:szCs w:val="44"/>
          <w:highlight w:val="none"/>
        </w:rPr>
        <w:t>廉洁协议书</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项目名称：</w:t>
      </w:r>
      <w:r>
        <w:rPr>
          <w:rFonts w:hint="eastAsia" w:ascii="宋体" w:hAnsi="宋体" w:eastAsia="宋体" w:cs="Times New Roman"/>
          <w:color w:val="auto"/>
          <w:kern w:val="0"/>
          <w:szCs w:val="21"/>
          <w:highlight w:val="none"/>
          <w:u w:val="single"/>
        </w:rPr>
        <w:t xml:space="preserve">东莞市水务集团管网有限公司（含其分公司、子公司，下同）机电设备服务项目 </w:t>
      </w:r>
    </w:p>
    <w:p>
      <w:pPr>
        <w:autoSpaceDE w:val="0"/>
        <w:autoSpaceDN w:val="0"/>
        <w:adjustRightInd w:val="0"/>
        <w:spacing w:line="360" w:lineRule="auto"/>
        <w:jc w:val="left"/>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rPr>
        <w:t>甲方（业主单位）：</w:t>
      </w:r>
      <w:r>
        <w:rPr>
          <w:rFonts w:hint="eastAsia" w:ascii="宋体" w:hAnsi="宋体" w:eastAsia="宋体" w:cs="Times New Roman"/>
          <w:color w:val="auto"/>
          <w:kern w:val="0"/>
          <w:szCs w:val="21"/>
          <w:highlight w:val="none"/>
          <w:u w:val="single"/>
        </w:rPr>
        <w:t>东莞市水务集团管网有限公司（含其分公司、子公司，下同）</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u w:val="single"/>
        </w:rPr>
        <w:t xml:space="preserve">                           </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第一条  甲乙双方的权利和义务</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（一）严格遵守党和国家有关法律法规等有关廉洁从业规定。</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（二）严格执行本项目的合同文件，自觉按合同办事。</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（四）建立健全廉洁制度，开展廉洁教育，设立廉洁监督公示牌，公布举报电话，监督并认真查处违法违纪行为。</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（五）发现对方在业务活动中有违反廉洁规定的行为，有及时提醒对方纠正的权利和义务。</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（六）发现对方严重违反本协议义务条款的行为，有向其上级有关部门举报、建议给予处理并要求告知处理结果的权利。</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第二条  甲方的义务</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（一）甲方及其工作人员不得索要或接受乙方的礼金、有价证券和贵重物品，不得在乙方报销任何应由甲方或个人支付的费用。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（二）甲方工作人员不得参加乙方安排的高消费宴请和娱乐活动；不得接受乙方提供的通讯工具、交通工具和高档办公用品。</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（三）甲方及其工作人员不得要求或者接受乙方为其住房装修、婚丧嫁娶活动、家属或亲友的工作安排以及出国出境、旅游等提供方便。</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（四）甲方工作人员不得向乙方介绍其家属或者亲友（包括家属或亲友开办的公司企业）从事于本项目涉及的经济业务活动。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（五）甲方及其工作人员不得以任何理由向乙方推荐分包单位，不得要求乙方购买合同规定外的材料和设备。</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（六）甲方及其工作人员不得进行违反廉洁规定的其他活动。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第三条  乙方义务</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（一）乙方不得以任何理由向甲方及其工作人员馈赠礼金、有价证券、贵重礼品，或报销应由甲方单位或个人支付的任何费用。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（二）乙方及其工作人员不得以考察、参观、洽谈业务、签订合同等的借口邀请甲方及其工作人员参加高消费的宴请、娱乐和健身等活动。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（三）乙方不得为甲方单位和个人购置或提供通讯工具、交通工具和高档办公用品等。</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（四）乙方及其工作人员不得为甲方工作人员购买、装修、维修私人住房、汽车等。</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（五）乙方及其工作人员不得为甲方工作人员的婚丧嫁娶、家属或亲友的工作安排，及出国出境提供方便以及报销任何私人消费的费用。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（六）乙方及其工作人员不得进行影响甲方及其工作人员公正执行合同和履行职务的其他活动。</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第四条  违约责任</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（一）甲方违反本协议第一、第二条给乙方单位造成经济损失的，应予以赔偿。</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（二）乙方违反本协议第一、第三条给甲方单位造成经济损失的，应予以赔偿。</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第五条  监督检查</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甲乙双方的廉洁从业行为由双方或双方上级单位的纪检、监察负责监督，对本协议履行情况进行检查。</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第六条  其他</w:t>
      </w: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本协议有效期为甲乙双方签字并盖章之日起至服务期结束后乙方所有实施项目竣工验收完毕，质保期/服务期满后止。本协议</w:t>
      </w:r>
      <w:r>
        <w:rPr>
          <w:rFonts w:ascii="宋体" w:hAnsi="宋体" w:eastAsia="宋体" w:cs="Times New Roman"/>
          <w:color w:val="auto"/>
          <w:kern w:val="0"/>
          <w:szCs w:val="21"/>
          <w:highlight w:val="none"/>
        </w:rPr>
        <w:t>一式</w:t>
      </w:r>
      <w:r>
        <w:rPr>
          <w:rFonts w:hint="eastAsia" w:ascii="宋体" w:hAnsi="宋体" w:eastAsia="宋体" w:cs="Times New Roman"/>
          <w:color w:val="auto"/>
          <w:kern w:val="0"/>
          <w:szCs w:val="21"/>
          <w:highlight w:val="none"/>
          <w:u w:val="single"/>
        </w:rPr>
        <w:t>陆</w:t>
      </w:r>
      <w:r>
        <w:rPr>
          <w:rFonts w:ascii="宋体" w:hAnsi="宋体" w:eastAsia="宋体" w:cs="Times New Roman"/>
          <w:color w:val="auto"/>
          <w:kern w:val="0"/>
          <w:szCs w:val="21"/>
          <w:highlight w:val="none"/>
        </w:rPr>
        <w:t>份，甲方执</w:t>
      </w:r>
      <w:r>
        <w:rPr>
          <w:rFonts w:ascii="宋体" w:hAnsi="宋体" w:eastAsia="宋体" w:cs="Times New Roman"/>
          <w:color w:val="auto"/>
          <w:kern w:val="0"/>
          <w:szCs w:val="21"/>
          <w:highlight w:val="none"/>
          <w:u w:val="single"/>
        </w:rPr>
        <w:t>肆</w:t>
      </w:r>
      <w:r>
        <w:rPr>
          <w:rFonts w:ascii="宋体" w:hAnsi="宋体" w:eastAsia="宋体" w:cs="Times New Roman"/>
          <w:color w:val="auto"/>
          <w:kern w:val="0"/>
          <w:szCs w:val="21"/>
          <w:highlight w:val="none"/>
        </w:rPr>
        <w:t>份，乙方执</w:t>
      </w:r>
      <w:r>
        <w:rPr>
          <w:rFonts w:ascii="宋体" w:hAnsi="宋体" w:eastAsia="宋体" w:cs="Times New Roman"/>
          <w:color w:val="auto"/>
          <w:kern w:val="0"/>
          <w:szCs w:val="21"/>
          <w:highlight w:val="none"/>
          <w:u w:val="single"/>
        </w:rPr>
        <w:t>贰</w:t>
      </w:r>
      <w:r>
        <w:rPr>
          <w:rFonts w:ascii="宋体" w:hAnsi="宋体" w:eastAsia="宋体" w:cs="Times New Roman"/>
          <w:color w:val="auto"/>
          <w:kern w:val="0"/>
          <w:szCs w:val="21"/>
          <w:highlight w:val="none"/>
        </w:rPr>
        <w:t>份</w:t>
      </w:r>
      <w:r>
        <w:rPr>
          <w:rFonts w:hint="eastAsia" w:ascii="宋体" w:hAnsi="宋体" w:eastAsia="宋体" w:cs="楷体"/>
          <w:color w:val="auto"/>
          <w:kern w:val="0"/>
          <w:szCs w:val="21"/>
          <w:highlight w:val="none"/>
        </w:rPr>
        <w:t>，均具有同等效力。</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甲方（盖章）：                　</w:t>
      </w:r>
      <w:r>
        <w:rPr>
          <w:rFonts w:ascii="宋体" w:hAnsi="宋体" w:eastAsia="宋体" w:cs="Times New Roman"/>
          <w:color w:val="auto"/>
          <w:kern w:val="0"/>
          <w:szCs w:val="21"/>
          <w:highlight w:val="none"/>
        </w:rPr>
        <w:t>　　　　</w:t>
      </w:r>
      <w:r>
        <w:rPr>
          <w:rFonts w:hint="eastAsia" w:ascii="宋体" w:hAnsi="宋体" w:eastAsia="宋体" w:cs="Times New Roman"/>
          <w:color w:val="auto"/>
          <w:kern w:val="0"/>
          <w:szCs w:val="21"/>
          <w:highlight w:val="none"/>
        </w:rPr>
        <w:t xml:space="preserve">乙方（盖章）： </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法定代表（或负责）人：                 法定代表（或负责）人：</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签订日期：</w:t>
      </w:r>
    </w:p>
    <w:p>
      <w:pPr>
        <w:autoSpaceDE w:val="0"/>
        <w:autoSpaceDN w:val="0"/>
        <w:adjustRightInd w:val="0"/>
        <w:spacing w:before="120" w:beforeLines="50" w:after="120" w:afterLines="50" w:line="520" w:lineRule="exact"/>
        <w:jc w:val="left"/>
        <w:textAlignment w:val="baseline"/>
        <w:rPr>
          <w:rFonts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br w:type="page"/>
      </w:r>
      <w:r>
        <w:rPr>
          <w:rFonts w:hint="eastAsia" w:ascii="宋体" w:hAnsi="宋体" w:eastAsia="宋体" w:cs="Times New Roman"/>
          <w:b/>
          <w:color w:val="auto"/>
          <w:kern w:val="0"/>
          <w:sz w:val="24"/>
          <w:szCs w:val="21"/>
          <w:highlight w:val="none"/>
        </w:rPr>
        <w:t>附件2：</w:t>
      </w:r>
    </w:p>
    <w:p>
      <w:pPr>
        <w:spacing w:before="120" w:beforeLines="50" w:after="120" w:afterLines="50" w:line="520" w:lineRule="exact"/>
        <w:jc w:val="center"/>
        <w:textAlignment w:val="baseline"/>
        <w:rPr>
          <w:rFonts w:ascii="Times New Roman" w:hAnsi="Times New Roman" w:eastAsia="宋体" w:cs="Times New Roman"/>
          <w:color w:val="auto"/>
          <w:sz w:val="44"/>
          <w:szCs w:val="44"/>
          <w:highlight w:val="none"/>
        </w:rPr>
      </w:pPr>
      <w:r>
        <w:rPr>
          <w:rFonts w:ascii="Times New Roman" w:hAnsi="Times New Roman" w:eastAsia="宋体" w:cs="Times New Roman"/>
          <w:color w:val="auto"/>
          <w:sz w:val="44"/>
          <w:szCs w:val="44"/>
          <w:highlight w:val="none"/>
        </w:rPr>
        <w:t>有限空间</w:t>
      </w:r>
      <w:r>
        <w:rPr>
          <w:rFonts w:hint="eastAsia" w:ascii="Times New Roman" w:hAnsi="Times New Roman" w:eastAsia="宋体" w:cs="Times New Roman"/>
          <w:color w:val="auto"/>
          <w:sz w:val="44"/>
          <w:szCs w:val="44"/>
          <w:highlight w:val="none"/>
        </w:rPr>
        <w:t>作业</w:t>
      </w:r>
      <w:r>
        <w:rPr>
          <w:rFonts w:ascii="Times New Roman" w:hAnsi="Times New Roman" w:eastAsia="宋体" w:cs="Times New Roman"/>
          <w:color w:val="auto"/>
          <w:sz w:val="44"/>
          <w:szCs w:val="44"/>
          <w:highlight w:val="none"/>
        </w:rPr>
        <w:t>安全承诺书</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东莞市水务集团管网有限公司（含其分公司、子公司）：</w:t>
      </w:r>
    </w:p>
    <w:p>
      <w:pPr>
        <w:adjustRightInd w:val="0"/>
        <w:snapToGrid w:val="0"/>
        <w:spacing w:line="360" w:lineRule="auto"/>
        <w:ind w:firstLine="555"/>
        <w:rPr>
          <w:rFonts w:ascii="宋体" w:hAnsi="宋体" w:eastAsia="宋体" w:cs="宋体"/>
          <w:color w:val="auto"/>
          <w:szCs w:val="21"/>
          <w:highlight w:val="none"/>
          <w:u w:val="single"/>
        </w:rPr>
      </w:pPr>
      <w:r>
        <w:rPr>
          <w:rFonts w:hint="eastAsia" w:ascii="宋体" w:hAnsi="宋体" w:eastAsia="宋体" w:cs="宋体"/>
          <w:color w:val="auto"/>
          <w:szCs w:val="21"/>
          <w:highlight w:val="none"/>
        </w:rPr>
        <w:t>我方（服务单位）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承接贵公司的</w:t>
      </w:r>
      <w:r>
        <w:rPr>
          <w:rFonts w:hint="eastAsia" w:ascii="宋体" w:hAnsi="宋体" w:eastAsia="宋体" w:cs="宋体"/>
          <w:color w:val="auto"/>
          <w:szCs w:val="21"/>
          <w:highlight w:val="none"/>
          <w:u w:val="single"/>
        </w:rPr>
        <w:t>东莞市水务集团管网有限公司（含其分公司、子公司）机电设备维修服务项目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以下简称“该项目”），并与贵公司签订了【东莞市水务集团管网有限公司（含其分公司、子公司）机电设备维修服务在库供应商框架合同】（以下简称“合同”）</w:t>
      </w:r>
      <w:r>
        <w:rPr>
          <w:rFonts w:hint="eastAsia" w:ascii="宋体" w:hAnsi="宋体" w:eastAsia="宋体" w:cs="宋体"/>
          <w:color w:val="auto"/>
          <w:szCs w:val="21"/>
          <w:highlight w:val="none"/>
        </w:rPr>
        <w:t>。在承接贵公司各单项机电设备维修任务时，为加强安全生产及有限空间作业管理、坚决保证各项施工安全、有效开展，我方现郑重作如下承诺：</w:t>
      </w:r>
    </w:p>
    <w:p>
      <w:pPr>
        <w:numPr>
          <w:ilvl w:val="0"/>
          <w:numId w:val="28"/>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我方严格按照贵公司要求建立所有参与该项目的工作人员信息库，并确保所有工作人员接受贵公司的实名制登记及管理。</w:t>
      </w:r>
    </w:p>
    <w:p>
      <w:pPr>
        <w:adjustRightInd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2</w:t>
      </w:r>
      <w:r>
        <w:rPr>
          <w:rFonts w:hint="eastAsia" w:ascii="宋体" w:hAnsi="宋体" w:eastAsia="宋体" w:cs="宋体"/>
          <w:color w:val="auto"/>
          <w:szCs w:val="21"/>
          <w:highlight w:val="none"/>
        </w:rPr>
        <w:t>、我方参与有限空间作业的所有工作人员均按其所从事的工作内容持证上岗。</w:t>
      </w:r>
    </w:p>
    <w:p>
      <w:pPr>
        <w:adjustRightInd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3</w:t>
      </w:r>
      <w:r>
        <w:rPr>
          <w:rFonts w:hint="eastAsia" w:ascii="宋体" w:hAnsi="宋体" w:eastAsia="宋体" w:cs="宋体"/>
          <w:color w:val="auto"/>
          <w:szCs w:val="21"/>
          <w:highlight w:val="none"/>
        </w:rPr>
        <w:t>、我方严格遵照贵公司的相关要求，安排参与有限空间作业的所有工作人员参加贵公司（包含贵公司委托的第三方机构）组织的安全培训及考核。</w:t>
      </w:r>
    </w:p>
    <w:p>
      <w:pPr>
        <w:adjustRightInd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4</w:t>
      </w:r>
      <w:r>
        <w:rPr>
          <w:rFonts w:hint="eastAsia" w:ascii="宋体" w:hAnsi="宋体" w:eastAsia="宋体" w:cs="宋体"/>
          <w:color w:val="auto"/>
          <w:szCs w:val="21"/>
          <w:highlight w:val="none"/>
        </w:rPr>
        <w:t>、我方承诺作业涉及有限空间的，严格按照国家应急部印发的《有限空间作业安全指导手册》开展相关工作，严格遵守“先通风、再检测、后作业”的原则。作业前严格执行有限空间作业审批制度，确保作业人员正确穿戴防毒面具、安全帽、安全绳等防护用品，携带对讲机并在气体检测合格后再开展有限空间作业。作业过程中做到实时监测、持续通风、保证通讯畅通。</w:t>
      </w:r>
    </w:p>
    <w:p>
      <w:pPr>
        <w:adjustRightInd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5</w:t>
      </w:r>
      <w:r>
        <w:rPr>
          <w:rFonts w:hint="eastAsia" w:ascii="宋体" w:hAnsi="宋体" w:eastAsia="宋体" w:cs="宋体"/>
          <w:color w:val="auto"/>
          <w:szCs w:val="21"/>
          <w:highlight w:val="none"/>
        </w:rPr>
        <w:t>、我方承诺严格遵照执行相关法律法规以及贵公司相关安全生产制度及有限空间作业操作规程。</w:t>
      </w:r>
    </w:p>
    <w:p>
      <w:pPr>
        <w:adjustRightInd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6</w:t>
      </w:r>
      <w:r>
        <w:rPr>
          <w:rFonts w:hint="eastAsia" w:ascii="宋体" w:hAnsi="宋体" w:eastAsia="宋体" w:cs="宋体"/>
          <w:color w:val="auto"/>
          <w:szCs w:val="21"/>
          <w:highlight w:val="none"/>
        </w:rPr>
        <w:t>、贵公司有权将我方违诺/违约行为视为不良/失信行为，我方自愿接受贵公司上报贵公司集团作出将我方</w:t>
      </w:r>
      <w:r>
        <w:rPr>
          <w:rFonts w:hint="eastAsia" w:ascii="Times New Roman" w:hAnsi="Times New Roman" w:eastAsia="宋体" w:cs="Times New Roman"/>
          <w:color w:val="auto"/>
          <w:szCs w:val="21"/>
          <w:highlight w:val="none"/>
        </w:rPr>
        <w:t>列入黑名单，</w:t>
      </w:r>
      <w:r>
        <w:rPr>
          <w:rFonts w:hint="eastAsia" w:ascii="宋体" w:hAnsi="宋体" w:eastAsia="宋体" w:cs="宋体"/>
          <w:color w:val="auto"/>
          <w:szCs w:val="21"/>
          <w:highlight w:val="none"/>
        </w:rPr>
        <w:t>向阳光网、东莞日报等媒体公开我方不良/失信行为以及上报东莞市住建局、东莞市水污染治理现场指挥部等行政主管部门并建议取消我方参加东莞市公开招标项目的投标资格等处理，并愿意按照与贵公司签订的合同承担违约赔偿等责任。</w:t>
      </w:r>
    </w:p>
    <w:p>
      <w:pPr>
        <w:spacing w:line="360" w:lineRule="auto"/>
        <w:ind w:firstLine="5040" w:firstLineChars="2400"/>
        <w:jc w:val="left"/>
        <w:rPr>
          <w:rFonts w:ascii="宋体" w:hAnsi="宋体" w:eastAsia="宋体" w:cs="宋体"/>
          <w:color w:val="auto"/>
          <w:szCs w:val="21"/>
          <w:highlight w:val="none"/>
        </w:rPr>
      </w:pPr>
    </w:p>
    <w:p>
      <w:pPr>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服务单位盖章：</w:t>
      </w:r>
    </w:p>
    <w:p>
      <w:pPr>
        <w:tabs>
          <w:tab w:val="left" w:pos="2009"/>
        </w:tabs>
        <w:spacing w:line="360" w:lineRule="auto"/>
        <w:ind w:firstLine="1971" w:firstLineChars="939"/>
        <w:jc w:val="left"/>
        <w:rPr>
          <w:rFonts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法定代表人（或授权委托人）：</w:t>
      </w:r>
    </w:p>
    <w:p>
      <w:pPr>
        <w:autoSpaceDE w:val="0"/>
        <w:autoSpaceDN w:val="0"/>
        <w:adjustRightInd w:val="0"/>
        <w:spacing w:line="360" w:lineRule="auto"/>
        <w:ind w:firstLine="420" w:firstLineChars="200"/>
        <w:jc w:val="right"/>
        <w:rPr>
          <w:rFonts w:ascii="Times New Roman" w:hAnsi="Calibri" w:eastAsia="仿宋_GB2312" w:cs="Times New Roman"/>
          <w:color w:val="auto"/>
          <w:kern w:val="0"/>
          <w:sz w:val="24"/>
          <w:szCs w:val="32"/>
          <w:highlight w:val="none"/>
        </w:rPr>
      </w:pPr>
      <w:r>
        <w:rPr>
          <w:rFonts w:hint="eastAsia" w:ascii="宋体" w:hAnsi="宋体" w:eastAsia="宋体" w:cs="宋体"/>
          <w:color w:val="auto"/>
          <w:szCs w:val="21"/>
          <w:highlight w:val="none"/>
        </w:rPr>
        <w:t>承诺时间：     年   月   日</w:t>
      </w:r>
    </w:p>
    <w:p>
      <w:pPr>
        <w:pageBreakBefore/>
        <w:spacing w:line="360" w:lineRule="auto"/>
        <w:jc w:val="left"/>
        <w:rPr>
          <w:rFonts w:ascii="宋体" w:hAnsi="宋体" w:eastAsia="宋体" w:cs="Times New Roman"/>
          <w:b/>
          <w:color w:val="auto"/>
          <w:sz w:val="32"/>
          <w:szCs w:val="21"/>
          <w:highlight w:val="none"/>
        </w:rPr>
      </w:pPr>
      <w:r>
        <w:rPr>
          <w:rFonts w:hint="eastAsia" w:ascii="宋体" w:hAnsi="宋体" w:eastAsia="宋体" w:cs="Times New Roman"/>
          <w:b/>
          <w:color w:val="auto"/>
          <w:kern w:val="0"/>
          <w:sz w:val="24"/>
          <w:szCs w:val="21"/>
          <w:highlight w:val="none"/>
        </w:rPr>
        <w:t>附件3：</w:t>
      </w:r>
    </w:p>
    <w:p>
      <w:pPr>
        <w:pStyle w:val="107"/>
        <w:spacing w:line="360" w:lineRule="auto"/>
        <w:ind w:firstLine="3213" w:firstLineChars="1000"/>
        <w:rPr>
          <w:rFonts w:ascii="Times New Roman" w:hAnsi="Times New Roman"/>
          <w:b/>
          <w:color w:val="auto"/>
          <w:sz w:val="32"/>
          <w:szCs w:val="21"/>
          <w:highlight w:val="none"/>
        </w:rPr>
      </w:pPr>
      <w:r>
        <w:rPr>
          <w:rFonts w:ascii="Times New Roman" w:hAnsi="Times New Roman"/>
          <w:b/>
          <w:color w:val="auto"/>
          <w:sz w:val="32"/>
          <w:szCs w:val="21"/>
          <w:highlight w:val="none"/>
        </w:rPr>
        <w:t>任务通知单（格式）</w:t>
      </w:r>
    </w:p>
    <w:p>
      <w:pPr>
        <w:pStyle w:val="107"/>
        <w:spacing w:line="360" w:lineRule="auto"/>
        <w:ind w:firstLine="4830" w:firstLineChars="2300"/>
        <w:rPr>
          <w:rFonts w:ascii="Times New Roman" w:hAnsi="Times New Roman"/>
          <w:color w:val="auto"/>
          <w:szCs w:val="21"/>
          <w:highlight w:val="none"/>
        </w:rPr>
      </w:pPr>
      <w:r>
        <w:rPr>
          <w:rFonts w:ascii="Times New Roman" w:hAnsi="Times New Roman"/>
          <w:color w:val="auto"/>
          <w:szCs w:val="21"/>
          <w:highlight w:val="none"/>
        </w:rPr>
        <w:t xml:space="preserve">派单编号：                  </w:t>
      </w:r>
    </w:p>
    <w:p>
      <w:pPr>
        <w:pStyle w:val="107"/>
        <w:spacing w:line="360" w:lineRule="auto"/>
        <w:rPr>
          <w:rFonts w:ascii="Times New Roman" w:hAnsi="Times New Roman"/>
          <w:color w:val="auto"/>
          <w:szCs w:val="21"/>
          <w:highlight w:val="none"/>
        </w:rPr>
      </w:pPr>
      <w:r>
        <w:rPr>
          <w:rFonts w:ascii="Times New Roman" w:hAnsi="Times New Roman"/>
          <w:color w:val="auto"/>
          <w:szCs w:val="21"/>
          <w:highlight w:val="none"/>
          <w:u w:val="single"/>
        </w:rPr>
        <w:t xml:space="preserve">        （承接服务单位名称）</w:t>
      </w:r>
      <w:r>
        <w:rPr>
          <w:rFonts w:ascii="Times New Roman" w:hAnsi="Times New Roman"/>
          <w:color w:val="auto"/>
          <w:szCs w:val="21"/>
          <w:highlight w:val="none"/>
        </w:rPr>
        <w:t>：</w:t>
      </w:r>
    </w:p>
    <w:p>
      <w:pPr>
        <w:pStyle w:val="107"/>
        <w:spacing w:line="360" w:lineRule="auto"/>
        <w:ind w:left="248" w:leftChars="118"/>
        <w:rPr>
          <w:rFonts w:ascii="Times New Roman" w:hAnsi="Times New Roman"/>
          <w:color w:val="auto"/>
          <w:szCs w:val="21"/>
          <w:highlight w:val="none"/>
        </w:rPr>
      </w:pPr>
      <w:r>
        <w:rPr>
          <w:rFonts w:ascii="Times New Roman" w:hAnsi="Times New Roman"/>
          <w:color w:val="auto"/>
          <w:szCs w:val="21"/>
          <w:highlight w:val="none"/>
        </w:rPr>
        <w:t xml:space="preserve"> 根据东莞市水务集团管网有限公司（含其分公司、子公司）</w:t>
      </w:r>
      <w:r>
        <w:rPr>
          <w:rFonts w:hint="eastAsia" w:ascii="Times New Roman" w:hAnsi="Times New Roman"/>
          <w:color w:val="auto"/>
          <w:szCs w:val="21"/>
          <w:highlight w:val="none"/>
        </w:rPr>
        <w:t>机电设备维修服务在库</w:t>
      </w:r>
      <w:r>
        <w:rPr>
          <w:rFonts w:ascii="Times New Roman" w:hAnsi="Times New Roman"/>
          <w:color w:val="auto"/>
          <w:szCs w:val="21"/>
          <w:highlight w:val="none"/>
          <w:lang w:val="zh-CN"/>
        </w:rPr>
        <w:t>供应商框架合同</w:t>
      </w:r>
      <w:r>
        <w:rPr>
          <w:rFonts w:ascii="Times New Roman" w:hAnsi="Times New Roman"/>
          <w:color w:val="auto"/>
          <w:szCs w:val="21"/>
          <w:highlight w:val="none"/>
        </w:rPr>
        <w:t>的约定，以下项目委托你公司承接，请自接到本任务通知单后根据框架合同的约定组织开展工作。</w:t>
      </w:r>
    </w:p>
    <w:tbl>
      <w:tblPr>
        <w:tblStyle w:val="47"/>
        <w:tblW w:w="8930" w:type="dxa"/>
        <w:tblInd w:w="392" w:type="dxa"/>
        <w:tblLayout w:type="fixed"/>
        <w:tblCellMar>
          <w:top w:w="0" w:type="dxa"/>
          <w:left w:w="108" w:type="dxa"/>
          <w:bottom w:w="0" w:type="dxa"/>
          <w:right w:w="108" w:type="dxa"/>
        </w:tblCellMar>
      </w:tblPr>
      <w:tblGrid>
        <w:gridCol w:w="2720"/>
        <w:gridCol w:w="6210"/>
      </w:tblGrid>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单项项目名称</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项目地点</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服务范围及项目要求</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进场时间</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工期</w:t>
            </w:r>
            <w:r>
              <w:rPr>
                <w:rFonts w:hint="eastAsia" w:ascii="Times New Roman" w:hAnsi="Times New Roman" w:eastAsia="宋体" w:cs="Times New Roman"/>
                <w:color w:val="auto"/>
                <w:szCs w:val="21"/>
                <w:highlight w:val="none"/>
              </w:rPr>
              <w:t>及进度计划</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.接任务通知后</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小时内或</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天内实质性进场工作，完工工期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天。</w:t>
            </w:r>
          </w:p>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.需在</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 xml:space="preserve">天内提交项目进度计划表，并经甲方同意后按照进度计划表按期完工。 </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估算（或预算）</w:t>
            </w:r>
            <w:r>
              <w:rPr>
                <w:rFonts w:ascii="Times New Roman" w:hAnsi="Times New Roman" w:eastAsia="宋体" w:cs="Times New Roman"/>
                <w:color w:val="auto"/>
                <w:szCs w:val="21"/>
                <w:highlight w:val="none"/>
              </w:rPr>
              <w:t>价（下浮</w:t>
            </w:r>
            <w:r>
              <w:rPr>
                <w:rFonts w:hint="eastAsia" w:ascii="Times New Roman" w:hAnsi="Times New Roman" w:eastAsia="宋体" w:cs="Times New Roman"/>
                <w:color w:val="auto"/>
                <w:szCs w:val="21"/>
                <w:highlight w:val="none"/>
              </w:rPr>
              <w:t>前</w:t>
            </w:r>
            <w:r>
              <w:rPr>
                <w:rFonts w:ascii="Times New Roman" w:hAnsi="Times New Roman" w:eastAsia="宋体" w:cs="Times New Roman"/>
                <w:color w:val="auto"/>
                <w:szCs w:val="21"/>
                <w:highlight w:val="none"/>
              </w:rPr>
              <w:t>，含9%增值税）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
                <w:color w:val="auto"/>
                <w:szCs w:val="21"/>
                <w:highlight w:val="none"/>
              </w:rPr>
            </w:pP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元（大写人民币</w:t>
            </w: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其中含税费</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元</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下浮率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8"/>
                <w:highlight w:val="none"/>
                <w:u w:val="single"/>
              </w:rPr>
              <w:t xml:space="preserve">      </w:t>
            </w:r>
            <w:r>
              <w:rPr>
                <w:rFonts w:ascii="Times New Roman" w:hAnsi="Times New Roman" w:eastAsia="宋体" w:cs="Times New Roman"/>
                <w:bCs/>
                <w:color w:val="auto"/>
                <w:szCs w:val="28"/>
                <w:highlight w:val="none"/>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乙方</w:t>
            </w:r>
            <w:r>
              <w:rPr>
                <w:rFonts w:ascii="Times New Roman" w:hAnsi="Times New Roman" w:eastAsia="宋体" w:cs="Times New Roman"/>
                <w:color w:val="auto"/>
                <w:szCs w:val="21"/>
                <w:highlight w:val="none"/>
              </w:rPr>
              <w:t>增值税专用发票的税率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8"/>
                <w:highlight w:val="none"/>
                <w:u w:val="single"/>
              </w:rPr>
              <w:t xml:space="preserve">      </w:t>
            </w:r>
            <w:r>
              <w:rPr>
                <w:rFonts w:ascii="Times New Roman" w:hAnsi="Times New Roman" w:eastAsia="宋体" w:cs="Times New Roman"/>
                <w:bCs/>
                <w:color w:val="auto"/>
                <w:szCs w:val="28"/>
                <w:highlight w:val="none"/>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w:t>
            </w:r>
            <w:r>
              <w:rPr>
                <w:rFonts w:ascii="Times New Roman" w:hAnsi="Times New Roman" w:eastAsia="宋体" w:cs="Times New Roman"/>
                <w:color w:val="auto"/>
                <w:szCs w:val="21"/>
                <w:highlight w:val="none"/>
              </w:rPr>
              <w:t>暂定价（下浮</w:t>
            </w:r>
            <w:r>
              <w:rPr>
                <w:rFonts w:hint="eastAsia" w:ascii="Times New Roman" w:hAnsi="Times New Roman" w:eastAsia="宋体" w:cs="Times New Roman"/>
                <w:color w:val="auto"/>
                <w:szCs w:val="21"/>
                <w:highlight w:val="none"/>
              </w:rPr>
              <w:t>后</w:t>
            </w:r>
            <w:r>
              <w:rPr>
                <w:rFonts w:ascii="Times New Roman" w:hAnsi="Times New Roman" w:eastAsia="宋体" w:cs="Times New Roman"/>
                <w:color w:val="auto"/>
                <w:szCs w:val="21"/>
                <w:highlight w:val="none"/>
              </w:rPr>
              <w:t>，含增值税）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元（大写人民币</w:t>
            </w: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w:t>
            </w:r>
          </w:p>
          <w:p>
            <w:pPr>
              <w:widowControl/>
              <w:rPr>
                <w:rFonts w:ascii="Times New Roman" w:hAnsi="Times New Roman" w:eastAsia="宋体" w:cs="Times New Roman"/>
                <w:bCs/>
                <w:color w:val="auto"/>
                <w:szCs w:val="21"/>
                <w:highlight w:val="none"/>
                <w:u w:val="single"/>
              </w:rPr>
            </w:pPr>
            <w:r>
              <w:rPr>
                <w:rFonts w:hint="eastAsia" w:ascii="Times New Roman" w:hAnsi="Times New Roman" w:eastAsia="宋体" w:cs="Times New Roman"/>
                <w:bCs/>
                <w:color w:val="auto"/>
                <w:szCs w:val="21"/>
                <w:highlight w:val="none"/>
              </w:rPr>
              <w:t>其中含乙方税费</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元</w:t>
            </w:r>
          </w:p>
        </w:tc>
      </w:tr>
      <w:tr>
        <w:tblPrEx>
          <w:tblCellMar>
            <w:top w:w="0" w:type="dxa"/>
            <w:left w:w="108" w:type="dxa"/>
            <w:bottom w:w="0" w:type="dxa"/>
            <w:right w:w="108" w:type="dxa"/>
          </w:tblCellMar>
        </w:tblPrEx>
        <w:trPr>
          <w:trHeight w:val="66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质保期</w:t>
            </w:r>
          </w:p>
        </w:tc>
        <w:tc>
          <w:tcPr>
            <w:tcW w:w="6210" w:type="dxa"/>
            <w:tcBorders>
              <w:top w:val="nil"/>
              <w:left w:val="nil"/>
              <w:bottom w:val="single" w:color="auto" w:sz="4" w:space="0"/>
              <w:right w:val="single" w:color="auto" w:sz="4" w:space="0"/>
            </w:tcBorders>
            <w:vAlign w:val="center"/>
          </w:tcPr>
          <w:p>
            <w:pPr>
              <w:tabs>
                <w:tab w:val="left" w:pos="-720"/>
              </w:tabs>
              <w:spacing w:line="360" w:lineRule="auto"/>
              <w:jc w:val="center"/>
              <w:rPr>
                <w:rFonts w:ascii="Times New Roman" w:hAnsi="Times New Roman" w:eastAsia="宋体" w:cs="Times New Roman"/>
                <w:bCs/>
                <w:color w:val="auto"/>
                <w:sz w:val="20"/>
                <w:szCs w:val="20"/>
                <w:highlight w:val="none"/>
              </w:rPr>
            </w:pPr>
          </w:p>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87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甲方派单联系人及电话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903"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甲方现场工程师及联系电话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其他说明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（含验收标准）</w:t>
            </w: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tc>
      </w:tr>
    </w:tbl>
    <w:p>
      <w:pPr>
        <w:pStyle w:val="107"/>
        <w:wordWrap w:val="0"/>
        <w:spacing w:line="360" w:lineRule="auto"/>
        <w:ind w:firstLine="0" w:firstLineChars="0"/>
        <w:jc w:val="right"/>
        <w:rPr>
          <w:rFonts w:ascii="Times New Roman" w:hAnsi="Times New Roman"/>
          <w:color w:val="auto"/>
          <w:szCs w:val="21"/>
          <w:highlight w:val="none"/>
        </w:rPr>
      </w:pPr>
    </w:p>
    <w:p>
      <w:pPr>
        <w:pStyle w:val="107"/>
        <w:wordWrap w:val="0"/>
        <w:spacing w:line="360" w:lineRule="auto"/>
        <w:ind w:firstLine="0" w:firstLineChars="0"/>
        <w:jc w:val="right"/>
        <w:rPr>
          <w:rFonts w:ascii="Times New Roman" w:hAnsi="Times New Roman"/>
          <w:color w:val="auto"/>
          <w:szCs w:val="21"/>
          <w:highlight w:val="none"/>
        </w:rPr>
      </w:pPr>
      <w:r>
        <w:rPr>
          <w:rFonts w:ascii="Times New Roman" w:hAnsi="Times New Roman"/>
          <w:color w:val="auto"/>
          <w:szCs w:val="21"/>
          <w:highlight w:val="none"/>
        </w:rPr>
        <w:t xml:space="preserve">（东莞市水务集团管网有限公司或其分公司、子公司）（加盖公章）        </w:t>
      </w:r>
    </w:p>
    <w:p>
      <w:pPr>
        <w:pStyle w:val="107"/>
        <w:wordWrap w:val="0"/>
        <w:spacing w:line="360" w:lineRule="auto"/>
        <w:ind w:right="840" w:firstLine="0" w:firstLineChars="0"/>
        <w:jc w:val="center"/>
        <w:rPr>
          <w:rFonts w:ascii="Times New Roman" w:hAnsi="Times New Roman"/>
          <w:color w:val="auto"/>
          <w:szCs w:val="21"/>
          <w:highlight w:val="none"/>
        </w:rPr>
      </w:pPr>
      <w:r>
        <w:rPr>
          <w:rFonts w:ascii="Times New Roman" w:hAnsi="Times New Roman"/>
          <w:color w:val="auto"/>
          <w:szCs w:val="21"/>
          <w:highlight w:val="none"/>
        </w:rPr>
        <w:t xml:space="preserve">                                                年     月      日           </w:t>
      </w:r>
    </w:p>
    <w:p>
      <w:pPr>
        <w:pStyle w:val="107"/>
        <w:spacing w:line="360" w:lineRule="auto"/>
        <w:ind w:firstLine="3630" w:firstLineChars="1130"/>
        <w:rPr>
          <w:rFonts w:ascii="Times New Roman" w:hAnsi="Times New Roman"/>
          <w:b/>
          <w:color w:val="auto"/>
          <w:sz w:val="32"/>
          <w:szCs w:val="21"/>
          <w:highlight w:val="none"/>
        </w:rPr>
      </w:pPr>
    </w:p>
    <w:p>
      <w:pPr>
        <w:pStyle w:val="107"/>
        <w:spacing w:line="360" w:lineRule="auto"/>
        <w:ind w:firstLine="3630" w:firstLineChars="1130"/>
        <w:rPr>
          <w:rFonts w:ascii="Times New Roman" w:hAnsi="Times New Roman"/>
          <w:b/>
          <w:color w:val="auto"/>
          <w:sz w:val="32"/>
          <w:szCs w:val="21"/>
          <w:highlight w:val="none"/>
        </w:rPr>
      </w:pPr>
    </w:p>
    <w:p>
      <w:pPr>
        <w:pStyle w:val="107"/>
        <w:spacing w:line="360" w:lineRule="auto"/>
        <w:ind w:firstLine="3630" w:firstLineChars="1130"/>
        <w:rPr>
          <w:rFonts w:ascii="Times New Roman" w:hAnsi="Times New Roman"/>
          <w:b/>
          <w:color w:val="auto"/>
          <w:sz w:val="32"/>
          <w:szCs w:val="21"/>
          <w:highlight w:val="none"/>
        </w:rPr>
      </w:pPr>
    </w:p>
    <w:p>
      <w:pPr>
        <w:pStyle w:val="107"/>
        <w:spacing w:line="360" w:lineRule="auto"/>
        <w:ind w:firstLine="3630" w:firstLineChars="1130"/>
        <w:rPr>
          <w:rFonts w:ascii="Times New Roman" w:hAnsi="Times New Roman"/>
          <w:b/>
          <w:color w:val="auto"/>
          <w:sz w:val="32"/>
          <w:szCs w:val="21"/>
          <w:highlight w:val="none"/>
        </w:rPr>
      </w:pPr>
    </w:p>
    <w:p>
      <w:pPr>
        <w:pStyle w:val="107"/>
        <w:spacing w:line="360" w:lineRule="auto"/>
        <w:ind w:firstLine="3630" w:firstLineChars="1130"/>
        <w:rPr>
          <w:rFonts w:ascii="Times New Roman" w:hAnsi="Times New Roman"/>
          <w:b/>
          <w:color w:val="auto"/>
          <w:sz w:val="32"/>
          <w:szCs w:val="21"/>
          <w:highlight w:val="none"/>
        </w:rPr>
      </w:pPr>
    </w:p>
    <w:p>
      <w:pPr>
        <w:pStyle w:val="107"/>
        <w:spacing w:line="360" w:lineRule="auto"/>
        <w:ind w:firstLine="3630" w:firstLineChars="1130"/>
        <w:rPr>
          <w:rFonts w:ascii="Times New Roman" w:hAnsi="Times New Roman"/>
          <w:b/>
          <w:color w:val="auto"/>
          <w:sz w:val="32"/>
          <w:szCs w:val="21"/>
          <w:highlight w:val="none"/>
        </w:rPr>
      </w:pPr>
      <w:r>
        <w:rPr>
          <w:rFonts w:ascii="Times New Roman" w:hAnsi="Times New Roman"/>
          <w:b/>
          <w:color w:val="auto"/>
          <w:sz w:val="32"/>
          <w:szCs w:val="21"/>
          <w:highlight w:val="none"/>
        </w:rPr>
        <w:t>回执（格式）</w:t>
      </w:r>
    </w:p>
    <w:p>
      <w:pPr>
        <w:pStyle w:val="107"/>
        <w:spacing w:line="360" w:lineRule="auto"/>
        <w:rPr>
          <w:rFonts w:ascii="Times New Roman" w:hAnsi="Times New Roman"/>
          <w:color w:val="auto"/>
          <w:szCs w:val="21"/>
          <w:highlight w:val="none"/>
        </w:rPr>
      </w:pPr>
      <w:r>
        <w:rPr>
          <w:rFonts w:ascii="Times New Roman" w:hAnsi="Times New Roman"/>
          <w:color w:val="auto"/>
          <w:szCs w:val="21"/>
          <w:highlight w:val="none"/>
        </w:rPr>
        <w:t>现接到编号为</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的 </w:t>
      </w:r>
      <w:r>
        <w:rPr>
          <w:rFonts w:ascii="Times New Roman" w:hAnsi="Times New Roman"/>
          <w:color w:val="auto"/>
          <w:szCs w:val="21"/>
          <w:highlight w:val="none"/>
          <w:u w:val="single"/>
        </w:rPr>
        <w:t xml:space="preserve">                                </w:t>
      </w:r>
      <w:r>
        <w:rPr>
          <w:rFonts w:ascii="Times New Roman" w:hAnsi="Times New Roman"/>
          <w:color w:val="auto"/>
          <w:szCs w:val="21"/>
          <w:highlight w:val="none"/>
        </w:rPr>
        <w:t>任务通知单通知，我司将根据在库供应商框架合同及任务通知单的要求，承接该项目的实施。我司确认并同意：贵司享有该合同项下“甲方”的全部权利，我司同时按照在库供应商框架合同及任务通知单的约定向贵司全面履行义务。</w:t>
      </w:r>
    </w:p>
    <w:p>
      <w:pPr>
        <w:pStyle w:val="107"/>
        <w:spacing w:line="360" w:lineRule="auto"/>
        <w:rPr>
          <w:rFonts w:ascii="Times New Roman" w:hAnsi="Times New Roman"/>
          <w:color w:val="auto"/>
          <w:szCs w:val="21"/>
          <w:highlight w:val="none"/>
        </w:rPr>
      </w:pPr>
      <w:r>
        <w:rPr>
          <w:rFonts w:ascii="Times New Roman" w:hAnsi="Times New Roman"/>
          <w:color w:val="auto"/>
          <w:szCs w:val="21"/>
          <w:highlight w:val="none"/>
        </w:rPr>
        <w:t>特此确认。</w:t>
      </w:r>
    </w:p>
    <w:p>
      <w:pPr>
        <w:pStyle w:val="107"/>
        <w:spacing w:line="360" w:lineRule="auto"/>
        <w:ind w:firstLine="0" w:firstLineChars="0"/>
        <w:rPr>
          <w:rFonts w:ascii="Times New Roman" w:hAnsi="Times New Roman"/>
          <w:color w:val="auto"/>
          <w:szCs w:val="21"/>
          <w:highlight w:val="none"/>
        </w:rPr>
      </w:pPr>
    </w:p>
    <w:p>
      <w:pPr>
        <w:pStyle w:val="107"/>
        <w:spacing w:line="360" w:lineRule="auto"/>
        <w:ind w:firstLine="0" w:firstLineChars="0"/>
        <w:jc w:val="right"/>
        <w:rPr>
          <w:rFonts w:ascii="Times New Roman" w:hAnsi="Times New Roman"/>
          <w:color w:val="auto"/>
          <w:szCs w:val="21"/>
          <w:highlight w:val="none"/>
        </w:rPr>
      </w:pPr>
      <w:r>
        <w:rPr>
          <w:rFonts w:ascii="Times New Roman" w:hAnsi="Times New Roman"/>
          <w:color w:val="auto"/>
          <w:szCs w:val="21"/>
          <w:highlight w:val="none"/>
        </w:rPr>
        <w:t>（承接服务单位名称）（并加盖公章）</w:t>
      </w:r>
    </w:p>
    <w:p>
      <w:pPr>
        <w:pStyle w:val="107"/>
        <w:wordWrap w:val="0"/>
        <w:spacing w:line="360" w:lineRule="auto"/>
        <w:ind w:firstLine="0" w:firstLineChars="0"/>
        <w:jc w:val="right"/>
        <w:rPr>
          <w:rFonts w:ascii="Times New Roman" w:hAnsi="Times New Roman"/>
          <w:color w:val="auto"/>
          <w:szCs w:val="21"/>
          <w:highlight w:val="none"/>
        </w:rPr>
        <w:sectPr>
          <w:headerReference r:id="rId7" w:type="default"/>
          <w:footerReference r:id="rId8" w:type="default"/>
          <w:pgSz w:w="11906" w:h="16838"/>
          <w:pgMar w:top="1418" w:right="1418" w:bottom="1418" w:left="1418" w:header="720" w:footer="1004" w:gutter="0"/>
          <w:cols w:space="720" w:num="1"/>
          <w:docGrid w:linePitch="326" w:charSpace="0"/>
        </w:sectPr>
      </w:pPr>
      <w:r>
        <w:rPr>
          <w:rFonts w:ascii="Times New Roman" w:hAnsi="Times New Roman"/>
          <w:color w:val="auto"/>
          <w:szCs w:val="21"/>
          <w:highlight w:val="none"/>
        </w:rPr>
        <w:t xml:space="preserve">年     月    日  </w:t>
      </w:r>
    </w:p>
    <w:p>
      <w:pPr>
        <w:spacing w:line="360" w:lineRule="auto"/>
        <w:jc w:val="left"/>
        <w:rPr>
          <w:rFonts w:ascii="宋体" w:hAnsi="宋体" w:eastAsia="宋体" w:cs="Times New Roman"/>
          <w:b/>
          <w:color w:val="auto"/>
          <w:kern w:val="0"/>
          <w:sz w:val="24"/>
          <w:szCs w:val="21"/>
          <w:highlight w:val="none"/>
          <w:lang w:val="zh-CN"/>
        </w:rPr>
      </w:pPr>
      <w:r>
        <w:rPr>
          <w:rFonts w:hint="eastAsia" w:ascii="宋体" w:hAnsi="宋体" w:eastAsia="宋体" w:cs="Times New Roman"/>
          <w:b/>
          <w:color w:val="auto"/>
          <w:kern w:val="0"/>
          <w:sz w:val="24"/>
          <w:szCs w:val="21"/>
          <w:highlight w:val="none"/>
          <w:lang w:val="zh-CN"/>
        </w:rPr>
        <w:t>附件</w:t>
      </w:r>
      <w:r>
        <w:rPr>
          <w:rFonts w:ascii="宋体" w:hAnsi="宋体" w:eastAsia="宋体" w:cs="Times New Roman"/>
          <w:b/>
          <w:color w:val="auto"/>
          <w:kern w:val="0"/>
          <w:sz w:val="24"/>
          <w:szCs w:val="21"/>
          <w:highlight w:val="none"/>
        </w:rPr>
        <w:t>4</w:t>
      </w:r>
      <w:r>
        <w:rPr>
          <w:rFonts w:hint="eastAsia" w:ascii="宋体" w:hAnsi="宋体" w:eastAsia="宋体" w:cs="Times New Roman"/>
          <w:b/>
          <w:color w:val="auto"/>
          <w:kern w:val="0"/>
          <w:sz w:val="24"/>
          <w:szCs w:val="21"/>
          <w:highlight w:val="none"/>
          <w:lang w:val="zh-CN"/>
        </w:rPr>
        <w:t>：整改通知书</w:t>
      </w:r>
    </w:p>
    <w:p>
      <w:pPr>
        <w:spacing w:line="360" w:lineRule="auto"/>
        <w:jc w:val="center"/>
        <w:rPr>
          <w:rFonts w:ascii="宋体" w:hAnsi="宋体" w:eastAsia="宋体" w:cs="宋体-方正超大字符集"/>
          <w:b/>
          <w:color w:val="auto"/>
          <w:sz w:val="36"/>
          <w:szCs w:val="36"/>
          <w:highlight w:val="none"/>
        </w:rPr>
      </w:pPr>
      <w:r>
        <w:rPr>
          <w:rFonts w:hint="eastAsia" w:ascii="宋体" w:hAnsi="宋体" w:cs="宋体-方正超大字符集"/>
          <w:b/>
          <w:color w:val="auto"/>
          <w:sz w:val="36"/>
          <w:szCs w:val="36"/>
          <w:highlight w:val="none"/>
        </w:rPr>
        <w:t>整改通知书</w:t>
      </w:r>
    </w:p>
    <w:p>
      <w:pPr>
        <w:snapToGrid w:val="0"/>
        <w:spacing w:line="520" w:lineRule="exact"/>
        <w:ind w:right="-40"/>
        <w:jc w:val="center"/>
        <w:rPr>
          <w:rFonts w:ascii="仿宋_GB2312" w:hAnsi="宋体" w:eastAsia="仿宋_GB2312" w:cs="宋体-方正超大字符集"/>
          <w:color w:val="auto"/>
          <w:highlight w:val="none"/>
        </w:rPr>
      </w:pPr>
      <w:r>
        <w:rPr>
          <w:rFonts w:hint="eastAsia" w:ascii="仿宋_GB2312" w:hAnsi="宋体" w:eastAsia="仿宋_GB2312" w:cs="宋体-方正超大字符集"/>
          <w:color w:val="auto"/>
          <w:highlight w:val="none"/>
        </w:rPr>
        <w:t>X分公司XXX号</w:t>
      </w:r>
    </w:p>
    <w:tbl>
      <w:tblPr>
        <w:tblStyle w:val="47"/>
        <w:tblpPr w:leftFromText="180" w:rightFromText="180" w:vertAnchor="text" w:horzAnchor="page" w:tblpX="1032" w:tblpY="509"/>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5392"/>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76" w:type="dxa"/>
            <w:noWrap/>
            <w:tcMar>
              <w:left w:w="0" w:type="dxa"/>
              <w:right w:w="0" w:type="dxa"/>
            </w:tcMar>
            <w:tcFitText/>
            <w:vAlign w:val="center"/>
          </w:tcPr>
          <w:p>
            <w:pPr>
              <w:rPr>
                <w:rFonts w:ascii="宋体" w:hAnsi="宋体"/>
                <w:color w:val="auto"/>
                <w:szCs w:val="21"/>
                <w:highlight w:val="none"/>
              </w:rPr>
            </w:pPr>
            <w:r>
              <w:rPr>
                <w:rFonts w:hint="eastAsia" w:ascii="宋体" w:hAnsi="宋体"/>
                <w:color w:val="auto"/>
                <w:spacing w:val="84"/>
                <w:szCs w:val="21"/>
                <w:highlight w:val="none"/>
              </w:rPr>
              <w:t>项目名</w:t>
            </w:r>
            <w:r>
              <w:rPr>
                <w:rFonts w:hint="eastAsia" w:ascii="宋体" w:hAnsi="宋体"/>
                <w:color w:val="auto"/>
                <w:spacing w:val="1"/>
                <w:szCs w:val="21"/>
                <w:highlight w:val="none"/>
              </w:rPr>
              <w:t>称</w:t>
            </w:r>
          </w:p>
        </w:tc>
        <w:tc>
          <w:tcPr>
            <w:tcW w:w="8306"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376" w:type="dxa"/>
            <w:vAlign w:val="center"/>
          </w:tcPr>
          <w:p>
            <w:pPr>
              <w:jc w:val="center"/>
              <w:rPr>
                <w:rFonts w:ascii="宋体" w:hAnsi="宋体"/>
                <w:color w:val="auto"/>
                <w:szCs w:val="21"/>
                <w:highlight w:val="none"/>
              </w:rPr>
            </w:pPr>
            <w:r>
              <w:rPr>
                <w:rFonts w:hint="eastAsia" w:ascii="宋体" w:hAnsi="宋体"/>
                <w:color w:val="auto"/>
                <w:szCs w:val="21"/>
                <w:highlight w:val="none"/>
              </w:rPr>
              <w:t>服务单位</w:t>
            </w:r>
          </w:p>
        </w:tc>
        <w:tc>
          <w:tcPr>
            <w:tcW w:w="8306"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76" w:type="dxa"/>
            <w:vAlign w:val="center"/>
          </w:tcPr>
          <w:p>
            <w:pPr>
              <w:jc w:val="center"/>
              <w:rPr>
                <w:rFonts w:ascii="宋体" w:hAnsi="宋体"/>
                <w:color w:val="auto"/>
                <w:szCs w:val="21"/>
                <w:highlight w:val="none"/>
              </w:rPr>
            </w:pPr>
            <w:r>
              <w:rPr>
                <w:rFonts w:hint="eastAsia" w:ascii="宋体" w:hAnsi="宋体"/>
                <w:color w:val="auto"/>
                <w:szCs w:val="21"/>
                <w:highlight w:val="none"/>
              </w:rPr>
              <w:t>检查时间</w:t>
            </w:r>
          </w:p>
        </w:tc>
        <w:tc>
          <w:tcPr>
            <w:tcW w:w="8306" w:type="dxa"/>
            <w:gridSpan w:val="2"/>
          </w:tcPr>
          <w:p>
            <w:pPr>
              <w:rPr>
                <w:rFonts w:ascii="宋体" w:hAnsi="宋体"/>
                <w:color w:val="auto"/>
                <w:sz w:val="18"/>
                <w:szCs w:val="18"/>
                <w:highlight w:val="none"/>
              </w:rPr>
            </w:pPr>
            <w:r>
              <w:rPr>
                <w:rFonts w:hint="eastAsia" w:ascii="宋体" w:hAnsi="宋体"/>
                <w:color w:val="auto"/>
                <w:szCs w:val="21"/>
                <w:highlight w:val="none"/>
              </w:rPr>
              <w:t xml:space="preserve">2021年  月  日  至  2021年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1376" w:type="dxa"/>
            <w:vAlign w:val="center"/>
          </w:tcPr>
          <w:p>
            <w:pPr>
              <w:jc w:val="center"/>
              <w:rPr>
                <w:rFonts w:ascii="宋体" w:hAnsi="宋体"/>
                <w:color w:val="auto"/>
                <w:sz w:val="18"/>
                <w:szCs w:val="18"/>
                <w:highlight w:val="none"/>
              </w:rPr>
            </w:pPr>
            <w:r>
              <w:rPr>
                <w:rFonts w:hint="eastAsia" w:ascii="宋体" w:hAnsi="宋体"/>
                <w:color w:val="auto"/>
                <w:sz w:val="24"/>
                <w:highlight w:val="none"/>
              </w:rPr>
              <w:t>问题（缺陷）清单</w:t>
            </w:r>
          </w:p>
        </w:tc>
        <w:tc>
          <w:tcPr>
            <w:tcW w:w="8306" w:type="dxa"/>
            <w:gridSpan w:val="2"/>
          </w:tcPr>
          <w:p>
            <w:pPr>
              <w:rPr>
                <w:rFonts w:ascii="宋体" w:hAnsi="宋体"/>
                <w:color w:val="auto"/>
                <w:highlight w:val="none"/>
              </w:rPr>
            </w:pPr>
            <w:r>
              <w:rPr>
                <w:rFonts w:hint="eastAsia" w:ascii="宋体" w:hAnsi="宋体"/>
                <w:color w:val="auto"/>
                <w:highlight w:val="none"/>
              </w:rPr>
              <w:t>1、</w:t>
            </w:r>
          </w:p>
          <w:p>
            <w:pPr>
              <w:rPr>
                <w:rFonts w:ascii="宋体" w:hAnsi="宋体"/>
                <w:color w:val="auto"/>
                <w:highlight w:val="none"/>
              </w:rPr>
            </w:pPr>
            <w:r>
              <w:rPr>
                <w:rFonts w:hint="eastAsia" w:ascii="宋体" w:hAnsi="宋体"/>
                <w:color w:val="auto"/>
                <w:highlight w:val="none"/>
              </w:rPr>
              <w:t>2、</w:t>
            </w:r>
          </w:p>
          <w:p>
            <w:pPr>
              <w:rPr>
                <w:rFonts w:ascii="宋体" w:hAnsi="宋体"/>
                <w:color w:val="auto"/>
                <w:highlight w:val="none"/>
              </w:rPr>
            </w:pPr>
            <w:r>
              <w:rPr>
                <w:rFonts w:hint="eastAsia" w:ascii="宋体" w:hAnsi="宋体"/>
                <w:color w:val="auto"/>
                <w:highlight w:val="none"/>
              </w:rPr>
              <w:t>3、</w:t>
            </w:r>
          </w:p>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2" w:hRule="atLeast"/>
        </w:trPr>
        <w:tc>
          <w:tcPr>
            <w:tcW w:w="1376" w:type="dxa"/>
          </w:tcPr>
          <w:p>
            <w:pPr>
              <w:pStyle w:val="2"/>
              <w:rPr>
                <w:color w:val="auto"/>
                <w:highlight w:val="none"/>
              </w:rPr>
            </w:pPr>
          </w:p>
          <w:p>
            <w:pPr>
              <w:spacing w:line="320" w:lineRule="exact"/>
              <w:ind w:firstLine="470" w:firstLineChars="196"/>
              <w:rPr>
                <w:rFonts w:ascii="宋体" w:hAnsi="宋体" w:eastAsia="宋体" w:cs="Times New Roman"/>
                <w:color w:val="auto"/>
                <w:sz w:val="24"/>
                <w:highlight w:val="none"/>
              </w:rPr>
            </w:pPr>
            <w:r>
              <w:rPr>
                <w:rFonts w:hint="eastAsia" w:ascii="宋体" w:hAnsi="宋体" w:eastAsia="宋体" w:cs="Times New Roman"/>
                <w:color w:val="auto"/>
                <w:sz w:val="24"/>
                <w:highlight w:val="none"/>
              </w:rPr>
              <w:t>处</w:t>
            </w:r>
          </w:p>
          <w:p>
            <w:pPr>
              <w:pStyle w:val="2"/>
              <w:rPr>
                <w:color w:val="auto"/>
                <w:highlight w:val="none"/>
              </w:rPr>
            </w:pPr>
          </w:p>
          <w:p>
            <w:pPr>
              <w:spacing w:line="320" w:lineRule="exact"/>
              <w:ind w:firstLine="470" w:firstLineChars="196"/>
              <w:rPr>
                <w:rFonts w:ascii="宋体" w:hAnsi="宋体" w:eastAsia="宋体" w:cs="Times New Roman"/>
                <w:color w:val="auto"/>
                <w:sz w:val="24"/>
                <w:highlight w:val="none"/>
              </w:rPr>
            </w:pPr>
            <w:r>
              <w:rPr>
                <w:rFonts w:hint="eastAsia" w:ascii="宋体" w:hAnsi="宋体" w:eastAsia="宋体" w:cs="Times New Roman"/>
                <w:color w:val="auto"/>
                <w:sz w:val="24"/>
                <w:highlight w:val="none"/>
              </w:rPr>
              <w:t>理</w:t>
            </w:r>
          </w:p>
          <w:p>
            <w:pPr>
              <w:pStyle w:val="2"/>
              <w:rPr>
                <w:color w:val="auto"/>
                <w:highlight w:val="none"/>
              </w:rPr>
            </w:pPr>
          </w:p>
          <w:p>
            <w:pPr>
              <w:spacing w:line="320" w:lineRule="exact"/>
              <w:ind w:firstLine="470" w:firstLineChars="196"/>
              <w:rPr>
                <w:rFonts w:ascii="宋体" w:hAnsi="宋体" w:eastAsia="宋体" w:cs="Times New Roman"/>
                <w:color w:val="auto"/>
                <w:sz w:val="24"/>
                <w:highlight w:val="none"/>
              </w:rPr>
            </w:pPr>
            <w:r>
              <w:rPr>
                <w:rFonts w:hint="eastAsia" w:ascii="宋体" w:hAnsi="宋体" w:eastAsia="宋体" w:cs="Times New Roman"/>
                <w:color w:val="auto"/>
                <w:sz w:val="24"/>
                <w:highlight w:val="none"/>
              </w:rPr>
              <w:t>意</w:t>
            </w:r>
          </w:p>
          <w:p>
            <w:pPr>
              <w:pStyle w:val="2"/>
              <w:rPr>
                <w:color w:val="auto"/>
                <w:highlight w:val="none"/>
              </w:rPr>
            </w:pPr>
          </w:p>
          <w:p>
            <w:pPr>
              <w:spacing w:line="320" w:lineRule="exact"/>
              <w:ind w:firstLine="470" w:firstLineChars="196"/>
              <w:rPr>
                <w:rFonts w:ascii="宋体" w:hAnsi="宋体" w:eastAsia="宋体"/>
                <w:color w:val="auto"/>
                <w:sz w:val="18"/>
                <w:szCs w:val="18"/>
                <w:highlight w:val="none"/>
              </w:rPr>
            </w:pPr>
            <w:r>
              <w:rPr>
                <w:rFonts w:hint="eastAsia" w:ascii="宋体" w:hAnsi="宋体" w:eastAsia="宋体" w:cs="Times New Roman"/>
                <w:color w:val="auto"/>
                <w:sz w:val="24"/>
                <w:highlight w:val="none"/>
              </w:rPr>
              <w:t>见</w:t>
            </w:r>
          </w:p>
        </w:tc>
        <w:tc>
          <w:tcPr>
            <w:tcW w:w="8306" w:type="dxa"/>
            <w:gridSpan w:val="2"/>
          </w:tcPr>
          <w:p>
            <w:pPr>
              <w:spacing w:line="320" w:lineRule="exact"/>
              <w:rPr>
                <w:rFonts w:ascii="宋体" w:hAnsi="宋体" w:eastAsia="宋体"/>
                <w:color w:val="auto"/>
                <w:sz w:val="18"/>
                <w:szCs w:val="18"/>
                <w:highlight w:val="none"/>
              </w:rPr>
            </w:pPr>
            <w:r>
              <w:rPr>
                <w:rFonts w:hint="eastAsia" w:ascii="宋体" w:hAnsi="宋体"/>
                <w:color w:val="auto"/>
                <w:sz w:val="18"/>
                <w:szCs w:val="18"/>
                <w:highlight w:val="none"/>
              </w:rPr>
              <w:sym w:font="Wingdings 2" w:char="00A3"/>
            </w:r>
            <w:r>
              <w:rPr>
                <w:rFonts w:hint="eastAsia" w:ascii="宋体" w:hAnsi="宋体"/>
                <w:color w:val="auto"/>
                <w:sz w:val="18"/>
                <w:szCs w:val="18"/>
                <w:highlight w:val="none"/>
              </w:rPr>
              <w:t>以上问题（缺陷）清单中第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条违反《XXXX在库供应商框架合同》第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的约定，现责令你单位对问题（缺陷）清单中的第</w:t>
            </w:r>
            <w:r>
              <w:rPr>
                <w:rFonts w:hint="eastAsia" w:ascii="宋体" w:hAnsi="宋体"/>
                <w:color w:val="auto"/>
                <w:sz w:val="18"/>
                <w:szCs w:val="18"/>
                <w:highlight w:val="none"/>
                <w:u w:val="single"/>
              </w:rPr>
              <w:t>　 　　</w:t>
            </w:r>
            <w:r>
              <w:rPr>
                <w:rFonts w:hint="eastAsia" w:ascii="宋体" w:hAnsi="宋体"/>
                <w:color w:val="auto"/>
                <w:sz w:val="18"/>
                <w:szCs w:val="18"/>
                <w:highlight w:val="none"/>
              </w:rPr>
              <w:t>条问题进行整改，并在</w:t>
            </w:r>
            <w:r>
              <w:rPr>
                <w:rFonts w:hint="eastAsia" w:ascii="宋体" w:hAnsi="宋体"/>
                <w:color w:val="auto"/>
                <w:sz w:val="18"/>
                <w:szCs w:val="18"/>
                <w:highlight w:val="none"/>
                <w:u w:val="single"/>
              </w:rPr>
              <w:t>X年X月X日</w:t>
            </w:r>
            <w:r>
              <w:rPr>
                <w:rFonts w:hint="eastAsia" w:ascii="宋体" w:hAnsi="宋体"/>
                <w:color w:val="auto"/>
                <w:sz w:val="18"/>
                <w:szCs w:val="18"/>
                <w:highlight w:val="none"/>
              </w:rPr>
              <w:t>前整改完毕。同时我司将按照框架合同第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条实施</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 xml:space="preserve">的处罚。 </w:t>
            </w:r>
          </w:p>
          <w:p>
            <w:pPr>
              <w:spacing w:line="320" w:lineRule="exact"/>
              <w:rPr>
                <w:rFonts w:ascii="宋体" w:hAnsi="宋体"/>
                <w:color w:val="auto"/>
                <w:sz w:val="18"/>
                <w:szCs w:val="18"/>
                <w:highlight w:val="none"/>
              </w:rPr>
            </w:pPr>
            <w:r>
              <w:rPr>
                <w:rFonts w:hint="eastAsia" w:ascii="宋体" w:hAnsi="宋体"/>
                <w:color w:val="auto"/>
                <w:sz w:val="18"/>
                <w:szCs w:val="18"/>
                <w:highlight w:val="none"/>
              </w:rPr>
              <w:sym w:font="Wingdings 2" w:char="00A3"/>
            </w:r>
            <w:r>
              <w:rPr>
                <w:rFonts w:hint="eastAsia" w:ascii="宋体" w:hAnsi="宋体"/>
                <w:color w:val="auto"/>
                <w:sz w:val="18"/>
                <w:szCs w:val="18"/>
                <w:highlight w:val="none"/>
              </w:rPr>
              <w:t>以上问题（缺陷）清单中第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条违反《东莞市水务集团管网有限公司XXXX供应商库管理办法》第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的规定，现责令你单位问题（缺陷）清单中的第</w:t>
            </w:r>
            <w:r>
              <w:rPr>
                <w:rFonts w:hint="eastAsia" w:ascii="宋体" w:hAnsi="宋体"/>
                <w:color w:val="auto"/>
                <w:sz w:val="18"/>
                <w:szCs w:val="18"/>
                <w:highlight w:val="none"/>
                <w:u w:val="single"/>
              </w:rPr>
              <w:t>　 　　</w:t>
            </w:r>
            <w:r>
              <w:rPr>
                <w:rFonts w:hint="eastAsia" w:ascii="宋体" w:hAnsi="宋体"/>
                <w:color w:val="auto"/>
                <w:sz w:val="18"/>
                <w:szCs w:val="18"/>
                <w:highlight w:val="none"/>
              </w:rPr>
              <w:t>条问题进行整改，并在</w:t>
            </w:r>
            <w:r>
              <w:rPr>
                <w:rFonts w:hint="eastAsia" w:ascii="宋体" w:hAnsi="宋体"/>
                <w:color w:val="auto"/>
                <w:sz w:val="18"/>
                <w:szCs w:val="18"/>
                <w:highlight w:val="none"/>
                <w:u w:val="single"/>
              </w:rPr>
              <w:t>X年X月X日</w:t>
            </w:r>
            <w:r>
              <w:rPr>
                <w:rFonts w:hint="eastAsia" w:ascii="宋体" w:hAnsi="宋体"/>
                <w:color w:val="auto"/>
                <w:sz w:val="18"/>
                <w:szCs w:val="18"/>
                <w:highlight w:val="none"/>
              </w:rPr>
              <w:t>前整改完毕，同时我司将按照框架合同第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条实施</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的处罚。</w:t>
            </w:r>
          </w:p>
          <w:p>
            <w:pPr>
              <w:spacing w:line="320" w:lineRule="exact"/>
              <w:rPr>
                <w:rFonts w:ascii="宋体" w:hAnsi="宋体"/>
                <w:color w:val="auto"/>
                <w:sz w:val="18"/>
                <w:szCs w:val="18"/>
                <w:highlight w:val="none"/>
              </w:rPr>
            </w:pPr>
            <w:r>
              <w:rPr>
                <w:rFonts w:hint="eastAsia" w:ascii="宋体" w:hAnsi="宋体"/>
                <w:color w:val="auto"/>
                <w:sz w:val="18"/>
                <w:szCs w:val="18"/>
                <w:highlight w:val="none"/>
              </w:rPr>
              <w:sym w:font="Wingdings 2" w:char="00A3"/>
            </w:r>
            <w:r>
              <w:rPr>
                <w:rFonts w:hint="eastAsia" w:ascii="宋体" w:hAnsi="宋体"/>
                <w:color w:val="auto"/>
                <w:sz w:val="18"/>
                <w:szCs w:val="18"/>
                <w:highlight w:val="none"/>
              </w:rPr>
              <w:t>我司按照框架合同第</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条，对你单位处以</w:t>
            </w:r>
            <w:r>
              <w:rPr>
                <w:rFonts w:hint="eastAsia" w:ascii="宋体" w:hAnsi="宋体"/>
                <w:color w:val="auto"/>
                <w:sz w:val="18"/>
                <w:szCs w:val="18"/>
                <w:highlight w:val="none"/>
                <w:u w:val="single"/>
              </w:rPr>
              <w:t xml:space="preserve">          元</w:t>
            </w:r>
            <w:r>
              <w:rPr>
                <w:rFonts w:hint="eastAsia" w:ascii="宋体" w:hAnsi="宋体"/>
                <w:color w:val="auto"/>
                <w:sz w:val="18"/>
                <w:szCs w:val="18"/>
                <w:highlight w:val="none"/>
              </w:rPr>
              <w:t>的违约金。以上违约金罚款将在最近一期工程进度款、结算款或履约保证金中直接扣除。</w:t>
            </w:r>
          </w:p>
          <w:p>
            <w:pPr>
              <w:spacing w:line="320" w:lineRule="exact"/>
              <w:ind w:firstLine="352" w:firstLineChars="196"/>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76" w:type="dxa"/>
            <w:vAlign w:val="center"/>
          </w:tcPr>
          <w:p>
            <w:pPr>
              <w:jc w:val="center"/>
              <w:rPr>
                <w:rFonts w:eastAsia="宋体"/>
                <w:color w:val="auto"/>
                <w:highlight w:val="none"/>
              </w:rPr>
            </w:pPr>
            <w:r>
              <w:rPr>
                <w:rFonts w:hint="eastAsia" w:ascii="宋体" w:hAnsi="宋体" w:eastAsia="宋体" w:cs="Times New Roman"/>
                <w:color w:val="auto"/>
                <w:szCs w:val="21"/>
                <w:highlight w:val="none"/>
              </w:rPr>
              <w:t>项目监理单位（如有）</w:t>
            </w:r>
            <w:r>
              <w:rPr>
                <w:rFonts w:hint="eastAsia" w:ascii="宋体" w:hAnsi="宋体"/>
                <w:color w:val="auto"/>
                <w:szCs w:val="21"/>
                <w:highlight w:val="none"/>
              </w:rPr>
              <w:t>签字/时间</w:t>
            </w:r>
            <w:r>
              <w:rPr>
                <w:rFonts w:hint="eastAsia" w:ascii="宋体" w:hAnsi="宋体" w:eastAsia="宋体" w:cs="Times New Roman"/>
                <w:color w:val="auto"/>
                <w:highlight w:val="none"/>
              </w:rPr>
              <w:t xml:space="preserve">                                      </w:t>
            </w:r>
          </w:p>
        </w:tc>
        <w:tc>
          <w:tcPr>
            <w:tcW w:w="8306" w:type="dxa"/>
            <w:gridSpan w:val="2"/>
          </w:tcPr>
          <w:p>
            <w:pPr>
              <w:jc w:val="center"/>
              <w:rPr>
                <w:color w:val="auto"/>
                <w:highlight w:val="none"/>
              </w:rPr>
            </w:pPr>
          </w:p>
          <w:p>
            <w:pPr>
              <w:rPr>
                <w:color w:val="auto"/>
                <w:highlight w:val="none"/>
              </w:rPr>
            </w:pPr>
          </w:p>
          <w:p>
            <w:pPr>
              <w:tabs>
                <w:tab w:val="left" w:pos="3186"/>
              </w:tabs>
              <w:ind w:firstLine="2940" w:firstLineChars="1400"/>
              <w:jc w:val="left"/>
              <w:rPr>
                <w:color w:val="auto"/>
                <w:highlight w:val="none"/>
              </w:rPr>
            </w:pPr>
            <w:r>
              <w:rPr>
                <w:rFonts w:hint="eastAsia" w:ascii="宋体" w:hAnsi="宋体" w:eastAsia="宋体" w:cs="Times New Roman"/>
                <w:color w:val="auto"/>
                <w:highlight w:val="none"/>
              </w:rPr>
              <w:t xml:space="preserve">总监理工程师：           </w:t>
            </w:r>
            <w:r>
              <w:rPr>
                <w:rFonts w:hint="eastAsia" w:ascii="宋体" w:hAnsi="宋体" w:eastAsia="宋体" w:cs="宋体"/>
                <w:color w:val="auto"/>
                <w:sz w:val="28"/>
                <w:szCs w:val="28"/>
                <w:highlight w:val="none"/>
              </w:rPr>
              <w:t xml:space="preserve"> </w:t>
            </w:r>
            <w:r>
              <w:rPr>
                <w:rFonts w:hint="eastAsia" w:ascii="宋体" w:hAnsi="宋体"/>
                <w:color w:val="auto"/>
                <w:highlight w:val="none"/>
              </w:rPr>
              <w:t>日期：     年   月   日</w:t>
            </w:r>
            <w:r>
              <w:rPr>
                <w:rFonts w:hint="eastAsia" w:ascii="宋体" w:hAnsi="宋体" w:eastAsia="宋体" w:cs="宋体"/>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76" w:type="dxa"/>
            <w:vAlign w:val="center"/>
          </w:tcPr>
          <w:p>
            <w:pPr>
              <w:jc w:val="center"/>
              <w:rPr>
                <w:rFonts w:ascii="宋体" w:hAnsi="宋体"/>
                <w:color w:val="auto"/>
                <w:szCs w:val="21"/>
                <w:highlight w:val="none"/>
              </w:rPr>
            </w:pPr>
            <w:r>
              <w:rPr>
                <w:rFonts w:hint="eastAsia" w:ascii="宋体" w:hAnsi="宋体"/>
                <w:color w:val="auto"/>
                <w:szCs w:val="21"/>
                <w:highlight w:val="none"/>
              </w:rPr>
              <w:t>检查人员</w:t>
            </w:r>
          </w:p>
        </w:tc>
        <w:tc>
          <w:tcPr>
            <w:tcW w:w="5392" w:type="dxa"/>
          </w:tcPr>
          <w:p>
            <w:pPr>
              <w:jc w:val="center"/>
              <w:rPr>
                <w:rFonts w:ascii="宋体" w:hAnsi="宋体"/>
                <w:color w:val="auto"/>
                <w:highlight w:val="none"/>
              </w:rPr>
            </w:pPr>
          </w:p>
        </w:tc>
        <w:tc>
          <w:tcPr>
            <w:tcW w:w="2914" w:type="dxa"/>
            <w:vMerge w:val="restart"/>
            <w:vAlign w:val="center"/>
          </w:tcPr>
          <w:p>
            <w:pPr>
              <w:spacing w:line="240" w:lineRule="exact"/>
              <w:jc w:val="center"/>
              <w:rPr>
                <w:rFonts w:ascii="宋体" w:hAnsi="宋体" w:eastAsia="宋体"/>
                <w:color w:val="auto"/>
                <w:highlight w:val="none"/>
              </w:rPr>
            </w:pPr>
            <w:r>
              <w:rPr>
                <w:rFonts w:hint="eastAsia" w:ascii="宋体" w:hAnsi="宋体"/>
                <w:color w:val="auto"/>
                <w:highlight w:val="none"/>
              </w:rPr>
              <w:t>签发单位</w:t>
            </w:r>
          </w:p>
          <w:p>
            <w:pPr>
              <w:spacing w:line="240" w:lineRule="exact"/>
              <w:jc w:val="center"/>
              <w:rPr>
                <w:rFonts w:ascii="宋体" w:hAnsi="宋体"/>
                <w:color w:val="auto"/>
                <w:highlight w:val="none"/>
              </w:rPr>
            </w:pPr>
            <w:r>
              <w:rPr>
                <w:rFonts w:hint="eastAsia" w:ascii="宋体" w:hAnsi="宋体"/>
                <w:color w:val="auto"/>
                <w:highlight w:val="none"/>
              </w:rPr>
              <w:t>（章）</w:t>
            </w:r>
          </w:p>
          <w:p>
            <w:pPr>
              <w:spacing w:line="240" w:lineRule="exact"/>
              <w:jc w:val="center"/>
              <w:rPr>
                <w:rFonts w:ascii="宋体" w:hAnsi="宋体"/>
                <w:color w:val="auto"/>
                <w:szCs w:val="21"/>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76" w:type="dxa"/>
            <w:vAlign w:val="center"/>
          </w:tcPr>
          <w:p>
            <w:pPr>
              <w:jc w:val="center"/>
              <w:rPr>
                <w:rFonts w:ascii="宋体" w:hAnsi="宋体"/>
                <w:color w:val="auto"/>
                <w:szCs w:val="21"/>
                <w:highlight w:val="none"/>
              </w:rPr>
            </w:pPr>
            <w:r>
              <w:rPr>
                <w:rFonts w:hint="eastAsia" w:ascii="宋体" w:hAnsi="宋体"/>
                <w:color w:val="auto"/>
                <w:szCs w:val="21"/>
                <w:highlight w:val="none"/>
              </w:rPr>
              <w:t>部门/分公司负责人</w:t>
            </w:r>
          </w:p>
        </w:tc>
        <w:tc>
          <w:tcPr>
            <w:tcW w:w="5392" w:type="dxa"/>
          </w:tcPr>
          <w:p>
            <w:pPr>
              <w:jc w:val="center"/>
              <w:rPr>
                <w:rFonts w:ascii="宋体" w:hAnsi="宋体"/>
                <w:color w:val="auto"/>
                <w:highlight w:val="none"/>
              </w:rPr>
            </w:pPr>
          </w:p>
        </w:tc>
        <w:tc>
          <w:tcPr>
            <w:tcW w:w="2914" w:type="dxa"/>
            <w:vMerge w:val="continue"/>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76" w:type="dxa"/>
            <w:vAlign w:val="center"/>
          </w:tcPr>
          <w:p>
            <w:pPr>
              <w:jc w:val="center"/>
              <w:rPr>
                <w:rFonts w:ascii="宋体" w:hAnsi="宋体" w:eastAsia="宋体"/>
                <w:color w:val="auto"/>
                <w:szCs w:val="21"/>
                <w:highlight w:val="none"/>
              </w:rPr>
            </w:pPr>
            <w:r>
              <w:rPr>
                <w:rFonts w:hint="eastAsia" w:ascii="宋体" w:hAnsi="宋体"/>
                <w:color w:val="auto"/>
                <w:szCs w:val="21"/>
                <w:highlight w:val="none"/>
              </w:rPr>
              <w:t>签收单位</w:t>
            </w:r>
          </w:p>
          <w:p>
            <w:pPr>
              <w:jc w:val="center"/>
              <w:rPr>
                <w:rFonts w:ascii="宋体" w:hAnsi="宋体"/>
                <w:color w:val="auto"/>
                <w:szCs w:val="21"/>
                <w:highlight w:val="none"/>
              </w:rPr>
            </w:pPr>
            <w:r>
              <w:rPr>
                <w:rFonts w:hint="eastAsia" w:ascii="宋体" w:hAnsi="宋体"/>
                <w:color w:val="auto"/>
                <w:szCs w:val="21"/>
                <w:highlight w:val="none"/>
              </w:rPr>
              <w:t>签字/时间</w:t>
            </w:r>
          </w:p>
        </w:tc>
        <w:tc>
          <w:tcPr>
            <w:tcW w:w="8306" w:type="dxa"/>
            <w:gridSpan w:val="2"/>
            <w:vAlign w:val="bottom"/>
          </w:tcPr>
          <w:p>
            <w:pPr>
              <w:pStyle w:val="2"/>
              <w:jc w:val="right"/>
              <w:rPr>
                <w:rFonts w:ascii="宋体" w:hAnsi="宋体" w:eastAsia="宋体"/>
                <w:color w:val="auto"/>
                <w:highlight w:val="none"/>
              </w:rPr>
            </w:pPr>
            <w:r>
              <w:rPr>
                <w:rFonts w:hint="eastAsia" w:ascii="宋体" w:hAnsi="宋体"/>
                <w:color w:val="auto"/>
                <w:highlight w:val="none"/>
              </w:rPr>
              <w:t xml:space="preserve">         项目负责人：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76"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8306" w:type="dxa"/>
            <w:gridSpan w:val="2"/>
            <w:vAlign w:val="center"/>
          </w:tcPr>
          <w:p>
            <w:pPr>
              <w:rPr>
                <w:rFonts w:ascii="宋体" w:hAnsi="宋体"/>
                <w:color w:val="auto"/>
                <w:sz w:val="18"/>
                <w:szCs w:val="18"/>
                <w:highlight w:val="none"/>
              </w:rPr>
            </w:pPr>
            <w:r>
              <w:rPr>
                <w:rFonts w:hint="eastAsia" w:ascii="宋体" w:hAnsi="宋体"/>
                <w:color w:val="auto"/>
                <w:szCs w:val="21"/>
                <w:highlight w:val="none"/>
              </w:rPr>
              <w:t>本通知书一式二份，签发部门、施工/服务单位各一份</w:t>
            </w:r>
          </w:p>
        </w:tc>
      </w:tr>
    </w:tbl>
    <w:p>
      <w:pPr>
        <w:wordWrap w:val="0"/>
        <w:snapToGrid w:val="0"/>
        <w:spacing w:line="520" w:lineRule="exact"/>
        <w:ind w:right="-40"/>
        <w:rPr>
          <w:color w:val="auto"/>
          <w:highlight w:val="none"/>
        </w:rPr>
      </w:pPr>
      <w:r>
        <w:rPr>
          <w:rFonts w:hint="eastAsia"/>
          <w:color w:val="auto"/>
          <w:highlight w:val="none"/>
        </w:rPr>
        <w:t>抄送：合同管理部、设备管理部。</w:t>
      </w:r>
    </w:p>
    <w:p>
      <w:pPr>
        <w:jc w:val="left"/>
        <w:rPr>
          <w:rFonts w:ascii="宋体" w:hAnsi="宋体" w:eastAsia="宋体" w:cs="Times New Roman"/>
          <w:b/>
          <w:color w:val="auto"/>
          <w:kern w:val="0"/>
          <w:sz w:val="24"/>
          <w:szCs w:val="21"/>
          <w:highlight w:val="none"/>
          <w:lang w:val="zh-CN"/>
        </w:rPr>
      </w:pPr>
    </w:p>
    <w:p>
      <w:pPr>
        <w:jc w:val="left"/>
        <w:rPr>
          <w:rFonts w:ascii="宋体" w:hAnsi="宋体" w:eastAsia="宋体" w:cs="Times New Roman"/>
          <w:b/>
          <w:color w:val="auto"/>
          <w:kern w:val="0"/>
          <w:sz w:val="24"/>
          <w:szCs w:val="21"/>
          <w:highlight w:val="none"/>
          <w:lang w:val="zh-CN"/>
        </w:rPr>
      </w:pPr>
      <w:r>
        <w:rPr>
          <w:rFonts w:hint="eastAsia" w:ascii="宋体" w:hAnsi="宋体" w:eastAsia="宋体" w:cs="Times New Roman"/>
          <w:b/>
          <w:color w:val="auto"/>
          <w:kern w:val="0"/>
          <w:sz w:val="24"/>
          <w:szCs w:val="21"/>
          <w:highlight w:val="none"/>
          <w:lang w:val="zh-CN"/>
        </w:rPr>
        <w:br w:type="page"/>
      </w:r>
    </w:p>
    <w:p>
      <w:pPr>
        <w:spacing w:line="360" w:lineRule="auto"/>
        <w:jc w:val="left"/>
        <w:rPr>
          <w:rFonts w:ascii="宋体" w:hAnsi="宋体" w:eastAsia="宋体" w:cs="Times New Roman"/>
          <w:b/>
          <w:color w:val="auto"/>
          <w:kern w:val="0"/>
          <w:sz w:val="24"/>
          <w:szCs w:val="21"/>
          <w:highlight w:val="none"/>
          <w:lang w:val="zh-CN"/>
        </w:rPr>
      </w:pPr>
      <w:r>
        <w:rPr>
          <w:rFonts w:hint="eastAsia" w:ascii="宋体" w:hAnsi="宋体" w:eastAsia="宋体" w:cs="Times New Roman"/>
          <w:b/>
          <w:color w:val="auto"/>
          <w:kern w:val="0"/>
          <w:sz w:val="24"/>
          <w:szCs w:val="21"/>
          <w:highlight w:val="none"/>
        </w:rPr>
        <w:t>附件5：</w:t>
      </w:r>
      <w:r>
        <w:rPr>
          <w:rFonts w:hint="eastAsia" w:ascii="宋体" w:hAnsi="宋体" w:eastAsia="宋体" w:cs="Times New Roman"/>
          <w:b/>
          <w:color w:val="auto"/>
          <w:kern w:val="0"/>
          <w:sz w:val="24"/>
          <w:szCs w:val="21"/>
          <w:highlight w:val="none"/>
          <w:lang w:val="zh-CN"/>
        </w:rPr>
        <w:t>限期整改承诺书</w:t>
      </w:r>
    </w:p>
    <w:p>
      <w:pPr>
        <w:autoSpaceDE w:val="0"/>
        <w:autoSpaceDN w:val="0"/>
        <w:adjustRightInd w:val="0"/>
        <w:spacing w:line="360" w:lineRule="auto"/>
        <w:jc w:val="center"/>
        <w:rPr>
          <w:rFonts w:ascii="宋体" w:hAnsi="宋体" w:eastAsia="宋体" w:cs="Times New Roman"/>
          <w:color w:val="auto"/>
          <w:kern w:val="0"/>
          <w:sz w:val="44"/>
          <w:szCs w:val="44"/>
          <w:highlight w:val="none"/>
        </w:rPr>
      </w:pPr>
      <w:r>
        <w:rPr>
          <w:rFonts w:hint="eastAsia" w:ascii="宋体" w:hAnsi="宋体" w:eastAsia="宋体" w:cs="Times New Roman"/>
          <w:color w:val="auto"/>
          <w:kern w:val="0"/>
          <w:sz w:val="44"/>
          <w:szCs w:val="44"/>
          <w:highlight w:val="none"/>
        </w:rPr>
        <w:t>限期整改承诺书</w:t>
      </w:r>
    </w:p>
    <w:p>
      <w:pPr>
        <w:autoSpaceDE w:val="0"/>
        <w:autoSpaceDN w:val="0"/>
        <w:adjustRightInd w:val="0"/>
        <w:spacing w:line="360" w:lineRule="auto"/>
        <w:ind w:firstLine="480" w:firstLineChars="200"/>
        <w:jc w:val="left"/>
        <w:rPr>
          <w:rFonts w:ascii="宋体" w:hAnsi="Calibri" w:eastAsia="宋体" w:cs="Times New Roman"/>
          <w:color w:val="auto"/>
          <w:kern w:val="0"/>
          <w:sz w:val="24"/>
          <w:highlight w:val="none"/>
        </w:rPr>
      </w:pPr>
    </w:p>
    <w:p>
      <w:pPr>
        <w:autoSpaceDE w:val="0"/>
        <w:autoSpaceDN w:val="0"/>
        <w:adjustRightInd w:val="0"/>
        <w:spacing w:line="360" w:lineRule="auto"/>
        <w:jc w:val="left"/>
        <w:rPr>
          <w:rFonts w:ascii="宋体" w:hAnsi="Calibri" w:eastAsia="宋体" w:cs="Times New Roman"/>
          <w:color w:val="auto"/>
          <w:kern w:val="0"/>
          <w:szCs w:val="21"/>
          <w:highlight w:val="none"/>
        </w:rPr>
      </w:pPr>
      <w:r>
        <w:rPr>
          <w:rFonts w:hint="eastAsia" w:ascii="宋体" w:hAnsi="Calibri" w:eastAsia="宋体" w:cs="Times New Roman"/>
          <w:color w:val="auto"/>
          <w:kern w:val="0"/>
          <w:szCs w:val="21"/>
          <w:highlight w:val="none"/>
        </w:rPr>
        <w:t>东莞市水务集团管网有限公司（含其分公司、子公司）：</w:t>
      </w:r>
    </w:p>
    <w:p>
      <w:pPr>
        <w:autoSpaceDE w:val="0"/>
        <w:autoSpaceDN w:val="0"/>
        <w:adjustRightInd w:val="0"/>
        <w:spacing w:line="360" w:lineRule="auto"/>
        <w:ind w:firstLine="420" w:firstLineChars="200"/>
        <w:jc w:val="left"/>
        <w:rPr>
          <w:rFonts w:ascii="宋体" w:hAnsi="Calibri" w:eastAsia="宋体" w:cs="Times New Roman"/>
          <w:color w:val="auto"/>
          <w:kern w:val="0"/>
          <w:szCs w:val="21"/>
          <w:highlight w:val="none"/>
        </w:rPr>
      </w:pPr>
      <w:r>
        <w:rPr>
          <w:rFonts w:hint="eastAsia" w:ascii="宋体" w:hAnsi="Calibri" w:eastAsia="宋体" w:cs="Times New Roman"/>
          <w:color w:val="auto"/>
          <w:kern w:val="0"/>
          <w:szCs w:val="21"/>
          <w:highlight w:val="none"/>
        </w:rPr>
        <w:t>根据《东莞市水务集团管网有限公司（含其分公司、子公司）机电设备维修</w:t>
      </w:r>
      <w:r>
        <w:rPr>
          <w:rFonts w:hint="eastAsia" w:ascii="宋体" w:hAnsi="Calibri" w:eastAsia="宋体" w:cs="Times New Roman"/>
          <w:color w:val="auto"/>
          <w:kern w:val="0"/>
          <w:szCs w:val="21"/>
          <w:highlight w:val="none"/>
          <w:lang w:val="zh-CN"/>
        </w:rPr>
        <w:t>供应商框架合同</w:t>
      </w:r>
      <w:r>
        <w:rPr>
          <w:rFonts w:hint="eastAsia" w:ascii="宋体" w:hAnsi="Calibri" w:eastAsia="宋体" w:cs="Times New Roman"/>
          <w:color w:val="auto"/>
          <w:kern w:val="0"/>
          <w:szCs w:val="21"/>
          <w:highlight w:val="none"/>
        </w:rPr>
        <w:t>》相关条款，贵公</w:t>
      </w:r>
      <w:r>
        <w:rPr>
          <w:rFonts w:ascii="宋体" w:hAnsi="Calibri" w:eastAsia="宋体" w:cs="Times New Roman"/>
          <w:color w:val="auto"/>
          <w:kern w:val="0"/>
          <w:szCs w:val="21"/>
          <w:highlight w:val="none"/>
        </w:rPr>
        <w:t>司提出的</w:t>
      </w:r>
      <w:r>
        <w:rPr>
          <w:rFonts w:hint="eastAsia" w:ascii="宋体" w:hAnsi="Calibri" w:eastAsia="宋体" w:cs="Times New Roman"/>
          <w:color w:val="auto"/>
          <w:kern w:val="0"/>
          <w:szCs w:val="21"/>
          <w:highlight w:val="none"/>
          <w:u w:val="single"/>
        </w:rPr>
        <w:t xml:space="preserve">          </w:t>
      </w:r>
      <w:r>
        <w:rPr>
          <w:rFonts w:hint="eastAsia" w:ascii="宋体" w:hAnsi="Calibri" w:eastAsia="宋体" w:cs="Times New Roman"/>
          <w:color w:val="auto"/>
          <w:kern w:val="0"/>
          <w:szCs w:val="21"/>
          <w:highlight w:val="none"/>
        </w:rPr>
        <w:t>问题，我方承诺将于</w:t>
      </w:r>
      <w:r>
        <w:rPr>
          <w:rFonts w:hint="eastAsia" w:ascii="宋体" w:hAnsi="Calibri" w:eastAsia="宋体" w:cs="Times New Roman"/>
          <w:color w:val="auto"/>
          <w:kern w:val="0"/>
          <w:szCs w:val="21"/>
          <w:highlight w:val="none"/>
          <w:u w:val="single"/>
        </w:rPr>
        <w:t xml:space="preserve"> </w:t>
      </w:r>
      <w:r>
        <w:rPr>
          <w:rFonts w:ascii="宋体" w:hAnsi="Calibri" w:eastAsia="宋体" w:cs="Times New Roman"/>
          <w:color w:val="auto"/>
          <w:kern w:val="0"/>
          <w:szCs w:val="21"/>
          <w:highlight w:val="none"/>
          <w:u w:val="single"/>
        </w:rPr>
        <w:t xml:space="preserve">  </w:t>
      </w:r>
      <w:r>
        <w:rPr>
          <w:rFonts w:hint="eastAsia" w:ascii="宋体" w:hAnsi="Calibri" w:eastAsia="宋体" w:cs="Times New Roman"/>
          <w:color w:val="auto"/>
          <w:kern w:val="0"/>
          <w:szCs w:val="21"/>
          <w:highlight w:val="none"/>
        </w:rPr>
        <w:t>年</w:t>
      </w:r>
      <w:r>
        <w:rPr>
          <w:rFonts w:hint="eastAsia" w:ascii="宋体" w:hAnsi="Calibri" w:eastAsia="宋体" w:cs="Times New Roman"/>
          <w:color w:val="auto"/>
          <w:kern w:val="0"/>
          <w:szCs w:val="21"/>
          <w:highlight w:val="none"/>
          <w:u w:val="single"/>
        </w:rPr>
        <w:t xml:space="preserve"> </w:t>
      </w:r>
      <w:r>
        <w:rPr>
          <w:rFonts w:ascii="宋体" w:hAnsi="Calibri" w:eastAsia="宋体" w:cs="Times New Roman"/>
          <w:color w:val="auto"/>
          <w:kern w:val="0"/>
          <w:szCs w:val="21"/>
          <w:highlight w:val="none"/>
          <w:u w:val="single"/>
        </w:rPr>
        <w:t xml:space="preserve"> </w:t>
      </w:r>
      <w:r>
        <w:rPr>
          <w:rFonts w:hint="eastAsia" w:ascii="宋体" w:hAnsi="Calibri" w:eastAsia="宋体" w:cs="Times New Roman"/>
          <w:color w:val="auto"/>
          <w:kern w:val="0"/>
          <w:szCs w:val="21"/>
          <w:highlight w:val="none"/>
        </w:rPr>
        <w:t>月</w:t>
      </w:r>
      <w:r>
        <w:rPr>
          <w:rFonts w:hint="eastAsia" w:ascii="宋体" w:hAnsi="Calibri" w:eastAsia="宋体" w:cs="Times New Roman"/>
          <w:color w:val="auto"/>
          <w:kern w:val="0"/>
          <w:szCs w:val="21"/>
          <w:highlight w:val="none"/>
          <w:u w:val="single"/>
        </w:rPr>
        <w:t xml:space="preserve"> </w:t>
      </w:r>
      <w:r>
        <w:rPr>
          <w:rFonts w:ascii="宋体" w:hAnsi="Calibri" w:eastAsia="宋体" w:cs="Times New Roman"/>
          <w:color w:val="auto"/>
          <w:kern w:val="0"/>
          <w:szCs w:val="21"/>
          <w:highlight w:val="none"/>
          <w:u w:val="single"/>
        </w:rPr>
        <w:t xml:space="preserve"> </w:t>
      </w:r>
      <w:r>
        <w:rPr>
          <w:rFonts w:hint="eastAsia" w:ascii="宋体" w:hAnsi="Calibri" w:eastAsia="宋体" w:cs="Times New Roman"/>
          <w:color w:val="auto"/>
          <w:kern w:val="0"/>
          <w:szCs w:val="21"/>
          <w:highlight w:val="none"/>
        </w:rPr>
        <w:t>日完成相关整改工作，如果未能按时完成上述承诺，愿承担如下责任：</w:t>
      </w:r>
    </w:p>
    <w:p>
      <w:pPr>
        <w:autoSpaceDE w:val="0"/>
        <w:autoSpaceDN w:val="0"/>
        <w:adjustRightInd w:val="0"/>
        <w:spacing w:line="360" w:lineRule="auto"/>
        <w:jc w:val="left"/>
        <w:rPr>
          <w:rFonts w:ascii="宋体" w:hAnsi="Calibri" w:eastAsia="宋体" w:cs="Times New Roman"/>
          <w:color w:val="auto"/>
          <w:kern w:val="0"/>
          <w:szCs w:val="21"/>
          <w:highlight w:val="none"/>
        </w:rPr>
      </w:pPr>
      <w:r>
        <w:rPr>
          <w:rFonts w:hint="eastAsia" w:ascii="宋体" w:hAnsi="宋体" w:eastAsia="宋体" w:cs="Times New Roman"/>
          <w:color w:val="auto"/>
          <w:kern w:val="0"/>
          <w:szCs w:val="21"/>
          <w:highlight w:val="none"/>
        </w:rPr>
        <w:t>（一）</w:t>
      </w:r>
      <w:r>
        <w:rPr>
          <w:rFonts w:hint="eastAsia" w:ascii="宋体" w:hAnsi="Calibri" w:eastAsia="宋体" w:cs="Times New Roman"/>
          <w:color w:val="auto"/>
          <w:kern w:val="0"/>
          <w:szCs w:val="21"/>
          <w:highlight w:val="none"/>
        </w:rPr>
        <w:t>同意委托贵公司</w:t>
      </w:r>
      <w:r>
        <w:rPr>
          <w:rFonts w:hint="eastAsia" w:ascii="宋体" w:hAnsi="Calibri" w:eastAsia="宋体" w:cs="Times New Roman"/>
          <w:color w:val="auto"/>
          <w:kern w:val="0"/>
          <w:szCs w:val="21"/>
          <w:highlight w:val="none"/>
          <w:u w:val="single"/>
        </w:rPr>
        <w:t xml:space="preserve"> </w:t>
      </w:r>
      <w:r>
        <w:rPr>
          <w:rFonts w:ascii="宋体" w:hAnsi="Calibri" w:eastAsia="宋体" w:cs="Times New Roman"/>
          <w:color w:val="auto"/>
          <w:kern w:val="0"/>
          <w:szCs w:val="21"/>
          <w:highlight w:val="none"/>
          <w:u w:val="single"/>
        </w:rPr>
        <w:t xml:space="preserve">          </w:t>
      </w:r>
      <w:r>
        <w:rPr>
          <w:rFonts w:hint="eastAsia" w:ascii="宋体" w:hAnsi="Calibri" w:eastAsia="宋体" w:cs="Times New Roman"/>
          <w:color w:val="auto"/>
          <w:kern w:val="0"/>
          <w:szCs w:val="21"/>
          <w:highlight w:val="none"/>
          <w:u w:val="single"/>
        </w:rPr>
        <w:t>（处理</w:t>
      </w:r>
      <w:r>
        <w:rPr>
          <w:rFonts w:ascii="宋体" w:hAnsi="Calibri" w:eastAsia="宋体" w:cs="Times New Roman"/>
          <w:color w:val="auto"/>
          <w:kern w:val="0"/>
          <w:szCs w:val="21"/>
          <w:highlight w:val="none"/>
          <w:u w:val="single"/>
        </w:rPr>
        <w:t>方案</w:t>
      </w:r>
      <w:r>
        <w:rPr>
          <w:rFonts w:hint="eastAsia" w:ascii="宋体" w:hAnsi="Calibri" w:eastAsia="宋体" w:cs="Times New Roman"/>
          <w:color w:val="auto"/>
          <w:kern w:val="0"/>
          <w:szCs w:val="21"/>
          <w:highlight w:val="none"/>
          <w:u w:val="single"/>
        </w:rPr>
        <w:t>）</w:t>
      </w:r>
      <w:r>
        <w:rPr>
          <w:rFonts w:hint="eastAsia" w:ascii="宋体" w:hAnsi="Calibri" w:eastAsia="宋体" w:cs="Times New Roman"/>
          <w:color w:val="auto"/>
          <w:kern w:val="0"/>
          <w:szCs w:val="21"/>
          <w:highlight w:val="none"/>
        </w:rPr>
        <w:t>，有关费用将从我方收取的服务费中抵扣（如</w:t>
      </w:r>
      <w:r>
        <w:rPr>
          <w:rFonts w:ascii="宋体" w:hAnsi="Calibri" w:eastAsia="宋体" w:cs="Times New Roman"/>
          <w:color w:val="auto"/>
          <w:kern w:val="0"/>
          <w:szCs w:val="21"/>
          <w:highlight w:val="none"/>
        </w:rPr>
        <w:t>有</w:t>
      </w:r>
      <w:r>
        <w:rPr>
          <w:rFonts w:hint="eastAsia" w:ascii="宋体" w:hAnsi="Calibri" w:eastAsia="宋体" w:cs="Times New Roman"/>
          <w:color w:val="auto"/>
          <w:kern w:val="0"/>
          <w:szCs w:val="21"/>
          <w:highlight w:val="none"/>
        </w:rPr>
        <w:t>）。</w:t>
      </w:r>
    </w:p>
    <w:p>
      <w:pPr>
        <w:autoSpaceDE w:val="0"/>
        <w:autoSpaceDN w:val="0"/>
        <w:adjustRightInd w:val="0"/>
        <w:spacing w:line="360" w:lineRule="auto"/>
        <w:jc w:val="left"/>
        <w:rPr>
          <w:rFonts w:ascii="宋体" w:hAnsi="Calibri" w:eastAsia="宋体" w:cs="Times New Roman"/>
          <w:color w:val="auto"/>
          <w:kern w:val="0"/>
          <w:szCs w:val="21"/>
          <w:highlight w:val="none"/>
        </w:rPr>
      </w:pPr>
      <w:r>
        <w:rPr>
          <w:rFonts w:hint="eastAsia" w:ascii="宋体" w:hAnsi="宋体" w:eastAsia="宋体" w:cs="Times New Roman"/>
          <w:color w:val="auto"/>
          <w:kern w:val="0"/>
          <w:szCs w:val="21"/>
          <w:highlight w:val="none"/>
        </w:rPr>
        <w:t>（二）同意并接受贵公司将我方上报贵公司集团列入黑名单，并向东莞阳光网、东莞日报等媒体公开我方失信行为，并上报东莞市住建局、东莞市水污染治理现场指挥部等行政主管部门建议取消我方参加东莞市公开招标项目的投标资格等。</w:t>
      </w:r>
    </w:p>
    <w:p>
      <w:pPr>
        <w:autoSpaceDE w:val="0"/>
        <w:autoSpaceDN w:val="0"/>
        <w:adjustRightInd w:val="0"/>
        <w:spacing w:line="360" w:lineRule="auto"/>
        <w:ind w:firstLine="420" w:firstLineChars="200"/>
        <w:jc w:val="left"/>
        <w:rPr>
          <w:rFonts w:ascii="宋体" w:hAnsi="Calibri"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Calibri"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Calibri" w:eastAsia="宋体" w:cs="Times New Roman"/>
          <w:color w:val="auto"/>
          <w:kern w:val="0"/>
          <w:szCs w:val="21"/>
          <w:highlight w:val="none"/>
        </w:rPr>
      </w:pPr>
    </w:p>
    <w:p>
      <w:pPr>
        <w:wordWrap w:val="0"/>
        <w:autoSpaceDE w:val="0"/>
        <w:autoSpaceDN w:val="0"/>
        <w:adjustRightInd w:val="0"/>
        <w:spacing w:line="360" w:lineRule="auto"/>
        <w:ind w:right="960"/>
        <w:jc w:val="right"/>
        <w:rPr>
          <w:rFonts w:ascii="宋体" w:hAnsi="Calibri" w:eastAsia="宋体" w:cs="Times New Roman"/>
          <w:color w:val="auto"/>
          <w:w w:val="104"/>
          <w:kern w:val="0"/>
          <w:szCs w:val="21"/>
          <w:highlight w:val="none"/>
        </w:rPr>
      </w:pPr>
      <w:r>
        <w:rPr>
          <w:rFonts w:hint="eastAsia" w:ascii="宋体" w:hAnsi="Calibri" w:eastAsia="宋体" w:cs="Times New Roman"/>
          <w:color w:val="auto"/>
          <w:kern w:val="0"/>
          <w:szCs w:val="21"/>
          <w:highlight w:val="none"/>
        </w:rPr>
        <w:t>承</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诺</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单</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 xml:space="preserve">位：                        </w:t>
      </w:r>
    </w:p>
    <w:p>
      <w:pPr>
        <w:autoSpaceDE w:val="0"/>
        <w:autoSpaceDN w:val="0"/>
        <w:adjustRightInd w:val="0"/>
        <w:spacing w:line="360" w:lineRule="auto"/>
        <w:ind w:right="960"/>
        <w:jc w:val="left"/>
        <w:rPr>
          <w:rFonts w:ascii="宋体" w:hAnsi="Calibri" w:eastAsia="宋体" w:cs="Times New Roman"/>
          <w:color w:val="auto"/>
          <w:kern w:val="0"/>
          <w:szCs w:val="21"/>
          <w:highlight w:val="none"/>
        </w:rPr>
      </w:pPr>
      <w:r>
        <w:rPr>
          <w:rFonts w:hint="eastAsia" w:ascii="宋体" w:hAnsi="Calibri" w:eastAsia="宋体" w:cs="Times New Roman"/>
          <w:color w:val="auto"/>
          <w:kern w:val="0"/>
          <w:szCs w:val="21"/>
          <w:highlight w:val="none"/>
        </w:rPr>
        <w:t xml:space="preserve">                                        法人代表（授权代理人）签名：</w:t>
      </w:r>
    </w:p>
    <w:p>
      <w:pPr>
        <w:autoSpaceDE w:val="0"/>
        <w:autoSpaceDN w:val="0"/>
        <w:adjustRightInd w:val="0"/>
        <w:spacing w:line="360" w:lineRule="auto"/>
        <w:ind w:right="960"/>
        <w:jc w:val="left"/>
        <w:rPr>
          <w:rFonts w:ascii="宋体" w:hAnsi="Calibri" w:eastAsia="宋体" w:cs="Times New Roman"/>
          <w:color w:val="auto"/>
          <w:kern w:val="0"/>
          <w:szCs w:val="21"/>
          <w:highlight w:val="none"/>
        </w:rPr>
      </w:pPr>
      <w:r>
        <w:rPr>
          <w:rFonts w:hint="eastAsia" w:ascii="宋体" w:hAnsi="Calibri" w:eastAsia="宋体" w:cs="Times New Roman"/>
          <w:color w:val="auto"/>
          <w:kern w:val="0"/>
          <w:szCs w:val="21"/>
          <w:highlight w:val="none"/>
        </w:rPr>
        <w:t xml:space="preserve">                                                </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 xml:space="preserve">年 </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 xml:space="preserve">月 </w:t>
      </w:r>
      <w:r>
        <w:rPr>
          <w:rFonts w:ascii="宋体" w:hAnsi="Calibri" w:eastAsia="宋体" w:cs="Times New Roman"/>
          <w:color w:val="auto"/>
          <w:kern w:val="0"/>
          <w:szCs w:val="21"/>
          <w:highlight w:val="none"/>
        </w:rPr>
        <w:t xml:space="preserve">   </w:t>
      </w:r>
      <w:r>
        <w:rPr>
          <w:rFonts w:hint="eastAsia" w:ascii="宋体" w:hAnsi="Calibri" w:eastAsia="宋体" w:cs="Times New Roman"/>
          <w:color w:val="auto"/>
          <w:kern w:val="0"/>
          <w:szCs w:val="21"/>
          <w:highlight w:val="none"/>
        </w:rPr>
        <w:t>日</w:t>
      </w:r>
    </w:p>
    <w:p>
      <w:pPr>
        <w:autoSpaceDE w:val="0"/>
        <w:autoSpaceDN w:val="0"/>
        <w:adjustRightInd w:val="0"/>
        <w:spacing w:line="360" w:lineRule="auto"/>
        <w:jc w:val="left"/>
        <w:rPr>
          <w:rFonts w:ascii="宋体" w:hAnsi="宋体" w:eastAsia="宋体" w:cs="Times New Roman"/>
          <w:color w:val="auto"/>
          <w:kern w:val="0"/>
          <w:szCs w:val="21"/>
          <w:highlight w:val="none"/>
        </w:rPr>
      </w:pPr>
    </w:p>
    <w:p>
      <w:pPr>
        <w:pageBreakBefore/>
        <w:autoSpaceDE w:val="0"/>
        <w:autoSpaceDN w:val="0"/>
        <w:adjustRightInd w:val="0"/>
        <w:spacing w:line="360" w:lineRule="auto"/>
        <w:jc w:val="left"/>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附件</w:t>
      </w:r>
      <w:r>
        <w:rPr>
          <w:rFonts w:hint="eastAsia" w:ascii="宋体" w:hAnsi="宋体" w:eastAsia="宋体" w:cs="Times New Roman"/>
          <w:color w:val="auto"/>
          <w:highlight w:val="none"/>
        </w:rPr>
        <w:t>6</w:t>
      </w:r>
      <w:r>
        <w:rPr>
          <w:rFonts w:hint="eastAsia" w:ascii="宋体" w:hAnsi="宋体" w:eastAsia="宋体" w:cs="Times New Roman"/>
          <w:color w:val="auto"/>
          <w:highlight w:val="none"/>
          <w:lang w:val="zh-CN"/>
        </w:rPr>
        <w:t>：</w:t>
      </w:r>
      <w:r>
        <w:rPr>
          <w:rFonts w:hint="eastAsia" w:ascii="宋体" w:hAnsi="宋体" w:eastAsia="宋体" w:cs="Times New Roman"/>
          <w:color w:val="auto"/>
          <w:highlight w:val="none"/>
        </w:rPr>
        <w:t>机电设备维修</w:t>
      </w:r>
      <w:r>
        <w:rPr>
          <w:rFonts w:hint="eastAsia" w:ascii="宋体" w:hAnsi="宋体" w:eastAsia="宋体" w:cs="Times New Roman"/>
          <w:color w:val="auto"/>
          <w:highlight w:val="none"/>
          <w:lang w:val="zh-CN"/>
        </w:rPr>
        <w:t>项目请款资料清单</w:t>
      </w:r>
    </w:p>
    <w:tbl>
      <w:tblPr>
        <w:tblStyle w:val="47"/>
        <w:tblpPr w:leftFromText="180" w:rightFromText="180" w:vertAnchor="text" w:horzAnchor="page" w:tblpX="1804" w:tblpY="709"/>
        <w:tblOverlap w:val="never"/>
        <w:tblW w:w="5000" w:type="pct"/>
        <w:tblInd w:w="0" w:type="dxa"/>
        <w:tblLayout w:type="fixed"/>
        <w:tblCellMar>
          <w:top w:w="0" w:type="dxa"/>
          <w:left w:w="0" w:type="dxa"/>
          <w:bottom w:w="0" w:type="dxa"/>
          <w:right w:w="0" w:type="dxa"/>
        </w:tblCellMar>
      </w:tblPr>
      <w:tblGrid>
        <w:gridCol w:w="471"/>
        <w:gridCol w:w="1972"/>
        <w:gridCol w:w="2256"/>
        <w:gridCol w:w="2242"/>
        <w:gridCol w:w="1395"/>
      </w:tblGrid>
      <w:tr>
        <w:trPr>
          <w:trHeight w:val="860"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40"/>
                <w:szCs w:val="40"/>
                <w:highlight w:val="none"/>
                <w:lang w:bidi="ar"/>
              </w:rPr>
            </w:pPr>
            <w:r>
              <w:rPr>
                <w:rFonts w:hint="eastAsia" w:ascii="Times New Roman" w:hAnsi="Times New Roman" w:eastAsia="宋体" w:cs="Times New Roman"/>
                <w:color w:val="auto"/>
                <w:kern w:val="0"/>
                <w:sz w:val="40"/>
                <w:szCs w:val="40"/>
                <w:highlight w:val="none"/>
                <w:lang w:bidi="ar"/>
              </w:rPr>
              <w:t>机电设备维修</w:t>
            </w:r>
            <w:r>
              <w:rPr>
                <w:rFonts w:ascii="Times New Roman" w:hAnsi="Times New Roman" w:eastAsia="宋体" w:cs="Times New Roman"/>
                <w:color w:val="auto"/>
                <w:kern w:val="0"/>
                <w:sz w:val="40"/>
                <w:szCs w:val="40"/>
                <w:highlight w:val="none"/>
                <w:lang w:bidi="ar"/>
              </w:rPr>
              <w:t>项目请款资料清单</w:t>
            </w:r>
          </w:p>
        </w:tc>
      </w:tr>
      <w:tr>
        <w:tblPrEx>
          <w:tblCellMar>
            <w:top w:w="0" w:type="dxa"/>
            <w:left w:w="0" w:type="dxa"/>
            <w:bottom w:w="0" w:type="dxa"/>
            <w:right w:w="0" w:type="dxa"/>
          </w:tblCellMar>
        </w:tblPrEx>
        <w:trPr>
          <w:trHeight w:val="357"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2"/>
                <w:szCs w:val="22"/>
                <w:highlight w:val="none"/>
              </w:rPr>
            </w:pPr>
            <w:r>
              <w:rPr>
                <w:rFonts w:ascii="Times New Roman" w:hAnsi="Times New Roman" w:eastAsia="宋体" w:cs="Times New Roman"/>
                <w:b/>
                <w:bCs/>
                <w:color w:val="auto"/>
                <w:kern w:val="0"/>
                <w:sz w:val="22"/>
                <w:szCs w:val="22"/>
                <w:highlight w:val="none"/>
                <w:lang w:bidi="ar"/>
              </w:rPr>
              <w:t>序号</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kern w:val="0"/>
                <w:sz w:val="22"/>
                <w:szCs w:val="22"/>
                <w:highlight w:val="none"/>
                <w:lang w:bidi="ar"/>
              </w:rPr>
              <w:t>进度款</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结算款</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质保金</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备注</w:t>
            </w:r>
          </w:p>
        </w:tc>
      </w:tr>
      <w:tr>
        <w:tblPrEx>
          <w:tblCellMar>
            <w:top w:w="0" w:type="dxa"/>
            <w:left w:w="0" w:type="dxa"/>
            <w:bottom w:w="0" w:type="dxa"/>
            <w:right w:w="0" w:type="dxa"/>
          </w:tblCellMar>
        </w:tblPrEx>
        <w:trPr>
          <w:trHeight w:val="367"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lang w:bidi="ar"/>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请款报告</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请款报告</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请款报告</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进度款支付申请表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建设工程造价审核表（审批完后再通知盖章）</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建设工程造价审核表（审批完后再通知盖章）</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本期应支付金额计算表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送货单（若有）</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送货单（若有）</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中间计量表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到货验收单（若有）</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到货验收单（若有）</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已支付汇总表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维修、采购安装、重置项目验收表</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维修、采购安装、重置项目验收表</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工程预算书、预算价呈批确认表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rPr>
              <w:t>任务通知单及回执</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rPr>
              <w:t>任务通知单及回执</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任务通知单及回执</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设备维修拆装各部件更换照片（前后）</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设备维修拆装各部件更换照片（前后）</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相关施工过程记录照片</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相关施工过程记录照片（前后）</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相关施工过程记录照片（前后）</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482"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送货单（若有）</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相关检修报告（水泵外委维修请款需提供）</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相关检修报告（水泵外委维修请款需提供）</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到货验收单（若有）</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相关变更确认资料（若有）</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相关变更确认资料（若有）</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往期用款审批表（含往期发票）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rPr>
              <w:t>往期用款审批表（含往期发票）</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rPr>
              <w:t>往期用款审批表（含往期发票）</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发票（审批后在通知开票）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发票（审批完后再通知开票）</w:t>
            </w: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发票（审批完后再通知开票）</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13</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Cs w:val="21"/>
                <w:highlight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p>
        </w:tc>
        <w:tc>
          <w:tcPr>
            <w:tcW w:w="1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缺陷期责任终止证书</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Cs w:val="21"/>
                <w:highlight w:val="none"/>
                <w:lang w:bidi="ar"/>
              </w:rPr>
            </w:pPr>
          </w:p>
        </w:tc>
      </w:tr>
      <w:tr>
        <w:tblPrEx>
          <w:tblCellMar>
            <w:top w:w="0" w:type="dxa"/>
            <w:left w:w="0" w:type="dxa"/>
            <w:bottom w:w="0" w:type="dxa"/>
            <w:right w:w="0" w:type="dxa"/>
          </w:tblCellMar>
        </w:tblPrEx>
        <w:trPr>
          <w:trHeight w:val="37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注：</w:t>
            </w:r>
          </w:p>
          <w:p>
            <w:pPr>
              <w:widowControl/>
              <w:numPr>
                <w:ilvl w:val="255"/>
                <w:numId w:val="0"/>
              </w:numP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1.</w:t>
            </w:r>
            <w:r>
              <w:rPr>
                <w:rFonts w:ascii="Times New Roman" w:hAnsi="Times New Roman" w:eastAsia="宋体" w:cs="Times New Roman"/>
                <w:color w:val="auto"/>
                <w:kern w:val="0"/>
                <w:szCs w:val="21"/>
                <w:highlight w:val="none"/>
                <w:lang w:bidi="ar"/>
              </w:rPr>
              <w:t>现场照片须为水印照片，并有对应的参照物，参考《截污次支管网工程全时域留痕管理工作指引》东水治建2018 16号，其中施工中照片留痕内容为正在作业照片，照片中要包括作业人员、作业机械等。</w:t>
            </w:r>
          </w:p>
          <w:p>
            <w:pPr>
              <w:widowControl/>
              <w:numPr>
                <w:ilvl w:val="255"/>
                <w:numId w:val="0"/>
              </w:numPr>
              <w:textAlignment w:val="center"/>
              <w:rPr>
                <w:rFonts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kern w:val="0"/>
                <w:szCs w:val="21"/>
                <w:highlight w:val="none"/>
                <w:lang w:bidi="ar"/>
              </w:rPr>
              <w:t>2.</w:t>
            </w:r>
            <w:r>
              <w:rPr>
                <w:rFonts w:ascii="Times New Roman" w:hAnsi="Times New Roman" w:eastAsia="宋体" w:cs="Times New Roman"/>
                <w:color w:val="auto"/>
                <w:kern w:val="0"/>
                <w:szCs w:val="21"/>
                <w:highlight w:val="none"/>
                <w:lang w:bidi="ar"/>
              </w:rPr>
              <w:t>请款资料清单具体按照甲方实际要求为准。</w:t>
            </w:r>
          </w:p>
        </w:tc>
      </w:tr>
    </w:tbl>
    <w:p>
      <w:pPr>
        <w:jc w:val="left"/>
        <w:rPr>
          <w:rFonts w:ascii="宋体" w:hAnsi="宋体" w:eastAsia="宋体" w:cs="Times New Roman"/>
          <w:color w:val="auto"/>
          <w:highlight w:val="none"/>
          <w:lang w:val="zh-CN"/>
        </w:rPr>
      </w:pPr>
    </w:p>
    <w:p>
      <w:pPr>
        <w:pageBreakBefore/>
        <w:autoSpaceDE w:val="0"/>
        <w:autoSpaceDN w:val="0"/>
        <w:adjustRightInd w:val="0"/>
        <w:spacing w:line="360" w:lineRule="auto"/>
        <w:jc w:val="left"/>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附件</w:t>
      </w:r>
      <w:r>
        <w:rPr>
          <w:rFonts w:hint="eastAsia" w:ascii="宋体" w:hAnsi="宋体" w:eastAsia="宋体" w:cs="Times New Roman"/>
          <w:color w:val="auto"/>
          <w:highlight w:val="none"/>
        </w:rPr>
        <w:t>7</w:t>
      </w:r>
      <w:r>
        <w:rPr>
          <w:rFonts w:hint="eastAsia" w:ascii="宋体" w:hAnsi="宋体" w:eastAsia="宋体" w:cs="Times New Roman"/>
          <w:color w:val="auto"/>
          <w:highlight w:val="none"/>
          <w:lang w:val="zh-CN"/>
        </w:rPr>
        <w:t>：《东莞市水务集团管网有限公司机电设备维修供应商库管理办法》</w:t>
      </w:r>
    </w:p>
    <w:p>
      <w:pPr>
        <w:autoSpaceDE w:val="0"/>
        <w:autoSpaceDN w:val="0"/>
        <w:adjustRightInd w:val="0"/>
        <w:spacing w:line="360" w:lineRule="auto"/>
        <w:jc w:val="left"/>
        <w:rPr>
          <w:rFonts w:ascii="宋体" w:hAnsi="宋体" w:eastAsia="宋体" w:cs="Times New Roman"/>
          <w:color w:val="auto"/>
          <w:kern w:val="0"/>
          <w:szCs w:val="21"/>
          <w:highlight w:val="none"/>
        </w:rPr>
      </w:pPr>
    </w:p>
    <w:p>
      <w:pPr>
        <w:pStyle w:val="44"/>
        <w:widowControl w:val="0"/>
        <w:spacing w:before="0" w:beforeAutospacing="0" w:after="0" w:afterAutospacing="0" w:line="360" w:lineRule="auto"/>
        <w:rPr>
          <w:rFonts w:ascii="Times New Roman" w:hAnsi="Times New Roman" w:eastAsia="宋体" w:cs="Times New Roman"/>
          <w:color w:val="auto"/>
          <w:sz w:val="21"/>
          <w:szCs w:val="21"/>
          <w:highlight w:val="none"/>
        </w:rPr>
      </w:pPr>
      <w:r>
        <w:rPr>
          <w:rFonts w:hint="eastAsia" w:eastAsia="宋体" w:cs="宋体"/>
          <w:color w:val="auto"/>
          <w:sz w:val="21"/>
          <w:szCs w:val="21"/>
          <w:highlight w:val="none"/>
          <w:lang w:bidi="ar"/>
        </w:rPr>
        <w:t>详见</w:t>
      </w:r>
      <w:r>
        <w:rPr>
          <w:rFonts w:hint="eastAsia" w:ascii="Times New Roman" w:hAnsi="Times New Roman" w:eastAsia="宋体" w:cs="Times New Roman"/>
          <w:color w:val="auto"/>
          <w:sz w:val="21"/>
          <w:szCs w:val="21"/>
          <w:highlight w:val="none"/>
          <w:lang w:bidi="ar"/>
        </w:rPr>
        <w:t>“</w:t>
      </w:r>
      <w:r>
        <w:rPr>
          <w:rFonts w:hint="eastAsia" w:eastAsia="宋体" w:cs="宋体"/>
          <w:color w:val="auto"/>
          <w:sz w:val="21"/>
          <w:szCs w:val="21"/>
          <w:highlight w:val="none"/>
          <w:lang w:bidi="ar"/>
        </w:rPr>
        <w:t>第二部分</w:t>
      </w:r>
      <w:r>
        <w:rPr>
          <w:rFonts w:ascii="Times New Roman" w:hAnsi="Times New Roman" w:eastAsia="宋体" w:cs="Times New Roman"/>
          <w:color w:val="auto"/>
          <w:sz w:val="21"/>
          <w:szCs w:val="21"/>
          <w:highlight w:val="none"/>
          <w:lang w:bidi="ar"/>
        </w:rPr>
        <w:t xml:space="preserve"> </w:t>
      </w:r>
      <w:r>
        <w:rPr>
          <w:rFonts w:hint="eastAsia" w:eastAsia="宋体" w:cs="宋体"/>
          <w:color w:val="auto"/>
          <w:sz w:val="21"/>
          <w:szCs w:val="21"/>
          <w:highlight w:val="none"/>
          <w:lang w:bidi="ar"/>
        </w:rPr>
        <w:t>报名人须知</w:t>
      </w:r>
      <w:r>
        <w:rPr>
          <w:rFonts w:hint="eastAsia" w:ascii="Times New Roman" w:hAnsi="Times New Roman" w:eastAsia="宋体" w:cs="Times New Roman"/>
          <w:color w:val="auto"/>
          <w:sz w:val="21"/>
          <w:szCs w:val="21"/>
          <w:highlight w:val="none"/>
          <w:lang w:bidi="ar"/>
        </w:rPr>
        <w:t>”</w:t>
      </w:r>
      <w:r>
        <w:rPr>
          <w:rFonts w:hint="eastAsia" w:eastAsia="宋体" w:cs="宋体"/>
          <w:color w:val="auto"/>
          <w:sz w:val="21"/>
          <w:szCs w:val="21"/>
          <w:highlight w:val="none"/>
          <w:lang w:bidi="ar"/>
        </w:rPr>
        <w:t>第</w:t>
      </w:r>
      <w:r>
        <w:rPr>
          <w:rFonts w:hint="eastAsia" w:ascii="Times New Roman" w:hAnsi="Times New Roman" w:eastAsia="宋体" w:cs="Times New Roman"/>
          <w:color w:val="auto"/>
          <w:sz w:val="21"/>
          <w:szCs w:val="21"/>
          <w:highlight w:val="none"/>
          <w:lang w:bidi="ar"/>
        </w:rPr>
        <w:t>“</w:t>
      </w:r>
      <w:r>
        <w:rPr>
          <w:rFonts w:hint="eastAsia" w:eastAsia="宋体" w:cs="宋体"/>
          <w:color w:val="auto"/>
          <w:sz w:val="21"/>
          <w:szCs w:val="21"/>
          <w:highlight w:val="none"/>
          <w:lang w:bidi="ar"/>
        </w:rPr>
        <w:t>十</w:t>
      </w:r>
      <w:r>
        <w:rPr>
          <w:rFonts w:hint="eastAsia" w:ascii="Times New Roman" w:hAnsi="Times New Roman" w:eastAsia="宋体" w:cs="Times New Roman"/>
          <w:color w:val="auto"/>
          <w:sz w:val="21"/>
          <w:szCs w:val="21"/>
          <w:highlight w:val="none"/>
          <w:lang w:bidi="ar"/>
        </w:rPr>
        <w:t>”</w:t>
      </w:r>
      <w:r>
        <w:rPr>
          <w:rFonts w:hint="eastAsia" w:eastAsia="宋体" w:cs="宋体"/>
          <w:color w:val="auto"/>
          <w:sz w:val="21"/>
          <w:szCs w:val="21"/>
          <w:highlight w:val="none"/>
          <w:lang w:bidi="ar"/>
        </w:rPr>
        <w:t>点。</w:t>
      </w:r>
    </w:p>
    <w:p>
      <w:pPr>
        <w:spacing w:line="400" w:lineRule="exact"/>
        <w:ind w:right="84" w:firstLine="420" w:firstLineChars="200"/>
        <w:rPr>
          <w:rFonts w:ascii="宋体" w:hAnsi="宋体" w:eastAsia="宋体"/>
          <w:color w:val="auto"/>
          <w:szCs w:val="21"/>
          <w:highlight w:val="none"/>
        </w:rPr>
      </w:pPr>
    </w:p>
    <w:p>
      <w:pPr>
        <w:pStyle w:val="2"/>
        <w:spacing w:line="360" w:lineRule="auto"/>
        <w:rPr>
          <w:rFonts w:ascii="Times New Roman" w:hAnsi="Times New Roman" w:eastAsia="宋体" w:cs="Times New Roman"/>
          <w:color w:val="auto"/>
          <w:szCs w:val="21"/>
          <w:highlight w:val="none"/>
        </w:rPr>
      </w:pPr>
    </w:p>
    <w:p>
      <w:pPr>
        <w:jc w:val="left"/>
        <w:rPr>
          <w:rFonts w:ascii="宋体" w:hAnsi="宋体" w:eastAsia="宋体"/>
          <w:bCs/>
          <w:color w:val="auto"/>
          <w:szCs w:val="21"/>
          <w:highlight w:val="none"/>
        </w:rPr>
      </w:pPr>
      <w:r>
        <w:rPr>
          <w:rFonts w:ascii="宋体" w:hAnsi="宋体" w:eastAsia="宋体"/>
          <w:bCs/>
          <w:color w:val="auto"/>
          <w:szCs w:val="21"/>
          <w:highlight w:val="none"/>
        </w:rPr>
        <w:br w:type="page"/>
      </w:r>
    </w:p>
    <w:p>
      <w:pPr>
        <w:pageBreakBefore/>
        <w:spacing w:line="400" w:lineRule="exact"/>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附件7：安全生产管理协议书</w:t>
      </w:r>
    </w:p>
    <w:p>
      <w:pPr>
        <w:spacing w:before="312" w:beforeLines="100" w:line="400" w:lineRule="exact"/>
        <w:jc w:val="center"/>
        <w:rPr>
          <w:color w:val="auto"/>
          <w:highlight w:val="none"/>
        </w:rPr>
      </w:pPr>
      <w:r>
        <w:rPr>
          <w:rFonts w:hint="eastAsia"/>
          <w:b/>
          <w:bCs/>
          <w:color w:val="auto"/>
          <w:sz w:val="36"/>
          <w:szCs w:val="36"/>
          <w:highlight w:val="none"/>
        </w:rPr>
        <w:t>安全生产管理协议书</w:t>
      </w:r>
    </w:p>
    <w:p>
      <w:pPr>
        <w:spacing w:before="156" w:beforeLines="50" w:after="156" w:afterLines="50" w:line="400" w:lineRule="exact"/>
        <w:rPr>
          <w:rFonts w:ascii="宋体" w:hAnsi="宋体" w:eastAsia="宋体" w:cs="宋体"/>
          <w:color w:val="auto"/>
          <w:szCs w:val="21"/>
          <w:highlight w:val="none"/>
          <w:u w:val="single"/>
        </w:rPr>
      </w:pPr>
      <w:r>
        <w:rPr>
          <w:rFonts w:hint="eastAsia" w:ascii="宋体" w:hAnsi="宋体" w:eastAsia="宋体" w:cs="宋体"/>
          <w:b/>
          <w:bCs/>
          <w:color w:val="auto"/>
          <w:szCs w:val="21"/>
          <w:highlight w:val="none"/>
        </w:rPr>
        <w:t>甲方（发包单位）</w:t>
      </w:r>
      <w:r>
        <w:rPr>
          <w:rFonts w:hint="eastAsia" w:ascii="宋体" w:hAnsi="宋体" w:eastAsia="宋体" w:cs="宋体"/>
          <w:color w:val="auto"/>
          <w:szCs w:val="21"/>
          <w:highlight w:val="none"/>
        </w:rPr>
        <w:t>：</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乙方（承包单位）</w:t>
      </w:r>
      <w:r>
        <w:rPr>
          <w:rFonts w:hint="eastAsia" w:ascii="宋体" w:hAnsi="宋体" w:eastAsia="宋体" w:cs="宋体"/>
          <w:color w:val="auto"/>
          <w:szCs w:val="21"/>
          <w:highlight w:val="none"/>
        </w:rPr>
        <w:t xml:space="preserve">：  </w:t>
      </w:r>
    </w:p>
    <w:p>
      <w:pPr>
        <w:numPr>
          <w:ilvl w:val="0"/>
          <w:numId w:val="29"/>
        </w:num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总则</w:t>
      </w:r>
    </w:p>
    <w:p>
      <w:pPr>
        <w:spacing w:before="156" w:beforeLines="50" w:after="156" w:afterLines="5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加强承包作业过程的安全生产管理，明确甲乙双方各自在安全生产管理方面的责任、权利和义务，保障施工生产的顺利进行，依据《中华人民共和国安全生产法》、《中华人民共和国民法典》、《建设工程安全生产管理条例》等法律法规，甲乙双方遵循平等、公平和诚实守信的原则，经双方协商一致签订本协议。</w:t>
      </w:r>
    </w:p>
    <w:p>
      <w:pPr>
        <w:numPr>
          <w:ilvl w:val="0"/>
          <w:numId w:val="29"/>
        </w:num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承包项目概况</w:t>
      </w:r>
    </w:p>
    <w:p>
      <w:pPr>
        <w:spacing w:line="400" w:lineRule="exact"/>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1、承包项目全称：</w:t>
      </w:r>
      <w:r>
        <w:rPr>
          <w:rFonts w:hint="eastAsia" w:ascii="宋体" w:hAnsi="宋体" w:eastAsia="宋体" w:cs="宋体"/>
          <w:color w:val="auto"/>
          <w:szCs w:val="21"/>
          <w:highlight w:val="none"/>
          <w:u w:val="single"/>
        </w:rPr>
        <w:t xml:space="preserve"> 机电设备维修在库</w:t>
      </w:r>
      <w:r>
        <w:rPr>
          <w:rFonts w:hint="eastAsia" w:ascii="宋体" w:hAnsi="宋体" w:eastAsia="宋体" w:cs="宋体"/>
          <w:color w:val="auto"/>
          <w:szCs w:val="21"/>
          <w:highlight w:val="none"/>
          <w:u w:val="single"/>
          <w:lang w:val="zh-CN"/>
        </w:rPr>
        <w:t>供应商框架合同</w:t>
      </w:r>
      <w:r>
        <w:rPr>
          <w:rFonts w:hint="eastAsia" w:ascii="宋体" w:hAnsi="宋体" w:eastAsia="宋体" w:cs="宋体"/>
          <w:color w:val="auto"/>
          <w:szCs w:val="21"/>
          <w:highlight w:val="none"/>
          <w:u w:val="single"/>
        </w:rPr>
        <w:t xml:space="preserve">项下所有单项项目 </w:t>
      </w:r>
    </w:p>
    <w:p>
      <w:pPr>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2、承包项目实施地址：</w:t>
      </w:r>
      <w:r>
        <w:rPr>
          <w:rFonts w:hint="eastAsia" w:ascii="宋体" w:hAnsi="宋体" w:eastAsia="宋体" w:cs="宋体"/>
          <w:color w:val="auto"/>
          <w:szCs w:val="21"/>
          <w:highlight w:val="none"/>
          <w:u w:val="single"/>
        </w:rPr>
        <w:t xml:space="preserve"> 东莞市  </w:t>
      </w:r>
    </w:p>
    <w:p>
      <w:pPr>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3、承包项目主要内容：</w:t>
      </w:r>
      <w:r>
        <w:rPr>
          <w:rFonts w:hint="eastAsia" w:ascii="宋体" w:hAnsi="宋体" w:eastAsia="宋体" w:cs="宋体"/>
          <w:color w:val="auto"/>
          <w:szCs w:val="21"/>
          <w:highlight w:val="none"/>
          <w:u w:val="single"/>
        </w:rPr>
        <w:t>机电设备维修在库</w:t>
      </w:r>
      <w:r>
        <w:rPr>
          <w:rFonts w:hint="eastAsia" w:ascii="宋体" w:hAnsi="宋体" w:eastAsia="宋体" w:cs="宋体"/>
          <w:color w:val="auto"/>
          <w:szCs w:val="21"/>
          <w:highlight w:val="none"/>
          <w:u w:val="single"/>
          <w:lang w:val="zh-CN"/>
        </w:rPr>
        <w:t>供应商框架合同</w:t>
      </w:r>
      <w:r>
        <w:rPr>
          <w:rFonts w:hint="eastAsia" w:ascii="宋体" w:hAnsi="宋体" w:eastAsia="宋体" w:cs="宋体"/>
          <w:color w:val="auto"/>
          <w:szCs w:val="21"/>
          <w:highlight w:val="none"/>
          <w:u w:val="single"/>
        </w:rPr>
        <w:t xml:space="preserve">项下所有实施的单项项目内容为准  </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甲乙双方共同责任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必须共同遵守《中华人民共和国安全生产法》、《建设工程安全生产管理条例》、《工贸企业有限空间作业安全管理与监督暂行规定》、《生产安全事故报告和调查处理条例》等一系列有关安全生产的法律法规。</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第四条 甲方的责任、权利和义务</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1、甲方负责乙方在施工生产中总体的调度和协调工作，为乙方创造良好的外围施工作业环境。</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2、甲方有权依据国家安全生产政策、法规和各项安全技术操作规程对乙方安全生产进行监督、检查和管理，对违规、违章行为有权制止和要求立即整改。</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3、甲方有权对乙方所制定的安全方案和安全技术措施进行检查和督促落实，对无方案、无措施和措施落实不到位的有权停止施工，限期整改，并根据具体执行情况，甲方可按照</w:t>
      </w:r>
      <w:bookmarkStart w:id="23" w:name="_Hlk57389993"/>
      <w:r>
        <w:rPr>
          <w:rFonts w:hint="eastAsia" w:ascii="宋体" w:hAnsi="宋体" w:eastAsia="宋体" w:cs="宋体"/>
          <w:color w:val="auto"/>
          <w:szCs w:val="21"/>
          <w:highlight w:val="none"/>
        </w:rPr>
        <w:t>双方订立的与承包项目有关的所有合同和协议要求乙方承担违约责任</w:t>
      </w:r>
      <w:bookmarkEnd w:id="23"/>
      <w:r>
        <w:rPr>
          <w:rFonts w:hint="eastAsia" w:ascii="宋体" w:hAnsi="宋体" w:eastAsia="宋体" w:cs="宋体"/>
          <w:color w:val="auto"/>
          <w:szCs w:val="21"/>
          <w:highlight w:val="none"/>
        </w:rPr>
        <w:t>。</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在巡查、检查过程中对乙方在施工生产过程中存在的安全隐患，有权要求乙方按规定限期整改，对未及时完成整改或拒绝整改的，甲方可按承包合同条款或甲方有关规定对乙方进行违约经济处罚。因乙方原因造成生产安全事故的，由乙方负全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5、甲方对乙方建设运营实施的安全监督行为，属于甲方依自身管理需要的监管行为，其行为不构成责任主体行为，无需对该项目乙方发生的安全事故承担任何责任。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 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8、甲方有权对乙方从事特种作业人员的资格进行验证，禁止乙方未持有相应有效特种作业操作资格证件的人员从事特种作业。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9、甲方有权要求安全管理不到位、存在重大安全隐患或发生安全事故的承包方限期退场和终止承包合同。</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10、有义务对承包单位发生生产安全事故时提供协助救援服务。</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乙方的责任、权力和义务</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1、乙方所提供的承包工程要求的相关资质证明材料应真实、合法、有效。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2、乙方应认真贯彻执行国家安全生产政策、法规和行业安全规程、规定及甲方及其母公司制定的各项安全管理制度，自觉遵守本协议；有权请求甲方统一协调涉及双方的重大安全生产问题。</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3、乙方应建立安全生产保证体系及安全组织机构，配备专职安全生产管理人员对作业现场进行安全管理，建立健全本单位安全生产责任制、安全生产规章制度和各工种安全操作规程。</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在该项目建设及运营期间，应遵守甲方及其母公司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6、乙方人员从事特种作业的，必须要持有相应有效的特种作业操作资格证。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7、乙方必须依法参加工伤保险，为从业人员足额缴纳工伤保险费。为在高危行业岗位或从事危险作业的人员，办理人身意外伤害保险，支付保险费，并将保单复印件交给甲方备案。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9、乙方应做好现场作业人员的安全教育和安全技术交底工作，保证现场作业人员全部经安全知识教育培训合格，未经安全教育培训合格者不得组织进入甲方施工区域作业。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10、乙方须为现场作业人员配备配齐符合国家法律法规及行业标准要求的个人劳动防护用品，并督促教育其作业人员按要求正确穿戴和使用。</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11、乙方要定期组织对作业现场进行安全检查，对甲方检查后下达的安全隐患整改通知书，应立即组织落实完成整改，并及时书面回复给甲方。如甲方要求，乙方应当向甲方提交安全台账等资料。</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12、必须严格执行甲方及其母公司有关安全生产的制度、规定，服从甲方现场安全生产管理，对承包施工区域或作业活动的安全生产全面负责。</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自带机械设备、设施应符合国家现行有关安全标准，对自带机械设备、设施的安全性能和使用、维修全面负责。自用大型机械设备时，应在安装使用前向甲方备案。使用的特种设备应符合国家有关安全管理规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14、乙方有权拒绝甲方人员的违章指挥和提供的不安全的设施设备。</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人员必须在双方确认的范围内作业，不得超出施工或运营范围，超出承包范围出现人身损害或伤亡的，由乙方自行承担一切责任。乙方人员需动用甲方所属设备、电器、管道以及其他设施等，必须事先征得甲方的同意，并采取安全防护措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16、乙方发生生产安全事故时，乙方应当立即如实上报给甲方，同时应当采取有效措施防止事故和损失扩大，保护好事故现场，不得瞒报、谎报、迟报，并积极配合开展事故调查工作。</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17、因乙方责任造成甲方、乙方或第三方人员伤亡事故的，由乙方承担全部责任。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18、项目建设、运营期间，乙方应按省市有关规定做好本单位消防、治安、外来人口等管理工作。</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第六条 协议主要内容</w:t>
      </w:r>
    </w:p>
    <w:p>
      <w:pPr>
        <w:numPr>
          <w:ilvl w:val="0"/>
          <w:numId w:val="30"/>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乙方应严格执行并遵守甲方母公司的《危险作业安全管理制度》。</w:t>
      </w:r>
    </w:p>
    <w:p>
      <w:pPr>
        <w:numPr>
          <w:ilvl w:val="0"/>
          <w:numId w:val="30"/>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乙方人员禁止在甲方严禁烟火的生产范围内吸烟和使用明火。</w:t>
      </w:r>
    </w:p>
    <w:p>
      <w:pPr>
        <w:numPr>
          <w:ilvl w:val="0"/>
          <w:numId w:val="30"/>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乙方人员未经过甲方允许，不得擅自进入甲方生产场所的危险区域。</w:t>
      </w:r>
    </w:p>
    <w:p>
      <w:pPr>
        <w:numPr>
          <w:ilvl w:val="0"/>
          <w:numId w:val="30"/>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乙方不得弄虚作假，转借、假冒、伪造资质证明，否则发生的一切后果由乙方承担。</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人员在甲方有急性中毒或窒息的危险场所作业时，应严格落实有限空间作业“先通风、后检测、再进入”的制度，正确穿戴好隔离式呼吸器或防毒面具以及安全带、安全绳等防护用品，作业前应办理《有限空间作业许可证》和组织落实各项防护措施，并派专人监护。没有《有限空间作业许可证》，严禁擅自进行有限空间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禁戒区，并派专人监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8、乙方人员起吊安装大型设备，需按照国家有关法律法规要求，提前编制专项施工（安装）方案，严格按照审批后的方案进行吊装作业，并做好起吊现场的安全防护措施，设定危险禁戒区，派专人监护。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11、乙方在施工过程中使用危险化学品时，应远离热源、火源和电源，搬运或装卸时要轻拿轻放，严禁拖、拉、滚动，严禁使用易产生撞击火花的工具开启危险化学品。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12、乙方应保持施工作业现场的机具、材料摆放整齐有序，施工材料要按规定地点分类堆放，严禁乱扔乱堆，要做到工完料尽场地清，做到文明施工。</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13、未经甲方同意，乙方不得擅自使用与施工无关的甲方设备；不得私拉乱接甲方的水、电等管路、线路；不得擅自拆除、破坏甲方现场的安全防护设施及警示标识。</w:t>
      </w:r>
    </w:p>
    <w:p>
      <w:pPr>
        <w:spacing w:line="400" w:lineRule="exact"/>
        <w:ind w:left="239" w:leftChars="114"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14、乙方必须在施工维修或清淤封堵现场设置好封闭围挡、警示标牌、警示隔离、临边洞口防护等安全措施，并不定期进行检查维护，保证施工围挡、警示标志等防护措施完好有效。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15、乙方在施工过程中，因不遵守本《安全生产管理协议》、违章作业、违章指挥或未落实安全防护措施而发生的生产安全事故，一切责任由乙方负责，所发生的经济费用全部由乙方承担。</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协议补充</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甲乙双方根据法律、行政法规规定，结合作业现场实际，经协商一致，对本协议条款补充或修改约定如下：</w:t>
      </w:r>
    </w:p>
    <w:p>
      <w:pPr>
        <w:spacing w:line="40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第八条 其它事项</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1、乙方在与甲方签订本协议时，已经熟知本协议内容，并愿意严格遵守，如违反以上协议内容，愿意承担相应的法律责任及经济责任。 </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2、本协议与承包合同具有同等效力，期限与承包合同一致，如果承包合同期限有变动，本协议期限也随之变动，承包合同终止时，本协议也一同解除。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3、因履行本协议发生争议时，双方应本着友好态度，协商解决；协商不成时，双方一致同意提交甲方住所地有管辖权的人民法院诉讼解决。</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4、本协议自甲、乙双方法定代表人或授权委托人签字并加盖公章后生效，</w:t>
      </w:r>
      <w:r>
        <w:rPr>
          <w:rFonts w:ascii="Times New Roman" w:hAnsi="Times New Roman" w:eastAsia="宋体" w:cs="Times New Roman"/>
          <w:color w:val="auto"/>
          <w:szCs w:val="21"/>
          <w:highlight w:val="none"/>
        </w:rPr>
        <w:t>一式</w:t>
      </w:r>
      <w:r>
        <w:rPr>
          <w:rFonts w:ascii="Times New Roman" w:hAnsi="Times New Roman" w:eastAsia="宋体" w:cs="Times New Roman"/>
          <w:color w:val="auto"/>
          <w:szCs w:val="21"/>
          <w:highlight w:val="none"/>
          <w:u w:val="single"/>
        </w:rPr>
        <w:t>陆</w:t>
      </w:r>
      <w:r>
        <w:rPr>
          <w:rFonts w:ascii="Times New Roman" w:hAnsi="Times New Roman" w:eastAsia="宋体" w:cs="Times New Roman"/>
          <w:color w:val="auto"/>
          <w:szCs w:val="21"/>
          <w:highlight w:val="none"/>
        </w:rPr>
        <w:t>份，甲方执</w:t>
      </w:r>
      <w:r>
        <w:rPr>
          <w:rFonts w:ascii="Times New Roman" w:hAnsi="Times New Roman" w:eastAsia="宋体" w:cs="Times New Roman"/>
          <w:color w:val="auto"/>
          <w:szCs w:val="21"/>
          <w:highlight w:val="none"/>
          <w:u w:val="single"/>
        </w:rPr>
        <w:t>肆</w:t>
      </w:r>
      <w:r>
        <w:rPr>
          <w:rFonts w:ascii="Times New Roman" w:hAnsi="Times New Roman" w:eastAsia="宋体" w:cs="Times New Roman"/>
          <w:color w:val="auto"/>
          <w:szCs w:val="21"/>
          <w:highlight w:val="none"/>
        </w:rPr>
        <w:t>份，乙方执</w:t>
      </w:r>
      <w:r>
        <w:rPr>
          <w:rFonts w:ascii="Times New Roman" w:hAnsi="Times New Roman" w:eastAsia="宋体" w:cs="Times New Roman"/>
          <w:color w:val="auto"/>
          <w:szCs w:val="21"/>
          <w:highlight w:val="none"/>
          <w:u w:val="single"/>
        </w:rPr>
        <w:t>贰</w:t>
      </w:r>
      <w:r>
        <w:rPr>
          <w:rFonts w:ascii="Times New Roman" w:hAnsi="Times New Roman" w:eastAsia="宋体" w:cs="Times New Roman"/>
          <w:color w:val="auto"/>
          <w:szCs w:val="21"/>
          <w:highlight w:val="none"/>
        </w:rPr>
        <w:t>份。</w:t>
      </w:r>
    </w:p>
    <w:p>
      <w:pPr>
        <w:spacing w:line="400" w:lineRule="exact"/>
        <w:rPr>
          <w:rFonts w:ascii="宋体" w:hAnsi="宋体" w:eastAsia="宋体" w:cs="宋体"/>
          <w:color w:val="auto"/>
          <w:szCs w:val="21"/>
          <w:highlight w:val="none"/>
        </w:rPr>
      </w:pPr>
    </w:p>
    <w:p>
      <w:pPr>
        <w:pStyle w:val="2"/>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    （公章）                       乙方：      （公章）                        </w:t>
      </w: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法定代表人/授权委托人（签字）：           法定代表人/授权委托人（签字）：                         </w:t>
      </w: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pPr>
        <w:pStyle w:val="2"/>
        <w:spacing w:line="360" w:lineRule="auto"/>
        <w:rPr>
          <w:rFonts w:ascii="Times New Roman" w:hAnsi="Times New Roman" w:eastAsia="宋体" w:cs="Times New Roman"/>
          <w:color w:val="auto"/>
          <w:szCs w:val="21"/>
          <w:highlight w:val="none"/>
        </w:rPr>
      </w:pPr>
    </w:p>
    <w:p>
      <w:pPr>
        <w:pageBreakBefore/>
        <w:spacing w:line="360" w:lineRule="auto"/>
        <w:jc w:val="left"/>
        <w:rPr>
          <w:rFonts w:ascii="宋体" w:hAnsi="宋体" w:eastAsia="宋体" w:cs="宋体"/>
          <w:bCs/>
          <w:color w:val="auto"/>
          <w:sz w:val="22"/>
          <w:highlight w:val="none"/>
        </w:rPr>
      </w:pPr>
      <w:r>
        <w:rPr>
          <w:rFonts w:hint="eastAsia" w:ascii="宋体" w:hAnsi="宋体" w:eastAsia="宋体" w:cs="宋体"/>
          <w:bCs/>
          <w:color w:val="auto"/>
          <w:sz w:val="22"/>
          <w:highlight w:val="none"/>
        </w:rPr>
        <w:t>附件9：承诺书</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tabs>
          <w:tab w:val="left" w:pos="-720"/>
        </w:tabs>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我司根据《机电设备维修在库供应商框架合同》相关条款全力配合贵公司工作，并自愿做出如下承诺：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（三）如我司有违反本项目管理及合同约定等行为，我司同意依据相关约定对贵司进行赔偿；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p>
    <w:p>
      <w:pPr>
        <w:wordWrap w:val="0"/>
        <w:spacing w:line="360" w:lineRule="auto"/>
        <w:ind w:right="1800" w:firstLine="2835"/>
        <w:jc w:val="right"/>
        <w:rPr>
          <w:rFonts w:ascii="宋体" w:hAnsi="宋体" w:eastAsia="宋体" w:cs="宋体"/>
          <w:color w:val="auto"/>
          <w:w w:val="105"/>
          <w:szCs w:val="21"/>
          <w:highlight w:val="none"/>
        </w:rPr>
      </w:pPr>
      <w:r>
        <w:rPr>
          <w:rFonts w:hint="eastAsia" w:ascii="宋体" w:hAnsi="宋体" w:eastAsia="宋体" w:cs="宋体"/>
          <w:color w:val="auto"/>
          <w:szCs w:val="21"/>
          <w:highlight w:val="none"/>
        </w:rPr>
        <w:t xml:space="preserve">承诺单位（盖章）：   </w:t>
      </w:r>
    </w:p>
    <w:p>
      <w:pPr>
        <w:wordWrap w:val="0"/>
        <w:spacing w:line="360" w:lineRule="auto"/>
        <w:ind w:right="96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法人代表人（授权代理人）签名（或盖私章）：   </w:t>
      </w:r>
    </w:p>
    <w:p>
      <w:pPr>
        <w:spacing w:line="600" w:lineRule="exact"/>
        <w:ind w:firstLine="424" w:firstLineChars="202"/>
        <w:jc w:val="left"/>
        <w:rPr>
          <w:rFonts w:ascii="宋体" w:hAnsi="宋体" w:eastAsia="宋体" w:cs="宋体"/>
          <w:b/>
          <w:bCs/>
          <w:color w:val="auto"/>
          <w:sz w:val="24"/>
          <w:highlight w:val="none"/>
        </w:rPr>
      </w:pPr>
      <w:r>
        <w:rPr>
          <w:rFonts w:hint="eastAsia" w:ascii="宋体" w:hAnsi="宋体" w:eastAsia="宋体" w:cs="宋体"/>
          <w:color w:val="auto"/>
          <w:szCs w:val="21"/>
          <w:highlight w:val="none"/>
        </w:rPr>
        <w:t xml:space="preserve">                                                   年    月    日</w:t>
      </w:r>
    </w:p>
    <w:p>
      <w:pPr>
        <w:pStyle w:val="2"/>
        <w:rPr>
          <w:color w:val="auto"/>
          <w:highlight w:val="none"/>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auto"/>
    <w:pitch w:val="default"/>
    <w:sig w:usb0="00000287" w:usb1="00000000" w:usb2="00000000" w:usb3="00000000" w:csb0="0000009F" w:csb1="DFD7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ascii="Times New Roman" w:hAnsi="Times New Roman" w:cs="Times New Roman"/>
                              <w:sz w:val="20"/>
                              <w:szCs w:val="20"/>
                            </w:rPr>
                          </w:pPr>
                          <w:r>
                            <w:rPr>
                              <w:rFonts w:ascii="Times New Roman" w:hAnsi="Times New Roman" w:cs="Times New Roman"/>
                              <w:sz w:val="20"/>
                              <w:szCs w:val="20"/>
                            </w:rPr>
                            <w:t xml:space="preserve">第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页 共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 MERGEFORMAT </w:instrText>
                          </w:r>
                          <w:r>
                            <w:rPr>
                              <w:rFonts w:ascii="Times New Roman" w:hAnsi="Times New Roman" w:cs="Times New Roman"/>
                              <w:sz w:val="20"/>
                              <w:szCs w:val="20"/>
                            </w:rPr>
                            <w:fldChar w:fldCharType="separate"/>
                          </w:r>
                          <w:r>
                            <w:rPr>
                              <w:rFonts w:ascii="Times New Roman" w:hAnsi="Times New Roman" w:cs="Times New Roman"/>
                              <w:sz w:val="20"/>
                              <w:szCs w:val="20"/>
                            </w:rPr>
                            <w:t>82</w:t>
                          </w:r>
                          <w:r>
                            <w:rPr>
                              <w:rFonts w:ascii="Times New Roman" w:hAnsi="Times New Roman" w:cs="Times New Roman"/>
                              <w:sz w:val="20"/>
                              <w:szCs w:val="20"/>
                            </w:rPr>
                            <w:fldChar w:fldCharType="end"/>
                          </w:r>
                          <w:r>
                            <w:rPr>
                              <w:rFonts w:ascii="Times New Roman" w:hAnsi="Times New Roman" w:cs="Times New Roman"/>
                              <w:sz w:val="20"/>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0"/>
                      <w:rPr>
                        <w:rFonts w:ascii="Times New Roman" w:hAnsi="Times New Roman" w:cs="Times New Roman"/>
                        <w:sz w:val="20"/>
                        <w:szCs w:val="20"/>
                      </w:rPr>
                    </w:pPr>
                    <w:r>
                      <w:rPr>
                        <w:rFonts w:ascii="Times New Roman" w:hAnsi="Times New Roman" w:cs="Times New Roman"/>
                        <w:sz w:val="20"/>
                        <w:szCs w:val="20"/>
                      </w:rPr>
                      <w:t xml:space="preserve">第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页 共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 MERGEFORMAT </w:instrText>
                    </w:r>
                    <w:r>
                      <w:rPr>
                        <w:rFonts w:ascii="Times New Roman" w:hAnsi="Times New Roman" w:cs="Times New Roman"/>
                        <w:sz w:val="20"/>
                        <w:szCs w:val="20"/>
                      </w:rPr>
                      <w:fldChar w:fldCharType="separate"/>
                    </w:r>
                    <w:r>
                      <w:rPr>
                        <w:rFonts w:ascii="Times New Roman" w:hAnsi="Times New Roman" w:cs="Times New Roman"/>
                        <w:sz w:val="20"/>
                        <w:szCs w:val="20"/>
                      </w:rPr>
                      <w:t>82</w:t>
                    </w:r>
                    <w:r>
                      <w:rPr>
                        <w:rFonts w:ascii="Times New Roman" w:hAnsi="Times New Roman" w:cs="Times New Roman"/>
                        <w:sz w:val="20"/>
                        <w:szCs w:val="20"/>
                      </w:rPr>
                      <w:fldChar w:fldCharType="end"/>
                    </w:r>
                    <w:r>
                      <w:rPr>
                        <w:rFonts w:ascii="Times New Roman" w:hAnsi="Times New Roman" w:cs="Times New Roman"/>
                        <w:sz w:val="20"/>
                        <w:szCs w:val="20"/>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rPr>
        <w:rFonts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25EA7"/>
    <w:multiLevelType w:val="singleLevel"/>
    <w:tmpl w:val="82025EA7"/>
    <w:lvl w:ilvl="0" w:tentative="0">
      <w:start w:val="1"/>
      <w:numFmt w:val="chineseCounting"/>
      <w:suff w:val="nothing"/>
      <w:lvlText w:val="（%1）"/>
      <w:lvlJc w:val="left"/>
      <w:pPr>
        <w:ind w:left="0" w:firstLine="420"/>
      </w:pPr>
      <w:rPr>
        <w:rFonts w:hint="eastAsia"/>
      </w:rPr>
    </w:lvl>
  </w:abstractNum>
  <w:abstractNum w:abstractNumId="1">
    <w:nsid w:val="83DB4B9E"/>
    <w:multiLevelType w:val="singleLevel"/>
    <w:tmpl w:val="83DB4B9E"/>
    <w:lvl w:ilvl="0" w:tentative="0">
      <w:start w:val="1"/>
      <w:numFmt w:val="chineseCounting"/>
      <w:suff w:val="nothing"/>
      <w:lvlText w:val="（%1）"/>
      <w:lvlJc w:val="left"/>
      <w:pPr>
        <w:ind w:left="0" w:firstLine="420"/>
      </w:pPr>
      <w:rPr>
        <w:rFonts w:hint="eastAsia"/>
      </w:rPr>
    </w:lvl>
  </w:abstractNum>
  <w:abstractNum w:abstractNumId="2">
    <w:nsid w:val="8C86A441"/>
    <w:multiLevelType w:val="singleLevel"/>
    <w:tmpl w:val="8C86A441"/>
    <w:lvl w:ilvl="0" w:tentative="0">
      <w:start w:val="1"/>
      <w:numFmt w:val="decimal"/>
      <w:suff w:val="nothing"/>
      <w:lvlText w:val="%1．"/>
      <w:lvlJc w:val="left"/>
      <w:pPr>
        <w:ind w:left="0" w:firstLine="400"/>
      </w:pPr>
      <w:rPr>
        <w:rFonts w:hint="default"/>
      </w:rPr>
    </w:lvl>
  </w:abstractNum>
  <w:abstractNum w:abstractNumId="3">
    <w:nsid w:val="982BD46A"/>
    <w:multiLevelType w:val="singleLevel"/>
    <w:tmpl w:val="982BD46A"/>
    <w:lvl w:ilvl="0" w:tentative="0">
      <w:start w:val="1"/>
      <w:numFmt w:val="decimal"/>
      <w:suff w:val="nothing"/>
      <w:lvlText w:val="%1．"/>
      <w:lvlJc w:val="left"/>
      <w:pPr>
        <w:ind w:left="0" w:firstLine="400"/>
      </w:pPr>
      <w:rPr>
        <w:rFonts w:hint="default"/>
      </w:rPr>
    </w:lvl>
  </w:abstractNum>
  <w:abstractNum w:abstractNumId="4">
    <w:nsid w:val="B4A74142"/>
    <w:multiLevelType w:val="singleLevel"/>
    <w:tmpl w:val="B4A74142"/>
    <w:lvl w:ilvl="0" w:tentative="0">
      <w:start w:val="1"/>
      <w:numFmt w:val="chineseCounting"/>
      <w:suff w:val="nothing"/>
      <w:lvlText w:val="（%1）"/>
      <w:lvlJc w:val="left"/>
      <w:rPr>
        <w:rFonts w:hint="eastAsia"/>
      </w:rPr>
    </w:lvl>
  </w:abstractNum>
  <w:abstractNum w:abstractNumId="5">
    <w:nsid w:val="C053E9AE"/>
    <w:multiLevelType w:val="singleLevel"/>
    <w:tmpl w:val="C053E9AE"/>
    <w:lvl w:ilvl="0" w:tentative="0">
      <w:start w:val="1"/>
      <w:numFmt w:val="decimal"/>
      <w:suff w:val="nothing"/>
      <w:lvlText w:val="%1．"/>
      <w:lvlJc w:val="left"/>
      <w:pPr>
        <w:ind w:left="0" w:firstLine="400"/>
      </w:pPr>
      <w:rPr>
        <w:rFonts w:hint="default"/>
      </w:rPr>
    </w:lvl>
  </w:abstractNum>
  <w:abstractNum w:abstractNumId="6">
    <w:nsid w:val="C22717C1"/>
    <w:multiLevelType w:val="singleLevel"/>
    <w:tmpl w:val="C22717C1"/>
    <w:lvl w:ilvl="0" w:tentative="0">
      <w:start w:val="1"/>
      <w:numFmt w:val="decimal"/>
      <w:suff w:val="nothing"/>
      <w:lvlText w:val="%1、"/>
      <w:lvlJc w:val="left"/>
    </w:lvl>
  </w:abstractNum>
  <w:abstractNum w:abstractNumId="7">
    <w:nsid w:val="D64F51E2"/>
    <w:multiLevelType w:val="singleLevel"/>
    <w:tmpl w:val="D64F51E2"/>
    <w:lvl w:ilvl="0" w:tentative="0">
      <w:start w:val="1"/>
      <w:numFmt w:val="decimal"/>
      <w:suff w:val="nothing"/>
      <w:lvlText w:val="%1．"/>
      <w:lvlJc w:val="left"/>
      <w:pPr>
        <w:ind w:left="0" w:firstLine="400"/>
      </w:pPr>
      <w:rPr>
        <w:rFonts w:hint="default"/>
      </w:rPr>
    </w:lvl>
  </w:abstractNum>
  <w:abstractNum w:abstractNumId="8">
    <w:nsid w:val="DFD594B8"/>
    <w:multiLevelType w:val="singleLevel"/>
    <w:tmpl w:val="DFD594B8"/>
    <w:lvl w:ilvl="0" w:tentative="0">
      <w:start w:val="1"/>
      <w:numFmt w:val="decimal"/>
      <w:suff w:val="nothing"/>
      <w:lvlText w:val="%1．"/>
      <w:lvlJc w:val="left"/>
      <w:pPr>
        <w:ind w:left="0" w:firstLine="400"/>
      </w:pPr>
      <w:rPr>
        <w:rFonts w:hint="default"/>
      </w:rPr>
    </w:lvl>
  </w:abstractNum>
  <w:abstractNum w:abstractNumId="9">
    <w:nsid w:val="F3E76669"/>
    <w:multiLevelType w:val="singleLevel"/>
    <w:tmpl w:val="F3E76669"/>
    <w:lvl w:ilvl="0" w:tentative="0">
      <w:start w:val="1"/>
      <w:numFmt w:val="chineseCounting"/>
      <w:suff w:val="nothing"/>
      <w:lvlText w:val="（%1）"/>
      <w:lvlJc w:val="left"/>
      <w:rPr>
        <w:rFonts w:hint="eastAsia"/>
      </w:rPr>
    </w:lvl>
  </w:abstractNum>
  <w:abstractNum w:abstractNumId="1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104"/>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3743818"/>
    <w:multiLevelType w:val="multilevel"/>
    <w:tmpl w:val="03743818"/>
    <w:lvl w:ilvl="0" w:tentative="0">
      <w:start w:val="1"/>
      <w:numFmt w:val="decimal"/>
      <w:pStyle w:val="108"/>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46F4175"/>
    <w:multiLevelType w:val="singleLevel"/>
    <w:tmpl w:val="046F4175"/>
    <w:lvl w:ilvl="0" w:tentative="0">
      <w:start w:val="1"/>
      <w:numFmt w:val="decimal"/>
      <w:suff w:val="nothing"/>
      <w:lvlText w:val="%1．"/>
      <w:lvlJc w:val="left"/>
      <w:pPr>
        <w:ind w:left="0" w:firstLine="400"/>
      </w:pPr>
      <w:rPr>
        <w:rFonts w:hint="default"/>
      </w:rPr>
    </w:lvl>
  </w:abstractNum>
  <w:abstractNum w:abstractNumId="13">
    <w:nsid w:val="0DB0422D"/>
    <w:multiLevelType w:val="multilevel"/>
    <w:tmpl w:val="0DB0422D"/>
    <w:lvl w:ilvl="0" w:tentative="0">
      <w:start w:val="4"/>
      <w:numFmt w:val="decimal"/>
      <w:suff w:val="nothing"/>
      <w:lvlText w:val="第%1章"/>
      <w:lvlJc w:val="left"/>
      <w:pPr>
        <w:ind w:left="0" w:firstLine="0"/>
      </w:pPr>
      <w:rPr>
        <w:rFonts w:hint="eastAsia"/>
      </w:rPr>
    </w:lvl>
    <w:lvl w:ilvl="1" w:tentative="0">
      <w:start w:val="1"/>
      <w:numFmt w:val="none"/>
      <w:pStyle w:val="87"/>
      <w:suff w:val="nothing"/>
      <w:lvlText w:val=""/>
      <w:lvlJc w:val="left"/>
      <w:pPr>
        <w:ind w:left="0" w:firstLine="0"/>
      </w:pPr>
      <w:rPr>
        <w:rFonts w:hint="eastAsia"/>
      </w:rPr>
    </w:lvl>
    <w:lvl w:ilvl="2" w:tentative="0">
      <w:start w:val="1"/>
      <w:numFmt w:val="decimal"/>
      <w:suff w:val="nothing"/>
      <w:lvlText w:val="1.%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107CB2C3"/>
    <w:multiLevelType w:val="singleLevel"/>
    <w:tmpl w:val="107CB2C3"/>
    <w:lvl w:ilvl="0" w:tentative="0">
      <w:start w:val="1"/>
      <w:numFmt w:val="decimal"/>
      <w:suff w:val="nothing"/>
      <w:lvlText w:val="%1．"/>
      <w:lvlJc w:val="left"/>
      <w:pPr>
        <w:ind w:left="0" w:firstLine="400"/>
      </w:pPr>
      <w:rPr>
        <w:rFonts w:hint="default"/>
      </w:rPr>
    </w:lvl>
  </w:abstractNum>
  <w:abstractNum w:abstractNumId="15">
    <w:nsid w:val="11800870"/>
    <w:multiLevelType w:val="multilevel"/>
    <w:tmpl w:val="11800870"/>
    <w:lvl w:ilvl="0" w:tentative="0">
      <w:start w:val="1"/>
      <w:numFmt w:val="decimal"/>
      <w:pStyle w:val="14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14802286"/>
    <w:multiLevelType w:val="multilevel"/>
    <w:tmpl w:val="14802286"/>
    <w:lvl w:ilvl="0" w:tentative="0">
      <w:start w:val="1"/>
      <w:numFmt w:val="decimalEnclosedCircle"/>
      <w:pStyle w:val="103"/>
      <w:lvlText w:val="%1"/>
      <w:lvlJc w:val="left"/>
      <w:pPr>
        <w:ind w:left="644" w:hanging="360"/>
      </w:pPr>
      <w:rPr>
        <w:rFonts w:hint="default"/>
        <w:color w:val="000000"/>
        <w:lang w:val="en-US"/>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17">
    <w:nsid w:val="1F451539"/>
    <w:multiLevelType w:val="singleLevel"/>
    <w:tmpl w:val="1F451539"/>
    <w:lvl w:ilvl="0" w:tentative="0">
      <w:start w:val="1"/>
      <w:numFmt w:val="chineseCounting"/>
      <w:suff w:val="space"/>
      <w:lvlText w:val="第%1章"/>
      <w:lvlJc w:val="left"/>
      <w:rPr>
        <w:rFonts w:hint="eastAsia"/>
      </w:rPr>
    </w:lvl>
  </w:abstractNum>
  <w:abstractNum w:abstractNumId="18">
    <w:nsid w:val="240188B8"/>
    <w:multiLevelType w:val="singleLevel"/>
    <w:tmpl w:val="240188B8"/>
    <w:lvl w:ilvl="0" w:tentative="0">
      <w:start w:val="1"/>
      <w:numFmt w:val="chineseCounting"/>
      <w:suff w:val="space"/>
      <w:lvlText w:val="第%1条"/>
      <w:lvlJc w:val="left"/>
      <w:rPr>
        <w:rFonts w:hint="eastAsia"/>
      </w:rPr>
    </w:lvl>
  </w:abstractNum>
  <w:abstractNum w:abstractNumId="19">
    <w:nsid w:val="253E73FB"/>
    <w:multiLevelType w:val="multilevel"/>
    <w:tmpl w:val="253E73FB"/>
    <w:lvl w:ilvl="0" w:tentative="0">
      <w:start w:val="1"/>
      <w:numFmt w:val="decimal"/>
      <w:pStyle w:val="100"/>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pStyle w:val="131"/>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pStyle w:val="139"/>
      <w:lvlText w:val="%1.%2.%3"/>
      <w:lvlJc w:val="left"/>
      <w:pPr>
        <w:tabs>
          <w:tab w:val="left" w:pos="1055"/>
        </w:tabs>
        <w:ind w:left="1055" w:hanging="833"/>
      </w:pPr>
      <w:rPr>
        <w:rFonts w:hint="default" w:ascii="Times New Roman" w:hAnsi="Times New Roman" w:eastAsia="宋体"/>
        <w:b/>
        <w:i w:val="0"/>
        <w:sz w:val="24"/>
        <w:szCs w:val="24"/>
      </w:rPr>
    </w:lvl>
    <w:lvl w:ilvl="3" w:tentative="0">
      <w:start w:val="1"/>
      <w:numFmt w:val="decimal"/>
      <w:pStyle w:val="78"/>
      <w:lvlText w:val="%1.%2.%3.%4"/>
      <w:lvlJc w:val="left"/>
      <w:pPr>
        <w:tabs>
          <w:tab w:val="left" w:pos="338"/>
        </w:tabs>
        <w:ind w:left="338" w:firstLine="0"/>
      </w:pPr>
      <w:rPr>
        <w:rFonts w:hint="default" w:ascii="Times New Roman" w:hAnsi="Times New Roman" w:eastAsia="宋体"/>
        <w:sz w:val="24"/>
        <w:szCs w:val="24"/>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abstractNum w:abstractNumId="20">
    <w:nsid w:val="2A1CB04A"/>
    <w:multiLevelType w:val="singleLevel"/>
    <w:tmpl w:val="2A1CB04A"/>
    <w:lvl w:ilvl="0" w:tentative="0">
      <w:start w:val="1"/>
      <w:numFmt w:val="chineseCounting"/>
      <w:suff w:val="space"/>
      <w:lvlText w:val="第%1条"/>
      <w:lvlJc w:val="left"/>
      <w:pPr>
        <w:tabs>
          <w:tab w:val="left" w:pos="0"/>
        </w:tabs>
        <w:ind w:left="420"/>
      </w:pPr>
      <w:rPr>
        <w:rFonts w:hint="eastAsia" w:ascii="黑体" w:hAnsi="黑体" w:eastAsia="黑体"/>
        <w:b w:val="0"/>
        <w:lang w:val="en-US"/>
      </w:rPr>
    </w:lvl>
  </w:abstractNum>
  <w:abstractNum w:abstractNumId="21">
    <w:nsid w:val="2BA649DD"/>
    <w:multiLevelType w:val="multilevel"/>
    <w:tmpl w:val="2BA649DD"/>
    <w:lvl w:ilvl="0" w:tentative="0">
      <w:start w:val="1"/>
      <w:numFmt w:val="decimal"/>
      <w:lvlText w:val="%1."/>
      <w:lvlJc w:val="left"/>
      <w:pPr>
        <w:tabs>
          <w:tab w:val="left" w:pos="907"/>
        </w:tabs>
        <w:ind w:firstLine="454"/>
      </w:pPr>
      <w:rPr>
        <w:rFonts w:hint="default" w:cs="Times New Roman"/>
      </w:rPr>
    </w:lvl>
    <w:lvl w:ilvl="1" w:tentative="0">
      <w:start w:val="1"/>
      <w:numFmt w:val="decimal"/>
      <w:pStyle w:val="294"/>
      <w:lvlText w:val="%1.%2."/>
      <w:lvlJc w:val="left"/>
      <w:pPr>
        <w:tabs>
          <w:tab w:val="left" w:pos="1021"/>
        </w:tabs>
        <w:ind w:firstLine="454"/>
      </w:pPr>
      <w:rPr>
        <w:rFonts w:hint="eastAsia" w:cs="Times New Roman"/>
        <w:b w:val="0"/>
        <w:color w:val="auto"/>
        <w:sz w:val="28"/>
        <w:szCs w:val="28"/>
      </w:rPr>
    </w:lvl>
    <w:lvl w:ilvl="2" w:tentative="0">
      <w:start w:val="1"/>
      <w:numFmt w:val="decimal"/>
      <w:isLgl/>
      <w:lvlText w:val="%1.%2.%3"/>
      <w:lvlJc w:val="left"/>
      <w:pPr>
        <w:tabs>
          <w:tab w:val="left" w:pos="1247"/>
        </w:tabs>
        <w:ind w:firstLine="454"/>
      </w:pPr>
      <w:rPr>
        <w:rFonts w:hint="eastAsia" w:cs="Times New Roman"/>
      </w:rPr>
    </w:lvl>
    <w:lvl w:ilvl="3" w:tentative="0">
      <w:start w:val="1"/>
      <w:numFmt w:val="decimal"/>
      <w:isLgl/>
      <w:lvlText w:val="（%4）"/>
      <w:lvlJc w:val="left"/>
      <w:pPr>
        <w:tabs>
          <w:tab w:val="left" w:pos="907"/>
        </w:tabs>
        <w:ind w:firstLine="454"/>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2">
    <w:nsid w:val="2D0FFCC7"/>
    <w:multiLevelType w:val="singleLevel"/>
    <w:tmpl w:val="2D0FFCC7"/>
    <w:lvl w:ilvl="0" w:tentative="0">
      <w:start w:val="12"/>
      <w:numFmt w:val="chineseCounting"/>
      <w:suff w:val="space"/>
      <w:lvlText w:val="第%1条"/>
      <w:lvlJc w:val="left"/>
      <w:rPr>
        <w:rFonts w:hint="eastAsia" w:ascii="黑体" w:hAnsi="黑体" w:eastAsia="黑体" w:cs="黑体"/>
      </w:rPr>
    </w:lvl>
  </w:abstractNum>
  <w:abstractNum w:abstractNumId="23">
    <w:nsid w:val="2DF680A9"/>
    <w:multiLevelType w:val="singleLevel"/>
    <w:tmpl w:val="2DF680A9"/>
    <w:lvl w:ilvl="0" w:tentative="0">
      <w:start w:val="1"/>
      <w:numFmt w:val="decimal"/>
      <w:suff w:val="nothing"/>
      <w:lvlText w:val="%1．"/>
      <w:lvlJc w:val="left"/>
      <w:pPr>
        <w:ind w:left="0" w:firstLine="400"/>
      </w:pPr>
      <w:rPr>
        <w:rFonts w:hint="default"/>
      </w:rPr>
    </w:lvl>
  </w:abstractNum>
  <w:abstractNum w:abstractNumId="24">
    <w:nsid w:val="2F8D6FBB"/>
    <w:multiLevelType w:val="multilevel"/>
    <w:tmpl w:val="2F8D6FBB"/>
    <w:lvl w:ilvl="0" w:tentative="0">
      <w:start w:val="1"/>
      <w:numFmt w:val="decimal"/>
      <w:pStyle w:val="119"/>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5">
    <w:nsid w:val="51A6509E"/>
    <w:multiLevelType w:val="singleLevel"/>
    <w:tmpl w:val="51A6509E"/>
    <w:lvl w:ilvl="0" w:tentative="0">
      <w:start w:val="1"/>
      <w:numFmt w:val="decimal"/>
      <w:suff w:val="nothing"/>
      <w:lvlText w:val="%1、"/>
      <w:lvlJc w:val="left"/>
    </w:lvl>
  </w:abstractNum>
  <w:abstractNum w:abstractNumId="26">
    <w:nsid w:val="5B91DCBD"/>
    <w:multiLevelType w:val="singleLevel"/>
    <w:tmpl w:val="5B91DCBD"/>
    <w:lvl w:ilvl="0" w:tentative="0">
      <w:start w:val="2"/>
      <w:numFmt w:val="decimal"/>
      <w:suff w:val="nothing"/>
      <w:lvlText w:val="%1．"/>
      <w:lvlJc w:val="left"/>
    </w:lvl>
  </w:abstractNum>
  <w:abstractNum w:abstractNumId="27">
    <w:nsid w:val="694D5113"/>
    <w:multiLevelType w:val="singleLevel"/>
    <w:tmpl w:val="694D5113"/>
    <w:lvl w:ilvl="0" w:tentative="0">
      <w:start w:val="1"/>
      <w:numFmt w:val="decimal"/>
      <w:suff w:val="nothing"/>
      <w:lvlText w:val="%1．"/>
      <w:lvlJc w:val="left"/>
      <w:pPr>
        <w:ind w:left="0" w:firstLine="400"/>
      </w:pPr>
      <w:rPr>
        <w:rFonts w:hint="default"/>
      </w:rPr>
    </w:lvl>
  </w:abstractNum>
  <w:abstractNum w:abstractNumId="28">
    <w:nsid w:val="7AD87648"/>
    <w:multiLevelType w:val="multilevel"/>
    <w:tmpl w:val="7AD87648"/>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chineseCountingThousand"/>
      <w:pStyle w:val="97"/>
      <w:lvlText w:val="第%3部分"/>
      <w:lvlJc w:val="left"/>
      <w:pPr>
        <w:tabs>
          <w:tab w:val="left" w:pos="3300"/>
        </w:tabs>
        <w:ind w:left="3300" w:hanging="360"/>
      </w:pPr>
      <w:rPr>
        <w:rFonts w:hint="eastAsia" w:eastAsia="宋体"/>
        <w:b/>
        <w:i w:val="0"/>
        <w:sz w:val="3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E8B76FF"/>
    <w:multiLevelType w:val="multilevel"/>
    <w:tmpl w:val="7E8B76FF"/>
    <w:lvl w:ilvl="0" w:tentative="0">
      <w:start w:val="1"/>
      <w:numFmt w:val="decimal"/>
      <w:pStyle w:val="114"/>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3"/>
      <w:numFmt w:val="decimal"/>
      <w:lvlText w:val="%5"/>
      <w:lvlJc w:val="left"/>
      <w:pPr>
        <w:ind w:left="2040" w:hanging="360"/>
      </w:pPr>
      <w:rPr>
        <w:rFonts w:hint="default"/>
      </w:rPr>
    </w:lvl>
    <w:lvl w:ilvl="5" w:tentative="0">
      <w:start w:val="1"/>
      <w:numFmt w:val="decimalEnclosedCircle"/>
      <w:lvlText w:val="%6"/>
      <w:lvlJc w:val="left"/>
      <w:pPr>
        <w:ind w:left="2460" w:hanging="360"/>
      </w:pPr>
      <w:rPr>
        <w:rFonts w:hint="default"/>
        <w:color w:val="auto"/>
        <w:sz w:val="21"/>
        <w:szCs w:val="21"/>
      </w:rPr>
    </w:lvl>
    <w:lvl w:ilvl="6" w:tentative="0">
      <w:start w:val="4"/>
      <w:numFmt w:val="japaneseCounting"/>
      <w:lvlText w:val="（%7）"/>
      <w:lvlJc w:val="left"/>
      <w:pPr>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13"/>
  </w:num>
  <w:num w:numId="3">
    <w:abstractNumId w:val="28"/>
  </w:num>
  <w:num w:numId="4">
    <w:abstractNumId w:val="16"/>
  </w:num>
  <w:num w:numId="5">
    <w:abstractNumId w:val="10"/>
  </w:num>
  <w:num w:numId="6">
    <w:abstractNumId w:val="11"/>
  </w:num>
  <w:num w:numId="7">
    <w:abstractNumId w:val="29"/>
  </w:num>
  <w:num w:numId="8">
    <w:abstractNumId w:val="24"/>
  </w:num>
  <w:num w:numId="9">
    <w:abstractNumId w:val="15"/>
  </w:num>
  <w:num w:numId="10">
    <w:abstractNumId w:val="21"/>
  </w:num>
  <w:num w:numId="11">
    <w:abstractNumId w:val="17"/>
  </w:num>
  <w:num w:numId="12">
    <w:abstractNumId w:val="20"/>
  </w:num>
  <w:num w:numId="13">
    <w:abstractNumId w:val="9"/>
  </w:num>
  <w:num w:numId="14">
    <w:abstractNumId w:val="22"/>
  </w:num>
  <w:num w:numId="15">
    <w:abstractNumId w:val="4"/>
  </w:num>
  <w:num w:numId="16">
    <w:abstractNumId w:val="26"/>
  </w:num>
  <w:num w:numId="17">
    <w:abstractNumId w:val="0"/>
  </w:num>
  <w:num w:numId="18">
    <w:abstractNumId w:val="23"/>
  </w:num>
  <w:num w:numId="19">
    <w:abstractNumId w:val="8"/>
  </w:num>
  <w:num w:numId="20">
    <w:abstractNumId w:val="2"/>
  </w:num>
  <w:num w:numId="21">
    <w:abstractNumId w:val="14"/>
  </w:num>
  <w:num w:numId="22">
    <w:abstractNumId w:val="27"/>
  </w:num>
  <w:num w:numId="23">
    <w:abstractNumId w:val="3"/>
  </w:num>
  <w:num w:numId="24">
    <w:abstractNumId w:val="12"/>
  </w:num>
  <w:num w:numId="25">
    <w:abstractNumId w:val="5"/>
  </w:num>
  <w:num w:numId="26">
    <w:abstractNumId w:val="7"/>
  </w:num>
  <w:num w:numId="27">
    <w:abstractNumId w:val="1"/>
  </w:num>
  <w:num w:numId="28">
    <w:abstractNumId w:val="25"/>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8E"/>
    <w:rsid w:val="00000140"/>
    <w:rsid w:val="00000430"/>
    <w:rsid w:val="00000487"/>
    <w:rsid w:val="00000F5C"/>
    <w:rsid w:val="00001B28"/>
    <w:rsid w:val="000026E6"/>
    <w:rsid w:val="00003410"/>
    <w:rsid w:val="00003D5A"/>
    <w:rsid w:val="00004CA6"/>
    <w:rsid w:val="000057E8"/>
    <w:rsid w:val="00005BBF"/>
    <w:rsid w:val="00006869"/>
    <w:rsid w:val="00006927"/>
    <w:rsid w:val="00006F98"/>
    <w:rsid w:val="00007029"/>
    <w:rsid w:val="0000718B"/>
    <w:rsid w:val="000071BB"/>
    <w:rsid w:val="00007F74"/>
    <w:rsid w:val="00010157"/>
    <w:rsid w:val="00010B87"/>
    <w:rsid w:val="000112C8"/>
    <w:rsid w:val="00012060"/>
    <w:rsid w:val="00012714"/>
    <w:rsid w:val="00012DD3"/>
    <w:rsid w:val="00013065"/>
    <w:rsid w:val="00013253"/>
    <w:rsid w:val="0001383C"/>
    <w:rsid w:val="00013A94"/>
    <w:rsid w:val="00014037"/>
    <w:rsid w:val="00015429"/>
    <w:rsid w:val="0001583A"/>
    <w:rsid w:val="000168E8"/>
    <w:rsid w:val="000170FE"/>
    <w:rsid w:val="00017D2B"/>
    <w:rsid w:val="0002013C"/>
    <w:rsid w:val="000203EA"/>
    <w:rsid w:val="000205BD"/>
    <w:rsid w:val="00021408"/>
    <w:rsid w:val="0002154E"/>
    <w:rsid w:val="00022795"/>
    <w:rsid w:val="00022A32"/>
    <w:rsid w:val="00022D31"/>
    <w:rsid w:val="00022EF9"/>
    <w:rsid w:val="00023544"/>
    <w:rsid w:val="00023A26"/>
    <w:rsid w:val="00024536"/>
    <w:rsid w:val="00025B46"/>
    <w:rsid w:val="0002604B"/>
    <w:rsid w:val="00026A89"/>
    <w:rsid w:val="00027755"/>
    <w:rsid w:val="000278B4"/>
    <w:rsid w:val="00027B3D"/>
    <w:rsid w:val="00030478"/>
    <w:rsid w:val="0003103E"/>
    <w:rsid w:val="00031321"/>
    <w:rsid w:val="00031933"/>
    <w:rsid w:val="000323E5"/>
    <w:rsid w:val="000325C4"/>
    <w:rsid w:val="00032BC2"/>
    <w:rsid w:val="00034901"/>
    <w:rsid w:val="00034BF6"/>
    <w:rsid w:val="00034D21"/>
    <w:rsid w:val="000368AA"/>
    <w:rsid w:val="000371D0"/>
    <w:rsid w:val="000379C2"/>
    <w:rsid w:val="00037BD8"/>
    <w:rsid w:val="00037BE0"/>
    <w:rsid w:val="00037EBB"/>
    <w:rsid w:val="0004096A"/>
    <w:rsid w:val="0004187E"/>
    <w:rsid w:val="000435FA"/>
    <w:rsid w:val="00043736"/>
    <w:rsid w:val="0004469E"/>
    <w:rsid w:val="00044804"/>
    <w:rsid w:val="000448A7"/>
    <w:rsid w:val="000448AA"/>
    <w:rsid w:val="00044A1D"/>
    <w:rsid w:val="00044B14"/>
    <w:rsid w:val="000453B5"/>
    <w:rsid w:val="000464B3"/>
    <w:rsid w:val="00046790"/>
    <w:rsid w:val="00046AC3"/>
    <w:rsid w:val="00047107"/>
    <w:rsid w:val="000473BB"/>
    <w:rsid w:val="00050E0F"/>
    <w:rsid w:val="00051211"/>
    <w:rsid w:val="000515F9"/>
    <w:rsid w:val="00051D6E"/>
    <w:rsid w:val="00051F7A"/>
    <w:rsid w:val="00052034"/>
    <w:rsid w:val="0005213F"/>
    <w:rsid w:val="00052255"/>
    <w:rsid w:val="00052866"/>
    <w:rsid w:val="00052BE7"/>
    <w:rsid w:val="00052DFE"/>
    <w:rsid w:val="00053870"/>
    <w:rsid w:val="00053D75"/>
    <w:rsid w:val="0005487C"/>
    <w:rsid w:val="00054C08"/>
    <w:rsid w:val="000558F3"/>
    <w:rsid w:val="000565F8"/>
    <w:rsid w:val="000568C5"/>
    <w:rsid w:val="00056C99"/>
    <w:rsid w:val="00056FB7"/>
    <w:rsid w:val="00057536"/>
    <w:rsid w:val="0006021C"/>
    <w:rsid w:val="00061555"/>
    <w:rsid w:val="00061678"/>
    <w:rsid w:val="000633B0"/>
    <w:rsid w:val="00063581"/>
    <w:rsid w:val="0006438D"/>
    <w:rsid w:val="00064C06"/>
    <w:rsid w:val="0006524B"/>
    <w:rsid w:val="00065553"/>
    <w:rsid w:val="00067D81"/>
    <w:rsid w:val="00070090"/>
    <w:rsid w:val="000702A6"/>
    <w:rsid w:val="000708D7"/>
    <w:rsid w:val="000709E1"/>
    <w:rsid w:val="00070F5C"/>
    <w:rsid w:val="00071226"/>
    <w:rsid w:val="000723A5"/>
    <w:rsid w:val="0007251D"/>
    <w:rsid w:val="00072F51"/>
    <w:rsid w:val="00073020"/>
    <w:rsid w:val="000731EC"/>
    <w:rsid w:val="00074D65"/>
    <w:rsid w:val="00074EC3"/>
    <w:rsid w:val="000754A2"/>
    <w:rsid w:val="00075791"/>
    <w:rsid w:val="000764F1"/>
    <w:rsid w:val="000769A6"/>
    <w:rsid w:val="00077ECF"/>
    <w:rsid w:val="00077EE6"/>
    <w:rsid w:val="00077FED"/>
    <w:rsid w:val="00080299"/>
    <w:rsid w:val="000805DB"/>
    <w:rsid w:val="0008098F"/>
    <w:rsid w:val="00080CC4"/>
    <w:rsid w:val="000829B6"/>
    <w:rsid w:val="00082ABE"/>
    <w:rsid w:val="00082D6D"/>
    <w:rsid w:val="00082DAD"/>
    <w:rsid w:val="0008334F"/>
    <w:rsid w:val="000836B9"/>
    <w:rsid w:val="000839D1"/>
    <w:rsid w:val="000839F2"/>
    <w:rsid w:val="0008430D"/>
    <w:rsid w:val="0008440E"/>
    <w:rsid w:val="00084857"/>
    <w:rsid w:val="00084AA2"/>
    <w:rsid w:val="00084AC7"/>
    <w:rsid w:val="00084D3C"/>
    <w:rsid w:val="00084FD5"/>
    <w:rsid w:val="00085107"/>
    <w:rsid w:val="0008534F"/>
    <w:rsid w:val="00085C86"/>
    <w:rsid w:val="0008615C"/>
    <w:rsid w:val="000902ED"/>
    <w:rsid w:val="000903D4"/>
    <w:rsid w:val="000913BB"/>
    <w:rsid w:val="000927D6"/>
    <w:rsid w:val="0009354A"/>
    <w:rsid w:val="00093F9F"/>
    <w:rsid w:val="00094FB9"/>
    <w:rsid w:val="0009506B"/>
    <w:rsid w:val="00096EF8"/>
    <w:rsid w:val="00096FF4"/>
    <w:rsid w:val="000972EF"/>
    <w:rsid w:val="000979E7"/>
    <w:rsid w:val="000A15E5"/>
    <w:rsid w:val="000A28FC"/>
    <w:rsid w:val="000A2ABB"/>
    <w:rsid w:val="000A32CE"/>
    <w:rsid w:val="000A3DA5"/>
    <w:rsid w:val="000A3EF8"/>
    <w:rsid w:val="000A5630"/>
    <w:rsid w:val="000A5661"/>
    <w:rsid w:val="000A581F"/>
    <w:rsid w:val="000A5BE3"/>
    <w:rsid w:val="000A5D9C"/>
    <w:rsid w:val="000A5EA8"/>
    <w:rsid w:val="000B0371"/>
    <w:rsid w:val="000B06D5"/>
    <w:rsid w:val="000B128C"/>
    <w:rsid w:val="000B1303"/>
    <w:rsid w:val="000B1310"/>
    <w:rsid w:val="000B1AD1"/>
    <w:rsid w:val="000B1AD5"/>
    <w:rsid w:val="000B1D0C"/>
    <w:rsid w:val="000B1F56"/>
    <w:rsid w:val="000B2160"/>
    <w:rsid w:val="000B2304"/>
    <w:rsid w:val="000B26C0"/>
    <w:rsid w:val="000B29EE"/>
    <w:rsid w:val="000B2C45"/>
    <w:rsid w:val="000B2C85"/>
    <w:rsid w:val="000B2E64"/>
    <w:rsid w:val="000B300C"/>
    <w:rsid w:val="000B37F1"/>
    <w:rsid w:val="000B3EBE"/>
    <w:rsid w:val="000B4370"/>
    <w:rsid w:val="000B4484"/>
    <w:rsid w:val="000B5152"/>
    <w:rsid w:val="000B51D8"/>
    <w:rsid w:val="000B56DC"/>
    <w:rsid w:val="000B5CB6"/>
    <w:rsid w:val="000B5F70"/>
    <w:rsid w:val="000B6115"/>
    <w:rsid w:val="000B626C"/>
    <w:rsid w:val="000B6FEE"/>
    <w:rsid w:val="000B73C7"/>
    <w:rsid w:val="000B778F"/>
    <w:rsid w:val="000B79A4"/>
    <w:rsid w:val="000B79AF"/>
    <w:rsid w:val="000B7A8A"/>
    <w:rsid w:val="000C094C"/>
    <w:rsid w:val="000C10F7"/>
    <w:rsid w:val="000C2958"/>
    <w:rsid w:val="000C4A2C"/>
    <w:rsid w:val="000C5074"/>
    <w:rsid w:val="000C57EE"/>
    <w:rsid w:val="000C63BA"/>
    <w:rsid w:val="000C6BD3"/>
    <w:rsid w:val="000C6D73"/>
    <w:rsid w:val="000D092C"/>
    <w:rsid w:val="000D0D7F"/>
    <w:rsid w:val="000D1F88"/>
    <w:rsid w:val="000D2149"/>
    <w:rsid w:val="000D244B"/>
    <w:rsid w:val="000D2994"/>
    <w:rsid w:val="000D3060"/>
    <w:rsid w:val="000D30D8"/>
    <w:rsid w:val="000D3CBA"/>
    <w:rsid w:val="000D40AF"/>
    <w:rsid w:val="000D45BE"/>
    <w:rsid w:val="000D45F3"/>
    <w:rsid w:val="000D4A21"/>
    <w:rsid w:val="000D4B86"/>
    <w:rsid w:val="000D4BD7"/>
    <w:rsid w:val="000D5068"/>
    <w:rsid w:val="000D50CF"/>
    <w:rsid w:val="000D51F0"/>
    <w:rsid w:val="000D5858"/>
    <w:rsid w:val="000D5ED2"/>
    <w:rsid w:val="000D70C8"/>
    <w:rsid w:val="000D7439"/>
    <w:rsid w:val="000E11F6"/>
    <w:rsid w:val="000E1852"/>
    <w:rsid w:val="000E1BD8"/>
    <w:rsid w:val="000E1BFE"/>
    <w:rsid w:val="000E1C08"/>
    <w:rsid w:val="000E1FAF"/>
    <w:rsid w:val="000E20B4"/>
    <w:rsid w:val="000E2830"/>
    <w:rsid w:val="000E32F1"/>
    <w:rsid w:val="000E3450"/>
    <w:rsid w:val="000E370C"/>
    <w:rsid w:val="000E4C3D"/>
    <w:rsid w:val="000E50D5"/>
    <w:rsid w:val="000E5A15"/>
    <w:rsid w:val="000E614F"/>
    <w:rsid w:val="000E616D"/>
    <w:rsid w:val="000E63E0"/>
    <w:rsid w:val="000E7851"/>
    <w:rsid w:val="000F12EC"/>
    <w:rsid w:val="000F26D5"/>
    <w:rsid w:val="000F2920"/>
    <w:rsid w:val="000F2D41"/>
    <w:rsid w:val="000F3150"/>
    <w:rsid w:val="000F3161"/>
    <w:rsid w:val="000F34D5"/>
    <w:rsid w:val="000F3AF2"/>
    <w:rsid w:val="000F42D1"/>
    <w:rsid w:val="000F44C8"/>
    <w:rsid w:val="000F450A"/>
    <w:rsid w:val="000F456F"/>
    <w:rsid w:val="000F533C"/>
    <w:rsid w:val="000F6537"/>
    <w:rsid w:val="000F6D8B"/>
    <w:rsid w:val="000F701D"/>
    <w:rsid w:val="000F792D"/>
    <w:rsid w:val="00100D88"/>
    <w:rsid w:val="001016FA"/>
    <w:rsid w:val="00101AB1"/>
    <w:rsid w:val="00101AE6"/>
    <w:rsid w:val="00101DF3"/>
    <w:rsid w:val="00101E90"/>
    <w:rsid w:val="001026E6"/>
    <w:rsid w:val="00102FA0"/>
    <w:rsid w:val="00103B2A"/>
    <w:rsid w:val="00103E00"/>
    <w:rsid w:val="0010434F"/>
    <w:rsid w:val="0010522B"/>
    <w:rsid w:val="001054EF"/>
    <w:rsid w:val="001064B2"/>
    <w:rsid w:val="00106637"/>
    <w:rsid w:val="00106C01"/>
    <w:rsid w:val="00107708"/>
    <w:rsid w:val="00107943"/>
    <w:rsid w:val="00107AD5"/>
    <w:rsid w:val="00107C22"/>
    <w:rsid w:val="00107DD5"/>
    <w:rsid w:val="00107E1E"/>
    <w:rsid w:val="001104C5"/>
    <w:rsid w:val="00111020"/>
    <w:rsid w:val="0011189A"/>
    <w:rsid w:val="00111C32"/>
    <w:rsid w:val="00111DFC"/>
    <w:rsid w:val="0011299A"/>
    <w:rsid w:val="001129AF"/>
    <w:rsid w:val="001129B5"/>
    <w:rsid w:val="00112C11"/>
    <w:rsid w:val="00113385"/>
    <w:rsid w:val="001136E9"/>
    <w:rsid w:val="001141F6"/>
    <w:rsid w:val="0011472A"/>
    <w:rsid w:val="00114914"/>
    <w:rsid w:val="00114BF7"/>
    <w:rsid w:val="00115423"/>
    <w:rsid w:val="001155C0"/>
    <w:rsid w:val="00115E83"/>
    <w:rsid w:val="001167DB"/>
    <w:rsid w:val="001168F8"/>
    <w:rsid w:val="0011746A"/>
    <w:rsid w:val="00120D7D"/>
    <w:rsid w:val="00120D84"/>
    <w:rsid w:val="0012123D"/>
    <w:rsid w:val="001214AA"/>
    <w:rsid w:val="0012166B"/>
    <w:rsid w:val="00121B9E"/>
    <w:rsid w:val="00122880"/>
    <w:rsid w:val="00123350"/>
    <w:rsid w:val="001235F0"/>
    <w:rsid w:val="00123680"/>
    <w:rsid w:val="0012484D"/>
    <w:rsid w:val="001248CF"/>
    <w:rsid w:val="001248D7"/>
    <w:rsid w:val="00124AC8"/>
    <w:rsid w:val="00124F72"/>
    <w:rsid w:val="00125BF9"/>
    <w:rsid w:val="00125C91"/>
    <w:rsid w:val="00125D04"/>
    <w:rsid w:val="00126095"/>
    <w:rsid w:val="001261B6"/>
    <w:rsid w:val="001265D7"/>
    <w:rsid w:val="00127B31"/>
    <w:rsid w:val="001309AE"/>
    <w:rsid w:val="0013121A"/>
    <w:rsid w:val="001323E3"/>
    <w:rsid w:val="001323E4"/>
    <w:rsid w:val="00132F76"/>
    <w:rsid w:val="00133192"/>
    <w:rsid w:val="001341E3"/>
    <w:rsid w:val="0013448D"/>
    <w:rsid w:val="001362C1"/>
    <w:rsid w:val="00136AA3"/>
    <w:rsid w:val="00137C2A"/>
    <w:rsid w:val="001405FE"/>
    <w:rsid w:val="00140F9B"/>
    <w:rsid w:val="001425A5"/>
    <w:rsid w:val="001438C8"/>
    <w:rsid w:val="00143944"/>
    <w:rsid w:val="00143E75"/>
    <w:rsid w:val="00143EF8"/>
    <w:rsid w:val="00144FDD"/>
    <w:rsid w:val="00145651"/>
    <w:rsid w:val="00145D18"/>
    <w:rsid w:val="0014619C"/>
    <w:rsid w:val="00146E8B"/>
    <w:rsid w:val="0015063D"/>
    <w:rsid w:val="00150755"/>
    <w:rsid w:val="00150BE0"/>
    <w:rsid w:val="00150E24"/>
    <w:rsid w:val="00151072"/>
    <w:rsid w:val="0015164C"/>
    <w:rsid w:val="001519BC"/>
    <w:rsid w:val="00151D4E"/>
    <w:rsid w:val="00151D55"/>
    <w:rsid w:val="001525BC"/>
    <w:rsid w:val="001534C3"/>
    <w:rsid w:val="0015354D"/>
    <w:rsid w:val="001545A4"/>
    <w:rsid w:val="00154B6D"/>
    <w:rsid w:val="00154C28"/>
    <w:rsid w:val="00155E56"/>
    <w:rsid w:val="00156567"/>
    <w:rsid w:val="00156A35"/>
    <w:rsid w:val="00156C9C"/>
    <w:rsid w:val="0016054C"/>
    <w:rsid w:val="001605D6"/>
    <w:rsid w:val="0016083B"/>
    <w:rsid w:val="001609C6"/>
    <w:rsid w:val="00160B33"/>
    <w:rsid w:val="00160EC1"/>
    <w:rsid w:val="00161B5A"/>
    <w:rsid w:val="00162983"/>
    <w:rsid w:val="00162B3B"/>
    <w:rsid w:val="00162BD5"/>
    <w:rsid w:val="001633AA"/>
    <w:rsid w:val="0016376C"/>
    <w:rsid w:val="0016438F"/>
    <w:rsid w:val="00164392"/>
    <w:rsid w:val="00164822"/>
    <w:rsid w:val="0016509F"/>
    <w:rsid w:val="0016516A"/>
    <w:rsid w:val="00165399"/>
    <w:rsid w:val="00165A4F"/>
    <w:rsid w:val="0016634E"/>
    <w:rsid w:val="00166CBB"/>
    <w:rsid w:val="001674B3"/>
    <w:rsid w:val="00167C44"/>
    <w:rsid w:val="00170024"/>
    <w:rsid w:val="001701E6"/>
    <w:rsid w:val="00170262"/>
    <w:rsid w:val="0017059C"/>
    <w:rsid w:val="00170D87"/>
    <w:rsid w:val="001717B5"/>
    <w:rsid w:val="00171D85"/>
    <w:rsid w:val="0017211C"/>
    <w:rsid w:val="00173B0B"/>
    <w:rsid w:val="00173E1A"/>
    <w:rsid w:val="00174881"/>
    <w:rsid w:val="00174AF1"/>
    <w:rsid w:val="001758DB"/>
    <w:rsid w:val="001758EE"/>
    <w:rsid w:val="001762E7"/>
    <w:rsid w:val="00176516"/>
    <w:rsid w:val="00176A7E"/>
    <w:rsid w:val="001772C3"/>
    <w:rsid w:val="001809E2"/>
    <w:rsid w:val="001817B5"/>
    <w:rsid w:val="001821F2"/>
    <w:rsid w:val="0018360C"/>
    <w:rsid w:val="00183810"/>
    <w:rsid w:val="00183A2E"/>
    <w:rsid w:val="00183E25"/>
    <w:rsid w:val="00183EAF"/>
    <w:rsid w:val="00184298"/>
    <w:rsid w:val="00184614"/>
    <w:rsid w:val="00184B29"/>
    <w:rsid w:val="00184E51"/>
    <w:rsid w:val="0018585C"/>
    <w:rsid w:val="0018616D"/>
    <w:rsid w:val="001862AF"/>
    <w:rsid w:val="001866A3"/>
    <w:rsid w:val="00187CAD"/>
    <w:rsid w:val="0019015B"/>
    <w:rsid w:val="00190535"/>
    <w:rsid w:val="00191448"/>
    <w:rsid w:val="00191877"/>
    <w:rsid w:val="0019206C"/>
    <w:rsid w:val="00192928"/>
    <w:rsid w:val="00192DA1"/>
    <w:rsid w:val="00193AC9"/>
    <w:rsid w:val="00193DD8"/>
    <w:rsid w:val="00193E3F"/>
    <w:rsid w:val="00194726"/>
    <w:rsid w:val="00194BB6"/>
    <w:rsid w:val="00195364"/>
    <w:rsid w:val="001959EC"/>
    <w:rsid w:val="00195E38"/>
    <w:rsid w:val="00195F40"/>
    <w:rsid w:val="00197410"/>
    <w:rsid w:val="00197C83"/>
    <w:rsid w:val="001A0135"/>
    <w:rsid w:val="001A01B7"/>
    <w:rsid w:val="001A07F5"/>
    <w:rsid w:val="001A1A45"/>
    <w:rsid w:val="001A1BFD"/>
    <w:rsid w:val="001A219D"/>
    <w:rsid w:val="001A30F6"/>
    <w:rsid w:val="001A3618"/>
    <w:rsid w:val="001A378F"/>
    <w:rsid w:val="001A4208"/>
    <w:rsid w:val="001A4254"/>
    <w:rsid w:val="001A5718"/>
    <w:rsid w:val="001A6D98"/>
    <w:rsid w:val="001A7F1F"/>
    <w:rsid w:val="001B0B44"/>
    <w:rsid w:val="001B11CE"/>
    <w:rsid w:val="001B12D7"/>
    <w:rsid w:val="001B1F49"/>
    <w:rsid w:val="001B25E7"/>
    <w:rsid w:val="001B3120"/>
    <w:rsid w:val="001B3313"/>
    <w:rsid w:val="001B3377"/>
    <w:rsid w:val="001B35B5"/>
    <w:rsid w:val="001B412A"/>
    <w:rsid w:val="001B4955"/>
    <w:rsid w:val="001B4AF5"/>
    <w:rsid w:val="001B4B70"/>
    <w:rsid w:val="001B5780"/>
    <w:rsid w:val="001B5BCA"/>
    <w:rsid w:val="001B5D7D"/>
    <w:rsid w:val="001B604B"/>
    <w:rsid w:val="001B6975"/>
    <w:rsid w:val="001C0022"/>
    <w:rsid w:val="001C0F5B"/>
    <w:rsid w:val="001C10DA"/>
    <w:rsid w:val="001C1327"/>
    <w:rsid w:val="001C1869"/>
    <w:rsid w:val="001C1CF1"/>
    <w:rsid w:val="001C2435"/>
    <w:rsid w:val="001C3A87"/>
    <w:rsid w:val="001C48E8"/>
    <w:rsid w:val="001C4BCE"/>
    <w:rsid w:val="001C4CDC"/>
    <w:rsid w:val="001C53EB"/>
    <w:rsid w:val="001C6371"/>
    <w:rsid w:val="001C6558"/>
    <w:rsid w:val="001C66EC"/>
    <w:rsid w:val="001C672E"/>
    <w:rsid w:val="001C7280"/>
    <w:rsid w:val="001C7B40"/>
    <w:rsid w:val="001C7C91"/>
    <w:rsid w:val="001C7FED"/>
    <w:rsid w:val="001D04A5"/>
    <w:rsid w:val="001D0720"/>
    <w:rsid w:val="001D0C6C"/>
    <w:rsid w:val="001D0F4C"/>
    <w:rsid w:val="001D174A"/>
    <w:rsid w:val="001D1AE7"/>
    <w:rsid w:val="001D1D91"/>
    <w:rsid w:val="001D2577"/>
    <w:rsid w:val="001D28E4"/>
    <w:rsid w:val="001D2F0B"/>
    <w:rsid w:val="001D3720"/>
    <w:rsid w:val="001D3CF5"/>
    <w:rsid w:val="001D3E83"/>
    <w:rsid w:val="001D473B"/>
    <w:rsid w:val="001D4820"/>
    <w:rsid w:val="001D63CB"/>
    <w:rsid w:val="001D6646"/>
    <w:rsid w:val="001D66CC"/>
    <w:rsid w:val="001D7FC8"/>
    <w:rsid w:val="001E00C6"/>
    <w:rsid w:val="001E031E"/>
    <w:rsid w:val="001E0321"/>
    <w:rsid w:val="001E0B35"/>
    <w:rsid w:val="001E1418"/>
    <w:rsid w:val="001E2DBC"/>
    <w:rsid w:val="001E3E63"/>
    <w:rsid w:val="001E3F5D"/>
    <w:rsid w:val="001E4227"/>
    <w:rsid w:val="001E48B5"/>
    <w:rsid w:val="001E4AF9"/>
    <w:rsid w:val="001E5970"/>
    <w:rsid w:val="001E5B9F"/>
    <w:rsid w:val="001E5DF2"/>
    <w:rsid w:val="001E6B49"/>
    <w:rsid w:val="001E709B"/>
    <w:rsid w:val="001E79BA"/>
    <w:rsid w:val="001E7DCC"/>
    <w:rsid w:val="001E7E5D"/>
    <w:rsid w:val="001E7E71"/>
    <w:rsid w:val="001F0AD0"/>
    <w:rsid w:val="001F0B6C"/>
    <w:rsid w:val="001F0CA9"/>
    <w:rsid w:val="001F0EEE"/>
    <w:rsid w:val="001F11CB"/>
    <w:rsid w:val="001F15BC"/>
    <w:rsid w:val="001F1FB7"/>
    <w:rsid w:val="001F2783"/>
    <w:rsid w:val="001F2B3A"/>
    <w:rsid w:val="001F30A3"/>
    <w:rsid w:val="001F316F"/>
    <w:rsid w:val="001F3202"/>
    <w:rsid w:val="001F361E"/>
    <w:rsid w:val="001F433A"/>
    <w:rsid w:val="001F4580"/>
    <w:rsid w:val="001F494C"/>
    <w:rsid w:val="001F4F53"/>
    <w:rsid w:val="001F502B"/>
    <w:rsid w:val="001F5178"/>
    <w:rsid w:val="001F54B1"/>
    <w:rsid w:val="001F6297"/>
    <w:rsid w:val="001F6CDB"/>
    <w:rsid w:val="001F74D4"/>
    <w:rsid w:val="001F7584"/>
    <w:rsid w:val="00200046"/>
    <w:rsid w:val="00200315"/>
    <w:rsid w:val="00200B34"/>
    <w:rsid w:val="002013C4"/>
    <w:rsid w:val="002017B3"/>
    <w:rsid w:val="00201F21"/>
    <w:rsid w:val="00202356"/>
    <w:rsid w:val="00202877"/>
    <w:rsid w:val="00203357"/>
    <w:rsid w:val="002036BA"/>
    <w:rsid w:val="002039BC"/>
    <w:rsid w:val="0020440C"/>
    <w:rsid w:val="00204980"/>
    <w:rsid w:val="00205369"/>
    <w:rsid w:val="00205BE6"/>
    <w:rsid w:val="002061EC"/>
    <w:rsid w:val="00206815"/>
    <w:rsid w:val="00206B66"/>
    <w:rsid w:val="00207B4D"/>
    <w:rsid w:val="00207D29"/>
    <w:rsid w:val="00207D64"/>
    <w:rsid w:val="00210291"/>
    <w:rsid w:val="00210EBC"/>
    <w:rsid w:val="00210F12"/>
    <w:rsid w:val="0021194D"/>
    <w:rsid w:val="00211D62"/>
    <w:rsid w:val="002121DA"/>
    <w:rsid w:val="00212AE8"/>
    <w:rsid w:val="00214021"/>
    <w:rsid w:val="00214113"/>
    <w:rsid w:val="0021533F"/>
    <w:rsid w:val="002154AB"/>
    <w:rsid w:val="00216B93"/>
    <w:rsid w:val="00217504"/>
    <w:rsid w:val="0022019D"/>
    <w:rsid w:val="0022026E"/>
    <w:rsid w:val="00220409"/>
    <w:rsid w:val="002206F1"/>
    <w:rsid w:val="00220B40"/>
    <w:rsid w:val="002221C3"/>
    <w:rsid w:val="0022269C"/>
    <w:rsid w:val="00222A8D"/>
    <w:rsid w:val="00222BFB"/>
    <w:rsid w:val="00222E0D"/>
    <w:rsid w:val="00223106"/>
    <w:rsid w:val="002235E1"/>
    <w:rsid w:val="002238F5"/>
    <w:rsid w:val="00223C31"/>
    <w:rsid w:val="00224758"/>
    <w:rsid w:val="00224E53"/>
    <w:rsid w:val="00225439"/>
    <w:rsid w:val="0022568A"/>
    <w:rsid w:val="00225AF2"/>
    <w:rsid w:val="00225D6F"/>
    <w:rsid w:val="0022613F"/>
    <w:rsid w:val="0022651E"/>
    <w:rsid w:val="0022662B"/>
    <w:rsid w:val="00226EAA"/>
    <w:rsid w:val="0022721D"/>
    <w:rsid w:val="0022723B"/>
    <w:rsid w:val="00227579"/>
    <w:rsid w:val="0022792F"/>
    <w:rsid w:val="00230686"/>
    <w:rsid w:val="002308EF"/>
    <w:rsid w:val="00230931"/>
    <w:rsid w:val="00230DC0"/>
    <w:rsid w:val="00231A92"/>
    <w:rsid w:val="0023202F"/>
    <w:rsid w:val="0023296C"/>
    <w:rsid w:val="00232993"/>
    <w:rsid w:val="00232FAF"/>
    <w:rsid w:val="00233594"/>
    <w:rsid w:val="00233958"/>
    <w:rsid w:val="00233D0B"/>
    <w:rsid w:val="002341C0"/>
    <w:rsid w:val="00234246"/>
    <w:rsid w:val="00235313"/>
    <w:rsid w:val="002354E8"/>
    <w:rsid w:val="00236317"/>
    <w:rsid w:val="00236DC2"/>
    <w:rsid w:val="00236F81"/>
    <w:rsid w:val="00237019"/>
    <w:rsid w:val="002371E3"/>
    <w:rsid w:val="00237286"/>
    <w:rsid w:val="0023761E"/>
    <w:rsid w:val="002376A5"/>
    <w:rsid w:val="00237E7F"/>
    <w:rsid w:val="00237F44"/>
    <w:rsid w:val="002406EE"/>
    <w:rsid w:val="00240B8A"/>
    <w:rsid w:val="00240FC5"/>
    <w:rsid w:val="002411F3"/>
    <w:rsid w:val="002431FE"/>
    <w:rsid w:val="00243274"/>
    <w:rsid w:val="0024397B"/>
    <w:rsid w:val="002443B2"/>
    <w:rsid w:val="002443BF"/>
    <w:rsid w:val="002446ED"/>
    <w:rsid w:val="0024492F"/>
    <w:rsid w:val="00244DBE"/>
    <w:rsid w:val="00245777"/>
    <w:rsid w:val="00245F64"/>
    <w:rsid w:val="002466A0"/>
    <w:rsid w:val="00246878"/>
    <w:rsid w:val="002469AC"/>
    <w:rsid w:val="00246E03"/>
    <w:rsid w:val="00246EF0"/>
    <w:rsid w:val="00247EF1"/>
    <w:rsid w:val="0025006C"/>
    <w:rsid w:val="002500B4"/>
    <w:rsid w:val="0025145A"/>
    <w:rsid w:val="00251C8D"/>
    <w:rsid w:val="002526BC"/>
    <w:rsid w:val="00252FBF"/>
    <w:rsid w:val="00253194"/>
    <w:rsid w:val="002539E1"/>
    <w:rsid w:val="00253DA2"/>
    <w:rsid w:val="00253F41"/>
    <w:rsid w:val="00254B43"/>
    <w:rsid w:val="00254CD6"/>
    <w:rsid w:val="00255A44"/>
    <w:rsid w:val="00257D82"/>
    <w:rsid w:val="00257E3C"/>
    <w:rsid w:val="0026046D"/>
    <w:rsid w:val="00261A76"/>
    <w:rsid w:val="00261DD7"/>
    <w:rsid w:val="0026274D"/>
    <w:rsid w:val="00262B73"/>
    <w:rsid w:val="00262E18"/>
    <w:rsid w:val="00263303"/>
    <w:rsid w:val="00263397"/>
    <w:rsid w:val="0026379B"/>
    <w:rsid w:val="00263BF8"/>
    <w:rsid w:val="00263E25"/>
    <w:rsid w:val="0026523F"/>
    <w:rsid w:val="0026669B"/>
    <w:rsid w:val="00267C33"/>
    <w:rsid w:val="00270914"/>
    <w:rsid w:val="00270947"/>
    <w:rsid w:val="00270EDE"/>
    <w:rsid w:val="002710D5"/>
    <w:rsid w:val="002714D1"/>
    <w:rsid w:val="002720A7"/>
    <w:rsid w:val="002727E5"/>
    <w:rsid w:val="00272D9F"/>
    <w:rsid w:val="00273A4E"/>
    <w:rsid w:val="00273ABA"/>
    <w:rsid w:val="00273D3B"/>
    <w:rsid w:val="00274A2B"/>
    <w:rsid w:val="00275335"/>
    <w:rsid w:val="00276E6F"/>
    <w:rsid w:val="0027719D"/>
    <w:rsid w:val="002776A8"/>
    <w:rsid w:val="00277A0B"/>
    <w:rsid w:val="00280242"/>
    <w:rsid w:val="00280C91"/>
    <w:rsid w:val="00281896"/>
    <w:rsid w:val="0028228B"/>
    <w:rsid w:val="00282615"/>
    <w:rsid w:val="00282E0B"/>
    <w:rsid w:val="0028302E"/>
    <w:rsid w:val="002832D1"/>
    <w:rsid w:val="00283E53"/>
    <w:rsid w:val="00284270"/>
    <w:rsid w:val="0028453B"/>
    <w:rsid w:val="00284B2A"/>
    <w:rsid w:val="00284CDE"/>
    <w:rsid w:val="002858CF"/>
    <w:rsid w:val="00285909"/>
    <w:rsid w:val="002859E2"/>
    <w:rsid w:val="00286124"/>
    <w:rsid w:val="00286792"/>
    <w:rsid w:val="00286874"/>
    <w:rsid w:val="00286A6F"/>
    <w:rsid w:val="00286C11"/>
    <w:rsid w:val="00286DBF"/>
    <w:rsid w:val="00286F3F"/>
    <w:rsid w:val="002877C6"/>
    <w:rsid w:val="0028787E"/>
    <w:rsid w:val="00287CB4"/>
    <w:rsid w:val="00287F23"/>
    <w:rsid w:val="00290359"/>
    <w:rsid w:val="00290661"/>
    <w:rsid w:val="002908E6"/>
    <w:rsid w:val="00291A9F"/>
    <w:rsid w:val="00291F16"/>
    <w:rsid w:val="0029293E"/>
    <w:rsid w:val="00293213"/>
    <w:rsid w:val="002934C9"/>
    <w:rsid w:val="00293657"/>
    <w:rsid w:val="00293915"/>
    <w:rsid w:val="00293DAE"/>
    <w:rsid w:val="00293F07"/>
    <w:rsid w:val="002941B2"/>
    <w:rsid w:val="002943B3"/>
    <w:rsid w:val="0029578E"/>
    <w:rsid w:val="00295A66"/>
    <w:rsid w:val="00295D85"/>
    <w:rsid w:val="00296077"/>
    <w:rsid w:val="0029657E"/>
    <w:rsid w:val="00296BC0"/>
    <w:rsid w:val="00296EE8"/>
    <w:rsid w:val="00296F2A"/>
    <w:rsid w:val="00297078"/>
    <w:rsid w:val="002978B9"/>
    <w:rsid w:val="002A0304"/>
    <w:rsid w:val="002A06EA"/>
    <w:rsid w:val="002A0738"/>
    <w:rsid w:val="002A0A84"/>
    <w:rsid w:val="002A0D69"/>
    <w:rsid w:val="002A1641"/>
    <w:rsid w:val="002A175E"/>
    <w:rsid w:val="002A1A53"/>
    <w:rsid w:val="002A22B8"/>
    <w:rsid w:val="002A2483"/>
    <w:rsid w:val="002A2C42"/>
    <w:rsid w:val="002A3EE1"/>
    <w:rsid w:val="002A44AA"/>
    <w:rsid w:val="002A4E95"/>
    <w:rsid w:val="002A4F60"/>
    <w:rsid w:val="002A56C1"/>
    <w:rsid w:val="002A5759"/>
    <w:rsid w:val="002A5A14"/>
    <w:rsid w:val="002A6085"/>
    <w:rsid w:val="002A66DE"/>
    <w:rsid w:val="002A6976"/>
    <w:rsid w:val="002A6F9C"/>
    <w:rsid w:val="002A70F8"/>
    <w:rsid w:val="002B017D"/>
    <w:rsid w:val="002B025F"/>
    <w:rsid w:val="002B0262"/>
    <w:rsid w:val="002B1434"/>
    <w:rsid w:val="002B157D"/>
    <w:rsid w:val="002B168B"/>
    <w:rsid w:val="002B18B7"/>
    <w:rsid w:val="002B29B3"/>
    <w:rsid w:val="002B2CB8"/>
    <w:rsid w:val="002B39C2"/>
    <w:rsid w:val="002B3ADC"/>
    <w:rsid w:val="002B5AF2"/>
    <w:rsid w:val="002B5DD3"/>
    <w:rsid w:val="002B63E6"/>
    <w:rsid w:val="002B6A07"/>
    <w:rsid w:val="002B6A54"/>
    <w:rsid w:val="002B6D9D"/>
    <w:rsid w:val="002B6DC7"/>
    <w:rsid w:val="002B744B"/>
    <w:rsid w:val="002B74D1"/>
    <w:rsid w:val="002B762D"/>
    <w:rsid w:val="002B7B70"/>
    <w:rsid w:val="002C01AD"/>
    <w:rsid w:val="002C0456"/>
    <w:rsid w:val="002C0D5B"/>
    <w:rsid w:val="002C18D8"/>
    <w:rsid w:val="002C197F"/>
    <w:rsid w:val="002C1E6E"/>
    <w:rsid w:val="002C20A5"/>
    <w:rsid w:val="002C269B"/>
    <w:rsid w:val="002C309F"/>
    <w:rsid w:val="002C43BE"/>
    <w:rsid w:val="002C4CC0"/>
    <w:rsid w:val="002C515C"/>
    <w:rsid w:val="002C649A"/>
    <w:rsid w:val="002C6851"/>
    <w:rsid w:val="002C6994"/>
    <w:rsid w:val="002C6B07"/>
    <w:rsid w:val="002C74DF"/>
    <w:rsid w:val="002C77EB"/>
    <w:rsid w:val="002C78F8"/>
    <w:rsid w:val="002C7AF8"/>
    <w:rsid w:val="002C7B05"/>
    <w:rsid w:val="002C7E7F"/>
    <w:rsid w:val="002D0464"/>
    <w:rsid w:val="002D0474"/>
    <w:rsid w:val="002D0530"/>
    <w:rsid w:val="002D0851"/>
    <w:rsid w:val="002D098B"/>
    <w:rsid w:val="002D0BDD"/>
    <w:rsid w:val="002D109E"/>
    <w:rsid w:val="002D1398"/>
    <w:rsid w:val="002D3496"/>
    <w:rsid w:val="002D35F0"/>
    <w:rsid w:val="002D3D0F"/>
    <w:rsid w:val="002D3D1E"/>
    <w:rsid w:val="002D545D"/>
    <w:rsid w:val="002D54F4"/>
    <w:rsid w:val="002D5A85"/>
    <w:rsid w:val="002D6610"/>
    <w:rsid w:val="002D74F9"/>
    <w:rsid w:val="002D753D"/>
    <w:rsid w:val="002D782B"/>
    <w:rsid w:val="002E0749"/>
    <w:rsid w:val="002E0BC7"/>
    <w:rsid w:val="002E118B"/>
    <w:rsid w:val="002E14A0"/>
    <w:rsid w:val="002E1819"/>
    <w:rsid w:val="002E285E"/>
    <w:rsid w:val="002E28DE"/>
    <w:rsid w:val="002E32E3"/>
    <w:rsid w:val="002E4036"/>
    <w:rsid w:val="002E4689"/>
    <w:rsid w:val="002E4E0D"/>
    <w:rsid w:val="002E4EAF"/>
    <w:rsid w:val="002E5047"/>
    <w:rsid w:val="002E6C85"/>
    <w:rsid w:val="002E7630"/>
    <w:rsid w:val="002E76F6"/>
    <w:rsid w:val="002E7852"/>
    <w:rsid w:val="002E7F03"/>
    <w:rsid w:val="002F005C"/>
    <w:rsid w:val="002F06B2"/>
    <w:rsid w:val="002F06F3"/>
    <w:rsid w:val="002F094A"/>
    <w:rsid w:val="002F13D1"/>
    <w:rsid w:val="002F1C97"/>
    <w:rsid w:val="002F1CE5"/>
    <w:rsid w:val="002F1D4F"/>
    <w:rsid w:val="002F2761"/>
    <w:rsid w:val="002F2BC1"/>
    <w:rsid w:val="002F2C07"/>
    <w:rsid w:val="002F2E41"/>
    <w:rsid w:val="002F4202"/>
    <w:rsid w:val="002F516F"/>
    <w:rsid w:val="002F5EB8"/>
    <w:rsid w:val="002F7066"/>
    <w:rsid w:val="002F7177"/>
    <w:rsid w:val="002F74D4"/>
    <w:rsid w:val="002F7505"/>
    <w:rsid w:val="002F7676"/>
    <w:rsid w:val="002F7A17"/>
    <w:rsid w:val="002F7FCC"/>
    <w:rsid w:val="00301537"/>
    <w:rsid w:val="00301D78"/>
    <w:rsid w:val="0030255D"/>
    <w:rsid w:val="00302895"/>
    <w:rsid w:val="00302EA3"/>
    <w:rsid w:val="003030E8"/>
    <w:rsid w:val="00303740"/>
    <w:rsid w:val="00303D0E"/>
    <w:rsid w:val="00303F2F"/>
    <w:rsid w:val="003055C6"/>
    <w:rsid w:val="0030574B"/>
    <w:rsid w:val="00305766"/>
    <w:rsid w:val="0030679F"/>
    <w:rsid w:val="00307062"/>
    <w:rsid w:val="00307108"/>
    <w:rsid w:val="00307900"/>
    <w:rsid w:val="00307E47"/>
    <w:rsid w:val="00307E8D"/>
    <w:rsid w:val="003105AE"/>
    <w:rsid w:val="00310607"/>
    <w:rsid w:val="003120FA"/>
    <w:rsid w:val="00315CD2"/>
    <w:rsid w:val="00317C48"/>
    <w:rsid w:val="00317E5C"/>
    <w:rsid w:val="003203CF"/>
    <w:rsid w:val="00321EF3"/>
    <w:rsid w:val="00322C96"/>
    <w:rsid w:val="0032370D"/>
    <w:rsid w:val="00323B67"/>
    <w:rsid w:val="00324402"/>
    <w:rsid w:val="003245BD"/>
    <w:rsid w:val="00325346"/>
    <w:rsid w:val="00325919"/>
    <w:rsid w:val="00326101"/>
    <w:rsid w:val="0032635D"/>
    <w:rsid w:val="0032639F"/>
    <w:rsid w:val="0032670B"/>
    <w:rsid w:val="003269AE"/>
    <w:rsid w:val="00326C5E"/>
    <w:rsid w:val="0032735D"/>
    <w:rsid w:val="00330361"/>
    <w:rsid w:val="00330EF1"/>
    <w:rsid w:val="00331DA8"/>
    <w:rsid w:val="0033289D"/>
    <w:rsid w:val="003330C9"/>
    <w:rsid w:val="00334F1B"/>
    <w:rsid w:val="00335BD3"/>
    <w:rsid w:val="00335FFA"/>
    <w:rsid w:val="00337274"/>
    <w:rsid w:val="003372F5"/>
    <w:rsid w:val="003375BE"/>
    <w:rsid w:val="00337AB6"/>
    <w:rsid w:val="00337F90"/>
    <w:rsid w:val="00340B57"/>
    <w:rsid w:val="00340B67"/>
    <w:rsid w:val="003429F3"/>
    <w:rsid w:val="00342DF4"/>
    <w:rsid w:val="0034331D"/>
    <w:rsid w:val="0034358F"/>
    <w:rsid w:val="0034373E"/>
    <w:rsid w:val="00343C4D"/>
    <w:rsid w:val="00343DD2"/>
    <w:rsid w:val="00344550"/>
    <w:rsid w:val="00344B9D"/>
    <w:rsid w:val="00344D0C"/>
    <w:rsid w:val="0034556A"/>
    <w:rsid w:val="003464CF"/>
    <w:rsid w:val="003468A0"/>
    <w:rsid w:val="00347179"/>
    <w:rsid w:val="0034720F"/>
    <w:rsid w:val="0034734A"/>
    <w:rsid w:val="00347653"/>
    <w:rsid w:val="00347F12"/>
    <w:rsid w:val="003505EB"/>
    <w:rsid w:val="00350D86"/>
    <w:rsid w:val="00350DF6"/>
    <w:rsid w:val="003514BE"/>
    <w:rsid w:val="003515EC"/>
    <w:rsid w:val="00351762"/>
    <w:rsid w:val="00351BCA"/>
    <w:rsid w:val="003529D6"/>
    <w:rsid w:val="00353899"/>
    <w:rsid w:val="003538FE"/>
    <w:rsid w:val="00353D39"/>
    <w:rsid w:val="00353DE9"/>
    <w:rsid w:val="0035458D"/>
    <w:rsid w:val="00355036"/>
    <w:rsid w:val="0035537F"/>
    <w:rsid w:val="003557D8"/>
    <w:rsid w:val="00355F97"/>
    <w:rsid w:val="00355FCF"/>
    <w:rsid w:val="0035717F"/>
    <w:rsid w:val="003575BD"/>
    <w:rsid w:val="0035791F"/>
    <w:rsid w:val="0035798F"/>
    <w:rsid w:val="00360384"/>
    <w:rsid w:val="00360B8F"/>
    <w:rsid w:val="00361555"/>
    <w:rsid w:val="00361DD4"/>
    <w:rsid w:val="00361E6B"/>
    <w:rsid w:val="00362480"/>
    <w:rsid w:val="00362C7B"/>
    <w:rsid w:val="003634FD"/>
    <w:rsid w:val="003636A4"/>
    <w:rsid w:val="003636FE"/>
    <w:rsid w:val="00363A53"/>
    <w:rsid w:val="00363C29"/>
    <w:rsid w:val="00363E7E"/>
    <w:rsid w:val="00364283"/>
    <w:rsid w:val="003646B4"/>
    <w:rsid w:val="00364C79"/>
    <w:rsid w:val="003657EF"/>
    <w:rsid w:val="00365EB7"/>
    <w:rsid w:val="00365FD5"/>
    <w:rsid w:val="0036665E"/>
    <w:rsid w:val="00366973"/>
    <w:rsid w:val="003670EE"/>
    <w:rsid w:val="00367704"/>
    <w:rsid w:val="0037047F"/>
    <w:rsid w:val="0037068D"/>
    <w:rsid w:val="00370A4E"/>
    <w:rsid w:val="003713C8"/>
    <w:rsid w:val="00371E04"/>
    <w:rsid w:val="00372698"/>
    <w:rsid w:val="00373E65"/>
    <w:rsid w:val="003740D1"/>
    <w:rsid w:val="00374438"/>
    <w:rsid w:val="00374F25"/>
    <w:rsid w:val="00375345"/>
    <w:rsid w:val="00376237"/>
    <w:rsid w:val="003762D8"/>
    <w:rsid w:val="00376FCE"/>
    <w:rsid w:val="003771FF"/>
    <w:rsid w:val="00377394"/>
    <w:rsid w:val="00377511"/>
    <w:rsid w:val="003779AB"/>
    <w:rsid w:val="003803DC"/>
    <w:rsid w:val="00380475"/>
    <w:rsid w:val="00381358"/>
    <w:rsid w:val="003820FB"/>
    <w:rsid w:val="0038223E"/>
    <w:rsid w:val="00382456"/>
    <w:rsid w:val="00382DB8"/>
    <w:rsid w:val="00383187"/>
    <w:rsid w:val="003831E7"/>
    <w:rsid w:val="00383FDB"/>
    <w:rsid w:val="00384371"/>
    <w:rsid w:val="0038463E"/>
    <w:rsid w:val="00385446"/>
    <w:rsid w:val="0038564D"/>
    <w:rsid w:val="00385A9A"/>
    <w:rsid w:val="00385E0C"/>
    <w:rsid w:val="00386E67"/>
    <w:rsid w:val="00387E25"/>
    <w:rsid w:val="0039073E"/>
    <w:rsid w:val="003909EF"/>
    <w:rsid w:val="00390C94"/>
    <w:rsid w:val="003917F9"/>
    <w:rsid w:val="003918D7"/>
    <w:rsid w:val="00391DB9"/>
    <w:rsid w:val="00391FCB"/>
    <w:rsid w:val="0039215B"/>
    <w:rsid w:val="00393DB2"/>
    <w:rsid w:val="00393FDF"/>
    <w:rsid w:val="0039466C"/>
    <w:rsid w:val="00396426"/>
    <w:rsid w:val="00396EC8"/>
    <w:rsid w:val="00396EDC"/>
    <w:rsid w:val="00397031"/>
    <w:rsid w:val="003976FD"/>
    <w:rsid w:val="003A1013"/>
    <w:rsid w:val="003A11BE"/>
    <w:rsid w:val="003A12F9"/>
    <w:rsid w:val="003A148A"/>
    <w:rsid w:val="003A16B3"/>
    <w:rsid w:val="003A19BF"/>
    <w:rsid w:val="003A1E47"/>
    <w:rsid w:val="003A20CA"/>
    <w:rsid w:val="003A2165"/>
    <w:rsid w:val="003A2653"/>
    <w:rsid w:val="003A2689"/>
    <w:rsid w:val="003A27AE"/>
    <w:rsid w:val="003A2FC4"/>
    <w:rsid w:val="003A321F"/>
    <w:rsid w:val="003A3671"/>
    <w:rsid w:val="003A3683"/>
    <w:rsid w:val="003A3C98"/>
    <w:rsid w:val="003A3D07"/>
    <w:rsid w:val="003A44D9"/>
    <w:rsid w:val="003A47F8"/>
    <w:rsid w:val="003A4C23"/>
    <w:rsid w:val="003A54D6"/>
    <w:rsid w:val="003A56E9"/>
    <w:rsid w:val="003A5BE4"/>
    <w:rsid w:val="003A5FDC"/>
    <w:rsid w:val="003A623A"/>
    <w:rsid w:val="003A63E8"/>
    <w:rsid w:val="003A6504"/>
    <w:rsid w:val="003A71E3"/>
    <w:rsid w:val="003A7CBE"/>
    <w:rsid w:val="003B06EB"/>
    <w:rsid w:val="003B07F9"/>
    <w:rsid w:val="003B08C0"/>
    <w:rsid w:val="003B0D24"/>
    <w:rsid w:val="003B18A1"/>
    <w:rsid w:val="003B1928"/>
    <w:rsid w:val="003B19C0"/>
    <w:rsid w:val="003B2279"/>
    <w:rsid w:val="003B2293"/>
    <w:rsid w:val="003B2370"/>
    <w:rsid w:val="003B23A4"/>
    <w:rsid w:val="003B39B1"/>
    <w:rsid w:val="003B41C5"/>
    <w:rsid w:val="003B49EC"/>
    <w:rsid w:val="003B4B9B"/>
    <w:rsid w:val="003B50AC"/>
    <w:rsid w:val="003B519C"/>
    <w:rsid w:val="003B5B41"/>
    <w:rsid w:val="003B61C0"/>
    <w:rsid w:val="003B6B0D"/>
    <w:rsid w:val="003B71E9"/>
    <w:rsid w:val="003B7202"/>
    <w:rsid w:val="003B794F"/>
    <w:rsid w:val="003B7BB0"/>
    <w:rsid w:val="003B7CCB"/>
    <w:rsid w:val="003B7E65"/>
    <w:rsid w:val="003B7EB4"/>
    <w:rsid w:val="003C0A97"/>
    <w:rsid w:val="003C0AEB"/>
    <w:rsid w:val="003C0E4D"/>
    <w:rsid w:val="003C11B3"/>
    <w:rsid w:val="003C14B9"/>
    <w:rsid w:val="003C1973"/>
    <w:rsid w:val="003C1B25"/>
    <w:rsid w:val="003C2973"/>
    <w:rsid w:val="003C298A"/>
    <w:rsid w:val="003C3490"/>
    <w:rsid w:val="003C4793"/>
    <w:rsid w:val="003C488F"/>
    <w:rsid w:val="003C4A24"/>
    <w:rsid w:val="003C4A7A"/>
    <w:rsid w:val="003C51B5"/>
    <w:rsid w:val="003C539C"/>
    <w:rsid w:val="003C53C1"/>
    <w:rsid w:val="003C5B5F"/>
    <w:rsid w:val="003C60FF"/>
    <w:rsid w:val="003C69CE"/>
    <w:rsid w:val="003C6CE9"/>
    <w:rsid w:val="003C6E7A"/>
    <w:rsid w:val="003C774B"/>
    <w:rsid w:val="003D0010"/>
    <w:rsid w:val="003D01C7"/>
    <w:rsid w:val="003D0506"/>
    <w:rsid w:val="003D1024"/>
    <w:rsid w:val="003D1F84"/>
    <w:rsid w:val="003D2553"/>
    <w:rsid w:val="003D2ADE"/>
    <w:rsid w:val="003D2BCC"/>
    <w:rsid w:val="003D2D2F"/>
    <w:rsid w:val="003D2EDA"/>
    <w:rsid w:val="003D3054"/>
    <w:rsid w:val="003D37C0"/>
    <w:rsid w:val="003D38D8"/>
    <w:rsid w:val="003D41CD"/>
    <w:rsid w:val="003D41FF"/>
    <w:rsid w:val="003D46F4"/>
    <w:rsid w:val="003D494E"/>
    <w:rsid w:val="003D5374"/>
    <w:rsid w:val="003D5669"/>
    <w:rsid w:val="003D5917"/>
    <w:rsid w:val="003D621B"/>
    <w:rsid w:val="003D6903"/>
    <w:rsid w:val="003D7496"/>
    <w:rsid w:val="003D753A"/>
    <w:rsid w:val="003D7763"/>
    <w:rsid w:val="003D7877"/>
    <w:rsid w:val="003E09C9"/>
    <w:rsid w:val="003E0DEF"/>
    <w:rsid w:val="003E14DD"/>
    <w:rsid w:val="003E14EA"/>
    <w:rsid w:val="003E19AC"/>
    <w:rsid w:val="003E1B9B"/>
    <w:rsid w:val="003E2BC2"/>
    <w:rsid w:val="003E3249"/>
    <w:rsid w:val="003E3447"/>
    <w:rsid w:val="003E38F1"/>
    <w:rsid w:val="003E3E47"/>
    <w:rsid w:val="003E47DB"/>
    <w:rsid w:val="003E5280"/>
    <w:rsid w:val="003E5D5E"/>
    <w:rsid w:val="003E5F0B"/>
    <w:rsid w:val="003E6030"/>
    <w:rsid w:val="003E67A1"/>
    <w:rsid w:val="003E67BE"/>
    <w:rsid w:val="003E6DE7"/>
    <w:rsid w:val="003F0373"/>
    <w:rsid w:val="003F0882"/>
    <w:rsid w:val="003F08C9"/>
    <w:rsid w:val="003F1EAD"/>
    <w:rsid w:val="003F2422"/>
    <w:rsid w:val="003F2C06"/>
    <w:rsid w:val="003F39C8"/>
    <w:rsid w:val="003F3AA4"/>
    <w:rsid w:val="003F3FAA"/>
    <w:rsid w:val="003F4874"/>
    <w:rsid w:val="003F4C2D"/>
    <w:rsid w:val="003F53E3"/>
    <w:rsid w:val="003F5884"/>
    <w:rsid w:val="003F5E86"/>
    <w:rsid w:val="003F5F96"/>
    <w:rsid w:val="003F6467"/>
    <w:rsid w:val="003F671A"/>
    <w:rsid w:val="003F6867"/>
    <w:rsid w:val="003F787B"/>
    <w:rsid w:val="003F79F6"/>
    <w:rsid w:val="004005AB"/>
    <w:rsid w:val="00400B46"/>
    <w:rsid w:val="004010CC"/>
    <w:rsid w:val="00401236"/>
    <w:rsid w:val="0040150D"/>
    <w:rsid w:val="004015BE"/>
    <w:rsid w:val="004018D9"/>
    <w:rsid w:val="004018F7"/>
    <w:rsid w:val="004019D0"/>
    <w:rsid w:val="00401BDC"/>
    <w:rsid w:val="004020DD"/>
    <w:rsid w:val="00402185"/>
    <w:rsid w:val="00402A10"/>
    <w:rsid w:val="0040337F"/>
    <w:rsid w:val="0040369D"/>
    <w:rsid w:val="00403CCD"/>
    <w:rsid w:val="0040478C"/>
    <w:rsid w:val="00404B1F"/>
    <w:rsid w:val="00404DF1"/>
    <w:rsid w:val="00404F19"/>
    <w:rsid w:val="0040589C"/>
    <w:rsid w:val="0040742C"/>
    <w:rsid w:val="00407BE5"/>
    <w:rsid w:val="00410993"/>
    <w:rsid w:val="00410AFF"/>
    <w:rsid w:val="00410E53"/>
    <w:rsid w:val="0041137F"/>
    <w:rsid w:val="00411C83"/>
    <w:rsid w:val="00411FE0"/>
    <w:rsid w:val="00411FF1"/>
    <w:rsid w:val="00413270"/>
    <w:rsid w:val="00413D3A"/>
    <w:rsid w:val="00413D99"/>
    <w:rsid w:val="0041430B"/>
    <w:rsid w:val="00414313"/>
    <w:rsid w:val="0041435B"/>
    <w:rsid w:val="00415153"/>
    <w:rsid w:val="00415700"/>
    <w:rsid w:val="00415F59"/>
    <w:rsid w:val="00416618"/>
    <w:rsid w:val="00416BEB"/>
    <w:rsid w:val="00417572"/>
    <w:rsid w:val="004178F9"/>
    <w:rsid w:val="00420065"/>
    <w:rsid w:val="004205EC"/>
    <w:rsid w:val="0042091A"/>
    <w:rsid w:val="00421B33"/>
    <w:rsid w:val="00422152"/>
    <w:rsid w:val="00422306"/>
    <w:rsid w:val="004230DE"/>
    <w:rsid w:val="0042339B"/>
    <w:rsid w:val="00424790"/>
    <w:rsid w:val="004255DD"/>
    <w:rsid w:val="00425630"/>
    <w:rsid w:val="00425C4F"/>
    <w:rsid w:val="00425CB7"/>
    <w:rsid w:val="00426028"/>
    <w:rsid w:val="004261DE"/>
    <w:rsid w:val="004265B5"/>
    <w:rsid w:val="0042660B"/>
    <w:rsid w:val="004270BF"/>
    <w:rsid w:val="004301F3"/>
    <w:rsid w:val="0043051E"/>
    <w:rsid w:val="00431061"/>
    <w:rsid w:val="004310FD"/>
    <w:rsid w:val="00431E6E"/>
    <w:rsid w:val="00432B68"/>
    <w:rsid w:val="00432B70"/>
    <w:rsid w:val="00433626"/>
    <w:rsid w:val="0043398F"/>
    <w:rsid w:val="004359E6"/>
    <w:rsid w:val="00435AEE"/>
    <w:rsid w:val="00435E62"/>
    <w:rsid w:val="00435FE3"/>
    <w:rsid w:val="00436916"/>
    <w:rsid w:val="004369C0"/>
    <w:rsid w:val="00436CE8"/>
    <w:rsid w:val="00437323"/>
    <w:rsid w:val="00437637"/>
    <w:rsid w:val="00437F1D"/>
    <w:rsid w:val="00440D8E"/>
    <w:rsid w:val="00441276"/>
    <w:rsid w:val="0044131F"/>
    <w:rsid w:val="00441887"/>
    <w:rsid w:val="004419D2"/>
    <w:rsid w:val="00441DCE"/>
    <w:rsid w:val="00442FB0"/>
    <w:rsid w:val="00443079"/>
    <w:rsid w:val="004433BC"/>
    <w:rsid w:val="004436BA"/>
    <w:rsid w:val="004440F6"/>
    <w:rsid w:val="004441AC"/>
    <w:rsid w:val="004446AF"/>
    <w:rsid w:val="00444D16"/>
    <w:rsid w:val="00445350"/>
    <w:rsid w:val="004456B5"/>
    <w:rsid w:val="00445A20"/>
    <w:rsid w:val="0044600E"/>
    <w:rsid w:val="004463BF"/>
    <w:rsid w:val="0044643F"/>
    <w:rsid w:val="00446BAC"/>
    <w:rsid w:val="00450058"/>
    <w:rsid w:val="0045073E"/>
    <w:rsid w:val="00450C94"/>
    <w:rsid w:val="00450F47"/>
    <w:rsid w:val="00451B83"/>
    <w:rsid w:val="00451F75"/>
    <w:rsid w:val="0045322A"/>
    <w:rsid w:val="00453914"/>
    <w:rsid w:val="00453D5C"/>
    <w:rsid w:val="00453E80"/>
    <w:rsid w:val="0045406C"/>
    <w:rsid w:val="0045463C"/>
    <w:rsid w:val="004548EA"/>
    <w:rsid w:val="00454F89"/>
    <w:rsid w:val="00455861"/>
    <w:rsid w:val="004568D9"/>
    <w:rsid w:val="00456D40"/>
    <w:rsid w:val="004571CE"/>
    <w:rsid w:val="00457673"/>
    <w:rsid w:val="0045799D"/>
    <w:rsid w:val="00457D0B"/>
    <w:rsid w:val="00457DD7"/>
    <w:rsid w:val="004603FE"/>
    <w:rsid w:val="0046048D"/>
    <w:rsid w:val="004606C5"/>
    <w:rsid w:val="0046075D"/>
    <w:rsid w:val="00460FC2"/>
    <w:rsid w:val="00461A09"/>
    <w:rsid w:val="00461C8D"/>
    <w:rsid w:val="00461FF4"/>
    <w:rsid w:val="004623EA"/>
    <w:rsid w:val="004630B3"/>
    <w:rsid w:val="004633E2"/>
    <w:rsid w:val="00463C28"/>
    <w:rsid w:val="0046440D"/>
    <w:rsid w:val="0046461A"/>
    <w:rsid w:val="00464D28"/>
    <w:rsid w:val="00464E87"/>
    <w:rsid w:val="00465715"/>
    <w:rsid w:val="0046692E"/>
    <w:rsid w:val="00467309"/>
    <w:rsid w:val="00467AF0"/>
    <w:rsid w:val="0047012A"/>
    <w:rsid w:val="00470553"/>
    <w:rsid w:val="004708E2"/>
    <w:rsid w:val="00470A2E"/>
    <w:rsid w:val="00470E62"/>
    <w:rsid w:val="004710B4"/>
    <w:rsid w:val="00471469"/>
    <w:rsid w:val="00473454"/>
    <w:rsid w:val="004738ED"/>
    <w:rsid w:val="004743AC"/>
    <w:rsid w:val="00474465"/>
    <w:rsid w:val="0047456A"/>
    <w:rsid w:val="00474D93"/>
    <w:rsid w:val="00475259"/>
    <w:rsid w:val="004758B1"/>
    <w:rsid w:val="00475B12"/>
    <w:rsid w:val="00476204"/>
    <w:rsid w:val="004774BA"/>
    <w:rsid w:val="00477569"/>
    <w:rsid w:val="00477AF7"/>
    <w:rsid w:val="004813F5"/>
    <w:rsid w:val="00481B9D"/>
    <w:rsid w:val="004822AE"/>
    <w:rsid w:val="004823D4"/>
    <w:rsid w:val="0048296D"/>
    <w:rsid w:val="00482A8A"/>
    <w:rsid w:val="00483F77"/>
    <w:rsid w:val="0048408C"/>
    <w:rsid w:val="00484135"/>
    <w:rsid w:val="0048430E"/>
    <w:rsid w:val="004848EC"/>
    <w:rsid w:val="00484B91"/>
    <w:rsid w:val="00485EC9"/>
    <w:rsid w:val="004864E9"/>
    <w:rsid w:val="00487107"/>
    <w:rsid w:val="00487CD3"/>
    <w:rsid w:val="0049008F"/>
    <w:rsid w:val="00490306"/>
    <w:rsid w:val="0049055F"/>
    <w:rsid w:val="004911AF"/>
    <w:rsid w:val="00491A06"/>
    <w:rsid w:val="00492591"/>
    <w:rsid w:val="00492637"/>
    <w:rsid w:val="004939B4"/>
    <w:rsid w:val="00493E2A"/>
    <w:rsid w:val="00494843"/>
    <w:rsid w:val="004948AF"/>
    <w:rsid w:val="00495A1B"/>
    <w:rsid w:val="00495D85"/>
    <w:rsid w:val="0049648B"/>
    <w:rsid w:val="0049652A"/>
    <w:rsid w:val="00496D96"/>
    <w:rsid w:val="004971B3"/>
    <w:rsid w:val="0049737E"/>
    <w:rsid w:val="004A0BD0"/>
    <w:rsid w:val="004A0F14"/>
    <w:rsid w:val="004A12CE"/>
    <w:rsid w:val="004A1585"/>
    <w:rsid w:val="004A19F3"/>
    <w:rsid w:val="004A1F12"/>
    <w:rsid w:val="004A256B"/>
    <w:rsid w:val="004A2E71"/>
    <w:rsid w:val="004A3BD4"/>
    <w:rsid w:val="004A3E9B"/>
    <w:rsid w:val="004A41F7"/>
    <w:rsid w:val="004A512D"/>
    <w:rsid w:val="004A534A"/>
    <w:rsid w:val="004A5C1B"/>
    <w:rsid w:val="004A5D9F"/>
    <w:rsid w:val="004A6677"/>
    <w:rsid w:val="004A77F1"/>
    <w:rsid w:val="004A7BF8"/>
    <w:rsid w:val="004B0814"/>
    <w:rsid w:val="004B0F3E"/>
    <w:rsid w:val="004B15A2"/>
    <w:rsid w:val="004B1F38"/>
    <w:rsid w:val="004B2E30"/>
    <w:rsid w:val="004B3221"/>
    <w:rsid w:val="004B3396"/>
    <w:rsid w:val="004B36DB"/>
    <w:rsid w:val="004B460E"/>
    <w:rsid w:val="004B4AF3"/>
    <w:rsid w:val="004B4F2F"/>
    <w:rsid w:val="004B62E1"/>
    <w:rsid w:val="004B66A7"/>
    <w:rsid w:val="004B69DC"/>
    <w:rsid w:val="004B70A6"/>
    <w:rsid w:val="004B713C"/>
    <w:rsid w:val="004B7862"/>
    <w:rsid w:val="004B7A8E"/>
    <w:rsid w:val="004B7D35"/>
    <w:rsid w:val="004C031B"/>
    <w:rsid w:val="004C0F7B"/>
    <w:rsid w:val="004C1C56"/>
    <w:rsid w:val="004C2B34"/>
    <w:rsid w:val="004C2B92"/>
    <w:rsid w:val="004C338E"/>
    <w:rsid w:val="004C366C"/>
    <w:rsid w:val="004C3ABC"/>
    <w:rsid w:val="004C3AD6"/>
    <w:rsid w:val="004C41FA"/>
    <w:rsid w:val="004C4444"/>
    <w:rsid w:val="004C44D9"/>
    <w:rsid w:val="004C459B"/>
    <w:rsid w:val="004C4C4C"/>
    <w:rsid w:val="004C58B0"/>
    <w:rsid w:val="004C6990"/>
    <w:rsid w:val="004C6E2C"/>
    <w:rsid w:val="004C76D5"/>
    <w:rsid w:val="004C7EEB"/>
    <w:rsid w:val="004D2010"/>
    <w:rsid w:val="004D2732"/>
    <w:rsid w:val="004D2951"/>
    <w:rsid w:val="004D2BF4"/>
    <w:rsid w:val="004D33C8"/>
    <w:rsid w:val="004D3562"/>
    <w:rsid w:val="004D361D"/>
    <w:rsid w:val="004D4069"/>
    <w:rsid w:val="004D40EA"/>
    <w:rsid w:val="004D4344"/>
    <w:rsid w:val="004D4773"/>
    <w:rsid w:val="004D5516"/>
    <w:rsid w:val="004D57B5"/>
    <w:rsid w:val="004D6A5B"/>
    <w:rsid w:val="004D6C1B"/>
    <w:rsid w:val="004D6CD7"/>
    <w:rsid w:val="004D7A24"/>
    <w:rsid w:val="004D7BA1"/>
    <w:rsid w:val="004E0B4D"/>
    <w:rsid w:val="004E0D25"/>
    <w:rsid w:val="004E0DE2"/>
    <w:rsid w:val="004E2C3B"/>
    <w:rsid w:val="004E302C"/>
    <w:rsid w:val="004E3175"/>
    <w:rsid w:val="004E335E"/>
    <w:rsid w:val="004E36A7"/>
    <w:rsid w:val="004E36BC"/>
    <w:rsid w:val="004E46CD"/>
    <w:rsid w:val="004E4C36"/>
    <w:rsid w:val="004E4D92"/>
    <w:rsid w:val="004E5A04"/>
    <w:rsid w:val="004E622D"/>
    <w:rsid w:val="004E7BDF"/>
    <w:rsid w:val="004F024D"/>
    <w:rsid w:val="004F0456"/>
    <w:rsid w:val="004F0833"/>
    <w:rsid w:val="004F0A4D"/>
    <w:rsid w:val="004F143C"/>
    <w:rsid w:val="004F1F89"/>
    <w:rsid w:val="004F226B"/>
    <w:rsid w:val="004F24BB"/>
    <w:rsid w:val="004F2F60"/>
    <w:rsid w:val="004F3131"/>
    <w:rsid w:val="004F371E"/>
    <w:rsid w:val="004F4099"/>
    <w:rsid w:val="004F44E2"/>
    <w:rsid w:val="004F52F2"/>
    <w:rsid w:val="004F57FF"/>
    <w:rsid w:val="004F5A3A"/>
    <w:rsid w:val="004F648B"/>
    <w:rsid w:val="004F7AB2"/>
    <w:rsid w:val="004F7B8B"/>
    <w:rsid w:val="004F7BB1"/>
    <w:rsid w:val="00500D93"/>
    <w:rsid w:val="00500F2B"/>
    <w:rsid w:val="00501CC4"/>
    <w:rsid w:val="00502963"/>
    <w:rsid w:val="00502D2D"/>
    <w:rsid w:val="0050315B"/>
    <w:rsid w:val="00503322"/>
    <w:rsid w:val="00504105"/>
    <w:rsid w:val="005043CB"/>
    <w:rsid w:val="005049B4"/>
    <w:rsid w:val="00504A86"/>
    <w:rsid w:val="00506100"/>
    <w:rsid w:val="00506AF4"/>
    <w:rsid w:val="00506B35"/>
    <w:rsid w:val="00507A52"/>
    <w:rsid w:val="00507E1C"/>
    <w:rsid w:val="00510AD3"/>
    <w:rsid w:val="00510BEC"/>
    <w:rsid w:val="00510DE7"/>
    <w:rsid w:val="0051154C"/>
    <w:rsid w:val="00511F3D"/>
    <w:rsid w:val="005126CE"/>
    <w:rsid w:val="00512E4E"/>
    <w:rsid w:val="005131A5"/>
    <w:rsid w:val="0051344D"/>
    <w:rsid w:val="0051345C"/>
    <w:rsid w:val="005136AF"/>
    <w:rsid w:val="00514024"/>
    <w:rsid w:val="005140D4"/>
    <w:rsid w:val="0051460A"/>
    <w:rsid w:val="00514664"/>
    <w:rsid w:val="005146F7"/>
    <w:rsid w:val="005153D4"/>
    <w:rsid w:val="005159D6"/>
    <w:rsid w:val="00516123"/>
    <w:rsid w:val="00516421"/>
    <w:rsid w:val="00516930"/>
    <w:rsid w:val="00516AAD"/>
    <w:rsid w:val="00516DE7"/>
    <w:rsid w:val="005171DB"/>
    <w:rsid w:val="005171F6"/>
    <w:rsid w:val="00517FFA"/>
    <w:rsid w:val="005203A0"/>
    <w:rsid w:val="005224EB"/>
    <w:rsid w:val="00522FAF"/>
    <w:rsid w:val="00523767"/>
    <w:rsid w:val="00523947"/>
    <w:rsid w:val="00523A4E"/>
    <w:rsid w:val="00523B4F"/>
    <w:rsid w:val="005240CB"/>
    <w:rsid w:val="005249B4"/>
    <w:rsid w:val="00524B0A"/>
    <w:rsid w:val="0052664F"/>
    <w:rsid w:val="00526778"/>
    <w:rsid w:val="00526DD9"/>
    <w:rsid w:val="005271DC"/>
    <w:rsid w:val="00527396"/>
    <w:rsid w:val="005274E1"/>
    <w:rsid w:val="00530858"/>
    <w:rsid w:val="005312FF"/>
    <w:rsid w:val="00531D0E"/>
    <w:rsid w:val="005328F7"/>
    <w:rsid w:val="00532BE0"/>
    <w:rsid w:val="0053347C"/>
    <w:rsid w:val="005334A3"/>
    <w:rsid w:val="00533AB6"/>
    <w:rsid w:val="00533B58"/>
    <w:rsid w:val="005358BC"/>
    <w:rsid w:val="00535E29"/>
    <w:rsid w:val="00535E53"/>
    <w:rsid w:val="005365E6"/>
    <w:rsid w:val="00536712"/>
    <w:rsid w:val="00536810"/>
    <w:rsid w:val="005373C4"/>
    <w:rsid w:val="00537B0E"/>
    <w:rsid w:val="0054023B"/>
    <w:rsid w:val="005416F9"/>
    <w:rsid w:val="00541CEF"/>
    <w:rsid w:val="00541FCB"/>
    <w:rsid w:val="005427D3"/>
    <w:rsid w:val="00543388"/>
    <w:rsid w:val="005435B7"/>
    <w:rsid w:val="00543919"/>
    <w:rsid w:val="005439A4"/>
    <w:rsid w:val="00543B01"/>
    <w:rsid w:val="00543D48"/>
    <w:rsid w:val="00543FE8"/>
    <w:rsid w:val="00545D9D"/>
    <w:rsid w:val="005460F3"/>
    <w:rsid w:val="00546350"/>
    <w:rsid w:val="005468D6"/>
    <w:rsid w:val="005469F9"/>
    <w:rsid w:val="0054745A"/>
    <w:rsid w:val="005478BC"/>
    <w:rsid w:val="005502DC"/>
    <w:rsid w:val="00550487"/>
    <w:rsid w:val="00550D68"/>
    <w:rsid w:val="0055100C"/>
    <w:rsid w:val="00551481"/>
    <w:rsid w:val="00551D1E"/>
    <w:rsid w:val="00551ECD"/>
    <w:rsid w:val="0055218C"/>
    <w:rsid w:val="0055289E"/>
    <w:rsid w:val="00552B15"/>
    <w:rsid w:val="00553337"/>
    <w:rsid w:val="00553C34"/>
    <w:rsid w:val="00554974"/>
    <w:rsid w:val="00554D23"/>
    <w:rsid w:val="00555148"/>
    <w:rsid w:val="00557568"/>
    <w:rsid w:val="00557B64"/>
    <w:rsid w:val="00560052"/>
    <w:rsid w:val="005601B3"/>
    <w:rsid w:val="00560679"/>
    <w:rsid w:val="005607B8"/>
    <w:rsid w:val="00561973"/>
    <w:rsid w:val="00561B2A"/>
    <w:rsid w:val="005621D1"/>
    <w:rsid w:val="00562D9F"/>
    <w:rsid w:val="00562DB4"/>
    <w:rsid w:val="00562EEA"/>
    <w:rsid w:val="005637E1"/>
    <w:rsid w:val="00563FD0"/>
    <w:rsid w:val="00564072"/>
    <w:rsid w:val="0056474B"/>
    <w:rsid w:val="00564EBC"/>
    <w:rsid w:val="0056508D"/>
    <w:rsid w:val="005658DF"/>
    <w:rsid w:val="00565BFA"/>
    <w:rsid w:val="00567531"/>
    <w:rsid w:val="005712DD"/>
    <w:rsid w:val="005719DB"/>
    <w:rsid w:val="00571A3E"/>
    <w:rsid w:val="00571FA3"/>
    <w:rsid w:val="005722B3"/>
    <w:rsid w:val="0057298B"/>
    <w:rsid w:val="00572AB0"/>
    <w:rsid w:val="005730B0"/>
    <w:rsid w:val="0057313F"/>
    <w:rsid w:val="0057322F"/>
    <w:rsid w:val="005739C1"/>
    <w:rsid w:val="00574A82"/>
    <w:rsid w:val="00574BFA"/>
    <w:rsid w:val="00575965"/>
    <w:rsid w:val="005760E5"/>
    <w:rsid w:val="0057704F"/>
    <w:rsid w:val="005771C1"/>
    <w:rsid w:val="005801A3"/>
    <w:rsid w:val="0058078A"/>
    <w:rsid w:val="0058090D"/>
    <w:rsid w:val="00580A16"/>
    <w:rsid w:val="00581045"/>
    <w:rsid w:val="005812B0"/>
    <w:rsid w:val="005815C4"/>
    <w:rsid w:val="00581931"/>
    <w:rsid w:val="005824B0"/>
    <w:rsid w:val="0058293C"/>
    <w:rsid w:val="00583890"/>
    <w:rsid w:val="00584C65"/>
    <w:rsid w:val="00585203"/>
    <w:rsid w:val="00586CCE"/>
    <w:rsid w:val="00586CD1"/>
    <w:rsid w:val="00587425"/>
    <w:rsid w:val="00587ED1"/>
    <w:rsid w:val="00590086"/>
    <w:rsid w:val="00590EB1"/>
    <w:rsid w:val="0059114F"/>
    <w:rsid w:val="00591477"/>
    <w:rsid w:val="00591D41"/>
    <w:rsid w:val="00592C4D"/>
    <w:rsid w:val="00592DC7"/>
    <w:rsid w:val="00592EAC"/>
    <w:rsid w:val="00593203"/>
    <w:rsid w:val="00593878"/>
    <w:rsid w:val="00593FEF"/>
    <w:rsid w:val="005944F3"/>
    <w:rsid w:val="00594DB7"/>
    <w:rsid w:val="00594FDB"/>
    <w:rsid w:val="0059674E"/>
    <w:rsid w:val="005968E5"/>
    <w:rsid w:val="00596927"/>
    <w:rsid w:val="00596D29"/>
    <w:rsid w:val="005978B8"/>
    <w:rsid w:val="00597EA2"/>
    <w:rsid w:val="005A022C"/>
    <w:rsid w:val="005A0578"/>
    <w:rsid w:val="005A05F5"/>
    <w:rsid w:val="005A07DB"/>
    <w:rsid w:val="005A1766"/>
    <w:rsid w:val="005A17E2"/>
    <w:rsid w:val="005A18C6"/>
    <w:rsid w:val="005A18FA"/>
    <w:rsid w:val="005A1B29"/>
    <w:rsid w:val="005A1C1C"/>
    <w:rsid w:val="005A1D6D"/>
    <w:rsid w:val="005A1EA3"/>
    <w:rsid w:val="005A2416"/>
    <w:rsid w:val="005A2BB5"/>
    <w:rsid w:val="005A31CF"/>
    <w:rsid w:val="005A3A63"/>
    <w:rsid w:val="005A3C4D"/>
    <w:rsid w:val="005A3D97"/>
    <w:rsid w:val="005A551B"/>
    <w:rsid w:val="005A5583"/>
    <w:rsid w:val="005A5A82"/>
    <w:rsid w:val="005A72E1"/>
    <w:rsid w:val="005A7C07"/>
    <w:rsid w:val="005B04E7"/>
    <w:rsid w:val="005B0E3D"/>
    <w:rsid w:val="005B1B73"/>
    <w:rsid w:val="005B1EEA"/>
    <w:rsid w:val="005B2BC5"/>
    <w:rsid w:val="005B32B3"/>
    <w:rsid w:val="005B4216"/>
    <w:rsid w:val="005B4501"/>
    <w:rsid w:val="005B5010"/>
    <w:rsid w:val="005B5446"/>
    <w:rsid w:val="005B5E29"/>
    <w:rsid w:val="005B5E65"/>
    <w:rsid w:val="005B6661"/>
    <w:rsid w:val="005B6C42"/>
    <w:rsid w:val="005B732C"/>
    <w:rsid w:val="005B7AB3"/>
    <w:rsid w:val="005B7D64"/>
    <w:rsid w:val="005B7EA1"/>
    <w:rsid w:val="005C08C3"/>
    <w:rsid w:val="005C1305"/>
    <w:rsid w:val="005C1527"/>
    <w:rsid w:val="005C1994"/>
    <w:rsid w:val="005C1B9B"/>
    <w:rsid w:val="005C250F"/>
    <w:rsid w:val="005C2831"/>
    <w:rsid w:val="005C33D2"/>
    <w:rsid w:val="005C3700"/>
    <w:rsid w:val="005C43CA"/>
    <w:rsid w:val="005C4552"/>
    <w:rsid w:val="005C458C"/>
    <w:rsid w:val="005C4E80"/>
    <w:rsid w:val="005C51E6"/>
    <w:rsid w:val="005C58B7"/>
    <w:rsid w:val="005C58DC"/>
    <w:rsid w:val="005C5A79"/>
    <w:rsid w:val="005C5F14"/>
    <w:rsid w:val="005C60DD"/>
    <w:rsid w:val="005C61BF"/>
    <w:rsid w:val="005C66DC"/>
    <w:rsid w:val="005C6A5D"/>
    <w:rsid w:val="005C761E"/>
    <w:rsid w:val="005C76B0"/>
    <w:rsid w:val="005C7955"/>
    <w:rsid w:val="005C7AB6"/>
    <w:rsid w:val="005C7C2D"/>
    <w:rsid w:val="005D0151"/>
    <w:rsid w:val="005D0AD7"/>
    <w:rsid w:val="005D1015"/>
    <w:rsid w:val="005D1613"/>
    <w:rsid w:val="005D1AC7"/>
    <w:rsid w:val="005D2610"/>
    <w:rsid w:val="005D2B3B"/>
    <w:rsid w:val="005D3047"/>
    <w:rsid w:val="005D3448"/>
    <w:rsid w:val="005D4793"/>
    <w:rsid w:val="005D51A7"/>
    <w:rsid w:val="005D5978"/>
    <w:rsid w:val="005D5A01"/>
    <w:rsid w:val="005D5C15"/>
    <w:rsid w:val="005D5CD7"/>
    <w:rsid w:val="005D6AB0"/>
    <w:rsid w:val="005D7028"/>
    <w:rsid w:val="005D70D0"/>
    <w:rsid w:val="005D7723"/>
    <w:rsid w:val="005D7877"/>
    <w:rsid w:val="005D78BC"/>
    <w:rsid w:val="005E0BCD"/>
    <w:rsid w:val="005E158B"/>
    <w:rsid w:val="005E1664"/>
    <w:rsid w:val="005E16CD"/>
    <w:rsid w:val="005E1D1E"/>
    <w:rsid w:val="005E1E8B"/>
    <w:rsid w:val="005E2756"/>
    <w:rsid w:val="005E298C"/>
    <w:rsid w:val="005E2D95"/>
    <w:rsid w:val="005E2DCA"/>
    <w:rsid w:val="005E2EB3"/>
    <w:rsid w:val="005E395B"/>
    <w:rsid w:val="005E3B6D"/>
    <w:rsid w:val="005E509E"/>
    <w:rsid w:val="005E52BF"/>
    <w:rsid w:val="005E55C3"/>
    <w:rsid w:val="005E7D60"/>
    <w:rsid w:val="005F0239"/>
    <w:rsid w:val="005F1455"/>
    <w:rsid w:val="005F2116"/>
    <w:rsid w:val="005F2C5F"/>
    <w:rsid w:val="005F304B"/>
    <w:rsid w:val="005F341E"/>
    <w:rsid w:val="005F3597"/>
    <w:rsid w:val="005F3727"/>
    <w:rsid w:val="005F3E05"/>
    <w:rsid w:val="005F3ED1"/>
    <w:rsid w:val="005F411C"/>
    <w:rsid w:val="005F4AD8"/>
    <w:rsid w:val="005F6171"/>
    <w:rsid w:val="005F6748"/>
    <w:rsid w:val="005F6E46"/>
    <w:rsid w:val="005F718E"/>
    <w:rsid w:val="005F7320"/>
    <w:rsid w:val="005F74D4"/>
    <w:rsid w:val="00600F1B"/>
    <w:rsid w:val="00601032"/>
    <w:rsid w:val="0060173F"/>
    <w:rsid w:val="006022EB"/>
    <w:rsid w:val="006023B3"/>
    <w:rsid w:val="006033E2"/>
    <w:rsid w:val="006035F7"/>
    <w:rsid w:val="006037B6"/>
    <w:rsid w:val="00603A0C"/>
    <w:rsid w:val="00604118"/>
    <w:rsid w:val="0060457E"/>
    <w:rsid w:val="006052CC"/>
    <w:rsid w:val="006057FD"/>
    <w:rsid w:val="006059FA"/>
    <w:rsid w:val="00606A2B"/>
    <w:rsid w:val="00606BBF"/>
    <w:rsid w:val="00606FB1"/>
    <w:rsid w:val="006070E9"/>
    <w:rsid w:val="0060730E"/>
    <w:rsid w:val="00607505"/>
    <w:rsid w:val="00607A65"/>
    <w:rsid w:val="00607B08"/>
    <w:rsid w:val="00607B29"/>
    <w:rsid w:val="00607E14"/>
    <w:rsid w:val="00607E35"/>
    <w:rsid w:val="00610BD8"/>
    <w:rsid w:val="00610DC1"/>
    <w:rsid w:val="00611014"/>
    <w:rsid w:val="00611DEB"/>
    <w:rsid w:val="00611F7D"/>
    <w:rsid w:val="00611FC9"/>
    <w:rsid w:val="006139C3"/>
    <w:rsid w:val="00614DBF"/>
    <w:rsid w:val="00617391"/>
    <w:rsid w:val="00617536"/>
    <w:rsid w:val="00617C26"/>
    <w:rsid w:val="0062019B"/>
    <w:rsid w:val="006206A9"/>
    <w:rsid w:val="00620D29"/>
    <w:rsid w:val="00620EC7"/>
    <w:rsid w:val="00621104"/>
    <w:rsid w:val="00621189"/>
    <w:rsid w:val="0062147E"/>
    <w:rsid w:val="006214AC"/>
    <w:rsid w:val="0062158A"/>
    <w:rsid w:val="00621866"/>
    <w:rsid w:val="00621C42"/>
    <w:rsid w:val="00621D58"/>
    <w:rsid w:val="00622B4B"/>
    <w:rsid w:val="00622E2D"/>
    <w:rsid w:val="00622F46"/>
    <w:rsid w:val="0062305D"/>
    <w:rsid w:val="00623990"/>
    <w:rsid w:val="00623D5E"/>
    <w:rsid w:val="00623FD0"/>
    <w:rsid w:val="006256ED"/>
    <w:rsid w:val="0062602E"/>
    <w:rsid w:val="00627E62"/>
    <w:rsid w:val="00630B63"/>
    <w:rsid w:val="006319DA"/>
    <w:rsid w:val="00632453"/>
    <w:rsid w:val="006324BB"/>
    <w:rsid w:val="006325D9"/>
    <w:rsid w:val="00632869"/>
    <w:rsid w:val="00632F09"/>
    <w:rsid w:val="006333DB"/>
    <w:rsid w:val="006345C2"/>
    <w:rsid w:val="00634BBA"/>
    <w:rsid w:val="00634BF3"/>
    <w:rsid w:val="00634DE4"/>
    <w:rsid w:val="00635A77"/>
    <w:rsid w:val="00635BFB"/>
    <w:rsid w:val="00635E9F"/>
    <w:rsid w:val="006363FE"/>
    <w:rsid w:val="0063641E"/>
    <w:rsid w:val="006377C9"/>
    <w:rsid w:val="006379C7"/>
    <w:rsid w:val="00637BEC"/>
    <w:rsid w:val="006405DD"/>
    <w:rsid w:val="00640C92"/>
    <w:rsid w:val="006415DB"/>
    <w:rsid w:val="00642661"/>
    <w:rsid w:val="00642AC2"/>
    <w:rsid w:val="00642FCB"/>
    <w:rsid w:val="00642FF1"/>
    <w:rsid w:val="006431A4"/>
    <w:rsid w:val="00643D6E"/>
    <w:rsid w:val="0064483B"/>
    <w:rsid w:val="00645574"/>
    <w:rsid w:val="00646052"/>
    <w:rsid w:val="00646143"/>
    <w:rsid w:val="00650066"/>
    <w:rsid w:val="00650441"/>
    <w:rsid w:val="006504DB"/>
    <w:rsid w:val="0065068D"/>
    <w:rsid w:val="0065078E"/>
    <w:rsid w:val="006508FC"/>
    <w:rsid w:val="00651719"/>
    <w:rsid w:val="006518BB"/>
    <w:rsid w:val="0065216D"/>
    <w:rsid w:val="00652DF5"/>
    <w:rsid w:val="00653B4E"/>
    <w:rsid w:val="00653B9B"/>
    <w:rsid w:val="006541D7"/>
    <w:rsid w:val="006548FF"/>
    <w:rsid w:val="00655007"/>
    <w:rsid w:val="006553B9"/>
    <w:rsid w:val="00655687"/>
    <w:rsid w:val="006561C7"/>
    <w:rsid w:val="00656B6C"/>
    <w:rsid w:val="00657AD7"/>
    <w:rsid w:val="00657F75"/>
    <w:rsid w:val="00660035"/>
    <w:rsid w:val="00660181"/>
    <w:rsid w:val="00660979"/>
    <w:rsid w:val="00661551"/>
    <w:rsid w:val="006617F3"/>
    <w:rsid w:val="00661B3D"/>
    <w:rsid w:val="00662218"/>
    <w:rsid w:val="00662984"/>
    <w:rsid w:val="00662C70"/>
    <w:rsid w:val="00663516"/>
    <w:rsid w:val="0066378E"/>
    <w:rsid w:val="00663F72"/>
    <w:rsid w:val="0066438D"/>
    <w:rsid w:val="00664AB9"/>
    <w:rsid w:val="00664FD8"/>
    <w:rsid w:val="00665883"/>
    <w:rsid w:val="00665CFE"/>
    <w:rsid w:val="00665DA8"/>
    <w:rsid w:val="00666120"/>
    <w:rsid w:val="00666157"/>
    <w:rsid w:val="006668E0"/>
    <w:rsid w:val="00666ECF"/>
    <w:rsid w:val="0066714F"/>
    <w:rsid w:val="00667364"/>
    <w:rsid w:val="0067138C"/>
    <w:rsid w:val="0067149F"/>
    <w:rsid w:val="006715FE"/>
    <w:rsid w:val="0067160D"/>
    <w:rsid w:val="006720F5"/>
    <w:rsid w:val="00672CAC"/>
    <w:rsid w:val="00674259"/>
    <w:rsid w:val="00675A34"/>
    <w:rsid w:val="00675ED6"/>
    <w:rsid w:val="006765F1"/>
    <w:rsid w:val="00676F26"/>
    <w:rsid w:val="00677265"/>
    <w:rsid w:val="00677432"/>
    <w:rsid w:val="00677686"/>
    <w:rsid w:val="0067785F"/>
    <w:rsid w:val="00677DEA"/>
    <w:rsid w:val="0068025D"/>
    <w:rsid w:val="00680C06"/>
    <w:rsid w:val="00680CCB"/>
    <w:rsid w:val="006815D3"/>
    <w:rsid w:val="00681769"/>
    <w:rsid w:val="00681D9F"/>
    <w:rsid w:val="0068216B"/>
    <w:rsid w:val="00682554"/>
    <w:rsid w:val="00682793"/>
    <w:rsid w:val="00682883"/>
    <w:rsid w:val="006829F8"/>
    <w:rsid w:val="00682D09"/>
    <w:rsid w:val="00683996"/>
    <w:rsid w:val="0068399F"/>
    <w:rsid w:val="00684083"/>
    <w:rsid w:val="0068483A"/>
    <w:rsid w:val="00685579"/>
    <w:rsid w:val="00685A26"/>
    <w:rsid w:val="00685DE7"/>
    <w:rsid w:val="00686477"/>
    <w:rsid w:val="00686514"/>
    <w:rsid w:val="0068652D"/>
    <w:rsid w:val="00686554"/>
    <w:rsid w:val="00686ED0"/>
    <w:rsid w:val="00687007"/>
    <w:rsid w:val="0069021D"/>
    <w:rsid w:val="00690231"/>
    <w:rsid w:val="00690987"/>
    <w:rsid w:val="00692241"/>
    <w:rsid w:val="0069335A"/>
    <w:rsid w:val="00693B3A"/>
    <w:rsid w:val="00693DF4"/>
    <w:rsid w:val="006941E9"/>
    <w:rsid w:val="006942B3"/>
    <w:rsid w:val="006942C7"/>
    <w:rsid w:val="0069467C"/>
    <w:rsid w:val="00695229"/>
    <w:rsid w:val="00695293"/>
    <w:rsid w:val="006953F1"/>
    <w:rsid w:val="0069542B"/>
    <w:rsid w:val="006957AB"/>
    <w:rsid w:val="00695D50"/>
    <w:rsid w:val="00696002"/>
    <w:rsid w:val="0069663D"/>
    <w:rsid w:val="006978C3"/>
    <w:rsid w:val="00697AF7"/>
    <w:rsid w:val="00697DAB"/>
    <w:rsid w:val="006A0101"/>
    <w:rsid w:val="006A0984"/>
    <w:rsid w:val="006A1753"/>
    <w:rsid w:val="006A1C25"/>
    <w:rsid w:val="006A23B2"/>
    <w:rsid w:val="006A2EBA"/>
    <w:rsid w:val="006A3274"/>
    <w:rsid w:val="006A32A5"/>
    <w:rsid w:val="006A3628"/>
    <w:rsid w:val="006A509A"/>
    <w:rsid w:val="006A54A4"/>
    <w:rsid w:val="006A6345"/>
    <w:rsid w:val="006A6DBE"/>
    <w:rsid w:val="006A6DFB"/>
    <w:rsid w:val="006A736E"/>
    <w:rsid w:val="006A7571"/>
    <w:rsid w:val="006A7601"/>
    <w:rsid w:val="006A7C73"/>
    <w:rsid w:val="006A7FA7"/>
    <w:rsid w:val="006B0084"/>
    <w:rsid w:val="006B0624"/>
    <w:rsid w:val="006B0F26"/>
    <w:rsid w:val="006B1F66"/>
    <w:rsid w:val="006B208C"/>
    <w:rsid w:val="006B231B"/>
    <w:rsid w:val="006B2800"/>
    <w:rsid w:val="006B2C77"/>
    <w:rsid w:val="006B4AD5"/>
    <w:rsid w:val="006B691B"/>
    <w:rsid w:val="006B7346"/>
    <w:rsid w:val="006B7854"/>
    <w:rsid w:val="006C0AC1"/>
    <w:rsid w:val="006C2209"/>
    <w:rsid w:val="006C23A8"/>
    <w:rsid w:val="006C24AA"/>
    <w:rsid w:val="006C24C4"/>
    <w:rsid w:val="006C3359"/>
    <w:rsid w:val="006C34CF"/>
    <w:rsid w:val="006C36D2"/>
    <w:rsid w:val="006C3CF3"/>
    <w:rsid w:val="006C3EF0"/>
    <w:rsid w:val="006C4094"/>
    <w:rsid w:val="006C4E1D"/>
    <w:rsid w:val="006C4E38"/>
    <w:rsid w:val="006C4F72"/>
    <w:rsid w:val="006C52C3"/>
    <w:rsid w:val="006C5A2B"/>
    <w:rsid w:val="006C62F2"/>
    <w:rsid w:val="006C6458"/>
    <w:rsid w:val="006C7010"/>
    <w:rsid w:val="006C7418"/>
    <w:rsid w:val="006C79C4"/>
    <w:rsid w:val="006C7B45"/>
    <w:rsid w:val="006C7D5D"/>
    <w:rsid w:val="006D0648"/>
    <w:rsid w:val="006D0BF8"/>
    <w:rsid w:val="006D1560"/>
    <w:rsid w:val="006D176D"/>
    <w:rsid w:val="006D17E0"/>
    <w:rsid w:val="006D1C3B"/>
    <w:rsid w:val="006D3105"/>
    <w:rsid w:val="006D39BB"/>
    <w:rsid w:val="006D475B"/>
    <w:rsid w:val="006D52DC"/>
    <w:rsid w:val="006D6F8F"/>
    <w:rsid w:val="006D766A"/>
    <w:rsid w:val="006E0C1A"/>
    <w:rsid w:val="006E0E96"/>
    <w:rsid w:val="006E11FA"/>
    <w:rsid w:val="006E14ED"/>
    <w:rsid w:val="006E1728"/>
    <w:rsid w:val="006E18AF"/>
    <w:rsid w:val="006E231B"/>
    <w:rsid w:val="006E2C01"/>
    <w:rsid w:val="006E32D2"/>
    <w:rsid w:val="006E3D0B"/>
    <w:rsid w:val="006E559D"/>
    <w:rsid w:val="006E59A3"/>
    <w:rsid w:val="006E6213"/>
    <w:rsid w:val="006E6C12"/>
    <w:rsid w:val="006E6F40"/>
    <w:rsid w:val="006E6F66"/>
    <w:rsid w:val="006E7532"/>
    <w:rsid w:val="006F1EEC"/>
    <w:rsid w:val="006F2666"/>
    <w:rsid w:val="006F2B84"/>
    <w:rsid w:val="006F2D2B"/>
    <w:rsid w:val="006F35DA"/>
    <w:rsid w:val="006F375A"/>
    <w:rsid w:val="006F3A4F"/>
    <w:rsid w:val="006F4559"/>
    <w:rsid w:val="006F517D"/>
    <w:rsid w:val="006F590F"/>
    <w:rsid w:val="006F5DF6"/>
    <w:rsid w:val="006F70E2"/>
    <w:rsid w:val="006F7FA2"/>
    <w:rsid w:val="007002BC"/>
    <w:rsid w:val="0070070A"/>
    <w:rsid w:val="0070077B"/>
    <w:rsid w:val="00700F36"/>
    <w:rsid w:val="00701415"/>
    <w:rsid w:val="00701C7B"/>
    <w:rsid w:val="00702019"/>
    <w:rsid w:val="0070260A"/>
    <w:rsid w:val="0070262D"/>
    <w:rsid w:val="0070277A"/>
    <w:rsid w:val="007027E6"/>
    <w:rsid w:val="00702BA3"/>
    <w:rsid w:val="007030BD"/>
    <w:rsid w:val="0070321A"/>
    <w:rsid w:val="00703901"/>
    <w:rsid w:val="00703A52"/>
    <w:rsid w:val="00703BCC"/>
    <w:rsid w:val="007044B8"/>
    <w:rsid w:val="00704503"/>
    <w:rsid w:val="00704A6D"/>
    <w:rsid w:val="00704A9C"/>
    <w:rsid w:val="00704D36"/>
    <w:rsid w:val="007053B8"/>
    <w:rsid w:val="007056E4"/>
    <w:rsid w:val="00705BD1"/>
    <w:rsid w:val="00705BDE"/>
    <w:rsid w:val="00705E22"/>
    <w:rsid w:val="0070618B"/>
    <w:rsid w:val="00706612"/>
    <w:rsid w:val="007070FC"/>
    <w:rsid w:val="0070778E"/>
    <w:rsid w:val="00707AF6"/>
    <w:rsid w:val="007100B0"/>
    <w:rsid w:val="00710126"/>
    <w:rsid w:val="0071057A"/>
    <w:rsid w:val="00710A1F"/>
    <w:rsid w:val="007117F3"/>
    <w:rsid w:val="007122CF"/>
    <w:rsid w:val="00712FB1"/>
    <w:rsid w:val="007130B3"/>
    <w:rsid w:val="007130FC"/>
    <w:rsid w:val="007134C3"/>
    <w:rsid w:val="0071377F"/>
    <w:rsid w:val="007141C3"/>
    <w:rsid w:val="00714652"/>
    <w:rsid w:val="007149B0"/>
    <w:rsid w:val="00715465"/>
    <w:rsid w:val="00715951"/>
    <w:rsid w:val="00715B9F"/>
    <w:rsid w:val="00715F05"/>
    <w:rsid w:val="00715F34"/>
    <w:rsid w:val="007161A7"/>
    <w:rsid w:val="00716600"/>
    <w:rsid w:val="00717A80"/>
    <w:rsid w:val="00717CC5"/>
    <w:rsid w:val="00720045"/>
    <w:rsid w:val="00720154"/>
    <w:rsid w:val="007201FE"/>
    <w:rsid w:val="0072080B"/>
    <w:rsid w:val="00720DA1"/>
    <w:rsid w:val="00720DD9"/>
    <w:rsid w:val="00721071"/>
    <w:rsid w:val="00721608"/>
    <w:rsid w:val="00721A88"/>
    <w:rsid w:val="0072266B"/>
    <w:rsid w:val="00722A86"/>
    <w:rsid w:val="00723410"/>
    <w:rsid w:val="0072341C"/>
    <w:rsid w:val="00723793"/>
    <w:rsid w:val="007242C4"/>
    <w:rsid w:val="007243A4"/>
    <w:rsid w:val="00725338"/>
    <w:rsid w:val="00725591"/>
    <w:rsid w:val="007265B6"/>
    <w:rsid w:val="0072670B"/>
    <w:rsid w:val="00726A79"/>
    <w:rsid w:val="007272F1"/>
    <w:rsid w:val="00727F2B"/>
    <w:rsid w:val="007301E3"/>
    <w:rsid w:val="00730716"/>
    <w:rsid w:val="00730DA6"/>
    <w:rsid w:val="00730E2F"/>
    <w:rsid w:val="00730F32"/>
    <w:rsid w:val="007311CC"/>
    <w:rsid w:val="007313D7"/>
    <w:rsid w:val="00731966"/>
    <w:rsid w:val="00731EAA"/>
    <w:rsid w:val="00732013"/>
    <w:rsid w:val="00732A9B"/>
    <w:rsid w:val="00732C79"/>
    <w:rsid w:val="00732F83"/>
    <w:rsid w:val="00733003"/>
    <w:rsid w:val="00733791"/>
    <w:rsid w:val="00734D90"/>
    <w:rsid w:val="00734E4F"/>
    <w:rsid w:val="007354E3"/>
    <w:rsid w:val="00735561"/>
    <w:rsid w:val="00735D59"/>
    <w:rsid w:val="007377C9"/>
    <w:rsid w:val="00737DF9"/>
    <w:rsid w:val="00740039"/>
    <w:rsid w:val="007401B6"/>
    <w:rsid w:val="00741436"/>
    <w:rsid w:val="0074173D"/>
    <w:rsid w:val="00741998"/>
    <w:rsid w:val="007419EE"/>
    <w:rsid w:val="00742A4A"/>
    <w:rsid w:val="00742F5A"/>
    <w:rsid w:val="00743133"/>
    <w:rsid w:val="00743690"/>
    <w:rsid w:val="007443E2"/>
    <w:rsid w:val="00744572"/>
    <w:rsid w:val="0074460D"/>
    <w:rsid w:val="007448B6"/>
    <w:rsid w:val="00744A22"/>
    <w:rsid w:val="00744ABB"/>
    <w:rsid w:val="00744B21"/>
    <w:rsid w:val="00745173"/>
    <w:rsid w:val="0074585A"/>
    <w:rsid w:val="00745DB3"/>
    <w:rsid w:val="00746683"/>
    <w:rsid w:val="007466AB"/>
    <w:rsid w:val="00747920"/>
    <w:rsid w:val="007501D5"/>
    <w:rsid w:val="00750BA4"/>
    <w:rsid w:val="0075117D"/>
    <w:rsid w:val="0075159B"/>
    <w:rsid w:val="00751A68"/>
    <w:rsid w:val="00751C06"/>
    <w:rsid w:val="0075278D"/>
    <w:rsid w:val="007529D3"/>
    <w:rsid w:val="00752B40"/>
    <w:rsid w:val="00752F2F"/>
    <w:rsid w:val="00754611"/>
    <w:rsid w:val="00756E90"/>
    <w:rsid w:val="007571A7"/>
    <w:rsid w:val="0075722A"/>
    <w:rsid w:val="00757D98"/>
    <w:rsid w:val="007602DD"/>
    <w:rsid w:val="00760535"/>
    <w:rsid w:val="00760673"/>
    <w:rsid w:val="00761205"/>
    <w:rsid w:val="00761658"/>
    <w:rsid w:val="00762235"/>
    <w:rsid w:val="00762730"/>
    <w:rsid w:val="00763168"/>
    <w:rsid w:val="00763AC2"/>
    <w:rsid w:val="00763E7E"/>
    <w:rsid w:val="007645D1"/>
    <w:rsid w:val="00764A3A"/>
    <w:rsid w:val="007672DB"/>
    <w:rsid w:val="00767637"/>
    <w:rsid w:val="007676CB"/>
    <w:rsid w:val="0076778E"/>
    <w:rsid w:val="0077021B"/>
    <w:rsid w:val="007705A5"/>
    <w:rsid w:val="0077073A"/>
    <w:rsid w:val="007711C6"/>
    <w:rsid w:val="00772739"/>
    <w:rsid w:val="00772A00"/>
    <w:rsid w:val="00772D4A"/>
    <w:rsid w:val="00772FCA"/>
    <w:rsid w:val="007738F9"/>
    <w:rsid w:val="007739CB"/>
    <w:rsid w:val="0077441E"/>
    <w:rsid w:val="00774549"/>
    <w:rsid w:val="00774873"/>
    <w:rsid w:val="0077551A"/>
    <w:rsid w:val="0077597E"/>
    <w:rsid w:val="00775C0D"/>
    <w:rsid w:val="00776139"/>
    <w:rsid w:val="0077624A"/>
    <w:rsid w:val="0077680C"/>
    <w:rsid w:val="00777163"/>
    <w:rsid w:val="007772F1"/>
    <w:rsid w:val="00777635"/>
    <w:rsid w:val="00777DA6"/>
    <w:rsid w:val="00777E09"/>
    <w:rsid w:val="007802DB"/>
    <w:rsid w:val="00780753"/>
    <w:rsid w:val="007809D2"/>
    <w:rsid w:val="00780DFE"/>
    <w:rsid w:val="00781699"/>
    <w:rsid w:val="0078290E"/>
    <w:rsid w:val="00783BCA"/>
    <w:rsid w:val="00783E5A"/>
    <w:rsid w:val="00783E5C"/>
    <w:rsid w:val="00783EAF"/>
    <w:rsid w:val="007848C0"/>
    <w:rsid w:val="00784AC2"/>
    <w:rsid w:val="00785153"/>
    <w:rsid w:val="00785364"/>
    <w:rsid w:val="007857B1"/>
    <w:rsid w:val="00787419"/>
    <w:rsid w:val="007876D2"/>
    <w:rsid w:val="00790527"/>
    <w:rsid w:val="00790560"/>
    <w:rsid w:val="00790ABA"/>
    <w:rsid w:val="00791CED"/>
    <w:rsid w:val="00792735"/>
    <w:rsid w:val="00792B6A"/>
    <w:rsid w:val="00792FC7"/>
    <w:rsid w:val="007944C6"/>
    <w:rsid w:val="007947AB"/>
    <w:rsid w:val="00794E2F"/>
    <w:rsid w:val="00794E5C"/>
    <w:rsid w:val="00795427"/>
    <w:rsid w:val="00795A48"/>
    <w:rsid w:val="00795E13"/>
    <w:rsid w:val="00795F4F"/>
    <w:rsid w:val="00796136"/>
    <w:rsid w:val="0079644C"/>
    <w:rsid w:val="00796DF2"/>
    <w:rsid w:val="00797764"/>
    <w:rsid w:val="007978A8"/>
    <w:rsid w:val="00797D14"/>
    <w:rsid w:val="007A071A"/>
    <w:rsid w:val="007A082E"/>
    <w:rsid w:val="007A1074"/>
    <w:rsid w:val="007A112A"/>
    <w:rsid w:val="007A1CBA"/>
    <w:rsid w:val="007A2AB5"/>
    <w:rsid w:val="007A2B60"/>
    <w:rsid w:val="007A32A5"/>
    <w:rsid w:val="007A6121"/>
    <w:rsid w:val="007A6C32"/>
    <w:rsid w:val="007A74BB"/>
    <w:rsid w:val="007A77CD"/>
    <w:rsid w:val="007A7A9F"/>
    <w:rsid w:val="007A7B82"/>
    <w:rsid w:val="007A7CF5"/>
    <w:rsid w:val="007A7E65"/>
    <w:rsid w:val="007A7FC6"/>
    <w:rsid w:val="007B02B9"/>
    <w:rsid w:val="007B0370"/>
    <w:rsid w:val="007B067B"/>
    <w:rsid w:val="007B1CFF"/>
    <w:rsid w:val="007B1F49"/>
    <w:rsid w:val="007B20E0"/>
    <w:rsid w:val="007B25DE"/>
    <w:rsid w:val="007B2F22"/>
    <w:rsid w:val="007B32C7"/>
    <w:rsid w:val="007B366F"/>
    <w:rsid w:val="007B3FC1"/>
    <w:rsid w:val="007B48F3"/>
    <w:rsid w:val="007B4BC8"/>
    <w:rsid w:val="007B4C09"/>
    <w:rsid w:val="007B4CB0"/>
    <w:rsid w:val="007B5B06"/>
    <w:rsid w:val="007B600E"/>
    <w:rsid w:val="007B677A"/>
    <w:rsid w:val="007B6A59"/>
    <w:rsid w:val="007B6E22"/>
    <w:rsid w:val="007B76C2"/>
    <w:rsid w:val="007B7ABE"/>
    <w:rsid w:val="007C00C6"/>
    <w:rsid w:val="007C0937"/>
    <w:rsid w:val="007C09DD"/>
    <w:rsid w:val="007C1611"/>
    <w:rsid w:val="007C2025"/>
    <w:rsid w:val="007C2056"/>
    <w:rsid w:val="007C206D"/>
    <w:rsid w:val="007C2CE0"/>
    <w:rsid w:val="007C3285"/>
    <w:rsid w:val="007C44DC"/>
    <w:rsid w:val="007C4923"/>
    <w:rsid w:val="007C4C87"/>
    <w:rsid w:val="007C53C9"/>
    <w:rsid w:val="007C5603"/>
    <w:rsid w:val="007C6618"/>
    <w:rsid w:val="007C6749"/>
    <w:rsid w:val="007C7278"/>
    <w:rsid w:val="007C72CA"/>
    <w:rsid w:val="007C7502"/>
    <w:rsid w:val="007C78C4"/>
    <w:rsid w:val="007D01FA"/>
    <w:rsid w:val="007D0366"/>
    <w:rsid w:val="007D07A6"/>
    <w:rsid w:val="007D085D"/>
    <w:rsid w:val="007D11FC"/>
    <w:rsid w:val="007D15E4"/>
    <w:rsid w:val="007D2A7A"/>
    <w:rsid w:val="007D2B85"/>
    <w:rsid w:val="007D2E08"/>
    <w:rsid w:val="007D3A4F"/>
    <w:rsid w:val="007D3FFC"/>
    <w:rsid w:val="007D402F"/>
    <w:rsid w:val="007D47A9"/>
    <w:rsid w:val="007D4FA7"/>
    <w:rsid w:val="007D5F5B"/>
    <w:rsid w:val="007D632F"/>
    <w:rsid w:val="007D6C7B"/>
    <w:rsid w:val="007D6D2E"/>
    <w:rsid w:val="007D6FAD"/>
    <w:rsid w:val="007D7456"/>
    <w:rsid w:val="007D74D8"/>
    <w:rsid w:val="007D768F"/>
    <w:rsid w:val="007E1495"/>
    <w:rsid w:val="007E16D7"/>
    <w:rsid w:val="007E1C2C"/>
    <w:rsid w:val="007E22E2"/>
    <w:rsid w:val="007E3355"/>
    <w:rsid w:val="007E3C85"/>
    <w:rsid w:val="007E43B2"/>
    <w:rsid w:val="007E47D0"/>
    <w:rsid w:val="007E48E7"/>
    <w:rsid w:val="007E49A8"/>
    <w:rsid w:val="007E4E66"/>
    <w:rsid w:val="007E5417"/>
    <w:rsid w:val="007E5C51"/>
    <w:rsid w:val="007E5F59"/>
    <w:rsid w:val="007E6ED5"/>
    <w:rsid w:val="007E7270"/>
    <w:rsid w:val="007E7972"/>
    <w:rsid w:val="007E7B1B"/>
    <w:rsid w:val="007F0A5A"/>
    <w:rsid w:val="007F0F70"/>
    <w:rsid w:val="007F19DC"/>
    <w:rsid w:val="007F1A25"/>
    <w:rsid w:val="007F2C4E"/>
    <w:rsid w:val="007F2DAB"/>
    <w:rsid w:val="007F4201"/>
    <w:rsid w:val="007F49DF"/>
    <w:rsid w:val="007F4F70"/>
    <w:rsid w:val="007F5BB2"/>
    <w:rsid w:val="007F5E14"/>
    <w:rsid w:val="007F5F3D"/>
    <w:rsid w:val="007F62F8"/>
    <w:rsid w:val="007F7618"/>
    <w:rsid w:val="007F7859"/>
    <w:rsid w:val="007F7D88"/>
    <w:rsid w:val="00800F67"/>
    <w:rsid w:val="008015D1"/>
    <w:rsid w:val="0080167D"/>
    <w:rsid w:val="00802134"/>
    <w:rsid w:val="00802500"/>
    <w:rsid w:val="00802DBE"/>
    <w:rsid w:val="00802EC9"/>
    <w:rsid w:val="00802F8A"/>
    <w:rsid w:val="008050BC"/>
    <w:rsid w:val="0080598A"/>
    <w:rsid w:val="00805B2F"/>
    <w:rsid w:val="00806309"/>
    <w:rsid w:val="0080662A"/>
    <w:rsid w:val="0080689D"/>
    <w:rsid w:val="0080742D"/>
    <w:rsid w:val="00807760"/>
    <w:rsid w:val="00807AE8"/>
    <w:rsid w:val="00807C04"/>
    <w:rsid w:val="008117B5"/>
    <w:rsid w:val="0081212F"/>
    <w:rsid w:val="00812162"/>
    <w:rsid w:val="00812267"/>
    <w:rsid w:val="008123EA"/>
    <w:rsid w:val="008127E4"/>
    <w:rsid w:val="00813C6E"/>
    <w:rsid w:val="00813DA4"/>
    <w:rsid w:val="00813DD2"/>
    <w:rsid w:val="00814220"/>
    <w:rsid w:val="008143A7"/>
    <w:rsid w:val="00814583"/>
    <w:rsid w:val="0081479E"/>
    <w:rsid w:val="008157D9"/>
    <w:rsid w:val="00815B03"/>
    <w:rsid w:val="008171B3"/>
    <w:rsid w:val="008172A0"/>
    <w:rsid w:val="00817E81"/>
    <w:rsid w:val="00820D6D"/>
    <w:rsid w:val="00821213"/>
    <w:rsid w:val="008212D0"/>
    <w:rsid w:val="00821DCE"/>
    <w:rsid w:val="00822E41"/>
    <w:rsid w:val="00823077"/>
    <w:rsid w:val="008232BB"/>
    <w:rsid w:val="008238AE"/>
    <w:rsid w:val="008248BA"/>
    <w:rsid w:val="0082513A"/>
    <w:rsid w:val="008256BA"/>
    <w:rsid w:val="0082577D"/>
    <w:rsid w:val="00825A79"/>
    <w:rsid w:val="00826A8F"/>
    <w:rsid w:val="008275BD"/>
    <w:rsid w:val="00830240"/>
    <w:rsid w:val="0083029C"/>
    <w:rsid w:val="008305D6"/>
    <w:rsid w:val="008316C0"/>
    <w:rsid w:val="00833502"/>
    <w:rsid w:val="00833991"/>
    <w:rsid w:val="00833D40"/>
    <w:rsid w:val="008341CB"/>
    <w:rsid w:val="00835437"/>
    <w:rsid w:val="00835722"/>
    <w:rsid w:val="00835774"/>
    <w:rsid w:val="00835842"/>
    <w:rsid w:val="00835AA8"/>
    <w:rsid w:val="0083634A"/>
    <w:rsid w:val="0083663A"/>
    <w:rsid w:val="0083678D"/>
    <w:rsid w:val="00836D99"/>
    <w:rsid w:val="0083754E"/>
    <w:rsid w:val="00837B57"/>
    <w:rsid w:val="00840A17"/>
    <w:rsid w:val="00841D72"/>
    <w:rsid w:val="00842066"/>
    <w:rsid w:val="008423B9"/>
    <w:rsid w:val="0084303B"/>
    <w:rsid w:val="0084320B"/>
    <w:rsid w:val="00843832"/>
    <w:rsid w:val="00843D72"/>
    <w:rsid w:val="008443DD"/>
    <w:rsid w:val="00844718"/>
    <w:rsid w:val="00844F36"/>
    <w:rsid w:val="008451A7"/>
    <w:rsid w:val="008458B2"/>
    <w:rsid w:val="0084595A"/>
    <w:rsid w:val="00845EB8"/>
    <w:rsid w:val="00846EB4"/>
    <w:rsid w:val="00846FFA"/>
    <w:rsid w:val="00847021"/>
    <w:rsid w:val="00847496"/>
    <w:rsid w:val="008477F2"/>
    <w:rsid w:val="008478AF"/>
    <w:rsid w:val="00847F5A"/>
    <w:rsid w:val="008502A5"/>
    <w:rsid w:val="00850625"/>
    <w:rsid w:val="0085138E"/>
    <w:rsid w:val="00851B6E"/>
    <w:rsid w:val="00852037"/>
    <w:rsid w:val="008525EA"/>
    <w:rsid w:val="0085274F"/>
    <w:rsid w:val="00852CEC"/>
    <w:rsid w:val="00852E4A"/>
    <w:rsid w:val="00853DE3"/>
    <w:rsid w:val="00853EDB"/>
    <w:rsid w:val="008546D8"/>
    <w:rsid w:val="008546E8"/>
    <w:rsid w:val="00854FE5"/>
    <w:rsid w:val="0085632E"/>
    <w:rsid w:val="0085660C"/>
    <w:rsid w:val="00856A24"/>
    <w:rsid w:val="00857312"/>
    <w:rsid w:val="0085753F"/>
    <w:rsid w:val="008578B7"/>
    <w:rsid w:val="00857D81"/>
    <w:rsid w:val="008605D8"/>
    <w:rsid w:val="00860CC7"/>
    <w:rsid w:val="008612EF"/>
    <w:rsid w:val="0086153C"/>
    <w:rsid w:val="008623D9"/>
    <w:rsid w:val="0086307F"/>
    <w:rsid w:val="008630FC"/>
    <w:rsid w:val="00863ECB"/>
    <w:rsid w:val="00863F92"/>
    <w:rsid w:val="0086447A"/>
    <w:rsid w:val="0086461E"/>
    <w:rsid w:val="00864A70"/>
    <w:rsid w:val="00864D19"/>
    <w:rsid w:val="008653FF"/>
    <w:rsid w:val="00865573"/>
    <w:rsid w:val="00865E63"/>
    <w:rsid w:val="00866662"/>
    <w:rsid w:val="00866A3C"/>
    <w:rsid w:val="00866C11"/>
    <w:rsid w:val="008673D8"/>
    <w:rsid w:val="0086759C"/>
    <w:rsid w:val="00867CF7"/>
    <w:rsid w:val="008708E6"/>
    <w:rsid w:val="008709FC"/>
    <w:rsid w:val="008718F6"/>
    <w:rsid w:val="0087216F"/>
    <w:rsid w:val="00872735"/>
    <w:rsid w:val="008728E9"/>
    <w:rsid w:val="00872CD0"/>
    <w:rsid w:val="00872E1D"/>
    <w:rsid w:val="0087350C"/>
    <w:rsid w:val="008735AF"/>
    <w:rsid w:val="00873FB4"/>
    <w:rsid w:val="0087493C"/>
    <w:rsid w:val="008757CD"/>
    <w:rsid w:val="00875843"/>
    <w:rsid w:val="00875AF5"/>
    <w:rsid w:val="00876165"/>
    <w:rsid w:val="00876AB4"/>
    <w:rsid w:val="0087798A"/>
    <w:rsid w:val="00877A06"/>
    <w:rsid w:val="00880DAA"/>
    <w:rsid w:val="008813CD"/>
    <w:rsid w:val="008815C1"/>
    <w:rsid w:val="00881B5A"/>
    <w:rsid w:val="00881FBF"/>
    <w:rsid w:val="008824C8"/>
    <w:rsid w:val="00882EEE"/>
    <w:rsid w:val="00884558"/>
    <w:rsid w:val="00884871"/>
    <w:rsid w:val="00884F19"/>
    <w:rsid w:val="008857DB"/>
    <w:rsid w:val="00885BE1"/>
    <w:rsid w:val="0088717D"/>
    <w:rsid w:val="008877AE"/>
    <w:rsid w:val="00887C80"/>
    <w:rsid w:val="00890158"/>
    <w:rsid w:val="00890651"/>
    <w:rsid w:val="00890D63"/>
    <w:rsid w:val="00890FCF"/>
    <w:rsid w:val="008912C1"/>
    <w:rsid w:val="00891458"/>
    <w:rsid w:val="00892602"/>
    <w:rsid w:val="00893DA0"/>
    <w:rsid w:val="00894662"/>
    <w:rsid w:val="0089499A"/>
    <w:rsid w:val="00895210"/>
    <w:rsid w:val="00895313"/>
    <w:rsid w:val="008957E6"/>
    <w:rsid w:val="00895BA2"/>
    <w:rsid w:val="00896DD4"/>
    <w:rsid w:val="00897752"/>
    <w:rsid w:val="00897A65"/>
    <w:rsid w:val="008A0339"/>
    <w:rsid w:val="008A0440"/>
    <w:rsid w:val="008A0BB4"/>
    <w:rsid w:val="008A127E"/>
    <w:rsid w:val="008A1FE7"/>
    <w:rsid w:val="008A365E"/>
    <w:rsid w:val="008A3E7D"/>
    <w:rsid w:val="008A53C3"/>
    <w:rsid w:val="008A5516"/>
    <w:rsid w:val="008A576E"/>
    <w:rsid w:val="008A5BB2"/>
    <w:rsid w:val="008A61C2"/>
    <w:rsid w:val="008A6F9E"/>
    <w:rsid w:val="008A7BD1"/>
    <w:rsid w:val="008B15E0"/>
    <w:rsid w:val="008B22A4"/>
    <w:rsid w:val="008B2358"/>
    <w:rsid w:val="008B2D6C"/>
    <w:rsid w:val="008B3906"/>
    <w:rsid w:val="008B3BC7"/>
    <w:rsid w:val="008B4B4F"/>
    <w:rsid w:val="008B4BC4"/>
    <w:rsid w:val="008B51A8"/>
    <w:rsid w:val="008B51E7"/>
    <w:rsid w:val="008B5AB0"/>
    <w:rsid w:val="008B5B5B"/>
    <w:rsid w:val="008B5CAB"/>
    <w:rsid w:val="008B623C"/>
    <w:rsid w:val="008B63D7"/>
    <w:rsid w:val="008B6436"/>
    <w:rsid w:val="008B744D"/>
    <w:rsid w:val="008B7581"/>
    <w:rsid w:val="008B767C"/>
    <w:rsid w:val="008B7A23"/>
    <w:rsid w:val="008B7C04"/>
    <w:rsid w:val="008B7C62"/>
    <w:rsid w:val="008B7F4D"/>
    <w:rsid w:val="008C036E"/>
    <w:rsid w:val="008C061B"/>
    <w:rsid w:val="008C09F8"/>
    <w:rsid w:val="008C0C2B"/>
    <w:rsid w:val="008C0EB0"/>
    <w:rsid w:val="008C10E0"/>
    <w:rsid w:val="008C174C"/>
    <w:rsid w:val="008C1F2A"/>
    <w:rsid w:val="008C1F3B"/>
    <w:rsid w:val="008C218F"/>
    <w:rsid w:val="008C2B10"/>
    <w:rsid w:val="008C2CD9"/>
    <w:rsid w:val="008C5516"/>
    <w:rsid w:val="008C584A"/>
    <w:rsid w:val="008C64C8"/>
    <w:rsid w:val="008C674F"/>
    <w:rsid w:val="008D104B"/>
    <w:rsid w:val="008D1406"/>
    <w:rsid w:val="008D185A"/>
    <w:rsid w:val="008D3C5F"/>
    <w:rsid w:val="008D42BA"/>
    <w:rsid w:val="008D47D7"/>
    <w:rsid w:val="008D50CD"/>
    <w:rsid w:val="008D5399"/>
    <w:rsid w:val="008D56F4"/>
    <w:rsid w:val="008D685A"/>
    <w:rsid w:val="008D6ACC"/>
    <w:rsid w:val="008D74F7"/>
    <w:rsid w:val="008D79E6"/>
    <w:rsid w:val="008D7CA6"/>
    <w:rsid w:val="008E0092"/>
    <w:rsid w:val="008E0A4D"/>
    <w:rsid w:val="008E0B33"/>
    <w:rsid w:val="008E10B7"/>
    <w:rsid w:val="008E17E1"/>
    <w:rsid w:val="008E2607"/>
    <w:rsid w:val="008E2DE7"/>
    <w:rsid w:val="008E2EEB"/>
    <w:rsid w:val="008E31B8"/>
    <w:rsid w:val="008E3A54"/>
    <w:rsid w:val="008E4A25"/>
    <w:rsid w:val="008E5026"/>
    <w:rsid w:val="008E52E7"/>
    <w:rsid w:val="008E59B5"/>
    <w:rsid w:val="008E5D19"/>
    <w:rsid w:val="008E5DDE"/>
    <w:rsid w:val="008E5E9E"/>
    <w:rsid w:val="008E60E2"/>
    <w:rsid w:val="008E6D2F"/>
    <w:rsid w:val="008E7517"/>
    <w:rsid w:val="008E792E"/>
    <w:rsid w:val="008E7C15"/>
    <w:rsid w:val="008F0635"/>
    <w:rsid w:val="008F076F"/>
    <w:rsid w:val="008F1192"/>
    <w:rsid w:val="008F19D2"/>
    <w:rsid w:val="008F2502"/>
    <w:rsid w:val="008F45B3"/>
    <w:rsid w:val="008F4618"/>
    <w:rsid w:val="008F4E0E"/>
    <w:rsid w:val="008F4EB9"/>
    <w:rsid w:val="008F60E0"/>
    <w:rsid w:val="008F6813"/>
    <w:rsid w:val="008F703E"/>
    <w:rsid w:val="008F70C2"/>
    <w:rsid w:val="008F7551"/>
    <w:rsid w:val="008F78AB"/>
    <w:rsid w:val="008F7BD1"/>
    <w:rsid w:val="00900273"/>
    <w:rsid w:val="00900337"/>
    <w:rsid w:val="00900526"/>
    <w:rsid w:val="00900A8A"/>
    <w:rsid w:val="00901C4D"/>
    <w:rsid w:val="00902930"/>
    <w:rsid w:val="00903914"/>
    <w:rsid w:val="00903CE6"/>
    <w:rsid w:val="009040AB"/>
    <w:rsid w:val="0090427E"/>
    <w:rsid w:val="009043EE"/>
    <w:rsid w:val="009048B7"/>
    <w:rsid w:val="00904A3E"/>
    <w:rsid w:val="00904C6C"/>
    <w:rsid w:val="00904D0E"/>
    <w:rsid w:val="009057A1"/>
    <w:rsid w:val="00905860"/>
    <w:rsid w:val="00905C24"/>
    <w:rsid w:val="00906433"/>
    <w:rsid w:val="0090643D"/>
    <w:rsid w:val="0090677E"/>
    <w:rsid w:val="00907185"/>
    <w:rsid w:val="00907641"/>
    <w:rsid w:val="00907755"/>
    <w:rsid w:val="00910160"/>
    <w:rsid w:val="00910279"/>
    <w:rsid w:val="0091114F"/>
    <w:rsid w:val="00912446"/>
    <w:rsid w:val="009125BC"/>
    <w:rsid w:val="00912D7F"/>
    <w:rsid w:val="00913465"/>
    <w:rsid w:val="00913FA9"/>
    <w:rsid w:val="00914957"/>
    <w:rsid w:val="0091573F"/>
    <w:rsid w:val="0091670A"/>
    <w:rsid w:val="00916E4E"/>
    <w:rsid w:val="00916E5F"/>
    <w:rsid w:val="00917153"/>
    <w:rsid w:val="00917516"/>
    <w:rsid w:val="00917FD9"/>
    <w:rsid w:val="0092201F"/>
    <w:rsid w:val="0092242F"/>
    <w:rsid w:val="00923A85"/>
    <w:rsid w:val="00924316"/>
    <w:rsid w:val="0092483F"/>
    <w:rsid w:val="00924B57"/>
    <w:rsid w:val="0092507A"/>
    <w:rsid w:val="0092588F"/>
    <w:rsid w:val="00925E91"/>
    <w:rsid w:val="009268F2"/>
    <w:rsid w:val="0092695C"/>
    <w:rsid w:val="00927C20"/>
    <w:rsid w:val="00927EBC"/>
    <w:rsid w:val="00930187"/>
    <w:rsid w:val="009301BB"/>
    <w:rsid w:val="00931423"/>
    <w:rsid w:val="00931CAF"/>
    <w:rsid w:val="00932547"/>
    <w:rsid w:val="0093295D"/>
    <w:rsid w:val="00932F1A"/>
    <w:rsid w:val="00932FB1"/>
    <w:rsid w:val="00933370"/>
    <w:rsid w:val="00933426"/>
    <w:rsid w:val="00933615"/>
    <w:rsid w:val="00933803"/>
    <w:rsid w:val="009338CB"/>
    <w:rsid w:val="00933A04"/>
    <w:rsid w:val="00934256"/>
    <w:rsid w:val="00934E83"/>
    <w:rsid w:val="0093540E"/>
    <w:rsid w:val="00935437"/>
    <w:rsid w:val="00935E62"/>
    <w:rsid w:val="0093696F"/>
    <w:rsid w:val="0093712C"/>
    <w:rsid w:val="009375C5"/>
    <w:rsid w:val="0093785D"/>
    <w:rsid w:val="009379EC"/>
    <w:rsid w:val="009379EE"/>
    <w:rsid w:val="00940502"/>
    <w:rsid w:val="00940826"/>
    <w:rsid w:val="00941FFB"/>
    <w:rsid w:val="009421DE"/>
    <w:rsid w:val="0094227D"/>
    <w:rsid w:val="009423B0"/>
    <w:rsid w:val="00942774"/>
    <w:rsid w:val="00943189"/>
    <w:rsid w:val="009433F8"/>
    <w:rsid w:val="00943755"/>
    <w:rsid w:val="009437C2"/>
    <w:rsid w:val="00943E8C"/>
    <w:rsid w:val="00944803"/>
    <w:rsid w:val="00944D53"/>
    <w:rsid w:val="00945E46"/>
    <w:rsid w:val="009468C9"/>
    <w:rsid w:val="00946C31"/>
    <w:rsid w:val="009472A3"/>
    <w:rsid w:val="009474A8"/>
    <w:rsid w:val="00947F71"/>
    <w:rsid w:val="009501DA"/>
    <w:rsid w:val="009501F5"/>
    <w:rsid w:val="0095136D"/>
    <w:rsid w:val="00951F5E"/>
    <w:rsid w:val="0095255A"/>
    <w:rsid w:val="009538E9"/>
    <w:rsid w:val="00953B35"/>
    <w:rsid w:val="009541A7"/>
    <w:rsid w:val="0095506A"/>
    <w:rsid w:val="009551CF"/>
    <w:rsid w:val="00955CA0"/>
    <w:rsid w:val="00956FCA"/>
    <w:rsid w:val="009571EC"/>
    <w:rsid w:val="009572B1"/>
    <w:rsid w:val="009574D6"/>
    <w:rsid w:val="009578A6"/>
    <w:rsid w:val="00957C8A"/>
    <w:rsid w:val="009613A0"/>
    <w:rsid w:val="009613FD"/>
    <w:rsid w:val="00961A0D"/>
    <w:rsid w:val="0096216F"/>
    <w:rsid w:val="00963773"/>
    <w:rsid w:val="00963B79"/>
    <w:rsid w:val="00965029"/>
    <w:rsid w:val="00965849"/>
    <w:rsid w:val="00965ACA"/>
    <w:rsid w:val="00965EC1"/>
    <w:rsid w:val="00966462"/>
    <w:rsid w:val="00966604"/>
    <w:rsid w:val="009675A7"/>
    <w:rsid w:val="009679D2"/>
    <w:rsid w:val="00971838"/>
    <w:rsid w:val="00971D30"/>
    <w:rsid w:val="00971F9A"/>
    <w:rsid w:val="0097247E"/>
    <w:rsid w:val="00972E12"/>
    <w:rsid w:val="009733FF"/>
    <w:rsid w:val="00973ABF"/>
    <w:rsid w:val="009746B8"/>
    <w:rsid w:val="00974D08"/>
    <w:rsid w:val="00975068"/>
    <w:rsid w:val="0097547B"/>
    <w:rsid w:val="0097589D"/>
    <w:rsid w:val="00975FA3"/>
    <w:rsid w:val="00976A8F"/>
    <w:rsid w:val="00976ADE"/>
    <w:rsid w:val="00976CBC"/>
    <w:rsid w:val="009775DD"/>
    <w:rsid w:val="00977A47"/>
    <w:rsid w:val="00977C86"/>
    <w:rsid w:val="0098000E"/>
    <w:rsid w:val="0098001C"/>
    <w:rsid w:val="0098043B"/>
    <w:rsid w:val="009812A4"/>
    <w:rsid w:val="0098141B"/>
    <w:rsid w:val="00981CE3"/>
    <w:rsid w:val="00981D28"/>
    <w:rsid w:val="009820E1"/>
    <w:rsid w:val="00982201"/>
    <w:rsid w:val="00982447"/>
    <w:rsid w:val="00982E96"/>
    <w:rsid w:val="00983089"/>
    <w:rsid w:val="00983B7A"/>
    <w:rsid w:val="00983CFD"/>
    <w:rsid w:val="00983E44"/>
    <w:rsid w:val="00984BD2"/>
    <w:rsid w:val="00984D4D"/>
    <w:rsid w:val="009850B2"/>
    <w:rsid w:val="00985198"/>
    <w:rsid w:val="009851B2"/>
    <w:rsid w:val="009862FA"/>
    <w:rsid w:val="00986882"/>
    <w:rsid w:val="00987696"/>
    <w:rsid w:val="0098779A"/>
    <w:rsid w:val="00987A41"/>
    <w:rsid w:val="00990335"/>
    <w:rsid w:val="0099096F"/>
    <w:rsid w:val="0099100D"/>
    <w:rsid w:val="009918C7"/>
    <w:rsid w:val="00991981"/>
    <w:rsid w:val="00991D1E"/>
    <w:rsid w:val="0099201B"/>
    <w:rsid w:val="009922B9"/>
    <w:rsid w:val="00992EF5"/>
    <w:rsid w:val="00993C50"/>
    <w:rsid w:val="00994DEF"/>
    <w:rsid w:val="009953AD"/>
    <w:rsid w:val="009961C3"/>
    <w:rsid w:val="0099679B"/>
    <w:rsid w:val="00997028"/>
    <w:rsid w:val="0099773A"/>
    <w:rsid w:val="00997B70"/>
    <w:rsid w:val="00997C00"/>
    <w:rsid w:val="009A0BF9"/>
    <w:rsid w:val="009A1506"/>
    <w:rsid w:val="009A18A0"/>
    <w:rsid w:val="009A1D7B"/>
    <w:rsid w:val="009A27FA"/>
    <w:rsid w:val="009A2BAD"/>
    <w:rsid w:val="009A2BD5"/>
    <w:rsid w:val="009A2C06"/>
    <w:rsid w:val="009A2FE9"/>
    <w:rsid w:val="009A309C"/>
    <w:rsid w:val="009A35B3"/>
    <w:rsid w:val="009A449A"/>
    <w:rsid w:val="009A48AD"/>
    <w:rsid w:val="009A4B49"/>
    <w:rsid w:val="009A53B7"/>
    <w:rsid w:val="009A53D5"/>
    <w:rsid w:val="009A5529"/>
    <w:rsid w:val="009A5EF4"/>
    <w:rsid w:val="009A6468"/>
    <w:rsid w:val="009A656F"/>
    <w:rsid w:val="009A6F6B"/>
    <w:rsid w:val="009A7535"/>
    <w:rsid w:val="009B00A5"/>
    <w:rsid w:val="009B05F6"/>
    <w:rsid w:val="009B0668"/>
    <w:rsid w:val="009B0753"/>
    <w:rsid w:val="009B085B"/>
    <w:rsid w:val="009B128F"/>
    <w:rsid w:val="009B13EB"/>
    <w:rsid w:val="009B21D0"/>
    <w:rsid w:val="009B22DE"/>
    <w:rsid w:val="009B27FB"/>
    <w:rsid w:val="009B3428"/>
    <w:rsid w:val="009B36D4"/>
    <w:rsid w:val="009B37D3"/>
    <w:rsid w:val="009B4334"/>
    <w:rsid w:val="009B4C7B"/>
    <w:rsid w:val="009B544D"/>
    <w:rsid w:val="009B60F4"/>
    <w:rsid w:val="009B66CB"/>
    <w:rsid w:val="009B6AD2"/>
    <w:rsid w:val="009B6DBD"/>
    <w:rsid w:val="009B6E1F"/>
    <w:rsid w:val="009B72B8"/>
    <w:rsid w:val="009B7436"/>
    <w:rsid w:val="009B7A0F"/>
    <w:rsid w:val="009B7A57"/>
    <w:rsid w:val="009B7D30"/>
    <w:rsid w:val="009C0385"/>
    <w:rsid w:val="009C04CA"/>
    <w:rsid w:val="009C0AD9"/>
    <w:rsid w:val="009C1B6F"/>
    <w:rsid w:val="009C262D"/>
    <w:rsid w:val="009C269F"/>
    <w:rsid w:val="009C2C47"/>
    <w:rsid w:val="009C4AC4"/>
    <w:rsid w:val="009C5BAD"/>
    <w:rsid w:val="009C5FB7"/>
    <w:rsid w:val="009C688F"/>
    <w:rsid w:val="009C7664"/>
    <w:rsid w:val="009C7F0C"/>
    <w:rsid w:val="009D114C"/>
    <w:rsid w:val="009D15C9"/>
    <w:rsid w:val="009D1C5D"/>
    <w:rsid w:val="009D2690"/>
    <w:rsid w:val="009D308F"/>
    <w:rsid w:val="009D3E69"/>
    <w:rsid w:val="009D409A"/>
    <w:rsid w:val="009D4277"/>
    <w:rsid w:val="009D48F4"/>
    <w:rsid w:val="009D546A"/>
    <w:rsid w:val="009D5C97"/>
    <w:rsid w:val="009D660D"/>
    <w:rsid w:val="009D68A1"/>
    <w:rsid w:val="009D68ED"/>
    <w:rsid w:val="009D6B1F"/>
    <w:rsid w:val="009D6C8A"/>
    <w:rsid w:val="009D75DC"/>
    <w:rsid w:val="009D76DD"/>
    <w:rsid w:val="009D7A3F"/>
    <w:rsid w:val="009E1393"/>
    <w:rsid w:val="009E1773"/>
    <w:rsid w:val="009E3DCD"/>
    <w:rsid w:val="009E3F8D"/>
    <w:rsid w:val="009E427E"/>
    <w:rsid w:val="009E45E9"/>
    <w:rsid w:val="009E47A3"/>
    <w:rsid w:val="009E4980"/>
    <w:rsid w:val="009E614C"/>
    <w:rsid w:val="009E6444"/>
    <w:rsid w:val="009E6570"/>
    <w:rsid w:val="009E68C6"/>
    <w:rsid w:val="009E6F69"/>
    <w:rsid w:val="009E6FD0"/>
    <w:rsid w:val="009E77F3"/>
    <w:rsid w:val="009F09CF"/>
    <w:rsid w:val="009F0BC1"/>
    <w:rsid w:val="009F0D27"/>
    <w:rsid w:val="009F1C64"/>
    <w:rsid w:val="009F2A66"/>
    <w:rsid w:val="009F331B"/>
    <w:rsid w:val="009F37B1"/>
    <w:rsid w:val="009F38EC"/>
    <w:rsid w:val="009F3EF5"/>
    <w:rsid w:val="009F4215"/>
    <w:rsid w:val="009F4C9C"/>
    <w:rsid w:val="009F524A"/>
    <w:rsid w:val="009F5A45"/>
    <w:rsid w:val="009F7FDE"/>
    <w:rsid w:val="00A00637"/>
    <w:rsid w:val="00A009FC"/>
    <w:rsid w:val="00A013ED"/>
    <w:rsid w:val="00A02CB7"/>
    <w:rsid w:val="00A02FC6"/>
    <w:rsid w:val="00A03066"/>
    <w:rsid w:val="00A035FD"/>
    <w:rsid w:val="00A046C2"/>
    <w:rsid w:val="00A0504D"/>
    <w:rsid w:val="00A050D8"/>
    <w:rsid w:val="00A05D8A"/>
    <w:rsid w:val="00A05F46"/>
    <w:rsid w:val="00A0670B"/>
    <w:rsid w:val="00A06A29"/>
    <w:rsid w:val="00A06B2D"/>
    <w:rsid w:val="00A0759E"/>
    <w:rsid w:val="00A076E2"/>
    <w:rsid w:val="00A10433"/>
    <w:rsid w:val="00A10867"/>
    <w:rsid w:val="00A116B2"/>
    <w:rsid w:val="00A12627"/>
    <w:rsid w:val="00A1293E"/>
    <w:rsid w:val="00A12A8B"/>
    <w:rsid w:val="00A13107"/>
    <w:rsid w:val="00A13214"/>
    <w:rsid w:val="00A13B0F"/>
    <w:rsid w:val="00A142BE"/>
    <w:rsid w:val="00A1511B"/>
    <w:rsid w:val="00A1586A"/>
    <w:rsid w:val="00A158ED"/>
    <w:rsid w:val="00A15DA9"/>
    <w:rsid w:val="00A164A8"/>
    <w:rsid w:val="00A1671C"/>
    <w:rsid w:val="00A16BF3"/>
    <w:rsid w:val="00A170AE"/>
    <w:rsid w:val="00A17622"/>
    <w:rsid w:val="00A20279"/>
    <w:rsid w:val="00A20A40"/>
    <w:rsid w:val="00A20B92"/>
    <w:rsid w:val="00A20E56"/>
    <w:rsid w:val="00A21696"/>
    <w:rsid w:val="00A21A4C"/>
    <w:rsid w:val="00A21C21"/>
    <w:rsid w:val="00A22217"/>
    <w:rsid w:val="00A22226"/>
    <w:rsid w:val="00A226E4"/>
    <w:rsid w:val="00A22828"/>
    <w:rsid w:val="00A22C80"/>
    <w:rsid w:val="00A241FC"/>
    <w:rsid w:val="00A24442"/>
    <w:rsid w:val="00A2477A"/>
    <w:rsid w:val="00A24CE4"/>
    <w:rsid w:val="00A24DBE"/>
    <w:rsid w:val="00A25179"/>
    <w:rsid w:val="00A25584"/>
    <w:rsid w:val="00A25637"/>
    <w:rsid w:val="00A258AA"/>
    <w:rsid w:val="00A259F2"/>
    <w:rsid w:val="00A25A0D"/>
    <w:rsid w:val="00A25F0D"/>
    <w:rsid w:val="00A27170"/>
    <w:rsid w:val="00A27535"/>
    <w:rsid w:val="00A277A6"/>
    <w:rsid w:val="00A27AC4"/>
    <w:rsid w:val="00A306BC"/>
    <w:rsid w:val="00A30F5B"/>
    <w:rsid w:val="00A30FCC"/>
    <w:rsid w:val="00A31661"/>
    <w:rsid w:val="00A31B54"/>
    <w:rsid w:val="00A31BD5"/>
    <w:rsid w:val="00A32C8B"/>
    <w:rsid w:val="00A32DC9"/>
    <w:rsid w:val="00A346CD"/>
    <w:rsid w:val="00A34BC1"/>
    <w:rsid w:val="00A34EBA"/>
    <w:rsid w:val="00A3502D"/>
    <w:rsid w:val="00A35198"/>
    <w:rsid w:val="00A35552"/>
    <w:rsid w:val="00A35D13"/>
    <w:rsid w:val="00A3629D"/>
    <w:rsid w:val="00A36592"/>
    <w:rsid w:val="00A36B58"/>
    <w:rsid w:val="00A36C2D"/>
    <w:rsid w:val="00A37157"/>
    <w:rsid w:val="00A371B0"/>
    <w:rsid w:val="00A37445"/>
    <w:rsid w:val="00A37CB4"/>
    <w:rsid w:val="00A4070C"/>
    <w:rsid w:val="00A41A49"/>
    <w:rsid w:val="00A4327B"/>
    <w:rsid w:val="00A437F6"/>
    <w:rsid w:val="00A438FC"/>
    <w:rsid w:val="00A44A4B"/>
    <w:rsid w:val="00A44B8C"/>
    <w:rsid w:val="00A457EA"/>
    <w:rsid w:val="00A45A1B"/>
    <w:rsid w:val="00A45DBF"/>
    <w:rsid w:val="00A464A1"/>
    <w:rsid w:val="00A47199"/>
    <w:rsid w:val="00A478B6"/>
    <w:rsid w:val="00A47A70"/>
    <w:rsid w:val="00A505C3"/>
    <w:rsid w:val="00A50A60"/>
    <w:rsid w:val="00A52130"/>
    <w:rsid w:val="00A52596"/>
    <w:rsid w:val="00A528CD"/>
    <w:rsid w:val="00A52938"/>
    <w:rsid w:val="00A52AA1"/>
    <w:rsid w:val="00A52B77"/>
    <w:rsid w:val="00A52C99"/>
    <w:rsid w:val="00A52FA9"/>
    <w:rsid w:val="00A53795"/>
    <w:rsid w:val="00A53D13"/>
    <w:rsid w:val="00A53F63"/>
    <w:rsid w:val="00A5422A"/>
    <w:rsid w:val="00A542A6"/>
    <w:rsid w:val="00A54A69"/>
    <w:rsid w:val="00A54F88"/>
    <w:rsid w:val="00A565DD"/>
    <w:rsid w:val="00A565FD"/>
    <w:rsid w:val="00A56D81"/>
    <w:rsid w:val="00A5787F"/>
    <w:rsid w:val="00A5797A"/>
    <w:rsid w:val="00A579FA"/>
    <w:rsid w:val="00A57FE7"/>
    <w:rsid w:val="00A60085"/>
    <w:rsid w:val="00A60322"/>
    <w:rsid w:val="00A603B9"/>
    <w:rsid w:val="00A608AD"/>
    <w:rsid w:val="00A61542"/>
    <w:rsid w:val="00A61884"/>
    <w:rsid w:val="00A621C6"/>
    <w:rsid w:val="00A625C3"/>
    <w:rsid w:val="00A62786"/>
    <w:rsid w:val="00A6354D"/>
    <w:rsid w:val="00A64B15"/>
    <w:rsid w:val="00A6563D"/>
    <w:rsid w:val="00A66CDC"/>
    <w:rsid w:val="00A670A5"/>
    <w:rsid w:val="00A67762"/>
    <w:rsid w:val="00A7009B"/>
    <w:rsid w:val="00A70ACA"/>
    <w:rsid w:val="00A70DF7"/>
    <w:rsid w:val="00A714E8"/>
    <w:rsid w:val="00A71549"/>
    <w:rsid w:val="00A72E35"/>
    <w:rsid w:val="00A72EC3"/>
    <w:rsid w:val="00A7481F"/>
    <w:rsid w:val="00A74ADA"/>
    <w:rsid w:val="00A750F8"/>
    <w:rsid w:val="00A7533A"/>
    <w:rsid w:val="00A759C6"/>
    <w:rsid w:val="00A75AAF"/>
    <w:rsid w:val="00A75D7A"/>
    <w:rsid w:val="00A762AC"/>
    <w:rsid w:val="00A763FB"/>
    <w:rsid w:val="00A764C3"/>
    <w:rsid w:val="00A76B33"/>
    <w:rsid w:val="00A76BBE"/>
    <w:rsid w:val="00A77019"/>
    <w:rsid w:val="00A77DB2"/>
    <w:rsid w:val="00A8054C"/>
    <w:rsid w:val="00A82CDB"/>
    <w:rsid w:val="00A8348B"/>
    <w:rsid w:val="00A836A6"/>
    <w:rsid w:val="00A83912"/>
    <w:rsid w:val="00A8437E"/>
    <w:rsid w:val="00A84F9D"/>
    <w:rsid w:val="00A84FE1"/>
    <w:rsid w:val="00A857A2"/>
    <w:rsid w:val="00A85C02"/>
    <w:rsid w:val="00A860B2"/>
    <w:rsid w:val="00A86927"/>
    <w:rsid w:val="00A86EDC"/>
    <w:rsid w:val="00A870A9"/>
    <w:rsid w:val="00A8725C"/>
    <w:rsid w:val="00A872E1"/>
    <w:rsid w:val="00A87BBC"/>
    <w:rsid w:val="00A90326"/>
    <w:rsid w:val="00A905EA"/>
    <w:rsid w:val="00A90B60"/>
    <w:rsid w:val="00A9245A"/>
    <w:rsid w:val="00A924D2"/>
    <w:rsid w:val="00A92F68"/>
    <w:rsid w:val="00A93098"/>
    <w:rsid w:val="00A932AE"/>
    <w:rsid w:val="00A93A31"/>
    <w:rsid w:val="00A93B82"/>
    <w:rsid w:val="00A947E1"/>
    <w:rsid w:val="00A94BFE"/>
    <w:rsid w:val="00A94EB2"/>
    <w:rsid w:val="00A950F8"/>
    <w:rsid w:val="00A956A5"/>
    <w:rsid w:val="00A967FD"/>
    <w:rsid w:val="00A96D89"/>
    <w:rsid w:val="00A9704D"/>
    <w:rsid w:val="00A97431"/>
    <w:rsid w:val="00AA03F0"/>
    <w:rsid w:val="00AA0E31"/>
    <w:rsid w:val="00AA1192"/>
    <w:rsid w:val="00AA133D"/>
    <w:rsid w:val="00AA1752"/>
    <w:rsid w:val="00AA3646"/>
    <w:rsid w:val="00AA3810"/>
    <w:rsid w:val="00AA3C0B"/>
    <w:rsid w:val="00AA4D61"/>
    <w:rsid w:val="00AA4E08"/>
    <w:rsid w:val="00AA6030"/>
    <w:rsid w:val="00AA619D"/>
    <w:rsid w:val="00AA651D"/>
    <w:rsid w:val="00AA67F7"/>
    <w:rsid w:val="00AA73FC"/>
    <w:rsid w:val="00AA76D0"/>
    <w:rsid w:val="00AB04E1"/>
    <w:rsid w:val="00AB09C5"/>
    <w:rsid w:val="00AB139F"/>
    <w:rsid w:val="00AB1C74"/>
    <w:rsid w:val="00AB1D4B"/>
    <w:rsid w:val="00AB20A3"/>
    <w:rsid w:val="00AB2D5E"/>
    <w:rsid w:val="00AB2F22"/>
    <w:rsid w:val="00AB4457"/>
    <w:rsid w:val="00AB46CD"/>
    <w:rsid w:val="00AB5175"/>
    <w:rsid w:val="00AB51D9"/>
    <w:rsid w:val="00AB5AEE"/>
    <w:rsid w:val="00AB5FD4"/>
    <w:rsid w:val="00AB66D1"/>
    <w:rsid w:val="00AB7CC7"/>
    <w:rsid w:val="00AC00DF"/>
    <w:rsid w:val="00AC0556"/>
    <w:rsid w:val="00AC08C0"/>
    <w:rsid w:val="00AC094E"/>
    <w:rsid w:val="00AC1D00"/>
    <w:rsid w:val="00AC25D7"/>
    <w:rsid w:val="00AC2958"/>
    <w:rsid w:val="00AC2959"/>
    <w:rsid w:val="00AC2E99"/>
    <w:rsid w:val="00AC39D5"/>
    <w:rsid w:val="00AC4F45"/>
    <w:rsid w:val="00AC52C8"/>
    <w:rsid w:val="00AC5D3C"/>
    <w:rsid w:val="00AC6885"/>
    <w:rsid w:val="00AC6F2E"/>
    <w:rsid w:val="00AC6F8E"/>
    <w:rsid w:val="00AC72C7"/>
    <w:rsid w:val="00AC73B9"/>
    <w:rsid w:val="00AD1364"/>
    <w:rsid w:val="00AD18D6"/>
    <w:rsid w:val="00AD1E5A"/>
    <w:rsid w:val="00AD25B5"/>
    <w:rsid w:val="00AD2764"/>
    <w:rsid w:val="00AD2D33"/>
    <w:rsid w:val="00AD30AB"/>
    <w:rsid w:val="00AD30D6"/>
    <w:rsid w:val="00AD3E38"/>
    <w:rsid w:val="00AD3F39"/>
    <w:rsid w:val="00AD42FA"/>
    <w:rsid w:val="00AD48CE"/>
    <w:rsid w:val="00AD4B11"/>
    <w:rsid w:val="00AD506B"/>
    <w:rsid w:val="00AD518F"/>
    <w:rsid w:val="00AD540F"/>
    <w:rsid w:val="00AD5FC0"/>
    <w:rsid w:val="00AD6A1E"/>
    <w:rsid w:val="00AD71F8"/>
    <w:rsid w:val="00AD7E3D"/>
    <w:rsid w:val="00AE0910"/>
    <w:rsid w:val="00AE0AA6"/>
    <w:rsid w:val="00AE0D72"/>
    <w:rsid w:val="00AE10A7"/>
    <w:rsid w:val="00AE1135"/>
    <w:rsid w:val="00AE1534"/>
    <w:rsid w:val="00AE22FB"/>
    <w:rsid w:val="00AE2887"/>
    <w:rsid w:val="00AE2C6D"/>
    <w:rsid w:val="00AE3890"/>
    <w:rsid w:val="00AE3C4D"/>
    <w:rsid w:val="00AE4210"/>
    <w:rsid w:val="00AE4B0C"/>
    <w:rsid w:val="00AE4E1B"/>
    <w:rsid w:val="00AE5C07"/>
    <w:rsid w:val="00AE5D60"/>
    <w:rsid w:val="00AE5DF3"/>
    <w:rsid w:val="00AE6917"/>
    <w:rsid w:val="00AF0595"/>
    <w:rsid w:val="00AF08E0"/>
    <w:rsid w:val="00AF0947"/>
    <w:rsid w:val="00AF1919"/>
    <w:rsid w:val="00AF1ED6"/>
    <w:rsid w:val="00AF214D"/>
    <w:rsid w:val="00AF2778"/>
    <w:rsid w:val="00AF2A6F"/>
    <w:rsid w:val="00AF2C87"/>
    <w:rsid w:val="00AF2CAF"/>
    <w:rsid w:val="00AF2E27"/>
    <w:rsid w:val="00AF3428"/>
    <w:rsid w:val="00AF352C"/>
    <w:rsid w:val="00AF3CEE"/>
    <w:rsid w:val="00AF3ECE"/>
    <w:rsid w:val="00AF4549"/>
    <w:rsid w:val="00AF5669"/>
    <w:rsid w:val="00AF5839"/>
    <w:rsid w:val="00AF5E6F"/>
    <w:rsid w:val="00AF62E2"/>
    <w:rsid w:val="00AF6C6B"/>
    <w:rsid w:val="00AF7929"/>
    <w:rsid w:val="00AF7BC2"/>
    <w:rsid w:val="00B0055E"/>
    <w:rsid w:val="00B00A95"/>
    <w:rsid w:val="00B00E76"/>
    <w:rsid w:val="00B0116C"/>
    <w:rsid w:val="00B02376"/>
    <w:rsid w:val="00B02B78"/>
    <w:rsid w:val="00B03279"/>
    <w:rsid w:val="00B0335A"/>
    <w:rsid w:val="00B034A4"/>
    <w:rsid w:val="00B035EC"/>
    <w:rsid w:val="00B03B52"/>
    <w:rsid w:val="00B049D3"/>
    <w:rsid w:val="00B06377"/>
    <w:rsid w:val="00B063A1"/>
    <w:rsid w:val="00B06808"/>
    <w:rsid w:val="00B075FC"/>
    <w:rsid w:val="00B10310"/>
    <w:rsid w:val="00B1067C"/>
    <w:rsid w:val="00B108AE"/>
    <w:rsid w:val="00B1099C"/>
    <w:rsid w:val="00B10C0C"/>
    <w:rsid w:val="00B10D1B"/>
    <w:rsid w:val="00B11BAF"/>
    <w:rsid w:val="00B12A9E"/>
    <w:rsid w:val="00B1375E"/>
    <w:rsid w:val="00B138AA"/>
    <w:rsid w:val="00B13F81"/>
    <w:rsid w:val="00B14431"/>
    <w:rsid w:val="00B14BD6"/>
    <w:rsid w:val="00B14C09"/>
    <w:rsid w:val="00B14C96"/>
    <w:rsid w:val="00B15677"/>
    <w:rsid w:val="00B159AC"/>
    <w:rsid w:val="00B1609C"/>
    <w:rsid w:val="00B17C64"/>
    <w:rsid w:val="00B21C78"/>
    <w:rsid w:val="00B22A74"/>
    <w:rsid w:val="00B2337B"/>
    <w:rsid w:val="00B23617"/>
    <w:rsid w:val="00B23B39"/>
    <w:rsid w:val="00B2422F"/>
    <w:rsid w:val="00B246E8"/>
    <w:rsid w:val="00B249E3"/>
    <w:rsid w:val="00B24B90"/>
    <w:rsid w:val="00B25597"/>
    <w:rsid w:val="00B259D7"/>
    <w:rsid w:val="00B25DC5"/>
    <w:rsid w:val="00B26C2C"/>
    <w:rsid w:val="00B27296"/>
    <w:rsid w:val="00B27B49"/>
    <w:rsid w:val="00B30A78"/>
    <w:rsid w:val="00B3166C"/>
    <w:rsid w:val="00B31D66"/>
    <w:rsid w:val="00B321B6"/>
    <w:rsid w:val="00B32932"/>
    <w:rsid w:val="00B33C91"/>
    <w:rsid w:val="00B344C9"/>
    <w:rsid w:val="00B35667"/>
    <w:rsid w:val="00B3599C"/>
    <w:rsid w:val="00B35DEF"/>
    <w:rsid w:val="00B36636"/>
    <w:rsid w:val="00B40018"/>
    <w:rsid w:val="00B413D6"/>
    <w:rsid w:val="00B41B2B"/>
    <w:rsid w:val="00B41C02"/>
    <w:rsid w:val="00B4243D"/>
    <w:rsid w:val="00B425AC"/>
    <w:rsid w:val="00B42CC6"/>
    <w:rsid w:val="00B42E1A"/>
    <w:rsid w:val="00B43744"/>
    <w:rsid w:val="00B439B0"/>
    <w:rsid w:val="00B447CE"/>
    <w:rsid w:val="00B4493F"/>
    <w:rsid w:val="00B44F12"/>
    <w:rsid w:val="00B452A4"/>
    <w:rsid w:val="00B460E5"/>
    <w:rsid w:val="00B47058"/>
    <w:rsid w:val="00B4789E"/>
    <w:rsid w:val="00B47FEB"/>
    <w:rsid w:val="00B5045E"/>
    <w:rsid w:val="00B50D98"/>
    <w:rsid w:val="00B51937"/>
    <w:rsid w:val="00B5231B"/>
    <w:rsid w:val="00B5263F"/>
    <w:rsid w:val="00B5319C"/>
    <w:rsid w:val="00B53659"/>
    <w:rsid w:val="00B53661"/>
    <w:rsid w:val="00B54198"/>
    <w:rsid w:val="00B55480"/>
    <w:rsid w:val="00B55693"/>
    <w:rsid w:val="00B55DB6"/>
    <w:rsid w:val="00B56475"/>
    <w:rsid w:val="00B576A5"/>
    <w:rsid w:val="00B578B4"/>
    <w:rsid w:val="00B57D63"/>
    <w:rsid w:val="00B6026E"/>
    <w:rsid w:val="00B60432"/>
    <w:rsid w:val="00B60CAB"/>
    <w:rsid w:val="00B615DD"/>
    <w:rsid w:val="00B61664"/>
    <w:rsid w:val="00B617E7"/>
    <w:rsid w:val="00B61BB2"/>
    <w:rsid w:val="00B61DA8"/>
    <w:rsid w:val="00B62535"/>
    <w:rsid w:val="00B62B78"/>
    <w:rsid w:val="00B62B93"/>
    <w:rsid w:val="00B62C7A"/>
    <w:rsid w:val="00B6338A"/>
    <w:rsid w:val="00B633B3"/>
    <w:rsid w:val="00B6352F"/>
    <w:rsid w:val="00B6358F"/>
    <w:rsid w:val="00B63939"/>
    <w:rsid w:val="00B6417D"/>
    <w:rsid w:val="00B64351"/>
    <w:rsid w:val="00B65673"/>
    <w:rsid w:val="00B667CA"/>
    <w:rsid w:val="00B66A83"/>
    <w:rsid w:val="00B66D73"/>
    <w:rsid w:val="00B671FB"/>
    <w:rsid w:val="00B67360"/>
    <w:rsid w:val="00B70228"/>
    <w:rsid w:val="00B70371"/>
    <w:rsid w:val="00B70506"/>
    <w:rsid w:val="00B70B71"/>
    <w:rsid w:val="00B70C69"/>
    <w:rsid w:val="00B70F6D"/>
    <w:rsid w:val="00B714C3"/>
    <w:rsid w:val="00B720CE"/>
    <w:rsid w:val="00B720FA"/>
    <w:rsid w:val="00B72475"/>
    <w:rsid w:val="00B7273D"/>
    <w:rsid w:val="00B72F50"/>
    <w:rsid w:val="00B730F3"/>
    <w:rsid w:val="00B7354D"/>
    <w:rsid w:val="00B73FD7"/>
    <w:rsid w:val="00B74D15"/>
    <w:rsid w:val="00B75622"/>
    <w:rsid w:val="00B76DBE"/>
    <w:rsid w:val="00B7757E"/>
    <w:rsid w:val="00B77CD8"/>
    <w:rsid w:val="00B77E55"/>
    <w:rsid w:val="00B80729"/>
    <w:rsid w:val="00B8178E"/>
    <w:rsid w:val="00B820B3"/>
    <w:rsid w:val="00B82564"/>
    <w:rsid w:val="00B82627"/>
    <w:rsid w:val="00B82E29"/>
    <w:rsid w:val="00B832DD"/>
    <w:rsid w:val="00B83611"/>
    <w:rsid w:val="00B837A1"/>
    <w:rsid w:val="00B84373"/>
    <w:rsid w:val="00B854BD"/>
    <w:rsid w:val="00B858EA"/>
    <w:rsid w:val="00B86006"/>
    <w:rsid w:val="00B86318"/>
    <w:rsid w:val="00B863AF"/>
    <w:rsid w:val="00B86EEE"/>
    <w:rsid w:val="00B8735E"/>
    <w:rsid w:val="00B87469"/>
    <w:rsid w:val="00B87827"/>
    <w:rsid w:val="00B87DA8"/>
    <w:rsid w:val="00B9053F"/>
    <w:rsid w:val="00B906D4"/>
    <w:rsid w:val="00B91204"/>
    <w:rsid w:val="00B9177A"/>
    <w:rsid w:val="00B91D92"/>
    <w:rsid w:val="00B91EEF"/>
    <w:rsid w:val="00B92389"/>
    <w:rsid w:val="00B92950"/>
    <w:rsid w:val="00B92E5C"/>
    <w:rsid w:val="00B93EC2"/>
    <w:rsid w:val="00B942BA"/>
    <w:rsid w:val="00B94898"/>
    <w:rsid w:val="00B95020"/>
    <w:rsid w:val="00B9507B"/>
    <w:rsid w:val="00B95ECE"/>
    <w:rsid w:val="00B9619E"/>
    <w:rsid w:val="00B967D6"/>
    <w:rsid w:val="00B9693D"/>
    <w:rsid w:val="00B971FB"/>
    <w:rsid w:val="00B976DF"/>
    <w:rsid w:val="00B979E1"/>
    <w:rsid w:val="00BA01F6"/>
    <w:rsid w:val="00BA0216"/>
    <w:rsid w:val="00BA09F0"/>
    <w:rsid w:val="00BA122F"/>
    <w:rsid w:val="00BA12CA"/>
    <w:rsid w:val="00BA1643"/>
    <w:rsid w:val="00BA1830"/>
    <w:rsid w:val="00BA18EE"/>
    <w:rsid w:val="00BA2802"/>
    <w:rsid w:val="00BA2830"/>
    <w:rsid w:val="00BA2876"/>
    <w:rsid w:val="00BA289C"/>
    <w:rsid w:val="00BA2EF7"/>
    <w:rsid w:val="00BA37AE"/>
    <w:rsid w:val="00BA4A54"/>
    <w:rsid w:val="00BA50FC"/>
    <w:rsid w:val="00BA5377"/>
    <w:rsid w:val="00BA56E7"/>
    <w:rsid w:val="00BA57C4"/>
    <w:rsid w:val="00BA64EE"/>
    <w:rsid w:val="00BB00F5"/>
    <w:rsid w:val="00BB0159"/>
    <w:rsid w:val="00BB084C"/>
    <w:rsid w:val="00BB0E36"/>
    <w:rsid w:val="00BB15EC"/>
    <w:rsid w:val="00BB1B8C"/>
    <w:rsid w:val="00BB1CBB"/>
    <w:rsid w:val="00BB219D"/>
    <w:rsid w:val="00BB21DA"/>
    <w:rsid w:val="00BB2974"/>
    <w:rsid w:val="00BB2AAC"/>
    <w:rsid w:val="00BB2D9D"/>
    <w:rsid w:val="00BB394A"/>
    <w:rsid w:val="00BB3D37"/>
    <w:rsid w:val="00BB43FF"/>
    <w:rsid w:val="00BB484C"/>
    <w:rsid w:val="00BB50CB"/>
    <w:rsid w:val="00BB52BE"/>
    <w:rsid w:val="00BB5C18"/>
    <w:rsid w:val="00BB6382"/>
    <w:rsid w:val="00BB6804"/>
    <w:rsid w:val="00BB6ACE"/>
    <w:rsid w:val="00BB6D91"/>
    <w:rsid w:val="00BB6DB6"/>
    <w:rsid w:val="00BB709F"/>
    <w:rsid w:val="00BB7719"/>
    <w:rsid w:val="00BC0230"/>
    <w:rsid w:val="00BC11FC"/>
    <w:rsid w:val="00BC1254"/>
    <w:rsid w:val="00BC21C7"/>
    <w:rsid w:val="00BC2757"/>
    <w:rsid w:val="00BC2B6D"/>
    <w:rsid w:val="00BC2C4B"/>
    <w:rsid w:val="00BC2CD1"/>
    <w:rsid w:val="00BC31A8"/>
    <w:rsid w:val="00BC34B5"/>
    <w:rsid w:val="00BC353C"/>
    <w:rsid w:val="00BC3B2E"/>
    <w:rsid w:val="00BC3CA8"/>
    <w:rsid w:val="00BC3F80"/>
    <w:rsid w:val="00BC4850"/>
    <w:rsid w:val="00BC4EFC"/>
    <w:rsid w:val="00BC59E5"/>
    <w:rsid w:val="00BC5D36"/>
    <w:rsid w:val="00BC5FDD"/>
    <w:rsid w:val="00BC60EB"/>
    <w:rsid w:val="00BC629C"/>
    <w:rsid w:val="00BC6785"/>
    <w:rsid w:val="00BC697E"/>
    <w:rsid w:val="00BC6CD5"/>
    <w:rsid w:val="00BC7C5A"/>
    <w:rsid w:val="00BD056D"/>
    <w:rsid w:val="00BD08F4"/>
    <w:rsid w:val="00BD0925"/>
    <w:rsid w:val="00BD0A04"/>
    <w:rsid w:val="00BD2475"/>
    <w:rsid w:val="00BD2673"/>
    <w:rsid w:val="00BD4651"/>
    <w:rsid w:val="00BD4CBD"/>
    <w:rsid w:val="00BD55BA"/>
    <w:rsid w:val="00BD5644"/>
    <w:rsid w:val="00BD5E55"/>
    <w:rsid w:val="00BD6BE9"/>
    <w:rsid w:val="00BD778A"/>
    <w:rsid w:val="00BD7C03"/>
    <w:rsid w:val="00BD7F7F"/>
    <w:rsid w:val="00BE0533"/>
    <w:rsid w:val="00BE05C9"/>
    <w:rsid w:val="00BE0B1A"/>
    <w:rsid w:val="00BE0F81"/>
    <w:rsid w:val="00BE16AD"/>
    <w:rsid w:val="00BE1E76"/>
    <w:rsid w:val="00BE2463"/>
    <w:rsid w:val="00BE3B91"/>
    <w:rsid w:val="00BE4980"/>
    <w:rsid w:val="00BE4A92"/>
    <w:rsid w:val="00BE4BBF"/>
    <w:rsid w:val="00BE56AD"/>
    <w:rsid w:val="00BE5D23"/>
    <w:rsid w:val="00BE639C"/>
    <w:rsid w:val="00BE68DD"/>
    <w:rsid w:val="00BE68E8"/>
    <w:rsid w:val="00BE6ADC"/>
    <w:rsid w:val="00BE6E70"/>
    <w:rsid w:val="00BE7003"/>
    <w:rsid w:val="00BE7419"/>
    <w:rsid w:val="00BE76E6"/>
    <w:rsid w:val="00BF06FB"/>
    <w:rsid w:val="00BF104A"/>
    <w:rsid w:val="00BF1104"/>
    <w:rsid w:val="00BF1731"/>
    <w:rsid w:val="00BF2056"/>
    <w:rsid w:val="00BF248C"/>
    <w:rsid w:val="00BF3485"/>
    <w:rsid w:val="00BF38D1"/>
    <w:rsid w:val="00BF3C50"/>
    <w:rsid w:val="00BF4CAB"/>
    <w:rsid w:val="00BF4CEA"/>
    <w:rsid w:val="00BF4CF4"/>
    <w:rsid w:val="00BF4E42"/>
    <w:rsid w:val="00BF6394"/>
    <w:rsid w:val="00BF79BE"/>
    <w:rsid w:val="00C00091"/>
    <w:rsid w:val="00C000C5"/>
    <w:rsid w:val="00C00FE1"/>
    <w:rsid w:val="00C018E2"/>
    <w:rsid w:val="00C02452"/>
    <w:rsid w:val="00C0251C"/>
    <w:rsid w:val="00C02623"/>
    <w:rsid w:val="00C0322D"/>
    <w:rsid w:val="00C03ECE"/>
    <w:rsid w:val="00C040BB"/>
    <w:rsid w:val="00C04291"/>
    <w:rsid w:val="00C04751"/>
    <w:rsid w:val="00C049F7"/>
    <w:rsid w:val="00C05304"/>
    <w:rsid w:val="00C05F97"/>
    <w:rsid w:val="00C062EA"/>
    <w:rsid w:val="00C06BB8"/>
    <w:rsid w:val="00C10269"/>
    <w:rsid w:val="00C106C8"/>
    <w:rsid w:val="00C112F4"/>
    <w:rsid w:val="00C117FA"/>
    <w:rsid w:val="00C11FB5"/>
    <w:rsid w:val="00C121D0"/>
    <w:rsid w:val="00C1232B"/>
    <w:rsid w:val="00C136C9"/>
    <w:rsid w:val="00C136DC"/>
    <w:rsid w:val="00C13B25"/>
    <w:rsid w:val="00C13F55"/>
    <w:rsid w:val="00C144F2"/>
    <w:rsid w:val="00C14835"/>
    <w:rsid w:val="00C1566B"/>
    <w:rsid w:val="00C172E8"/>
    <w:rsid w:val="00C17551"/>
    <w:rsid w:val="00C17F7A"/>
    <w:rsid w:val="00C20D17"/>
    <w:rsid w:val="00C20DB3"/>
    <w:rsid w:val="00C211FD"/>
    <w:rsid w:val="00C212C0"/>
    <w:rsid w:val="00C21368"/>
    <w:rsid w:val="00C215D6"/>
    <w:rsid w:val="00C22122"/>
    <w:rsid w:val="00C23159"/>
    <w:rsid w:val="00C242EC"/>
    <w:rsid w:val="00C24456"/>
    <w:rsid w:val="00C25244"/>
    <w:rsid w:val="00C25DA0"/>
    <w:rsid w:val="00C26C77"/>
    <w:rsid w:val="00C2748B"/>
    <w:rsid w:val="00C3030E"/>
    <w:rsid w:val="00C30463"/>
    <w:rsid w:val="00C30831"/>
    <w:rsid w:val="00C30CAE"/>
    <w:rsid w:val="00C31136"/>
    <w:rsid w:val="00C312C1"/>
    <w:rsid w:val="00C31665"/>
    <w:rsid w:val="00C3198E"/>
    <w:rsid w:val="00C31E09"/>
    <w:rsid w:val="00C325AD"/>
    <w:rsid w:val="00C33825"/>
    <w:rsid w:val="00C341C0"/>
    <w:rsid w:val="00C3445F"/>
    <w:rsid w:val="00C346F1"/>
    <w:rsid w:val="00C3493A"/>
    <w:rsid w:val="00C35544"/>
    <w:rsid w:val="00C3561D"/>
    <w:rsid w:val="00C35BE9"/>
    <w:rsid w:val="00C35E9E"/>
    <w:rsid w:val="00C35EE2"/>
    <w:rsid w:val="00C364F7"/>
    <w:rsid w:val="00C3655C"/>
    <w:rsid w:val="00C36C7D"/>
    <w:rsid w:val="00C36E12"/>
    <w:rsid w:val="00C40D82"/>
    <w:rsid w:val="00C40FF9"/>
    <w:rsid w:val="00C4126F"/>
    <w:rsid w:val="00C41294"/>
    <w:rsid w:val="00C4189A"/>
    <w:rsid w:val="00C41F33"/>
    <w:rsid w:val="00C4253F"/>
    <w:rsid w:val="00C42631"/>
    <w:rsid w:val="00C42BC1"/>
    <w:rsid w:val="00C42E55"/>
    <w:rsid w:val="00C42F0C"/>
    <w:rsid w:val="00C4313E"/>
    <w:rsid w:val="00C43223"/>
    <w:rsid w:val="00C44FB6"/>
    <w:rsid w:val="00C4528D"/>
    <w:rsid w:val="00C45858"/>
    <w:rsid w:val="00C45DFB"/>
    <w:rsid w:val="00C4639F"/>
    <w:rsid w:val="00C4682C"/>
    <w:rsid w:val="00C46F37"/>
    <w:rsid w:val="00C47052"/>
    <w:rsid w:val="00C47560"/>
    <w:rsid w:val="00C47D12"/>
    <w:rsid w:val="00C5040F"/>
    <w:rsid w:val="00C50419"/>
    <w:rsid w:val="00C50F6C"/>
    <w:rsid w:val="00C51404"/>
    <w:rsid w:val="00C51825"/>
    <w:rsid w:val="00C528D7"/>
    <w:rsid w:val="00C52F33"/>
    <w:rsid w:val="00C5313E"/>
    <w:rsid w:val="00C53937"/>
    <w:rsid w:val="00C53AEF"/>
    <w:rsid w:val="00C54573"/>
    <w:rsid w:val="00C5477F"/>
    <w:rsid w:val="00C54C3D"/>
    <w:rsid w:val="00C54C5C"/>
    <w:rsid w:val="00C55477"/>
    <w:rsid w:val="00C56788"/>
    <w:rsid w:val="00C56886"/>
    <w:rsid w:val="00C56F02"/>
    <w:rsid w:val="00C57018"/>
    <w:rsid w:val="00C57605"/>
    <w:rsid w:val="00C57CB4"/>
    <w:rsid w:val="00C60C30"/>
    <w:rsid w:val="00C6149E"/>
    <w:rsid w:val="00C615A4"/>
    <w:rsid w:val="00C61C59"/>
    <w:rsid w:val="00C61F35"/>
    <w:rsid w:val="00C625E5"/>
    <w:rsid w:val="00C6286B"/>
    <w:rsid w:val="00C629E8"/>
    <w:rsid w:val="00C62F62"/>
    <w:rsid w:val="00C63269"/>
    <w:rsid w:val="00C6463C"/>
    <w:rsid w:val="00C6483E"/>
    <w:rsid w:val="00C64F2C"/>
    <w:rsid w:val="00C6565F"/>
    <w:rsid w:val="00C65A35"/>
    <w:rsid w:val="00C66A0D"/>
    <w:rsid w:val="00C66F5C"/>
    <w:rsid w:val="00C67839"/>
    <w:rsid w:val="00C702FF"/>
    <w:rsid w:val="00C70459"/>
    <w:rsid w:val="00C70FAC"/>
    <w:rsid w:val="00C713A6"/>
    <w:rsid w:val="00C7159A"/>
    <w:rsid w:val="00C72E68"/>
    <w:rsid w:val="00C73260"/>
    <w:rsid w:val="00C739C7"/>
    <w:rsid w:val="00C73C84"/>
    <w:rsid w:val="00C74FCC"/>
    <w:rsid w:val="00C75520"/>
    <w:rsid w:val="00C767CC"/>
    <w:rsid w:val="00C76A50"/>
    <w:rsid w:val="00C76F67"/>
    <w:rsid w:val="00C808F3"/>
    <w:rsid w:val="00C80FD6"/>
    <w:rsid w:val="00C811C6"/>
    <w:rsid w:val="00C81366"/>
    <w:rsid w:val="00C8189C"/>
    <w:rsid w:val="00C822F4"/>
    <w:rsid w:val="00C82410"/>
    <w:rsid w:val="00C82BD0"/>
    <w:rsid w:val="00C82E96"/>
    <w:rsid w:val="00C834B0"/>
    <w:rsid w:val="00C83A1B"/>
    <w:rsid w:val="00C84923"/>
    <w:rsid w:val="00C849D4"/>
    <w:rsid w:val="00C869E2"/>
    <w:rsid w:val="00C86FB7"/>
    <w:rsid w:val="00C90138"/>
    <w:rsid w:val="00C9061C"/>
    <w:rsid w:val="00C9270B"/>
    <w:rsid w:val="00C92DEB"/>
    <w:rsid w:val="00C92E30"/>
    <w:rsid w:val="00C93262"/>
    <w:rsid w:val="00C93345"/>
    <w:rsid w:val="00C934D0"/>
    <w:rsid w:val="00C94A71"/>
    <w:rsid w:val="00C95336"/>
    <w:rsid w:val="00C97A41"/>
    <w:rsid w:val="00CA00D3"/>
    <w:rsid w:val="00CA051C"/>
    <w:rsid w:val="00CA05A7"/>
    <w:rsid w:val="00CA0903"/>
    <w:rsid w:val="00CA0DF3"/>
    <w:rsid w:val="00CA14AE"/>
    <w:rsid w:val="00CA2373"/>
    <w:rsid w:val="00CA2816"/>
    <w:rsid w:val="00CA2994"/>
    <w:rsid w:val="00CA3478"/>
    <w:rsid w:val="00CA364F"/>
    <w:rsid w:val="00CA3F7D"/>
    <w:rsid w:val="00CA3FEF"/>
    <w:rsid w:val="00CA40B5"/>
    <w:rsid w:val="00CA50C2"/>
    <w:rsid w:val="00CA55BC"/>
    <w:rsid w:val="00CA7489"/>
    <w:rsid w:val="00CB05F2"/>
    <w:rsid w:val="00CB24D1"/>
    <w:rsid w:val="00CB345D"/>
    <w:rsid w:val="00CB3A5E"/>
    <w:rsid w:val="00CB43A3"/>
    <w:rsid w:val="00CB4A74"/>
    <w:rsid w:val="00CB4A98"/>
    <w:rsid w:val="00CB5692"/>
    <w:rsid w:val="00CB5B15"/>
    <w:rsid w:val="00CB5BEA"/>
    <w:rsid w:val="00CB6B16"/>
    <w:rsid w:val="00CB6BD2"/>
    <w:rsid w:val="00CB6CF8"/>
    <w:rsid w:val="00CB73DA"/>
    <w:rsid w:val="00CB77F2"/>
    <w:rsid w:val="00CB7B1C"/>
    <w:rsid w:val="00CB7CFF"/>
    <w:rsid w:val="00CB7D3A"/>
    <w:rsid w:val="00CB7E02"/>
    <w:rsid w:val="00CC03D1"/>
    <w:rsid w:val="00CC0420"/>
    <w:rsid w:val="00CC06A1"/>
    <w:rsid w:val="00CC09B5"/>
    <w:rsid w:val="00CC0A52"/>
    <w:rsid w:val="00CC0AB5"/>
    <w:rsid w:val="00CC2755"/>
    <w:rsid w:val="00CC364A"/>
    <w:rsid w:val="00CC40A5"/>
    <w:rsid w:val="00CC4481"/>
    <w:rsid w:val="00CC4E49"/>
    <w:rsid w:val="00CC52E9"/>
    <w:rsid w:val="00CC5429"/>
    <w:rsid w:val="00CC54B1"/>
    <w:rsid w:val="00CC5E7B"/>
    <w:rsid w:val="00CC60DF"/>
    <w:rsid w:val="00CC62D7"/>
    <w:rsid w:val="00CC665D"/>
    <w:rsid w:val="00CC69D7"/>
    <w:rsid w:val="00CC7950"/>
    <w:rsid w:val="00CC7D8D"/>
    <w:rsid w:val="00CD0091"/>
    <w:rsid w:val="00CD0799"/>
    <w:rsid w:val="00CD0BF2"/>
    <w:rsid w:val="00CD2275"/>
    <w:rsid w:val="00CD2C67"/>
    <w:rsid w:val="00CD31DB"/>
    <w:rsid w:val="00CD32EC"/>
    <w:rsid w:val="00CD3FCD"/>
    <w:rsid w:val="00CD41A7"/>
    <w:rsid w:val="00CD4B53"/>
    <w:rsid w:val="00CD53E9"/>
    <w:rsid w:val="00CD5F46"/>
    <w:rsid w:val="00CD6466"/>
    <w:rsid w:val="00CD66AC"/>
    <w:rsid w:val="00CD6B74"/>
    <w:rsid w:val="00CD6C64"/>
    <w:rsid w:val="00CD7F09"/>
    <w:rsid w:val="00CE0397"/>
    <w:rsid w:val="00CE0F68"/>
    <w:rsid w:val="00CE0F9A"/>
    <w:rsid w:val="00CE19FF"/>
    <w:rsid w:val="00CE25D9"/>
    <w:rsid w:val="00CE299D"/>
    <w:rsid w:val="00CE3106"/>
    <w:rsid w:val="00CE3686"/>
    <w:rsid w:val="00CE4839"/>
    <w:rsid w:val="00CE61D2"/>
    <w:rsid w:val="00CE649A"/>
    <w:rsid w:val="00CE71FA"/>
    <w:rsid w:val="00CE7357"/>
    <w:rsid w:val="00CE737E"/>
    <w:rsid w:val="00CE7DC2"/>
    <w:rsid w:val="00CE7E44"/>
    <w:rsid w:val="00CF0530"/>
    <w:rsid w:val="00CF09BC"/>
    <w:rsid w:val="00CF0A62"/>
    <w:rsid w:val="00CF1205"/>
    <w:rsid w:val="00CF1957"/>
    <w:rsid w:val="00CF1AD5"/>
    <w:rsid w:val="00CF2344"/>
    <w:rsid w:val="00CF2759"/>
    <w:rsid w:val="00CF30AA"/>
    <w:rsid w:val="00CF3198"/>
    <w:rsid w:val="00CF31B1"/>
    <w:rsid w:val="00CF3919"/>
    <w:rsid w:val="00CF3A7D"/>
    <w:rsid w:val="00CF3C4F"/>
    <w:rsid w:val="00CF3E4B"/>
    <w:rsid w:val="00CF57AD"/>
    <w:rsid w:val="00CF5B1F"/>
    <w:rsid w:val="00CF5D12"/>
    <w:rsid w:val="00CF5DBE"/>
    <w:rsid w:val="00CF5E09"/>
    <w:rsid w:val="00CF5F0F"/>
    <w:rsid w:val="00CF5F13"/>
    <w:rsid w:val="00CF65CA"/>
    <w:rsid w:val="00CF6721"/>
    <w:rsid w:val="00CF7BCB"/>
    <w:rsid w:val="00D006F2"/>
    <w:rsid w:val="00D01192"/>
    <w:rsid w:val="00D0181C"/>
    <w:rsid w:val="00D024C5"/>
    <w:rsid w:val="00D02C36"/>
    <w:rsid w:val="00D038B1"/>
    <w:rsid w:val="00D03C19"/>
    <w:rsid w:val="00D04314"/>
    <w:rsid w:val="00D0451F"/>
    <w:rsid w:val="00D046DC"/>
    <w:rsid w:val="00D04C32"/>
    <w:rsid w:val="00D04F5F"/>
    <w:rsid w:val="00D06CD3"/>
    <w:rsid w:val="00D06D9A"/>
    <w:rsid w:val="00D072C8"/>
    <w:rsid w:val="00D10490"/>
    <w:rsid w:val="00D10ACD"/>
    <w:rsid w:val="00D1149E"/>
    <w:rsid w:val="00D119DB"/>
    <w:rsid w:val="00D12387"/>
    <w:rsid w:val="00D12F63"/>
    <w:rsid w:val="00D131CB"/>
    <w:rsid w:val="00D13EEB"/>
    <w:rsid w:val="00D1438D"/>
    <w:rsid w:val="00D14908"/>
    <w:rsid w:val="00D1595E"/>
    <w:rsid w:val="00D15DF8"/>
    <w:rsid w:val="00D170B0"/>
    <w:rsid w:val="00D21135"/>
    <w:rsid w:val="00D2158B"/>
    <w:rsid w:val="00D22270"/>
    <w:rsid w:val="00D2298A"/>
    <w:rsid w:val="00D229EE"/>
    <w:rsid w:val="00D24503"/>
    <w:rsid w:val="00D2558D"/>
    <w:rsid w:val="00D255A5"/>
    <w:rsid w:val="00D2632B"/>
    <w:rsid w:val="00D27161"/>
    <w:rsid w:val="00D276B3"/>
    <w:rsid w:val="00D2775D"/>
    <w:rsid w:val="00D27D5D"/>
    <w:rsid w:val="00D27EEA"/>
    <w:rsid w:val="00D27FC6"/>
    <w:rsid w:val="00D30136"/>
    <w:rsid w:val="00D30C52"/>
    <w:rsid w:val="00D30C63"/>
    <w:rsid w:val="00D30F16"/>
    <w:rsid w:val="00D31001"/>
    <w:rsid w:val="00D311D9"/>
    <w:rsid w:val="00D32D83"/>
    <w:rsid w:val="00D32EF8"/>
    <w:rsid w:val="00D34135"/>
    <w:rsid w:val="00D3459B"/>
    <w:rsid w:val="00D34C5C"/>
    <w:rsid w:val="00D363D1"/>
    <w:rsid w:val="00D36B02"/>
    <w:rsid w:val="00D36E08"/>
    <w:rsid w:val="00D4007C"/>
    <w:rsid w:val="00D4038D"/>
    <w:rsid w:val="00D40A35"/>
    <w:rsid w:val="00D41A64"/>
    <w:rsid w:val="00D42CB8"/>
    <w:rsid w:val="00D42E10"/>
    <w:rsid w:val="00D43911"/>
    <w:rsid w:val="00D441A6"/>
    <w:rsid w:val="00D44C92"/>
    <w:rsid w:val="00D4557B"/>
    <w:rsid w:val="00D4582E"/>
    <w:rsid w:val="00D45C02"/>
    <w:rsid w:val="00D45FE0"/>
    <w:rsid w:val="00D460AF"/>
    <w:rsid w:val="00D465C9"/>
    <w:rsid w:val="00D46B19"/>
    <w:rsid w:val="00D46E61"/>
    <w:rsid w:val="00D478AF"/>
    <w:rsid w:val="00D50593"/>
    <w:rsid w:val="00D50BF4"/>
    <w:rsid w:val="00D5106B"/>
    <w:rsid w:val="00D510DF"/>
    <w:rsid w:val="00D513EC"/>
    <w:rsid w:val="00D5169C"/>
    <w:rsid w:val="00D52BAF"/>
    <w:rsid w:val="00D54454"/>
    <w:rsid w:val="00D5481F"/>
    <w:rsid w:val="00D553FF"/>
    <w:rsid w:val="00D555BE"/>
    <w:rsid w:val="00D55DC2"/>
    <w:rsid w:val="00D55E10"/>
    <w:rsid w:val="00D564DC"/>
    <w:rsid w:val="00D6084E"/>
    <w:rsid w:val="00D60DA0"/>
    <w:rsid w:val="00D60ED6"/>
    <w:rsid w:val="00D614A8"/>
    <w:rsid w:val="00D617B1"/>
    <w:rsid w:val="00D6195B"/>
    <w:rsid w:val="00D61B2F"/>
    <w:rsid w:val="00D61B96"/>
    <w:rsid w:val="00D61F8D"/>
    <w:rsid w:val="00D62908"/>
    <w:rsid w:val="00D62B48"/>
    <w:rsid w:val="00D638EE"/>
    <w:rsid w:val="00D63C7C"/>
    <w:rsid w:val="00D64043"/>
    <w:rsid w:val="00D64339"/>
    <w:rsid w:val="00D64856"/>
    <w:rsid w:val="00D64B08"/>
    <w:rsid w:val="00D64CAE"/>
    <w:rsid w:val="00D652C1"/>
    <w:rsid w:val="00D6562B"/>
    <w:rsid w:val="00D65D0F"/>
    <w:rsid w:val="00D66042"/>
    <w:rsid w:val="00D66679"/>
    <w:rsid w:val="00D7117F"/>
    <w:rsid w:val="00D7123C"/>
    <w:rsid w:val="00D714C2"/>
    <w:rsid w:val="00D71DB7"/>
    <w:rsid w:val="00D71F3B"/>
    <w:rsid w:val="00D721EF"/>
    <w:rsid w:val="00D72DCC"/>
    <w:rsid w:val="00D72E4C"/>
    <w:rsid w:val="00D73996"/>
    <w:rsid w:val="00D73E30"/>
    <w:rsid w:val="00D743B9"/>
    <w:rsid w:val="00D74693"/>
    <w:rsid w:val="00D75392"/>
    <w:rsid w:val="00D753E5"/>
    <w:rsid w:val="00D754EE"/>
    <w:rsid w:val="00D7649C"/>
    <w:rsid w:val="00D76521"/>
    <w:rsid w:val="00D76620"/>
    <w:rsid w:val="00D76F4E"/>
    <w:rsid w:val="00D772E9"/>
    <w:rsid w:val="00D773C9"/>
    <w:rsid w:val="00D77F90"/>
    <w:rsid w:val="00D8105F"/>
    <w:rsid w:val="00D817A0"/>
    <w:rsid w:val="00D81DF9"/>
    <w:rsid w:val="00D826BF"/>
    <w:rsid w:val="00D82820"/>
    <w:rsid w:val="00D82BE4"/>
    <w:rsid w:val="00D83BBD"/>
    <w:rsid w:val="00D8405B"/>
    <w:rsid w:val="00D84936"/>
    <w:rsid w:val="00D84AAA"/>
    <w:rsid w:val="00D852C6"/>
    <w:rsid w:val="00D8563B"/>
    <w:rsid w:val="00D859E2"/>
    <w:rsid w:val="00D85CE4"/>
    <w:rsid w:val="00D86341"/>
    <w:rsid w:val="00D86FB0"/>
    <w:rsid w:val="00D87EE6"/>
    <w:rsid w:val="00D87F62"/>
    <w:rsid w:val="00D90058"/>
    <w:rsid w:val="00D900A0"/>
    <w:rsid w:val="00D902EC"/>
    <w:rsid w:val="00D90AB0"/>
    <w:rsid w:val="00D91CD9"/>
    <w:rsid w:val="00D92217"/>
    <w:rsid w:val="00D92861"/>
    <w:rsid w:val="00D93536"/>
    <w:rsid w:val="00D93E5F"/>
    <w:rsid w:val="00D94093"/>
    <w:rsid w:val="00D94D23"/>
    <w:rsid w:val="00D95D87"/>
    <w:rsid w:val="00D9613E"/>
    <w:rsid w:val="00D9632F"/>
    <w:rsid w:val="00D96349"/>
    <w:rsid w:val="00D96E7E"/>
    <w:rsid w:val="00DA0186"/>
    <w:rsid w:val="00DA238C"/>
    <w:rsid w:val="00DA2756"/>
    <w:rsid w:val="00DA2C2F"/>
    <w:rsid w:val="00DA30B5"/>
    <w:rsid w:val="00DA3931"/>
    <w:rsid w:val="00DA450C"/>
    <w:rsid w:val="00DA46E7"/>
    <w:rsid w:val="00DA5676"/>
    <w:rsid w:val="00DA7326"/>
    <w:rsid w:val="00DA79CA"/>
    <w:rsid w:val="00DB0E03"/>
    <w:rsid w:val="00DB1123"/>
    <w:rsid w:val="00DB126F"/>
    <w:rsid w:val="00DB248C"/>
    <w:rsid w:val="00DB24F9"/>
    <w:rsid w:val="00DB2798"/>
    <w:rsid w:val="00DB2A87"/>
    <w:rsid w:val="00DB2C74"/>
    <w:rsid w:val="00DB31D1"/>
    <w:rsid w:val="00DB3828"/>
    <w:rsid w:val="00DB3D5E"/>
    <w:rsid w:val="00DB4449"/>
    <w:rsid w:val="00DB44C1"/>
    <w:rsid w:val="00DB4D96"/>
    <w:rsid w:val="00DB5AE5"/>
    <w:rsid w:val="00DB6037"/>
    <w:rsid w:val="00DB72E6"/>
    <w:rsid w:val="00DC065D"/>
    <w:rsid w:val="00DC08AB"/>
    <w:rsid w:val="00DC092F"/>
    <w:rsid w:val="00DC0ABE"/>
    <w:rsid w:val="00DC145D"/>
    <w:rsid w:val="00DC1B3A"/>
    <w:rsid w:val="00DC3C27"/>
    <w:rsid w:val="00DC46AB"/>
    <w:rsid w:val="00DC54F4"/>
    <w:rsid w:val="00DC5A3E"/>
    <w:rsid w:val="00DC5C29"/>
    <w:rsid w:val="00DC75BF"/>
    <w:rsid w:val="00DC772D"/>
    <w:rsid w:val="00DD00BF"/>
    <w:rsid w:val="00DD05AD"/>
    <w:rsid w:val="00DD1452"/>
    <w:rsid w:val="00DD1544"/>
    <w:rsid w:val="00DD15F4"/>
    <w:rsid w:val="00DD30A0"/>
    <w:rsid w:val="00DD3E36"/>
    <w:rsid w:val="00DD4432"/>
    <w:rsid w:val="00DD46A6"/>
    <w:rsid w:val="00DD47EA"/>
    <w:rsid w:val="00DD4B3A"/>
    <w:rsid w:val="00DD4B8A"/>
    <w:rsid w:val="00DD4C43"/>
    <w:rsid w:val="00DD5923"/>
    <w:rsid w:val="00DD637C"/>
    <w:rsid w:val="00DD6ADB"/>
    <w:rsid w:val="00DE0A94"/>
    <w:rsid w:val="00DE0DE8"/>
    <w:rsid w:val="00DE19DD"/>
    <w:rsid w:val="00DE347B"/>
    <w:rsid w:val="00DE37EB"/>
    <w:rsid w:val="00DE4404"/>
    <w:rsid w:val="00DE490B"/>
    <w:rsid w:val="00DE4A1A"/>
    <w:rsid w:val="00DE4DEA"/>
    <w:rsid w:val="00DE509E"/>
    <w:rsid w:val="00DE552D"/>
    <w:rsid w:val="00DE5D1C"/>
    <w:rsid w:val="00DE5D7A"/>
    <w:rsid w:val="00DE5E38"/>
    <w:rsid w:val="00DE6155"/>
    <w:rsid w:val="00DE6B59"/>
    <w:rsid w:val="00DE737B"/>
    <w:rsid w:val="00DE7550"/>
    <w:rsid w:val="00DE7772"/>
    <w:rsid w:val="00DE7F6B"/>
    <w:rsid w:val="00DF0312"/>
    <w:rsid w:val="00DF0739"/>
    <w:rsid w:val="00DF0ACD"/>
    <w:rsid w:val="00DF0E5F"/>
    <w:rsid w:val="00DF101F"/>
    <w:rsid w:val="00DF13B3"/>
    <w:rsid w:val="00DF1A74"/>
    <w:rsid w:val="00DF1AC1"/>
    <w:rsid w:val="00DF1CEB"/>
    <w:rsid w:val="00DF1FB2"/>
    <w:rsid w:val="00DF318A"/>
    <w:rsid w:val="00DF3299"/>
    <w:rsid w:val="00DF4AA9"/>
    <w:rsid w:val="00DF4C82"/>
    <w:rsid w:val="00DF5FCB"/>
    <w:rsid w:val="00DF7176"/>
    <w:rsid w:val="00DF7F0E"/>
    <w:rsid w:val="00E00062"/>
    <w:rsid w:val="00E00674"/>
    <w:rsid w:val="00E034E6"/>
    <w:rsid w:val="00E04510"/>
    <w:rsid w:val="00E04873"/>
    <w:rsid w:val="00E051A9"/>
    <w:rsid w:val="00E063D2"/>
    <w:rsid w:val="00E064A9"/>
    <w:rsid w:val="00E0751D"/>
    <w:rsid w:val="00E077C3"/>
    <w:rsid w:val="00E11BAE"/>
    <w:rsid w:val="00E1208E"/>
    <w:rsid w:val="00E1242B"/>
    <w:rsid w:val="00E129C0"/>
    <w:rsid w:val="00E12DA0"/>
    <w:rsid w:val="00E133A6"/>
    <w:rsid w:val="00E13F43"/>
    <w:rsid w:val="00E1443F"/>
    <w:rsid w:val="00E161EF"/>
    <w:rsid w:val="00E16888"/>
    <w:rsid w:val="00E20304"/>
    <w:rsid w:val="00E2078D"/>
    <w:rsid w:val="00E20870"/>
    <w:rsid w:val="00E2096C"/>
    <w:rsid w:val="00E20C44"/>
    <w:rsid w:val="00E210B2"/>
    <w:rsid w:val="00E21452"/>
    <w:rsid w:val="00E21A56"/>
    <w:rsid w:val="00E22130"/>
    <w:rsid w:val="00E236C0"/>
    <w:rsid w:val="00E239B6"/>
    <w:rsid w:val="00E244E8"/>
    <w:rsid w:val="00E246FD"/>
    <w:rsid w:val="00E25AA6"/>
    <w:rsid w:val="00E26918"/>
    <w:rsid w:val="00E26999"/>
    <w:rsid w:val="00E26A6B"/>
    <w:rsid w:val="00E30876"/>
    <w:rsid w:val="00E30CFF"/>
    <w:rsid w:val="00E30D30"/>
    <w:rsid w:val="00E30DDE"/>
    <w:rsid w:val="00E30EA8"/>
    <w:rsid w:val="00E30ED4"/>
    <w:rsid w:val="00E3191C"/>
    <w:rsid w:val="00E31A15"/>
    <w:rsid w:val="00E3293C"/>
    <w:rsid w:val="00E33A30"/>
    <w:rsid w:val="00E34128"/>
    <w:rsid w:val="00E34C8B"/>
    <w:rsid w:val="00E353FB"/>
    <w:rsid w:val="00E3559F"/>
    <w:rsid w:val="00E35C84"/>
    <w:rsid w:val="00E361F5"/>
    <w:rsid w:val="00E36805"/>
    <w:rsid w:val="00E371A7"/>
    <w:rsid w:val="00E37F92"/>
    <w:rsid w:val="00E40224"/>
    <w:rsid w:val="00E408CC"/>
    <w:rsid w:val="00E40D24"/>
    <w:rsid w:val="00E418AE"/>
    <w:rsid w:val="00E41BE9"/>
    <w:rsid w:val="00E41E8E"/>
    <w:rsid w:val="00E41F4F"/>
    <w:rsid w:val="00E41F90"/>
    <w:rsid w:val="00E41F94"/>
    <w:rsid w:val="00E4228D"/>
    <w:rsid w:val="00E42CB8"/>
    <w:rsid w:val="00E43636"/>
    <w:rsid w:val="00E43AA2"/>
    <w:rsid w:val="00E4428C"/>
    <w:rsid w:val="00E44504"/>
    <w:rsid w:val="00E45F54"/>
    <w:rsid w:val="00E45F60"/>
    <w:rsid w:val="00E46173"/>
    <w:rsid w:val="00E4645E"/>
    <w:rsid w:val="00E46493"/>
    <w:rsid w:val="00E4673B"/>
    <w:rsid w:val="00E467C7"/>
    <w:rsid w:val="00E47646"/>
    <w:rsid w:val="00E500FB"/>
    <w:rsid w:val="00E507EF"/>
    <w:rsid w:val="00E5173C"/>
    <w:rsid w:val="00E51B54"/>
    <w:rsid w:val="00E51CFC"/>
    <w:rsid w:val="00E53292"/>
    <w:rsid w:val="00E53D59"/>
    <w:rsid w:val="00E53ED3"/>
    <w:rsid w:val="00E54CB5"/>
    <w:rsid w:val="00E5571E"/>
    <w:rsid w:val="00E56233"/>
    <w:rsid w:val="00E56D8A"/>
    <w:rsid w:val="00E575D6"/>
    <w:rsid w:val="00E575DE"/>
    <w:rsid w:val="00E57809"/>
    <w:rsid w:val="00E57B84"/>
    <w:rsid w:val="00E609E3"/>
    <w:rsid w:val="00E60D12"/>
    <w:rsid w:val="00E60D2D"/>
    <w:rsid w:val="00E627E1"/>
    <w:rsid w:val="00E6327E"/>
    <w:rsid w:val="00E632C9"/>
    <w:rsid w:val="00E63D8C"/>
    <w:rsid w:val="00E63FE9"/>
    <w:rsid w:val="00E648E4"/>
    <w:rsid w:val="00E64BCD"/>
    <w:rsid w:val="00E65B07"/>
    <w:rsid w:val="00E66315"/>
    <w:rsid w:val="00E667A2"/>
    <w:rsid w:val="00E669C9"/>
    <w:rsid w:val="00E672FE"/>
    <w:rsid w:val="00E67B4E"/>
    <w:rsid w:val="00E70363"/>
    <w:rsid w:val="00E70A6A"/>
    <w:rsid w:val="00E7147D"/>
    <w:rsid w:val="00E71CCF"/>
    <w:rsid w:val="00E71DC4"/>
    <w:rsid w:val="00E72150"/>
    <w:rsid w:val="00E726F4"/>
    <w:rsid w:val="00E72CA0"/>
    <w:rsid w:val="00E72DB6"/>
    <w:rsid w:val="00E73498"/>
    <w:rsid w:val="00E73870"/>
    <w:rsid w:val="00E73B7B"/>
    <w:rsid w:val="00E73E23"/>
    <w:rsid w:val="00E74659"/>
    <w:rsid w:val="00E74985"/>
    <w:rsid w:val="00E7547B"/>
    <w:rsid w:val="00E7665B"/>
    <w:rsid w:val="00E76F05"/>
    <w:rsid w:val="00E77058"/>
    <w:rsid w:val="00E771BC"/>
    <w:rsid w:val="00E8006C"/>
    <w:rsid w:val="00E80B96"/>
    <w:rsid w:val="00E80C09"/>
    <w:rsid w:val="00E827AA"/>
    <w:rsid w:val="00E82940"/>
    <w:rsid w:val="00E82993"/>
    <w:rsid w:val="00E83313"/>
    <w:rsid w:val="00E83452"/>
    <w:rsid w:val="00E83FF0"/>
    <w:rsid w:val="00E85964"/>
    <w:rsid w:val="00E85A88"/>
    <w:rsid w:val="00E85BB7"/>
    <w:rsid w:val="00E8644D"/>
    <w:rsid w:val="00E86524"/>
    <w:rsid w:val="00E8776D"/>
    <w:rsid w:val="00E87992"/>
    <w:rsid w:val="00E91509"/>
    <w:rsid w:val="00E917AA"/>
    <w:rsid w:val="00E91874"/>
    <w:rsid w:val="00E91AC0"/>
    <w:rsid w:val="00E91D14"/>
    <w:rsid w:val="00E91D78"/>
    <w:rsid w:val="00E92072"/>
    <w:rsid w:val="00E922B1"/>
    <w:rsid w:val="00E9241B"/>
    <w:rsid w:val="00E929FD"/>
    <w:rsid w:val="00E92F85"/>
    <w:rsid w:val="00E935D0"/>
    <w:rsid w:val="00E94237"/>
    <w:rsid w:val="00E94689"/>
    <w:rsid w:val="00E946C7"/>
    <w:rsid w:val="00E94979"/>
    <w:rsid w:val="00E94C92"/>
    <w:rsid w:val="00E9527F"/>
    <w:rsid w:val="00E95460"/>
    <w:rsid w:val="00E9589F"/>
    <w:rsid w:val="00E95C76"/>
    <w:rsid w:val="00E9613D"/>
    <w:rsid w:val="00E9640C"/>
    <w:rsid w:val="00E97ECD"/>
    <w:rsid w:val="00E97F22"/>
    <w:rsid w:val="00EA052D"/>
    <w:rsid w:val="00EA06EB"/>
    <w:rsid w:val="00EA1F1A"/>
    <w:rsid w:val="00EA2F93"/>
    <w:rsid w:val="00EA446F"/>
    <w:rsid w:val="00EA4AAA"/>
    <w:rsid w:val="00EA6201"/>
    <w:rsid w:val="00EA7174"/>
    <w:rsid w:val="00EA71AC"/>
    <w:rsid w:val="00EA74B0"/>
    <w:rsid w:val="00EA7FC1"/>
    <w:rsid w:val="00EB02C8"/>
    <w:rsid w:val="00EB1B80"/>
    <w:rsid w:val="00EB2439"/>
    <w:rsid w:val="00EB2569"/>
    <w:rsid w:val="00EB2BC1"/>
    <w:rsid w:val="00EB3415"/>
    <w:rsid w:val="00EB47AE"/>
    <w:rsid w:val="00EB5356"/>
    <w:rsid w:val="00EB59F1"/>
    <w:rsid w:val="00EB69E3"/>
    <w:rsid w:val="00EB6AD7"/>
    <w:rsid w:val="00EB6DE0"/>
    <w:rsid w:val="00EB723F"/>
    <w:rsid w:val="00EB7868"/>
    <w:rsid w:val="00EB7D52"/>
    <w:rsid w:val="00EB7DAA"/>
    <w:rsid w:val="00EC0873"/>
    <w:rsid w:val="00EC088C"/>
    <w:rsid w:val="00EC0A2B"/>
    <w:rsid w:val="00EC0A54"/>
    <w:rsid w:val="00EC0B5C"/>
    <w:rsid w:val="00EC16FA"/>
    <w:rsid w:val="00EC1BBA"/>
    <w:rsid w:val="00EC2450"/>
    <w:rsid w:val="00EC2DDA"/>
    <w:rsid w:val="00EC396A"/>
    <w:rsid w:val="00EC39B8"/>
    <w:rsid w:val="00EC3C7B"/>
    <w:rsid w:val="00EC42A3"/>
    <w:rsid w:val="00EC4444"/>
    <w:rsid w:val="00EC44A5"/>
    <w:rsid w:val="00EC55A9"/>
    <w:rsid w:val="00EC5698"/>
    <w:rsid w:val="00EC5963"/>
    <w:rsid w:val="00EC596C"/>
    <w:rsid w:val="00EC5B6E"/>
    <w:rsid w:val="00EC64DF"/>
    <w:rsid w:val="00EC77E5"/>
    <w:rsid w:val="00EC797D"/>
    <w:rsid w:val="00EC7FA0"/>
    <w:rsid w:val="00ED108A"/>
    <w:rsid w:val="00ED123B"/>
    <w:rsid w:val="00ED19A7"/>
    <w:rsid w:val="00ED3192"/>
    <w:rsid w:val="00ED360D"/>
    <w:rsid w:val="00ED3AF2"/>
    <w:rsid w:val="00ED4135"/>
    <w:rsid w:val="00ED480E"/>
    <w:rsid w:val="00ED4B6F"/>
    <w:rsid w:val="00ED6858"/>
    <w:rsid w:val="00ED68E1"/>
    <w:rsid w:val="00ED6A31"/>
    <w:rsid w:val="00ED6D24"/>
    <w:rsid w:val="00ED70F7"/>
    <w:rsid w:val="00ED7790"/>
    <w:rsid w:val="00EE0542"/>
    <w:rsid w:val="00EE0566"/>
    <w:rsid w:val="00EE0A1F"/>
    <w:rsid w:val="00EE130C"/>
    <w:rsid w:val="00EE158C"/>
    <w:rsid w:val="00EE1709"/>
    <w:rsid w:val="00EE2192"/>
    <w:rsid w:val="00EE24DB"/>
    <w:rsid w:val="00EE266F"/>
    <w:rsid w:val="00EE3DB5"/>
    <w:rsid w:val="00EE3E01"/>
    <w:rsid w:val="00EE4714"/>
    <w:rsid w:val="00EE49B1"/>
    <w:rsid w:val="00EE4A74"/>
    <w:rsid w:val="00EE504B"/>
    <w:rsid w:val="00EE53E4"/>
    <w:rsid w:val="00EE5C4D"/>
    <w:rsid w:val="00EE607C"/>
    <w:rsid w:val="00EE6189"/>
    <w:rsid w:val="00EE62D7"/>
    <w:rsid w:val="00EE637D"/>
    <w:rsid w:val="00EE669E"/>
    <w:rsid w:val="00EE67E7"/>
    <w:rsid w:val="00EE7E6A"/>
    <w:rsid w:val="00EF05C3"/>
    <w:rsid w:val="00EF1A40"/>
    <w:rsid w:val="00EF2C89"/>
    <w:rsid w:val="00EF2FB0"/>
    <w:rsid w:val="00EF3AF5"/>
    <w:rsid w:val="00EF3DEB"/>
    <w:rsid w:val="00EF3FE7"/>
    <w:rsid w:val="00EF44E7"/>
    <w:rsid w:val="00EF4967"/>
    <w:rsid w:val="00EF53CA"/>
    <w:rsid w:val="00EF5446"/>
    <w:rsid w:val="00EF55B5"/>
    <w:rsid w:val="00EF59FF"/>
    <w:rsid w:val="00EF5C0C"/>
    <w:rsid w:val="00EF6102"/>
    <w:rsid w:val="00EF610C"/>
    <w:rsid w:val="00EF6257"/>
    <w:rsid w:val="00EF6AF8"/>
    <w:rsid w:val="00EF6B40"/>
    <w:rsid w:val="00EF7712"/>
    <w:rsid w:val="00F001DC"/>
    <w:rsid w:val="00F00297"/>
    <w:rsid w:val="00F00426"/>
    <w:rsid w:val="00F0044A"/>
    <w:rsid w:val="00F00B3C"/>
    <w:rsid w:val="00F00CFD"/>
    <w:rsid w:val="00F0103F"/>
    <w:rsid w:val="00F01215"/>
    <w:rsid w:val="00F01404"/>
    <w:rsid w:val="00F01972"/>
    <w:rsid w:val="00F01B4D"/>
    <w:rsid w:val="00F01D34"/>
    <w:rsid w:val="00F02D0B"/>
    <w:rsid w:val="00F03960"/>
    <w:rsid w:val="00F03C53"/>
    <w:rsid w:val="00F048AF"/>
    <w:rsid w:val="00F04BCF"/>
    <w:rsid w:val="00F04C30"/>
    <w:rsid w:val="00F063AB"/>
    <w:rsid w:val="00F06A65"/>
    <w:rsid w:val="00F06C87"/>
    <w:rsid w:val="00F07194"/>
    <w:rsid w:val="00F0767D"/>
    <w:rsid w:val="00F07B30"/>
    <w:rsid w:val="00F07E1C"/>
    <w:rsid w:val="00F10144"/>
    <w:rsid w:val="00F10435"/>
    <w:rsid w:val="00F10577"/>
    <w:rsid w:val="00F1072F"/>
    <w:rsid w:val="00F10FF9"/>
    <w:rsid w:val="00F1221E"/>
    <w:rsid w:val="00F12A3C"/>
    <w:rsid w:val="00F12EAE"/>
    <w:rsid w:val="00F1336D"/>
    <w:rsid w:val="00F139A1"/>
    <w:rsid w:val="00F13C86"/>
    <w:rsid w:val="00F13ED6"/>
    <w:rsid w:val="00F1465D"/>
    <w:rsid w:val="00F15155"/>
    <w:rsid w:val="00F151C6"/>
    <w:rsid w:val="00F15735"/>
    <w:rsid w:val="00F1594B"/>
    <w:rsid w:val="00F15BF4"/>
    <w:rsid w:val="00F163E1"/>
    <w:rsid w:val="00F1676A"/>
    <w:rsid w:val="00F174B3"/>
    <w:rsid w:val="00F1791B"/>
    <w:rsid w:val="00F2041B"/>
    <w:rsid w:val="00F208D2"/>
    <w:rsid w:val="00F20BBF"/>
    <w:rsid w:val="00F21210"/>
    <w:rsid w:val="00F2123F"/>
    <w:rsid w:val="00F21312"/>
    <w:rsid w:val="00F21C0D"/>
    <w:rsid w:val="00F21ED0"/>
    <w:rsid w:val="00F2355E"/>
    <w:rsid w:val="00F238AC"/>
    <w:rsid w:val="00F2416D"/>
    <w:rsid w:val="00F248FA"/>
    <w:rsid w:val="00F24D46"/>
    <w:rsid w:val="00F24F96"/>
    <w:rsid w:val="00F253EA"/>
    <w:rsid w:val="00F2578F"/>
    <w:rsid w:val="00F264FE"/>
    <w:rsid w:val="00F26A3D"/>
    <w:rsid w:val="00F26E4F"/>
    <w:rsid w:val="00F26EFA"/>
    <w:rsid w:val="00F2732E"/>
    <w:rsid w:val="00F27612"/>
    <w:rsid w:val="00F278D1"/>
    <w:rsid w:val="00F3082F"/>
    <w:rsid w:val="00F30B01"/>
    <w:rsid w:val="00F31488"/>
    <w:rsid w:val="00F31873"/>
    <w:rsid w:val="00F3207D"/>
    <w:rsid w:val="00F327CC"/>
    <w:rsid w:val="00F32AC2"/>
    <w:rsid w:val="00F332F7"/>
    <w:rsid w:val="00F33BA5"/>
    <w:rsid w:val="00F33D4F"/>
    <w:rsid w:val="00F34397"/>
    <w:rsid w:val="00F3457E"/>
    <w:rsid w:val="00F34948"/>
    <w:rsid w:val="00F34E67"/>
    <w:rsid w:val="00F34FC6"/>
    <w:rsid w:val="00F35012"/>
    <w:rsid w:val="00F3518B"/>
    <w:rsid w:val="00F35455"/>
    <w:rsid w:val="00F35DAD"/>
    <w:rsid w:val="00F35EC0"/>
    <w:rsid w:val="00F36457"/>
    <w:rsid w:val="00F3662E"/>
    <w:rsid w:val="00F36F9F"/>
    <w:rsid w:val="00F37990"/>
    <w:rsid w:val="00F37FD9"/>
    <w:rsid w:val="00F4005D"/>
    <w:rsid w:val="00F409F8"/>
    <w:rsid w:val="00F40B30"/>
    <w:rsid w:val="00F415D8"/>
    <w:rsid w:val="00F417B5"/>
    <w:rsid w:val="00F41EAF"/>
    <w:rsid w:val="00F422BD"/>
    <w:rsid w:val="00F422BE"/>
    <w:rsid w:val="00F426D6"/>
    <w:rsid w:val="00F42DA4"/>
    <w:rsid w:val="00F4325B"/>
    <w:rsid w:val="00F434F4"/>
    <w:rsid w:val="00F43974"/>
    <w:rsid w:val="00F43B6C"/>
    <w:rsid w:val="00F43F3F"/>
    <w:rsid w:val="00F44671"/>
    <w:rsid w:val="00F446B6"/>
    <w:rsid w:val="00F451D0"/>
    <w:rsid w:val="00F453AA"/>
    <w:rsid w:val="00F455BB"/>
    <w:rsid w:val="00F45F46"/>
    <w:rsid w:val="00F466CD"/>
    <w:rsid w:val="00F4673C"/>
    <w:rsid w:val="00F469EB"/>
    <w:rsid w:val="00F47303"/>
    <w:rsid w:val="00F47E46"/>
    <w:rsid w:val="00F50654"/>
    <w:rsid w:val="00F50875"/>
    <w:rsid w:val="00F50EF8"/>
    <w:rsid w:val="00F51C10"/>
    <w:rsid w:val="00F5248D"/>
    <w:rsid w:val="00F527D7"/>
    <w:rsid w:val="00F52C98"/>
    <w:rsid w:val="00F52D57"/>
    <w:rsid w:val="00F5354A"/>
    <w:rsid w:val="00F53706"/>
    <w:rsid w:val="00F537E2"/>
    <w:rsid w:val="00F55489"/>
    <w:rsid w:val="00F55FB7"/>
    <w:rsid w:val="00F5603E"/>
    <w:rsid w:val="00F560F6"/>
    <w:rsid w:val="00F56368"/>
    <w:rsid w:val="00F56496"/>
    <w:rsid w:val="00F56845"/>
    <w:rsid w:val="00F571C6"/>
    <w:rsid w:val="00F5721C"/>
    <w:rsid w:val="00F57FCE"/>
    <w:rsid w:val="00F60098"/>
    <w:rsid w:val="00F603BB"/>
    <w:rsid w:val="00F6079F"/>
    <w:rsid w:val="00F6160E"/>
    <w:rsid w:val="00F61649"/>
    <w:rsid w:val="00F61B70"/>
    <w:rsid w:val="00F61EC2"/>
    <w:rsid w:val="00F61FE8"/>
    <w:rsid w:val="00F62254"/>
    <w:rsid w:val="00F63066"/>
    <w:rsid w:val="00F63878"/>
    <w:rsid w:val="00F63B36"/>
    <w:rsid w:val="00F63F88"/>
    <w:rsid w:val="00F6406F"/>
    <w:rsid w:val="00F640F3"/>
    <w:rsid w:val="00F64796"/>
    <w:rsid w:val="00F652FC"/>
    <w:rsid w:val="00F6589E"/>
    <w:rsid w:val="00F66BD5"/>
    <w:rsid w:val="00F671E2"/>
    <w:rsid w:val="00F6723B"/>
    <w:rsid w:val="00F673E7"/>
    <w:rsid w:val="00F6741D"/>
    <w:rsid w:val="00F71E62"/>
    <w:rsid w:val="00F71EDE"/>
    <w:rsid w:val="00F72439"/>
    <w:rsid w:val="00F72A73"/>
    <w:rsid w:val="00F73CE0"/>
    <w:rsid w:val="00F740A5"/>
    <w:rsid w:val="00F7415B"/>
    <w:rsid w:val="00F747C8"/>
    <w:rsid w:val="00F75018"/>
    <w:rsid w:val="00F75677"/>
    <w:rsid w:val="00F7674E"/>
    <w:rsid w:val="00F773A9"/>
    <w:rsid w:val="00F776A3"/>
    <w:rsid w:val="00F800C5"/>
    <w:rsid w:val="00F8236B"/>
    <w:rsid w:val="00F82484"/>
    <w:rsid w:val="00F83605"/>
    <w:rsid w:val="00F83DA1"/>
    <w:rsid w:val="00F84284"/>
    <w:rsid w:val="00F84E06"/>
    <w:rsid w:val="00F851D9"/>
    <w:rsid w:val="00F8538E"/>
    <w:rsid w:val="00F8667D"/>
    <w:rsid w:val="00F86D85"/>
    <w:rsid w:val="00F87AFE"/>
    <w:rsid w:val="00F901F6"/>
    <w:rsid w:val="00F90DF4"/>
    <w:rsid w:val="00F91020"/>
    <w:rsid w:val="00F911D9"/>
    <w:rsid w:val="00F9127E"/>
    <w:rsid w:val="00F91562"/>
    <w:rsid w:val="00F916D9"/>
    <w:rsid w:val="00F92A9E"/>
    <w:rsid w:val="00F92BFB"/>
    <w:rsid w:val="00F93118"/>
    <w:rsid w:val="00F9374F"/>
    <w:rsid w:val="00F93A21"/>
    <w:rsid w:val="00F93EDA"/>
    <w:rsid w:val="00F942F7"/>
    <w:rsid w:val="00F946BB"/>
    <w:rsid w:val="00F95679"/>
    <w:rsid w:val="00F96185"/>
    <w:rsid w:val="00F967EB"/>
    <w:rsid w:val="00F97335"/>
    <w:rsid w:val="00F977C8"/>
    <w:rsid w:val="00FA1707"/>
    <w:rsid w:val="00FA183C"/>
    <w:rsid w:val="00FA3942"/>
    <w:rsid w:val="00FA3DE8"/>
    <w:rsid w:val="00FA3FD2"/>
    <w:rsid w:val="00FA45DB"/>
    <w:rsid w:val="00FA4671"/>
    <w:rsid w:val="00FA50A9"/>
    <w:rsid w:val="00FA5B55"/>
    <w:rsid w:val="00FA65BB"/>
    <w:rsid w:val="00FA71B3"/>
    <w:rsid w:val="00FA71B5"/>
    <w:rsid w:val="00FA75BD"/>
    <w:rsid w:val="00FB00BA"/>
    <w:rsid w:val="00FB04B0"/>
    <w:rsid w:val="00FB09BA"/>
    <w:rsid w:val="00FB0A14"/>
    <w:rsid w:val="00FB19DF"/>
    <w:rsid w:val="00FB1B00"/>
    <w:rsid w:val="00FB2256"/>
    <w:rsid w:val="00FB2C23"/>
    <w:rsid w:val="00FB2D24"/>
    <w:rsid w:val="00FB34F2"/>
    <w:rsid w:val="00FB3BB3"/>
    <w:rsid w:val="00FB3E5D"/>
    <w:rsid w:val="00FB3EF6"/>
    <w:rsid w:val="00FB5257"/>
    <w:rsid w:val="00FB5B63"/>
    <w:rsid w:val="00FB60B4"/>
    <w:rsid w:val="00FB63C5"/>
    <w:rsid w:val="00FB6935"/>
    <w:rsid w:val="00FB6DC6"/>
    <w:rsid w:val="00FB705D"/>
    <w:rsid w:val="00FB75AB"/>
    <w:rsid w:val="00FB783A"/>
    <w:rsid w:val="00FB7A61"/>
    <w:rsid w:val="00FB7B60"/>
    <w:rsid w:val="00FC054F"/>
    <w:rsid w:val="00FC0AA2"/>
    <w:rsid w:val="00FC0D42"/>
    <w:rsid w:val="00FC0EEE"/>
    <w:rsid w:val="00FC0FF7"/>
    <w:rsid w:val="00FC116E"/>
    <w:rsid w:val="00FC18D2"/>
    <w:rsid w:val="00FC229E"/>
    <w:rsid w:val="00FC2F4E"/>
    <w:rsid w:val="00FC3231"/>
    <w:rsid w:val="00FC459C"/>
    <w:rsid w:val="00FC496D"/>
    <w:rsid w:val="00FC5552"/>
    <w:rsid w:val="00FC564C"/>
    <w:rsid w:val="00FC5A63"/>
    <w:rsid w:val="00FC6554"/>
    <w:rsid w:val="00FC7889"/>
    <w:rsid w:val="00FC7947"/>
    <w:rsid w:val="00FC7AB3"/>
    <w:rsid w:val="00FD00D4"/>
    <w:rsid w:val="00FD060B"/>
    <w:rsid w:val="00FD06F3"/>
    <w:rsid w:val="00FD0C2E"/>
    <w:rsid w:val="00FD1438"/>
    <w:rsid w:val="00FD1989"/>
    <w:rsid w:val="00FD1BFC"/>
    <w:rsid w:val="00FD1D5E"/>
    <w:rsid w:val="00FD1DC3"/>
    <w:rsid w:val="00FD1F66"/>
    <w:rsid w:val="00FD29AE"/>
    <w:rsid w:val="00FD366C"/>
    <w:rsid w:val="00FD3941"/>
    <w:rsid w:val="00FD3A1A"/>
    <w:rsid w:val="00FD3DBC"/>
    <w:rsid w:val="00FD44D2"/>
    <w:rsid w:val="00FD4CC0"/>
    <w:rsid w:val="00FD52B2"/>
    <w:rsid w:val="00FD5E26"/>
    <w:rsid w:val="00FD6F16"/>
    <w:rsid w:val="00FD71AD"/>
    <w:rsid w:val="00FD754B"/>
    <w:rsid w:val="00FD7C9A"/>
    <w:rsid w:val="00FD7D7C"/>
    <w:rsid w:val="00FD7DDB"/>
    <w:rsid w:val="00FD7E92"/>
    <w:rsid w:val="00FE01C1"/>
    <w:rsid w:val="00FE0991"/>
    <w:rsid w:val="00FE24C5"/>
    <w:rsid w:val="00FE2D0E"/>
    <w:rsid w:val="00FE5BE1"/>
    <w:rsid w:val="00FE5BFD"/>
    <w:rsid w:val="00FE5E32"/>
    <w:rsid w:val="00FE64D2"/>
    <w:rsid w:val="00FE6E0C"/>
    <w:rsid w:val="00FE72F8"/>
    <w:rsid w:val="00FF0295"/>
    <w:rsid w:val="00FF12A6"/>
    <w:rsid w:val="00FF218C"/>
    <w:rsid w:val="00FF2C0F"/>
    <w:rsid w:val="00FF2F39"/>
    <w:rsid w:val="00FF37FA"/>
    <w:rsid w:val="00FF3DD3"/>
    <w:rsid w:val="00FF3DF0"/>
    <w:rsid w:val="00FF480E"/>
    <w:rsid w:val="00FF57DF"/>
    <w:rsid w:val="00FF6114"/>
    <w:rsid w:val="00FF69BD"/>
    <w:rsid w:val="00FF6FD8"/>
    <w:rsid w:val="00FF7225"/>
    <w:rsid w:val="00FF7646"/>
    <w:rsid w:val="00FF78CF"/>
    <w:rsid w:val="00FF7CBA"/>
    <w:rsid w:val="012B79F8"/>
    <w:rsid w:val="015C199F"/>
    <w:rsid w:val="017E20A8"/>
    <w:rsid w:val="019A7680"/>
    <w:rsid w:val="019F4DAE"/>
    <w:rsid w:val="01AD0EB0"/>
    <w:rsid w:val="023C5429"/>
    <w:rsid w:val="025A7274"/>
    <w:rsid w:val="02681269"/>
    <w:rsid w:val="02A771B2"/>
    <w:rsid w:val="02BE5F0E"/>
    <w:rsid w:val="02DA1BB0"/>
    <w:rsid w:val="02E55F8F"/>
    <w:rsid w:val="02E57CCE"/>
    <w:rsid w:val="030F0947"/>
    <w:rsid w:val="03593AA6"/>
    <w:rsid w:val="0378404F"/>
    <w:rsid w:val="03B5362A"/>
    <w:rsid w:val="03C76FEB"/>
    <w:rsid w:val="03D2498C"/>
    <w:rsid w:val="03F64747"/>
    <w:rsid w:val="040569EC"/>
    <w:rsid w:val="04531750"/>
    <w:rsid w:val="04692BCB"/>
    <w:rsid w:val="04A22861"/>
    <w:rsid w:val="04B942B4"/>
    <w:rsid w:val="04BF4976"/>
    <w:rsid w:val="04DE6324"/>
    <w:rsid w:val="04ED5DF8"/>
    <w:rsid w:val="05070ACC"/>
    <w:rsid w:val="050D6302"/>
    <w:rsid w:val="0512605A"/>
    <w:rsid w:val="05287E4D"/>
    <w:rsid w:val="054550F2"/>
    <w:rsid w:val="05691FB7"/>
    <w:rsid w:val="05761B5F"/>
    <w:rsid w:val="05BB5601"/>
    <w:rsid w:val="05C27693"/>
    <w:rsid w:val="05CF128B"/>
    <w:rsid w:val="060D35AA"/>
    <w:rsid w:val="06315E2E"/>
    <w:rsid w:val="06593862"/>
    <w:rsid w:val="07281361"/>
    <w:rsid w:val="072E2401"/>
    <w:rsid w:val="074A713C"/>
    <w:rsid w:val="078576E4"/>
    <w:rsid w:val="07EB5E58"/>
    <w:rsid w:val="0812412C"/>
    <w:rsid w:val="082F6A27"/>
    <w:rsid w:val="084F195F"/>
    <w:rsid w:val="086314CE"/>
    <w:rsid w:val="08A9725C"/>
    <w:rsid w:val="09434D63"/>
    <w:rsid w:val="09855D0F"/>
    <w:rsid w:val="09D960F6"/>
    <w:rsid w:val="09F84559"/>
    <w:rsid w:val="0A3B4AAE"/>
    <w:rsid w:val="0A844E05"/>
    <w:rsid w:val="0A8B4262"/>
    <w:rsid w:val="0AAF7887"/>
    <w:rsid w:val="0AC167CC"/>
    <w:rsid w:val="0AF842EB"/>
    <w:rsid w:val="0B3F6BD9"/>
    <w:rsid w:val="0B56066A"/>
    <w:rsid w:val="0B6A0D50"/>
    <w:rsid w:val="0B6E6361"/>
    <w:rsid w:val="0B745747"/>
    <w:rsid w:val="0B9D10A2"/>
    <w:rsid w:val="0BB47BF4"/>
    <w:rsid w:val="0BDB5A02"/>
    <w:rsid w:val="0BDF060E"/>
    <w:rsid w:val="0BEF10F3"/>
    <w:rsid w:val="0C010E62"/>
    <w:rsid w:val="0C3340AC"/>
    <w:rsid w:val="0C4E2811"/>
    <w:rsid w:val="0C8629E8"/>
    <w:rsid w:val="0C876230"/>
    <w:rsid w:val="0C9374C4"/>
    <w:rsid w:val="0C9F0B80"/>
    <w:rsid w:val="0CA66817"/>
    <w:rsid w:val="0CB83205"/>
    <w:rsid w:val="0CD6128D"/>
    <w:rsid w:val="0D4C7181"/>
    <w:rsid w:val="0D653A8A"/>
    <w:rsid w:val="0D7E2515"/>
    <w:rsid w:val="0D803495"/>
    <w:rsid w:val="0D820D67"/>
    <w:rsid w:val="0E0312D4"/>
    <w:rsid w:val="0E392A96"/>
    <w:rsid w:val="0E617CAC"/>
    <w:rsid w:val="0E7E37C1"/>
    <w:rsid w:val="0F233A1B"/>
    <w:rsid w:val="0F2A320E"/>
    <w:rsid w:val="0F337B1B"/>
    <w:rsid w:val="0F9520EC"/>
    <w:rsid w:val="0FB50038"/>
    <w:rsid w:val="0FE058AA"/>
    <w:rsid w:val="0FFB1DB2"/>
    <w:rsid w:val="10234D1F"/>
    <w:rsid w:val="102B1B23"/>
    <w:rsid w:val="103722CD"/>
    <w:rsid w:val="105F6629"/>
    <w:rsid w:val="1065014B"/>
    <w:rsid w:val="107F5B88"/>
    <w:rsid w:val="10B93469"/>
    <w:rsid w:val="10E10B63"/>
    <w:rsid w:val="11532149"/>
    <w:rsid w:val="115C72F1"/>
    <w:rsid w:val="116D4D27"/>
    <w:rsid w:val="11724C20"/>
    <w:rsid w:val="118715FB"/>
    <w:rsid w:val="11A75770"/>
    <w:rsid w:val="11AE001B"/>
    <w:rsid w:val="11C745F9"/>
    <w:rsid w:val="12011D1D"/>
    <w:rsid w:val="120666F9"/>
    <w:rsid w:val="12505016"/>
    <w:rsid w:val="125E2AC7"/>
    <w:rsid w:val="12782ED6"/>
    <w:rsid w:val="12A66EEB"/>
    <w:rsid w:val="12BC1C2A"/>
    <w:rsid w:val="12C0469D"/>
    <w:rsid w:val="12D4794E"/>
    <w:rsid w:val="12F04FC8"/>
    <w:rsid w:val="13201CC0"/>
    <w:rsid w:val="136021CD"/>
    <w:rsid w:val="13B01FA4"/>
    <w:rsid w:val="13D56BA9"/>
    <w:rsid w:val="142564D7"/>
    <w:rsid w:val="14A70637"/>
    <w:rsid w:val="14CD17B4"/>
    <w:rsid w:val="14CD3074"/>
    <w:rsid w:val="14F44465"/>
    <w:rsid w:val="15156367"/>
    <w:rsid w:val="15BE5C7B"/>
    <w:rsid w:val="15EB41B3"/>
    <w:rsid w:val="16356DBD"/>
    <w:rsid w:val="16433536"/>
    <w:rsid w:val="16A80710"/>
    <w:rsid w:val="171F183A"/>
    <w:rsid w:val="173459CB"/>
    <w:rsid w:val="17514C66"/>
    <w:rsid w:val="17C25705"/>
    <w:rsid w:val="17FE1055"/>
    <w:rsid w:val="182C7BAE"/>
    <w:rsid w:val="1839498D"/>
    <w:rsid w:val="1875470A"/>
    <w:rsid w:val="18877AFF"/>
    <w:rsid w:val="18994DAB"/>
    <w:rsid w:val="18AD137E"/>
    <w:rsid w:val="18AE531E"/>
    <w:rsid w:val="19567101"/>
    <w:rsid w:val="195F0A87"/>
    <w:rsid w:val="19B854CA"/>
    <w:rsid w:val="19EA00A3"/>
    <w:rsid w:val="1A090CAA"/>
    <w:rsid w:val="1A461BCA"/>
    <w:rsid w:val="1A486541"/>
    <w:rsid w:val="1ABA32AD"/>
    <w:rsid w:val="1B614204"/>
    <w:rsid w:val="1BAC6A10"/>
    <w:rsid w:val="1BB8051F"/>
    <w:rsid w:val="1BE51107"/>
    <w:rsid w:val="1BEC0521"/>
    <w:rsid w:val="1C732ED7"/>
    <w:rsid w:val="1CE335E5"/>
    <w:rsid w:val="1CFF29A2"/>
    <w:rsid w:val="1D40218D"/>
    <w:rsid w:val="1DAF6AFD"/>
    <w:rsid w:val="1DB533F4"/>
    <w:rsid w:val="1DDB0D99"/>
    <w:rsid w:val="1DE64C7E"/>
    <w:rsid w:val="1E4F1A38"/>
    <w:rsid w:val="1E557170"/>
    <w:rsid w:val="1E5F1C45"/>
    <w:rsid w:val="1EB6725E"/>
    <w:rsid w:val="1EC83748"/>
    <w:rsid w:val="1EDC1FF9"/>
    <w:rsid w:val="1EE14399"/>
    <w:rsid w:val="1EF31EFE"/>
    <w:rsid w:val="1F051266"/>
    <w:rsid w:val="1F17552F"/>
    <w:rsid w:val="1F1823EB"/>
    <w:rsid w:val="1F30427D"/>
    <w:rsid w:val="1F376453"/>
    <w:rsid w:val="1F6C4A63"/>
    <w:rsid w:val="1FAD570D"/>
    <w:rsid w:val="1FC37E2A"/>
    <w:rsid w:val="1FDF1DEE"/>
    <w:rsid w:val="20126DAB"/>
    <w:rsid w:val="205307D3"/>
    <w:rsid w:val="2053193C"/>
    <w:rsid w:val="20715C46"/>
    <w:rsid w:val="20836106"/>
    <w:rsid w:val="20E95599"/>
    <w:rsid w:val="20EA6F26"/>
    <w:rsid w:val="21192D7F"/>
    <w:rsid w:val="21A2372D"/>
    <w:rsid w:val="21B35DF3"/>
    <w:rsid w:val="21EF0559"/>
    <w:rsid w:val="21F6606A"/>
    <w:rsid w:val="221A3F46"/>
    <w:rsid w:val="2233121A"/>
    <w:rsid w:val="22F01045"/>
    <w:rsid w:val="22FD5F0F"/>
    <w:rsid w:val="231B413E"/>
    <w:rsid w:val="23537A28"/>
    <w:rsid w:val="23810873"/>
    <w:rsid w:val="2389766C"/>
    <w:rsid w:val="23AF1456"/>
    <w:rsid w:val="23C6283A"/>
    <w:rsid w:val="23EC264C"/>
    <w:rsid w:val="241E6A97"/>
    <w:rsid w:val="2453030D"/>
    <w:rsid w:val="24570EB2"/>
    <w:rsid w:val="247D27DC"/>
    <w:rsid w:val="24C573E6"/>
    <w:rsid w:val="24DF07A6"/>
    <w:rsid w:val="24F53E61"/>
    <w:rsid w:val="256018CF"/>
    <w:rsid w:val="2588627D"/>
    <w:rsid w:val="259565CD"/>
    <w:rsid w:val="25A920FA"/>
    <w:rsid w:val="25BC5056"/>
    <w:rsid w:val="25EF55C0"/>
    <w:rsid w:val="25F65626"/>
    <w:rsid w:val="261C3206"/>
    <w:rsid w:val="26573CFA"/>
    <w:rsid w:val="266A6361"/>
    <w:rsid w:val="26B24610"/>
    <w:rsid w:val="2720644A"/>
    <w:rsid w:val="272F4A84"/>
    <w:rsid w:val="27961C64"/>
    <w:rsid w:val="281E58E2"/>
    <w:rsid w:val="286019E7"/>
    <w:rsid w:val="28894AB6"/>
    <w:rsid w:val="292D0AE1"/>
    <w:rsid w:val="292D1693"/>
    <w:rsid w:val="29364B57"/>
    <w:rsid w:val="293E5714"/>
    <w:rsid w:val="2985739F"/>
    <w:rsid w:val="29DB4C77"/>
    <w:rsid w:val="29EE66CE"/>
    <w:rsid w:val="2A2530C4"/>
    <w:rsid w:val="2A5B6581"/>
    <w:rsid w:val="2B455C40"/>
    <w:rsid w:val="2B721CF9"/>
    <w:rsid w:val="2BA75140"/>
    <w:rsid w:val="2BA823D9"/>
    <w:rsid w:val="2BE44743"/>
    <w:rsid w:val="2CB62E47"/>
    <w:rsid w:val="2D492B26"/>
    <w:rsid w:val="2D870193"/>
    <w:rsid w:val="2DBA4C82"/>
    <w:rsid w:val="2DCC57F8"/>
    <w:rsid w:val="2DE06856"/>
    <w:rsid w:val="2DF33D0C"/>
    <w:rsid w:val="2E1A38E4"/>
    <w:rsid w:val="2E304F7C"/>
    <w:rsid w:val="2E833231"/>
    <w:rsid w:val="2E925F34"/>
    <w:rsid w:val="2ED4015D"/>
    <w:rsid w:val="2EFC53CE"/>
    <w:rsid w:val="2F3A5878"/>
    <w:rsid w:val="2F777742"/>
    <w:rsid w:val="2F971F86"/>
    <w:rsid w:val="2FCE36BF"/>
    <w:rsid w:val="2FE0318E"/>
    <w:rsid w:val="30352119"/>
    <w:rsid w:val="30415DE5"/>
    <w:rsid w:val="30623C64"/>
    <w:rsid w:val="30883BAD"/>
    <w:rsid w:val="30CE21FD"/>
    <w:rsid w:val="31071AD2"/>
    <w:rsid w:val="313C2EB4"/>
    <w:rsid w:val="31406F58"/>
    <w:rsid w:val="31FA4E5B"/>
    <w:rsid w:val="3201453B"/>
    <w:rsid w:val="32134354"/>
    <w:rsid w:val="32345043"/>
    <w:rsid w:val="325F1E8C"/>
    <w:rsid w:val="32996FA0"/>
    <w:rsid w:val="32AE0CB1"/>
    <w:rsid w:val="32CC73A8"/>
    <w:rsid w:val="32CF04D9"/>
    <w:rsid w:val="32DF089D"/>
    <w:rsid w:val="32E15AE7"/>
    <w:rsid w:val="32F94548"/>
    <w:rsid w:val="33342FD3"/>
    <w:rsid w:val="3335493B"/>
    <w:rsid w:val="33731C91"/>
    <w:rsid w:val="33DB6DE4"/>
    <w:rsid w:val="33DF6BE9"/>
    <w:rsid w:val="33E55687"/>
    <w:rsid w:val="33F55021"/>
    <w:rsid w:val="34031A40"/>
    <w:rsid w:val="340958F8"/>
    <w:rsid w:val="342A0ED5"/>
    <w:rsid w:val="3441559F"/>
    <w:rsid w:val="34594111"/>
    <w:rsid w:val="34932030"/>
    <w:rsid w:val="34E155C4"/>
    <w:rsid w:val="3533501F"/>
    <w:rsid w:val="35494C8B"/>
    <w:rsid w:val="354971EA"/>
    <w:rsid w:val="355A160D"/>
    <w:rsid w:val="3583357B"/>
    <w:rsid w:val="358429F8"/>
    <w:rsid w:val="35EB1253"/>
    <w:rsid w:val="35EE77F8"/>
    <w:rsid w:val="360076F0"/>
    <w:rsid w:val="361B3BD8"/>
    <w:rsid w:val="361C1522"/>
    <w:rsid w:val="36620E07"/>
    <w:rsid w:val="374E3845"/>
    <w:rsid w:val="378024B0"/>
    <w:rsid w:val="383B6D78"/>
    <w:rsid w:val="383E3936"/>
    <w:rsid w:val="38DC0AFC"/>
    <w:rsid w:val="398935D2"/>
    <w:rsid w:val="39911A3F"/>
    <w:rsid w:val="39C87D7C"/>
    <w:rsid w:val="39CC78E7"/>
    <w:rsid w:val="3A1A5082"/>
    <w:rsid w:val="3A535381"/>
    <w:rsid w:val="3A754152"/>
    <w:rsid w:val="3A9A69DD"/>
    <w:rsid w:val="3A9B4550"/>
    <w:rsid w:val="3AB66FFA"/>
    <w:rsid w:val="3AC37582"/>
    <w:rsid w:val="3B174A9B"/>
    <w:rsid w:val="3B200E85"/>
    <w:rsid w:val="3B545837"/>
    <w:rsid w:val="3B6345BC"/>
    <w:rsid w:val="3B68262F"/>
    <w:rsid w:val="3BB26866"/>
    <w:rsid w:val="3C075440"/>
    <w:rsid w:val="3CC46A4E"/>
    <w:rsid w:val="3D196F99"/>
    <w:rsid w:val="3D386713"/>
    <w:rsid w:val="3D584867"/>
    <w:rsid w:val="3D9A2039"/>
    <w:rsid w:val="3DA43754"/>
    <w:rsid w:val="3DBE3495"/>
    <w:rsid w:val="3DD12DD0"/>
    <w:rsid w:val="3DFE1EE8"/>
    <w:rsid w:val="3E0158FA"/>
    <w:rsid w:val="3E053DA2"/>
    <w:rsid w:val="3E1D151C"/>
    <w:rsid w:val="3E62278D"/>
    <w:rsid w:val="3E7A5B22"/>
    <w:rsid w:val="3E9E2A75"/>
    <w:rsid w:val="3ECD207F"/>
    <w:rsid w:val="3ED01D45"/>
    <w:rsid w:val="3EDB0CF8"/>
    <w:rsid w:val="3F546C8C"/>
    <w:rsid w:val="3F6330DC"/>
    <w:rsid w:val="3F732F83"/>
    <w:rsid w:val="3F910686"/>
    <w:rsid w:val="400932C3"/>
    <w:rsid w:val="401737F9"/>
    <w:rsid w:val="402F7DF9"/>
    <w:rsid w:val="40370A0A"/>
    <w:rsid w:val="40582D94"/>
    <w:rsid w:val="40831BB7"/>
    <w:rsid w:val="40905F28"/>
    <w:rsid w:val="409D2F90"/>
    <w:rsid w:val="40AF2219"/>
    <w:rsid w:val="40BC1B4A"/>
    <w:rsid w:val="40C5161E"/>
    <w:rsid w:val="40DF3FE1"/>
    <w:rsid w:val="40E62C96"/>
    <w:rsid w:val="41432F83"/>
    <w:rsid w:val="416E0853"/>
    <w:rsid w:val="41820FDE"/>
    <w:rsid w:val="42184AB9"/>
    <w:rsid w:val="424137BA"/>
    <w:rsid w:val="42534374"/>
    <w:rsid w:val="42730948"/>
    <w:rsid w:val="427B74EF"/>
    <w:rsid w:val="42B3673F"/>
    <w:rsid w:val="432347A6"/>
    <w:rsid w:val="432E6689"/>
    <w:rsid w:val="434F35C1"/>
    <w:rsid w:val="435D48DF"/>
    <w:rsid w:val="43B33DE5"/>
    <w:rsid w:val="43BA24E4"/>
    <w:rsid w:val="43F25D76"/>
    <w:rsid w:val="444A092F"/>
    <w:rsid w:val="4467689B"/>
    <w:rsid w:val="44C60E52"/>
    <w:rsid w:val="44F054C9"/>
    <w:rsid w:val="44FB2884"/>
    <w:rsid w:val="452A13D1"/>
    <w:rsid w:val="45462E5B"/>
    <w:rsid w:val="455F2B2E"/>
    <w:rsid w:val="45630E92"/>
    <w:rsid w:val="45A97E3C"/>
    <w:rsid w:val="45C021A9"/>
    <w:rsid w:val="46102BE4"/>
    <w:rsid w:val="4618416B"/>
    <w:rsid w:val="461A332E"/>
    <w:rsid w:val="462263C9"/>
    <w:rsid w:val="46340C7E"/>
    <w:rsid w:val="46363759"/>
    <w:rsid w:val="463B115E"/>
    <w:rsid w:val="46785D4E"/>
    <w:rsid w:val="46863CF8"/>
    <w:rsid w:val="46C173C6"/>
    <w:rsid w:val="46F4259A"/>
    <w:rsid w:val="470E0787"/>
    <w:rsid w:val="475E7998"/>
    <w:rsid w:val="478A0BB5"/>
    <w:rsid w:val="47B84F1B"/>
    <w:rsid w:val="47C10ADB"/>
    <w:rsid w:val="486B76D8"/>
    <w:rsid w:val="48AB3858"/>
    <w:rsid w:val="48AD4AC8"/>
    <w:rsid w:val="48E35655"/>
    <w:rsid w:val="48FC5F9B"/>
    <w:rsid w:val="492826F7"/>
    <w:rsid w:val="49467BBE"/>
    <w:rsid w:val="49AE0283"/>
    <w:rsid w:val="49B960F4"/>
    <w:rsid w:val="49BF3467"/>
    <w:rsid w:val="49E2643B"/>
    <w:rsid w:val="49FB73FB"/>
    <w:rsid w:val="4A0817FE"/>
    <w:rsid w:val="4A137976"/>
    <w:rsid w:val="4A173FD5"/>
    <w:rsid w:val="4A1C1A53"/>
    <w:rsid w:val="4A247EC2"/>
    <w:rsid w:val="4A837881"/>
    <w:rsid w:val="4AA86FD1"/>
    <w:rsid w:val="4AAF2539"/>
    <w:rsid w:val="4B7E6A6E"/>
    <w:rsid w:val="4B8A3681"/>
    <w:rsid w:val="4BD25632"/>
    <w:rsid w:val="4C517B35"/>
    <w:rsid w:val="4C693C7E"/>
    <w:rsid w:val="4CB3451C"/>
    <w:rsid w:val="4CCD3594"/>
    <w:rsid w:val="4CD1542A"/>
    <w:rsid w:val="4D234999"/>
    <w:rsid w:val="4D2C11AC"/>
    <w:rsid w:val="4D7830AB"/>
    <w:rsid w:val="4DD91412"/>
    <w:rsid w:val="4E2D2270"/>
    <w:rsid w:val="4EDD47FF"/>
    <w:rsid w:val="4EED11F8"/>
    <w:rsid w:val="4F626E3A"/>
    <w:rsid w:val="4F6E0155"/>
    <w:rsid w:val="4F791967"/>
    <w:rsid w:val="4F8F1358"/>
    <w:rsid w:val="4F996206"/>
    <w:rsid w:val="4FA6136A"/>
    <w:rsid w:val="4FAA1918"/>
    <w:rsid w:val="501E6A12"/>
    <w:rsid w:val="508817BE"/>
    <w:rsid w:val="508D053E"/>
    <w:rsid w:val="50905D0A"/>
    <w:rsid w:val="50B418CA"/>
    <w:rsid w:val="50D5120A"/>
    <w:rsid w:val="50D66F20"/>
    <w:rsid w:val="50FC7B31"/>
    <w:rsid w:val="510A73FE"/>
    <w:rsid w:val="513A7222"/>
    <w:rsid w:val="515207ED"/>
    <w:rsid w:val="518A1A79"/>
    <w:rsid w:val="51A722B2"/>
    <w:rsid w:val="51D55C71"/>
    <w:rsid w:val="52501B7C"/>
    <w:rsid w:val="530029A0"/>
    <w:rsid w:val="530B2AF5"/>
    <w:rsid w:val="53862D40"/>
    <w:rsid w:val="539D4191"/>
    <w:rsid w:val="54033955"/>
    <w:rsid w:val="543319D0"/>
    <w:rsid w:val="54351126"/>
    <w:rsid w:val="550B07CA"/>
    <w:rsid w:val="55680EBA"/>
    <w:rsid w:val="557A4C5E"/>
    <w:rsid w:val="557B1BD9"/>
    <w:rsid w:val="5580760D"/>
    <w:rsid w:val="559439B2"/>
    <w:rsid w:val="55F15B2F"/>
    <w:rsid w:val="56044F66"/>
    <w:rsid w:val="5672668D"/>
    <w:rsid w:val="568D57AD"/>
    <w:rsid w:val="56953604"/>
    <w:rsid w:val="56A04984"/>
    <w:rsid w:val="56A358ED"/>
    <w:rsid w:val="56BE29E5"/>
    <w:rsid w:val="571F59D5"/>
    <w:rsid w:val="578362B1"/>
    <w:rsid w:val="57EB07D6"/>
    <w:rsid w:val="57FA3B95"/>
    <w:rsid w:val="58196E01"/>
    <w:rsid w:val="581C3640"/>
    <w:rsid w:val="584F10D9"/>
    <w:rsid w:val="586F765A"/>
    <w:rsid w:val="5872201C"/>
    <w:rsid w:val="58CF22A9"/>
    <w:rsid w:val="59103AF4"/>
    <w:rsid w:val="5971752F"/>
    <w:rsid w:val="59BA0A20"/>
    <w:rsid w:val="59D7110D"/>
    <w:rsid w:val="5A20046E"/>
    <w:rsid w:val="5A224DD5"/>
    <w:rsid w:val="5A3D6CB4"/>
    <w:rsid w:val="5B456471"/>
    <w:rsid w:val="5B7356E7"/>
    <w:rsid w:val="5B782CFE"/>
    <w:rsid w:val="5B842D4E"/>
    <w:rsid w:val="5B912FDB"/>
    <w:rsid w:val="5BB82264"/>
    <w:rsid w:val="5BCC160E"/>
    <w:rsid w:val="5C173CED"/>
    <w:rsid w:val="5C4111F9"/>
    <w:rsid w:val="5C4356E1"/>
    <w:rsid w:val="5C6A5BC0"/>
    <w:rsid w:val="5C927228"/>
    <w:rsid w:val="5CA80C18"/>
    <w:rsid w:val="5D4A71F1"/>
    <w:rsid w:val="5D707448"/>
    <w:rsid w:val="5D91313A"/>
    <w:rsid w:val="5DA246CE"/>
    <w:rsid w:val="5DB30574"/>
    <w:rsid w:val="5DB423B9"/>
    <w:rsid w:val="5DD9595E"/>
    <w:rsid w:val="5DFF4FFF"/>
    <w:rsid w:val="5E0A01ED"/>
    <w:rsid w:val="5E130AAB"/>
    <w:rsid w:val="5E4B47DD"/>
    <w:rsid w:val="5E4C5038"/>
    <w:rsid w:val="5EC4056E"/>
    <w:rsid w:val="5EDD3FAE"/>
    <w:rsid w:val="5EEF52DE"/>
    <w:rsid w:val="5EF40C64"/>
    <w:rsid w:val="5F0521AD"/>
    <w:rsid w:val="5F363274"/>
    <w:rsid w:val="60013AC2"/>
    <w:rsid w:val="60091FA8"/>
    <w:rsid w:val="6024580F"/>
    <w:rsid w:val="60271531"/>
    <w:rsid w:val="6046142D"/>
    <w:rsid w:val="60534A26"/>
    <w:rsid w:val="610B4835"/>
    <w:rsid w:val="6164571E"/>
    <w:rsid w:val="618725FB"/>
    <w:rsid w:val="6193524C"/>
    <w:rsid w:val="61E43CBF"/>
    <w:rsid w:val="61EB034F"/>
    <w:rsid w:val="62047E26"/>
    <w:rsid w:val="62257B93"/>
    <w:rsid w:val="62691548"/>
    <w:rsid w:val="628F3EDA"/>
    <w:rsid w:val="62942F78"/>
    <w:rsid w:val="62B04B65"/>
    <w:rsid w:val="636D365A"/>
    <w:rsid w:val="63C926EB"/>
    <w:rsid w:val="63D25C62"/>
    <w:rsid w:val="63D70E73"/>
    <w:rsid w:val="63DD7BCD"/>
    <w:rsid w:val="63EB4258"/>
    <w:rsid w:val="648670FD"/>
    <w:rsid w:val="64BA096E"/>
    <w:rsid w:val="65476779"/>
    <w:rsid w:val="654F7906"/>
    <w:rsid w:val="65534E7F"/>
    <w:rsid w:val="65643ED9"/>
    <w:rsid w:val="65770810"/>
    <w:rsid w:val="6594270E"/>
    <w:rsid w:val="659914D6"/>
    <w:rsid w:val="65C51603"/>
    <w:rsid w:val="65EA0239"/>
    <w:rsid w:val="663F672A"/>
    <w:rsid w:val="66500C95"/>
    <w:rsid w:val="67130214"/>
    <w:rsid w:val="67180F3D"/>
    <w:rsid w:val="676F28AB"/>
    <w:rsid w:val="67A76F30"/>
    <w:rsid w:val="67FA56DC"/>
    <w:rsid w:val="681B473F"/>
    <w:rsid w:val="683D4B4C"/>
    <w:rsid w:val="686113D3"/>
    <w:rsid w:val="686F0C2D"/>
    <w:rsid w:val="68AC03DA"/>
    <w:rsid w:val="69134398"/>
    <w:rsid w:val="691F7242"/>
    <w:rsid w:val="694B377D"/>
    <w:rsid w:val="696719AB"/>
    <w:rsid w:val="696B55B5"/>
    <w:rsid w:val="697B0BB5"/>
    <w:rsid w:val="69D075E8"/>
    <w:rsid w:val="69D95CB1"/>
    <w:rsid w:val="6A4D0E30"/>
    <w:rsid w:val="6A8575A9"/>
    <w:rsid w:val="6A88322E"/>
    <w:rsid w:val="6A8F71A9"/>
    <w:rsid w:val="6A9D34F6"/>
    <w:rsid w:val="6AA12516"/>
    <w:rsid w:val="6AA35C39"/>
    <w:rsid w:val="6B21775D"/>
    <w:rsid w:val="6B290773"/>
    <w:rsid w:val="6B827D7D"/>
    <w:rsid w:val="6BBE0D2B"/>
    <w:rsid w:val="6C073C57"/>
    <w:rsid w:val="6C291E97"/>
    <w:rsid w:val="6C2C3692"/>
    <w:rsid w:val="6C624471"/>
    <w:rsid w:val="6CC449B5"/>
    <w:rsid w:val="6CC800DF"/>
    <w:rsid w:val="6CC816F4"/>
    <w:rsid w:val="6CF05246"/>
    <w:rsid w:val="6D295AA5"/>
    <w:rsid w:val="6D85490E"/>
    <w:rsid w:val="6DA7767B"/>
    <w:rsid w:val="6DBC46E2"/>
    <w:rsid w:val="6DCF5B12"/>
    <w:rsid w:val="6E7B71F1"/>
    <w:rsid w:val="6E801FA8"/>
    <w:rsid w:val="6E857828"/>
    <w:rsid w:val="6E9B7507"/>
    <w:rsid w:val="6F631C30"/>
    <w:rsid w:val="6F7A4BA0"/>
    <w:rsid w:val="6FEB0678"/>
    <w:rsid w:val="6FF90B68"/>
    <w:rsid w:val="70051CB0"/>
    <w:rsid w:val="70204C31"/>
    <w:rsid w:val="702F46C2"/>
    <w:rsid w:val="70601657"/>
    <w:rsid w:val="708C4EFC"/>
    <w:rsid w:val="70B401BE"/>
    <w:rsid w:val="71334845"/>
    <w:rsid w:val="713E4783"/>
    <w:rsid w:val="715C62BA"/>
    <w:rsid w:val="72066CB6"/>
    <w:rsid w:val="720B5E7A"/>
    <w:rsid w:val="72183724"/>
    <w:rsid w:val="721E7833"/>
    <w:rsid w:val="722D6225"/>
    <w:rsid w:val="729E36D2"/>
    <w:rsid w:val="729F2311"/>
    <w:rsid w:val="72A142BA"/>
    <w:rsid w:val="72EA04B3"/>
    <w:rsid w:val="73211EAD"/>
    <w:rsid w:val="734D424B"/>
    <w:rsid w:val="739612B2"/>
    <w:rsid w:val="73A070B5"/>
    <w:rsid w:val="73BE4AFD"/>
    <w:rsid w:val="73CE0B27"/>
    <w:rsid w:val="74C65E9F"/>
    <w:rsid w:val="74D033E4"/>
    <w:rsid w:val="75580BAC"/>
    <w:rsid w:val="75A40783"/>
    <w:rsid w:val="75A54FA5"/>
    <w:rsid w:val="75DB0100"/>
    <w:rsid w:val="761F5F52"/>
    <w:rsid w:val="763B4C1B"/>
    <w:rsid w:val="768E7F20"/>
    <w:rsid w:val="76AD37BB"/>
    <w:rsid w:val="76B040B5"/>
    <w:rsid w:val="76BC25A0"/>
    <w:rsid w:val="76D95555"/>
    <w:rsid w:val="775526B8"/>
    <w:rsid w:val="777F52B0"/>
    <w:rsid w:val="77F5497C"/>
    <w:rsid w:val="77F57BF1"/>
    <w:rsid w:val="781D758C"/>
    <w:rsid w:val="783A3FE2"/>
    <w:rsid w:val="786C3AB8"/>
    <w:rsid w:val="787E2602"/>
    <w:rsid w:val="78845C03"/>
    <w:rsid w:val="78DA210E"/>
    <w:rsid w:val="78F1467D"/>
    <w:rsid w:val="79C67028"/>
    <w:rsid w:val="79E21707"/>
    <w:rsid w:val="7A5A4C63"/>
    <w:rsid w:val="7A66003C"/>
    <w:rsid w:val="7A8770F8"/>
    <w:rsid w:val="7A8D0829"/>
    <w:rsid w:val="7ACF1404"/>
    <w:rsid w:val="7B376974"/>
    <w:rsid w:val="7B3B0561"/>
    <w:rsid w:val="7B3E514E"/>
    <w:rsid w:val="7B4D7E07"/>
    <w:rsid w:val="7B7D4F67"/>
    <w:rsid w:val="7BE43B24"/>
    <w:rsid w:val="7BF351A4"/>
    <w:rsid w:val="7C421D38"/>
    <w:rsid w:val="7C747703"/>
    <w:rsid w:val="7D8F5EF6"/>
    <w:rsid w:val="7DB76A47"/>
    <w:rsid w:val="7E192C14"/>
    <w:rsid w:val="7E7B26FF"/>
    <w:rsid w:val="7F0A0DCE"/>
    <w:rsid w:val="7F1D0A46"/>
    <w:rsid w:val="7F2D2C32"/>
    <w:rsid w:val="7F366153"/>
    <w:rsid w:val="7F3A582F"/>
    <w:rsid w:val="7F5C45A1"/>
    <w:rsid w:val="7F6A0F51"/>
    <w:rsid w:val="7F6D1E10"/>
    <w:rsid w:val="7F6F3E8D"/>
    <w:rsid w:val="7F90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58"/>
    <w:qFormat/>
    <w:uiPriority w:val="0"/>
    <w:pPr>
      <w:keepNext/>
      <w:keepLines/>
      <w:jc w:val="center"/>
      <w:outlineLvl w:val="0"/>
    </w:pPr>
    <w:rPr>
      <w:rFonts w:eastAsia="宋体"/>
      <w:b/>
      <w:bCs/>
      <w:kern w:val="44"/>
      <w:sz w:val="28"/>
      <w:szCs w:val="44"/>
    </w:rPr>
  </w:style>
  <w:style w:type="paragraph" w:styleId="5">
    <w:name w:val="heading 2"/>
    <w:basedOn w:val="1"/>
    <w:next w:val="1"/>
    <w:link w:val="269"/>
    <w:qFormat/>
    <w:uiPriority w:val="0"/>
    <w:pPr>
      <w:autoSpaceDE w:val="0"/>
      <w:autoSpaceDN w:val="0"/>
      <w:adjustRightInd w:val="0"/>
      <w:jc w:val="left"/>
      <w:outlineLvl w:val="1"/>
    </w:pPr>
    <w:rPr>
      <w:rFonts w:ascii="宋体" w:hAnsi="Calibri" w:eastAsia="宋体" w:cs="Times New Roman"/>
      <w:kern w:val="0"/>
      <w:sz w:val="24"/>
    </w:rPr>
  </w:style>
  <w:style w:type="paragraph" w:styleId="6">
    <w:name w:val="heading 3"/>
    <w:basedOn w:val="1"/>
    <w:next w:val="1"/>
    <w:link w:val="280"/>
    <w:qFormat/>
    <w:uiPriority w:val="0"/>
    <w:pPr>
      <w:autoSpaceDE w:val="0"/>
      <w:autoSpaceDN w:val="0"/>
      <w:adjustRightInd w:val="0"/>
      <w:jc w:val="left"/>
      <w:outlineLvl w:val="2"/>
    </w:pPr>
    <w:rPr>
      <w:rFonts w:ascii="宋体" w:hAnsi="Calibri" w:eastAsia="宋体" w:cs="Times New Roman"/>
      <w:kern w:val="0"/>
      <w:sz w:val="24"/>
    </w:rPr>
  </w:style>
  <w:style w:type="paragraph" w:styleId="7">
    <w:name w:val="heading 4"/>
    <w:basedOn w:val="1"/>
    <w:next w:val="1"/>
    <w:link w:val="270"/>
    <w:qFormat/>
    <w:uiPriority w:val="0"/>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9"/>
    <w:link w:val="266"/>
    <w:qFormat/>
    <w:uiPriority w:val="0"/>
    <w:pPr>
      <w:keepNext/>
      <w:widowControl/>
      <w:numPr>
        <w:ilvl w:val="4"/>
        <w:numId w:val="1"/>
      </w:numPr>
      <w:overflowPunct w:val="0"/>
      <w:autoSpaceDE w:val="0"/>
      <w:autoSpaceDN w:val="0"/>
      <w:adjustRightInd w:val="0"/>
      <w:spacing w:line="360" w:lineRule="auto"/>
      <w:jc w:val="center"/>
      <w:textAlignment w:val="baseline"/>
      <w:outlineLvl w:val="4"/>
    </w:pPr>
    <w:rPr>
      <w:rFonts w:ascii="楷体_GB2312" w:hAnsi="Calibri" w:eastAsia="楷体_GB2312" w:cs="Times New Roman"/>
      <w:kern w:val="0"/>
      <w:sz w:val="24"/>
      <w:szCs w:val="20"/>
    </w:rPr>
  </w:style>
  <w:style w:type="paragraph" w:styleId="10">
    <w:name w:val="heading 6"/>
    <w:basedOn w:val="1"/>
    <w:next w:val="9"/>
    <w:link w:val="276"/>
    <w:qFormat/>
    <w:uiPriority w:val="0"/>
    <w:pPr>
      <w:keepNext/>
      <w:keepLines/>
      <w:widowControl/>
      <w:numPr>
        <w:ilvl w:val="5"/>
        <w:numId w:val="1"/>
      </w:numPr>
      <w:overflowPunct w:val="0"/>
      <w:autoSpaceDE w:val="0"/>
      <w:autoSpaceDN w:val="0"/>
      <w:adjustRightInd w:val="0"/>
      <w:spacing w:before="240" w:after="64" w:line="320" w:lineRule="auto"/>
      <w:jc w:val="left"/>
      <w:textAlignment w:val="baseline"/>
      <w:outlineLvl w:val="5"/>
    </w:pPr>
    <w:rPr>
      <w:rFonts w:ascii="Arial" w:hAnsi="Arial" w:eastAsia="黑体" w:cs="Times New Roman"/>
      <w:b/>
      <w:kern w:val="0"/>
      <w:sz w:val="24"/>
      <w:szCs w:val="20"/>
    </w:rPr>
  </w:style>
  <w:style w:type="paragraph" w:styleId="11">
    <w:name w:val="heading 7"/>
    <w:basedOn w:val="1"/>
    <w:next w:val="9"/>
    <w:link w:val="273"/>
    <w:qFormat/>
    <w:uiPriority w:val="0"/>
    <w:pPr>
      <w:keepNext/>
      <w:keepLines/>
      <w:widowControl/>
      <w:numPr>
        <w:ilvl w:val="6"/>
        <w:numId w:val="1"/>
      </w:numPr>
      <w:overflowPunct w:val="0"/>
      <w:autoSpaceDE w:val="0"/>
      <w:autoSpaceDN w:val="0"/>
      <w:adjustRightInd w:val="0"/>
      <w:spacing w:before="240" w:after="64" w:line="320" w:lineRule="auto"/>
      <w:jc w:val="left"/>
      <w:textAlignment w:val="baseline"/>
      <w:outlineLvl w:val="6"/>
    </w:pPr>
    <w:rPr>
      <w:rFonts w:ascii="楷体_GB2312" w:hAnsi="Calibri" w:eastAsia="楷体_GB2312" w:cs="Times New Roman"/>
      <w:b/>
      <w:kern w:val="0"/>
      <w:sz w:val="24"/>
      <w:szCs w:val="20"/>
    </w:rPr>
  </w:style>
  <w:style w:type="paragraph" w:styleId="12">
    <w:name w:val="heading 8"/>
    <w:basedOn w:val="1"/>
    <w:next w:val="9"/>
    <w:link w:val="282"/>
    <w:qFormat/>
    <w:uiPriority w:val="0"/>
    <w:pPr>
      <w:keepNext/>
      <w:keepLines/>
      <w:widowControl/>
      <w:numPr>
        <w:ilvl w:val="7"/>
        <w:numId w:val="1"/>
      </w:numPr>
      <w:overflowPunct w:val="0"/>
      <w:autoSpaceDE w:val="0"/>
      <w:autoSpaceDN w:val="0"/>
      <w:adjustRightInd w:val="0"/>
      <w:spacing w:before="240" w:after="64" w:line="320" w:lineRule="auto"/>
      <w:jc w:val="left"/>
      <w:textAlignment w:val="baseline"/>
      <w:outlineLvl w:val="7"/>
    </w:pPr>
    <w:rPr>
      <w:rFonts w:ascii="Arial" w:hAnsi="Arial" w:eastAsia="黑体" w:cs="Times New Roman"/>
      <w:kern w:val="0"/>
      <w:sz w:val="24"/>
      <w:szCs w:val="20"/>
    </w:rPr>
  </w:style>
  <w:style w:type="paragraph" w:styleId="13">
    <w:name w:val="heading 9"/>
    <w:basedOn w:val="1"/>
    <w:next w:val="9"/>
    <w:link w:val="284"/>
    <w:qFormat/>
    <w:uiPriority w:val="0"/>
    <w:pPr>
      <w:keepNext/>
      <w:keepLines/>
      <w:widowControl/>
      <w:numPr>
        <w:ilvl w:val="8"/>
        <w:numId w:val="1"/>
      </w:numPr>
      <w:overflowPunct w:val="0"/>
      <w:autoSpaceDE w:val="0"/>
      <w:autoSpaceDN w:val="0"/>
      <w:adjustRightInd w:val="0"/>
      <w:spacing w:before="240" w:after="64" w:line="320" w:lineRule="auto"/>
      <w:jc w:val="left"/>
      <w:textAlignment w:val="baseline"/>
      <w:outlineLvl w:val="8"/>
    </w:pPr>
    <w:rPr>
      <w:rFonts w:ascii="Arial" w:hAnsi="Arial" w:eastAsia="黑体" w:cs="Times New Roman"/>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6"/>
    <w:qFormat/>
    <w:uiPriority w:val="99"/>
    <w:pPr>
      <w:spacing w:after="120"/>
    </w:pPr>
  </w:style>
  <w:style w:type="paragraph" w:styleId="3">
    <w:name w:val="Body Text First Indent"/>
    <w:basedOn w:val="2"/>
    <w:link w:val="281"/>
    <w:qFormat/>
    <w:uiPriority w:val="0"/>
    <w:pPr>
      <w:ind w:firstLine="420" w:firstLineChars="100"/>
    </w:pPr>
    <w:rPr>
      <w:rFonts w:ascii="Times New Roman" w:hAnsi="Calibri" w:eastAsia="宋体" w:cs="Times New Roman"/>
      <w:b/>
      <w:bCs/>
      <w:lang w:val="zh-CN"/>
    </w:rPr>
  </w:style>
  <w:style w:type="paragraph" w:styleId="9">
    <w:name w:val="Normal Indent"/>
    <w:basedOn w:val="1"/>
    <w:link w:val="283"/>
    <w:qFormat/>
    <w:uiPriority w:val="0"/>
    <w:pPr>
      <w:widowControl/>
      <w:ind w:firstLine="420" w:firstLineChars="200"/>
      <w:jc w:val="left"/>
    </w:pPr>
    <w:rPr>
      <w:rFonts w:ascii="Times New Roman" w:hAnsi="Calibri" w:eastAsia="宋体" w:cs="Times New Roman"/>
      <w:kern w:val="0"/>
      <w:sz w:val="20"/>
      <w:szCs w:val="20"/>
    </w:rPr>
  </w:style>
  <w:style w:type="paragraph" w:styleId="14">
    <w:name w:val="toc 7"/>
    <w:basedOn w:val="1"/>
    <w:next w:val="1"/>
    <w:qFormat/>
    <w:uiPriority w:val="39"/>
    <w:pPr>
      <w:autoSpaceDE w:val="0"/>
      <w:autoSpaceDN w:val="0"/>
      <w:adjustRightInd w:val="0"/>
      <w:ind w:left="1440"/>
      <w:jc w:val="left"/>
    </w:pPr>
    <w:rPr>
      <w:rFonts w:ascii="Calibri" w:hAnsi="Calibri" w:eastAsia="宋体" w:cs="Calibri"/>
      <w:kern w:val="0"/>
      <w:sz w:val="18"/>
      <w:szCs w:val="18"/>
    </w:rPr>
  </w:style>
  <w:style w:type="paragraph" w:styleId="15">
    <w:name w:val="caption"/>
    <w:basedOn w:val="1"/>
    <w:next w:val="1"/>
    <w:qFormat/>
    <w:uiPriority w:val="0"/>
    <w:pPr>
      <w:autoSpaceDE w:val="0"/>
      <w:autoSpaceDN w:val="0"/>
      <w:adjustRightInd w:val="0"/>
      <w:spacing w:before="152" w:after="160"/>
      <w:jc w:val="left"/>
    </w:pPr>
    <w:rPr>
      <w:rFonts w:ascii="Arial" w:hAnsi="Arial" w:eastAsia="黑体" w:cs="Arial"/>
      <w:kern w:val="0"/>
      <w:sz w:val="20"/>
      <w:szCs w:val="20"/>
    </w:rPr>
  </w:style>
  <w:style w:type="paragraph" w:styleId="16">
    <w:name w:val="Document Map"/>
    <w:basedOn w:val="1"/>
    <w:link w:val="274"/>
    <w:qFormat/>
    <w:uiPriority w:val="0"/>
    <w:pPr>
      <w:shd w:val="clear" w:color="auto" w:fill="000080"/>
      <w:autoSpaceDE w:val="0"/>
      <w:autoSpaceDN w:val="0"/>
      <w:adjustRightInd w:val="0"/>
      <w:jc w:val="left"/>
    </w:pPr>
    <w:rPr>
      <w:rFonts w:ascii="宋体" w:hAnsi="Calibri" w:eastAsia="宋体" w:cs="Times New Roman"/>
      <w:kern w:val="0"/>
      <w:sz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eastAsia="宋体" w:cs="Times New Roman"/>
      <w:snapToGrid w:val="0"/>
      <w:color w:val="000000"/>
      <w:kern w:val="0"/>
      <w:szCs w:val="20"/>
    </w:rPr>
  </w:style>
  <w:style w:type="paragraph" w:styleId="18">
    <w:name w:val="annotation text"/>
    <w:basedOn w:val="1"/>
    <w:link w:val="262"/>
    <w:qFormat/>
    <w:uiPriority w:val="0"/>
    <w:pPr>
      <w:jc w:val="left"/>
    </w:pPr>
  </w:style>
  <w:style w:type="paragraph" w:styleId="19">
    <w:name w:val="Body Text 3"/>
    <w:basedOn w:val="1"/>
    <w:link w:val="278"/>
    <w:qFormat/>
    <w:uiPriority w:val="0"/>
    <w:pPr>
      <w:autoSpaceDE w:val="0"/>
      <w:autoSpaceDN w:val="0"/>
      <w:adjustRightInd w:val="0"/>
      <w:ind w:right="-26"/>
      <w:jc w:val="center"/>
    </w:pPr>
    <w:rPr>
      <w:rFonts w:ascii="宋体" w:hAnsi="Calibri" w:eastAsia="宋体" w:cs="Times New Roman"/>
      <w:b/>
      <w:bCs/>
      <w:color w:val="3366FF"/>
      <w:kern w:val="0"/>
      <w:sz w:val="52"/>
      <w:szCs w:val="52"/>
      <w:lang w:val="zh-CN"/>
    </w:rPr>
  </w:style>
  <w:style w:type="paragraph" w:styleId="20">
    <w:name w:val="Body Text Indent"/>
    <w:basedOn w:val="1"/>
    <w:link w:val="277"/>
    <w:qFormat/>
    <w:uiPriority w:val="0"/>
    <w:pPr>
      <w:ind w:left="567" w:leftChars="270"/>
    </w:pPr>
    <w:rPr>
      <w:rFonts w:ascii="Times New Roman" w:hAnsi="Calibri" w:eastAsia="宋体" w:cs="Times New Roman"/>
      <w:kern w:val="0"/>
      <w:sz w:val="20"/>
      <w:szCs w:val="20"/>
    </w:rPr>
  </w:style>
  <w:style w:type="paragraph" w:styleId="21">
    <w:name w:val="List 2"/>
    <w:basedOn w:val="1"/>
    <w:qFormat/>
    <w:uiPriority w:val="0"/>
    <w:pPr>
      <w:jc w:val="distribute"/>
    </w:pPr>
    <w:rPr>
      <w:rFonts w:ascii="Arial" w:hAnsi="Arial" w:eastAsia="宋体" w:cs="Times New Roman"/>
      <w:color w:val="993300"/>
    </w:rPr>
  </w:style>
  <w:style w:type="paragraph" w:styleId="22">
    <w:name w:val="Block Text"/>
    <w:basedOn w:val="1"/>
    <w:qFormat/>
    <w:uiPriority w:val="0"/>
    <w:pPr>
      <w:autoSpaceDE w:val="0"/>
      <w:autoSpaceDN w:val="0"/>
      <w:adjustRightInd w:val="0"/>
      <w:spacing w:after="120"/>
      <w:ind w:left="1440" w:leftChars="700" w:right="1440" w:rightChars="700"/>
      <w:jc w:val="left"/>
    </w:pPr>
    <w:rPr>
      <w:rFonts w:ascii="宋体" w:hAnsi="Calibri" w:eastAsia="宋体" w:cs="Times New Roman"/>
      <w:kern w:val="0"/>
      <w:sz w:val="24"/>
    </w:rPr>
  </w:style>
  <w:style w:type="paragraph" w:styleId="23">
    <w:name w:val="toc 5"/>
    <w:basedOn w:val="1"/>
    <w:next w:val="1"/>
    <w:qFormat/>
    <w:uiPriority w:val="39"/>
    <w:pPr>
      <w:autoSpaceDE w:val="0"/>
      <w:autoSpaceDN w:val="0"/>
      <w:adjustRightInd w:val="0"/>
      <w:ind w:left="960"/>
      <w:jc w:val="left"/>
    </w:pPr>
    <w:rPr>
      <w:rFonts w:ascii="Calibri" w:hAnsi="Calibri" w:eastAsia="宋体" w:cs="Calibri"/>
      <w:kern w:val="0"/>
      <w:sz w:val="18"/>
      <w:szCs w:val="18"/>
    </w:rPr>
  </w:style>
  <w:style w:type="paragraph" w:styleId="24">
    <w:name w:val="toc 3"/>
    <w:basedOn w:val="1"/>
    <w:next w:val="1"/>
    <w:qFormat/>
    <w:uiPriority w:val="39"/>
    <w:pPr>
      <w:tabs>
        <w:tab w:val="right" w:leader="dot" w:pos="9394"/>
      </w:tabs>
      <w:autoSpaceDE w:val="0"/>
      <w:autoSpaceDN w:val="0"/>
      <w:adjustRightInd w:val="0"/>
      <w:spacing w:line="360" w:lineRule="exact"/>
      <w:ind w:left="482"/>
      <w:jc w:val="left"/>
    </w:pPr>
    <w:rPr>
      <w:rFonts w:ascii="Calibri" w:hAnsi="Calibri" w:eastAsia="宋体" w:cs="Calibri"/>
      <w:iCs/>
      <w:kern w:val="0"/>
      <w:szCs w:val="20"/>
    </w:rPr>
  </w:style>
  <w:style w:type="paragraph" w:styleId="25">
    <w:name w:val="Plain Text"/>
    <w:basedOn w:val="1"/>
    <w:link w:val="260"/>
    <w:qFormat/>
    <w:uiPriority w:val="0"/>
    <w:rPr>
      <w:rFonts w:ascii="宋体" w:hAnsi="Courier New" w:eastAsia="宋体"/>
      <w:szCs w:val="22"/>
    </w:rPr>
  </w:style>
  <w:style w:type="paragraph" w:styleId="26">
    <w:name w:val="toc 8"/>
    <w:basedOn w:val="1"/>
    <w:next w:val="1"/>
    <w:qFormat/>
    <w:uiPriority w:val="39"/>
    <w:pPr>
      <w:autoSpaceDE w:val="0"/>
      <w:autoSpaceDN w:val="0"/>
      <w:adjustRightInd w:val="0"/>
      <w:ind w:left="1680"/>
      <w:jc w:val="left"/>
    </w:pPr>
    <w:rPr>
      <w:rFonts w:ascii="Calibri" w:hAnsi="Calibri" w:eastAsia="宋体" w:cs="Calibri"/>
      <w:kern w:val="0"/>
      <w:sz w:val="18"/>
      <w:szCs w:val="18"/>
    </w:rPr>
  </w:style>
  <w:style w:type="paragraph" w:styleId="27">
    <w:name w:val="Date"/>
    <w:basedOn w:val="1"/>
    <w:next w:val="1"/>
    <w:link w:val="264"/>
    <w:qFormat/>
    <w:uiPriority w:val="0"/>
    <w:pPr>
      <w:autoSpaceDE w:val="0"/>
      <w:autoSpaceDN w:val="0"/>
      <w:adjustRightInd w:val="0"/>
      <w:ind w:left="100" w:leftChars="2500"/>
      <w:jc w:val="left"/>
    </w:pPr>
    <w:rPr>
      <w:rFonts w:ascii="宋体" w:hAnsi="Calibri" w:eastAsia="宋体" w:cs="Times New Roman"/>
      <w:b/>
      <w:bCs/>
      <w:kern w:val="0"/>
      <w:sz w:val="20"/>
      <w:szCs w:val="21"/>
      <w:lang w:val="zh-CN"/>
    </w:rPr>
  </w:style>
  <w:style w:type="paragraph" w:styleId="28">
    <w:name w:val="Body Text Indent 2"/>
    <w:basedOn w:val="1"/>
    <w:link w:val="261"/>
    <w:qFormat/>
    <w:uiPriority w:val="0"/>
    <w:pPr>
      <w:spacing w:after="120" w:line="480" w:lineRule="auto"/>
      <w:ind w:left="420" w:leftChars="200"/>
    </w:pPr>
  </w:style>
  <w:style w:type="paragraph" w:styleId="29">
    <w:name w:val="Balloon Text"/>
    <w:basedOn w:val="1"/>
    <w:link w:val="257"/>
    <w:qFormat/>
    <w:uiPriority w:val="0"/>
    <w:rPr>
      <w:sz w:val="18"/>
      <w:szCs w:val="18"/>
    </w:rPr>
  </w:style>
  <w:style w:type="paragraph" w:styleId="30">
    <w:name w:val="footer"/>
    <w:basedOn w:val="1"/>
    <w:link w:val="255"/>
    <w:qFormat/>
    <w:uiPriority w:val="99"/>
    <w:pPr>
      <w:tabs>
        <w:tab w:val="center" w:pos="4153"/>
        <w:tab w:val="right" w:pos="8306"/>
      </w:tabs>
      <w:snapToGrid w:val="0"/>
      <w:jc w:val="left"/>
    </w:pPr>
    <w:rPr>
      <w:sz w:val="18"/>
      <w:szCs w:val="18"/>
    </w:rPr>
  </w:style>
  <w:style w:type="paragraph" w:styleId="31">
    <w:name w:val="header"/>
    <w:basedOn w:val="1"/>
    <w:link w:val="254"/>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2"/>
    <w:link w:val="267"/>
    <w:qFormat/>
    <w:uiPriority w:val="0"/>
    <w:pPr>
      <w:keepNext/>
      <w:keepLines/>
      <w:widowControl/>
      <w:spacing w:before="660" w:after="0" w:line="240" w:lineRule="atLeast"/>
    </w:pPr>
    <w:rPr>
      <w:rFonts w:ascii="Garamond" w:hAnsi="Garamond" w:eastAsia="宋体" w:cs="Times New Roman"/>
      <w:b/>
      <w:bCs/>
      <w:spacing w:val="-5"/>
      <w:kern w:val="0"/>
      <w:sz w:val="24"/>
      <w:szCs w:val="20"/>
      <w:lang w:val="zh-CN"/>
    </w:rPr>
  </w:style>
  <w:style w:type="paragraph" w:styleId="33">
    <w:name w:val="toc 1"/>
    <w:basedOn w:val="1"/>
    <w:next w:val="1"/>
    <w:qFormat/>
    <w:uiPriority w:val="39"/>
  </w:style>
  <w:style w:type="paragraph" w:styleId="34">
    <w:name w:val="toc 4"/>
    <w:basedOn w:val="1"/>
    <w:next w:val="1"/>
    <w:qFormat/>
    <w:uiPriority w:val="39"/>
    <w:pPr>
      <w:autoSpaceDE w:val="0"/>
      <w:autoSpaceDN w:val="0"/>
      <w:adjustRightInd w:val="0"/>
      <w:ind w:left="720"/>
      <w:jc w:val="left"/>
    </w:pPr>
    <w:rPr>
      <w:rFonts w:ascii="Calibri" w:hAnsi="Calibri" w:eastAsia="宋体" w:cs="Calibri"/>
      <w:kern w:val="0"/>
      <w:sz w:val="18"/>
      <w:szCs w:val="18"/>
    </w:rPr>
  </w:style>
  <w:style w:type="paragraph" w:styleId="35">
    <w:name w:val="Subtitle"/>
    <w:basedOn w:val="1"/>
    <w:next w:val="1"/>
    <w:link w:val="285"/>
    <w:qFormat/>
    <w:uiPriority w:val="11"/>
    <w:pPr>
      <w:autoSpaceDE w:val="0"/>
      <w:autoSpaceDN w:val="0"/>
      <w:adjustRightInd w:val="0"/>
      <w:spacing w:before="240" w:after="60" w:line="312" w:lineRule="auto"/>
      <w:jc w:val="center"/>
      <w:outlineLvl w:val="1"/>
    </w:pPr>
    <w:rPr>
      <w:rFonts w:ascii="Cambria" w:hAnsi="Cambria" w:eastAsia="宋体" w:cs="Times New Roman"/>
      <w:b/>
      <w:bCs/>
      <w:kern w:val="28"/>
      <w:sz w:val="32"/>
      <w:szCs w:val="32"/>
    </w:rPr>
  </w:style>
  <w:style w:type="paragraph" w:styleId="36">
    <w:name w:val="List"/>
    <w:basedOn w:val="1"/>
    <w:qFormat/>
    <w:uiPriority w:val="0"/>
    <w:pPr>
      <w:autoSpaceDE w:val="0"/>
      <w:autoSpaceDN w:val="0"/>
      <w:adjustRightInd w:val="0"/>
      <w:ind w:left="200" w:hanging="200" w:hangingChars="200"/>
      <w:contextualSpacing/>
      <w:jc w:val="left"/>
    </w:pPr>
    <w:rPr>
      <w:rFonts w:ascii="宋体" w:hAnsi="Calibri" w:eastAsia="宋体" w:cs="Times New Roman"/>
      <w:kern w:val="0"/>
      <w:sz w:val="24"/>
    </w:rPr>
  </w:style>
  <w:style w:type="paragraph" w:styleId="37">
    <w:name w:val="toc 6"/>
    <w:basedOn w:val="1"/>
    <w:next w:val="1"/>
    <w:qFormat/>
    <w:uiPriority w:val="39"/>
    <w:pPr>
      <w:autoSpaceDE w:val="0"/>
      <w:autoSpaceDN w:val="0"/>
      <w:adjustRightInd w:val="0"/>
      <w:ind w:left="1200"/>
      <w:jc w:val="left"/>
    </w:pPr>
    <w:rPr>
      <w:rFonts w:ascii="Calibri" w:hAnsi="Calibri" w:eastAsia="宋体" w:cs="Calibri"/>
      <w:kern w:val="0"/>
      <w:sz w:val="18"/>
      <w:szCs w:val="18"/>
    </w:rPr>
  </w:style>
  <w:style w:type="paragraph" w:styleId="38">
    <w:name w:val="Body Text Indent 3"/>
    <w:basedOn w:val="1"/>
    <w:link w:val="271"/>
    <w:qFormat/>
    <w:uiPriority w:val="0"/>
    <w:pPr>
      <w:autoSpaceDE w:val="0"/>
      <w:autoSpaceDN w:val="0"/>
      <w:adjustRightInd w:val="0"/>
      <w:spacing w:line="360" w:lineRule="auto"/>
      <w:ind w:firstLine="480" w:firstLineChars="200"/>
      <w:jc w:val="left"/>
    </w:pPr>
    <w:rPr>
      <w:rFonts w:ascii="宋体" w:hAnsi="Calibri" w:eastAsia="宋体" w:cs="Times New Roman"/>
      <w:kern w:val="0"/>
      <w:sz w:val="24"/>
    </w:rPr>
  </w:style>
  <w:style w:type="paragraph" w:styleId="39">
    <w:name w:val="toc 2"/>
    <w:basedOn w:val="1"/>
    <w:next w:val="1"/>
    <w:qFormat/>
    <w:uiPriority w:val="39"/>
    <w:pPr>
      <w:tabs>
        <w:tab w:val="left" w:pos="750"/>
        <w:tab w:val="right" w:leader="dot" w:pos="9394"/>
      </w:tabs>
      <w:autoSpaceDE w:val="0"/>
      <w:autoSpaceDN w:val="0"/>
      <w:adjustRightInd w:val="0"/>
      <w:spacing w:line="360" w:lineRule="exact"/>
      <w:ind w:left="238"/>
      <w:jc w:val="left"/>
    </w:pPr>
    <w:rPr>
      <w:rFonts w:ascii="Calibri" w:hAnsi="Calibri" w:eastAsia="宋体" w:cs="Calibri"/>
      <w:smallCaps/>
      <w:kern w:val="0"/>
      <w:szCs w:val="20"/>
    </w:rPr>
  </w:style>
  <w:style w:type="paragraph" w:styleId="40">
    <w:name w:val="toc 9"/>
    <w:basedOn w:val="1"/>
    <w:next w:val="1"/>
    <w:qFormat/>
    <w:uiPriority w:val="39"/>
    <w:pPr>
      <w:autoSpaceDE w:val="0"/>
      <w:autoSpaceDN w:val="0"/>
      <w:adjustRightInd w:val="0"/>
      <w:ind w:left="1920"/>
      <w:jc w:val="left"/>
    </w:pPr>
    <w:rPr>
      <w:rFonts w:ascii="Calibri" w:hAnsi="Calibri" w:eastAsia="宋体" w:cs="Calibri"/>
      <w:kern w:val="0"/>
      <w:sz w:val="18"/>
      <w:szCs w:val="18"/>
    </w:rPr>
  </w:style>
  <w:style w:type="paragraph" w:styleId="41">
    <w:name w:val="Body Text 2"/>
    <w:basedOn w:val="1"/>
    <w:link w:val="279"/>
    <w:qFormat/>
    <w:uiPriority w:val="0"/>
    <w:pPr>
      <w:tabs>
        <w:tab w:val="left" w:pos="0"/>
      </w:tabs>
      <w:spacing w:line="400" w:lineRule="atLeast"/>
    </w:pPr>
    <w:rPr>
      <w:rFonts w:ascii="Arial" w:hAnsi="Arial" w:eastAsia="宋体" w:cs="Times New Roman"/>
      <w:color w:val="000000"/>
      <w:kern w:val="0"/>
      <w:sz w:val="20"/>
    </w:rPr>
  </w:style>
  <w:style w:type="paragraph" w:styleId="42">
    <w:name w:val="List 4"/>
    <w:basedOn w:val="1"/>
    <w:qFormat/>
    <w:uiPriority w:val="0"/>
    <w:pPr>
      <w:tabs>
        <w:tab w:val="left" w:pos="750"/>
      </w:tabs>
      <w:ind w:left="750" w:hanging="750"/>
    </w:pPr>
    <w:rPr>
      <w:rFonts w:ascii="Times New Roman" w:hAnsi="Calibri" w:eastAsia="宋体" w:cs="Times New Roman"/>
      <w:b/>
      <w:szCs w:val="20"/>
    </w:rPr>
  </w:style>
  <w:style w:type="paragraph" w:styleId="43">
    <w:name w:val="HTML Preformatted"/>
    <w:basedOn w:val="1"/>
    <w:link w:val="2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rPr>
  </w:style>
  <w:style w:type="paragraph" w:styleId="44">
    <w:name w:val="Normal (Web)"/>
    <w:basedOn w:val="1"/>
    <w:link w:val="259"/>
    <w:qFormat/>
    <w:uiPriority w:val="0"/>
    <w:pPr>
      <w:widowControl/>
      <w:spacing w:before="100" w:beforeAutospacing="1" w:after="100" w:afterAutospacing="1"/>
      <w:jc w:val="left"/>
    </w:pPr>
    <w:rPr>
      <w:rFonts w:ascii="宋体" w:hAnsi="宋体"/>
      <w:sz w:val="15"/>
      <w:szCs w:val="15"/>
    </w:rPr>
  </w:style>
  <w:style w:type="paragraph" w:styleId="45">
    <w:name w:val="Title"/>
    <w:basedOn w:val="1"/>
    <w:next w:val="1"/>
    <w:link w:val="268"/>
    <w:qFormat/>
    <w:uiPriority w:val="10"/>
    <w:pPr>
      <w:autoSpaceDE w:val="0"/>
      <w:autoSpaceDN w:val="0"/>
      <w:adjustRightInd w:val="0"/>
      <w:spacing w:before="240" w:after="60"/>
      <w:jc w:val="center"/>
      <w:outlineLvl w:val="0"/>
    </w:pPr>
    <w:rPr>
      <w:rFonts w:ascii="Cambria" w:hAnsi="Cambria" w:eastAsia="宋体" w:cs="Times New Roman"/>
      <w:b/>
      <w:bCs/>
      <w:kern w:val="0"/>
      <w:sz w:val="32"/>
      <w:szCs w:val="32"/>
    </w:rPr>
  </w:style>
  <w:style w:type="paragraph" w:styleId="46">
    <w:name w:val="annotation subject"/>
    <w:basedOn w:val="18"/>
    <w:next w:val="18"/>
    <w:link w:val="263"/>
    <w:qFormat/>
    <w:uiPriority w:val="99"/>
    <w:rPr>
      <w:b/>
      <w:bCs/>
    </w:r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Calibri" w:hAnsi="Calibri" w:eastAsia="宋体" w:cs="Times New Roman"/>
      <w:b/>
      <w:bCs/>
    </w:rPr>
  </w:style>
  <w:style w:type="character" w:styleId="51">
    <w:name w:val="page number"/>
    <w:basedOn w:val="49"/>
    <w:qFormat/>
    <w:uiPriority w:val="0"/>
    <w:rPr>
      <w:rFonts w:ascii="Calibri" w:hAnsi="Calibri" w:eastAsia="宋体" w:cs="Times New Roman"/>
    </w:rPr>
  </w:style>
  <w:style w:type="character" w:styleId="52">
    <w:name w:val="FollowedHyperlink"/>
    <w:basedOn w:val="49"/>
    <w:qFormat/>
    <w:uiPriority w:val="99"/>
    <w:rPr>
      <w:color w:val="954F72" w:themeColor="followedHyperlink"/>
      <w:u w:val="single"/>
      <w14:textFill>
        <w14:solidFill>
          <w14:schemeClr w14:val="folHlink"/>
        </w14:solidFill>
      </w14:textFill>
    </w:rPr>
  </w:style>
  <w:style w:type="character" w:styleId="53">
    <w:name w:val="Emphasis"/>
    <w:qFormat/>
    <w:uiPriority w:val="20"/>
    <w:rPr>
      <w:rFonts w:ascii="Calibri" w:hAnsi="Calibri" w:eastAsia="宋体" w:cs="Times New Roman"/>
      <w:i/>
      <w:iCs/>
    </w:rPr>
  </w:style>
  <w:style w:type="character" w:styleId="54">
    <w:name w:val="Hyperlink"/>
    <w:basedOn w:val="49"/>
    <w:qFormat/>
    <w:uiPriority w:val="99"/>
    <w:rPr>
      <w:color w:val="0563C1" w:themeColor="hyperlink"/>
      <w:u w:val="single"/>
      <w14:textFill>
        <w14:solidFill>
          <w14:schemeClr w14:val="hlink"/>
        </w14:solidFill>
      </w14:textFill>
    </w:rPr>
  </w:style>
  <w:style w:type="character" w:styleId="55">
    <w:name w:val="HTML Code"/>
    <w:qFormat/>
    <w:uiPriority w:val="0"/>
    <w:rPr>
      <w:rFonts w:ascii="宋体" w:hAnsi="宋体" w:eastAsia="宋体" w:cs="宋体"/>
      <w:sz w:val="24"/>
      <w:szCs w:val="24"/>
    </w:rPr>
  </w:style>
  <w:style w:type="character" w:styleId="56">
    <w:name w:val="annotation reference"/>
    <w:qFormat/>
    <w:uiPriority w:val="0"/>
    <w:rPr>
      <w:sz w:val="21"/>
      <w:szCs w:val="21"/>
    </w:rPr>
  </w:style>
  <w:style w:type="character" w:customStyle="1" w:styleId="57">
    <w:name w:val="页眉 字符"/>
    <w:basedOn w:val="49"/>
    <w:qFormat/>
    <w:uiPriority w:val="99"/>
    <w:rPr>
      <w:sz w:val="18"/>
      <w:szCs w:val="18"/>
    </w:rPr>
  </w:style>
  <w:style w:type="character" w:customStyle="1" w:styleId="58">
    <w:name w:val="页脚 字符"/>
    <w:basedOn w:val="49"/>
    <w:qFormat/>
    <w:uiPriority w:val="99"/>
    <w:rPr>
      <w:sz w:val="18"/>
      <w:szCs w:val="18"/>
    </w:rPr>
  </w:style>
  <w:style w:type="paragraph" w:customStyle="1" w:styleId="59">
    <w:name w:val="Normal Indent1"/>
    <w:basedOn w:val="1"/>
    <w:qFormat/>
    <w:uiPriority w:val="99"/>
    <w:pPr>
      <w:spacing w:line="360" w:lineRule="auto"/>
      <w:ind w:firstLine="200" w:firstLineChars="200"/>
    </w:pPr>
  </w:style>
  <w:style w:type="character" w:customStyle="1" w:styleId="60">
    <w:name w:val="正文文本 字符"/>
    <w:basedOn w:val="49"/>
    <w:qFormat/>
    <w:uiPriority w:val="99"/>
    <w:rPr>
      <w:szCs w:val="24"/>
    </w:rPr>
  </w:style>
  <w:style w:type="character" w:customStyle="1" w:styleId="61">
    <w:name w:val="批注框文本 字符"/>
    <w:basedOn w:val="49"/>
    <w:qFormat/>
    <w:uiPriority w:val="0"/>
    <w:rPr>
      <w:sz w:val="18"/>
      <w:szCs w:val="18"/>
    </w:rPr>
  </w:style>
  <w:style w:type="paragraph" w:customStyle="1" w:styleId="62">
    <w:name w:val="保留正文"/>
    <w:basedOn w:val="2"/>
    <w:qFormat/>
    <w:uiPriority w:val="0"/>
    <w:pPr>
      <w:keepNext/>
      <w:spacing w:after="160"/>
    </w:pPr>
    <w:rPr>
      <w:rFonts w:ascii="Times New Roman" w:hAnsi="Times New Roman" w:eastAsia="宋体" w:cs="Times New Roman"/>
    </w:rPr>
  </w:style>
  <w:style w:type="character" w:customStyle="1" w:styleId="63">
    <w:name w:val="未处理的提及1"/>
    <w:basedOn w:val="49"/>
    <w:semiHidden/>
    <w:unhideWhenUsed/>
    <w:qFormat/>
    <w:uiPriority w:val="99"/>
    <w:rPr>
      <w:color w:val="605E5C"/>
      <w:shd w:val="clear" w:color="auto" w:fill="E1DFDD"/>
    </w:rPr>
  </w:style>
  <w:style w:type="character" w:customStyle="1" w:styleId="64">
    <w:name w:val="标题 1 字符"/>
    <w:basedOn w:val="49"/>
    <w:qFormat/>
    <w:uiPriority w:val="9"/>
    <w:rPr>
      <w:rFonts w:eastAsia="宋体"/>
      <w:b/>
      <w:bCs/>
      <w:kern w:val="44"/>
      <w:sz w:val="28"/>
      <w:szCs w:val="44"/>
    </w:rPr>
  </w:style>
  <w:style w:type="character" w:customStyle="1" w:styleId="65">
    <w:name w:val="普通(网站) 字符"/>
    <w:qFormat/>
    <w:locked/>
    <w:uiPriority w:val="0"/>
    <w:rPr>
      <w:rFonts w:ascii="宋体" w:hAnsi="宋体"/>
      <w:sz w:val="15"/>
      <w:szCs w:val="15"/>
    </w:rPr>
  </w:style>
  <w:style w:type="character" w:customStyle="1" w:styleId="66">
    <w:name w:val="纯文本 字符1"/>
    <w:qFormat/>
    <w:uiPriority w:val="0"/>
    <w:rPr>
      <w:rFonts w:ascii="宋体" w:hAnsi="Courier New" w:eastAsia="宋体"/>
    </w:rPr>
  </w:style>
  <w:style w:type="character" w:customStyle="1" w:styleId="67">
    <w:name w:val="纯文本 字符"/>
    <w:basedOn w:val="49"/>
    <w:qFormat/>
    <w:uiPriority w:val="0"/>
    <w:rPr>
      <w:rFonts w:hAnsi="Courier New" w:cs="Courier New" w:asciiTheme="minorEastAsia"/>
      <w:szCs w:val="24"/>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正文文本缩进 2 字符"/>
    <w:basedOn w:val="49"/>
    <w:semiHidden/>
    <w:qFormat/>
    <w:uiPriority w:val="99"/>
    <w:rPr>
      <w:szCs w:val="24"/>
    </w:rPr>
  </w:style>
  <w:style w:type="paragraph" w:customStyle="1" w:styleId="71">
    <w:name w:val="_Style 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2">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3">
    <w:name w:val="批注文字 字符"/>
    <w:basedOn w:val="49"/>
    <w:semiHidden/>
    <w:qFormat/>
    <w:uiPriority w:val="99"/>
    <w:rPr>
      <w:szCs w:val="24"/>
    </w:rPr>
  </w:style>
  <w:style w:type="character" w:customStyle="1" w:styleId="74">
    <w:name w:val="批注主题 字符"/>
    <w:basedOn w:val="73"/>
    <w:semiHidden/>
    <w:qFormat/>
    <w:uiPriority w:val="99"/>
    <w:rPr>
      <w:b/>
      <w:bCs/>
      <w:szCs w:val="24"/>
    </w:rPr>
  </w:style>
  <w:style w:type="paragraph" w:customStyle="1" w:styleId="7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7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7">
    <w:name w:val="正文 + 仿宋_GB2312"/>
    <w:basedOn w:val="1"/>
    <w:qFormat/>
    <w:uiPriority w:val="0"/>
    <w:pPr>
      <w:tabs>
        <w:tab w:val="left" w:pos="-720"/>
      </w:tabs>
      <w:autoSpaceDE w:val="0"/>
      <w:autoSpaceDN w:val="0"/>
      <w:adjustRightInd w:val="0"/>
      <w:spacing w:line="360" w:lineRule="auto"/>
      <w:ind w:firstLine="620"/>
      <w:jc w:val="left"/>
    </w:pPr>
    <w:rPr>
      <w:rFonts w:ascii="仿宋_GB2312" w:hAnsi="宋体" w:eastAsia="宋体" w:cs="宋体"/>
      <w:bCs/>
      <w:kern w:val="0"/>
      <w:sz w:val="31"/>
      <w:szCs w:val="31"/>
    </w:rPr>
  </w:style>
  <w:style w:type="paragraph" w:customStyle="1" w:styleId="78">
    <w:name w:val="+标题4"/>
    <w:basedOn w:val="7"/>
    <w:qFormat/>
    <w:uiPriority w:val="0"/>
    <w:pPr>
      <w:numPr>
        <w:ilvl w:val="3"/>
        <w:numId w:val="1"/>
      </w:numPr>
      <w:autoSpaceDE/>
      <w:autoSpaceDN/>
      <w:adjustRightInd/>
      <w:spacing w:before="120" w:after="120" w:line="360" w:lineRule="auto"/>
      <w:jc w:val="both"/>
    </w:pPr>
    <w:rPr>
      <w:rFonts w:ascii="Times New Roman" w:hAnsi="Times New Roman" w:eastAsia="宋体"/>
      <w:color w:val="000000"/>
      <w:kern w:val="2"/>
      <w:sz w:val="24"/>
    </w:rPr>
  </w:style>
  <w:style w:type="paragraph" w:customStyle="1" w:styleId="79">
    <w:name w:val="Char1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80">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81">
    <w:name w:val="p0"/>
    <w:basedOn w:val="1"/>
    <w:qFormat/>
    <w:uiPriority w:val="99"/>
    <w:pPr>
      <w:widowControl/>
    </w:pPr>
    <w:rPr>
      <w:rFonts w:ascii="Calibri" w:hAnsi="Calibri" w:eastAsia="宋体" w:cs="Times New Roman"/>
      <w:kern w:val="0"/>
      <w:szCs w:val="20"/>
    </w:rPr>
  </w:style>
  <w:style w:type="paragraph" w:customStyle="1" w:styleId="82">
    <w:name w:val="Char Char Char Char"/>
    <w:basedOn w:val="1"/>
    <w:qFormat/>
    <w:uiPriority w:val="0"/>
    <w:pPr>
      <w:widowControl/>
      <w:spacing w:after="160" w:line="240" w:lineRule="exact"/>
      <w:jc w:val="left"/>
    </w:pPr>
    <w:rPr>
      <w:rFonts w:ascii="Times New Roman" w:hAnsi="Calibri" w:eastAsia="宋体" w:cs="Times New Roman"/>
      <w:szCs w:val="20"/>
    </w:rPr>
  </w:style>
  <w:style w:type="paragraph" w:customStyle="1" w:styleId="83">
    <w:name w:val="Char Char Char Char Char Char 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84">
    <w:name w:val="space"/>
    <w:qFormat/>
    <w:uiPriority w:val="0"/>
    <w:rPr>
      <w:rFonts w:ascii="Calibri" w:hAnsi="Calibri" w:eastAsia="宋体" w:cs="Times New Roman"/>
      <w:caps/>
      <w:lang w:val="en-US" w:eastAsia="zh-CN" w:bidi="ar-SA"/>
    </w:rPr>
  </w:style>
  <w:style w:type="paragraph" w:customStyle="1" w:styleId="85">
    <w:name w:val="xl39"/>
    <w:basedOn w:val="1"/>
    <w:qFormat/>
    <w:uiPriority w:val="0"/>
    <w:pPr>
      <w:widowControl/>
      <w:pBdr>
        <w:right w:val="single" w:color="auto" w:sz="4" w:space="0"/>
      </w:pBdr>
      <w:spacing w:before="100" w:beforeAutospacing="1" w:after="100" w:afterAutospacing="1"/>
      <w:jc w:val="center"/>
      <w:textAlignment w:val="center"/>
    </w:pPr>
    <w:rPr>
      <w:rFonts w:ascii="Times New Roman" w:hAnsi="Calibri" w:eastAsia="宋体" w:cs="Times New Roman"/>
      <w:kern w:val="0"/>
      <w:szCs w:val="21"/>
    </w:rPr>
  </w:style>
  <w:style w:type="paragraph" w:customStyle="1" w:styleId="86">
    <w:name w:val="Char11"/>
    <w:basedOn w:val="16"/>
    <w:qFormat/>
    <w:uiPriority w:val="0"/>
    <w:pPr>
      <w:autoSpaceDE/>
      <w:autoSpaceDN/>
      <w:adjustRightInd/>
      <w:jc w:val="both"/>
    </w:pPr>
    <w:rPr>
      <w:rFonts w:ascii="Tahoma" w:hAnsi="Tahoma"/>
      <w:kern w:val="2"/>
    </w:rPr>
  </w:style>
  <w:style w:type="paragraph" w:customStyle="1" w:styleId="87">
    <w:name w:val="样式1"/>
    <w:basedOn w:val="1"/>
    <w:qFormat/>
    <w:uiPriority w:val="0"/>
    <w:pPr>
      <w:numPr>
        <w:ilvl w:val="1"/>
        <w:numId w:val="2"/>
      </w:numPr>
    </w:pPr>
    <w:rPr>
      <w:rFonts w:ascii="Times New Roman" w:hAnsi="Calibri" w:eastAsia="宋体" w:cs="Times New Roman"/>
      <w:sz w:val="24"/>
      <w:szCs w:val="20"/>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89">
    <w:name w:val="Char Char1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91">
    <w:name w:val="a)"/>
    <w:basedOn w:val="1"/>
    <w:qFormat/>
    <w:uiPriority w:val="0"/>
    <w:pPr>
      <w:spacing w:line="264" w:lineRule="auto"/>
    </w:pPr>
    <w:rPr>
      <w:rFonts w:ascii="Times New Roman" w:hAnsi="Calibri" w:eastAsia="宋体" w:cs="Times New Roman"/>
      <w:sz w:val="24"/>
    </w:rPr>
  </w:style>
  <w:style w:type="paragraph" w:customStyle="1" w:styleId="92">
    <w:name w:val="基准标题"/>
    <w:basedOn w:val="2"/>
    <w:next w:val="2"/>
    <w:qFormat/>
    <w:uiPriority w:val="0"/>
    <w:pPr>
      <w:keepNext/>
      <w:keepLines/>
      <w:widowControl/>
      <w:spacing w:after="0" w:line="240" w:lineRule="atLeast"/>
      <w:jc w:val="left"/>
    </w:pPr>
    <w:rPr>
      <w:rFonts w:ascii="Garamond" w:hAnsi="Garamond" w:eastAsia="宋体" w:cs="Times New Roman"/>
      <w:b/>
      <w:bCs/>
      <w:spacing w:val="-5"/>
      <w:kern w:val="20"/>
      <w:sz w:val="24"/>
      <w:szCs w:val="20"/>
    </w:rPr>
  </w:style>
  <w:style w:type="paragraph" w:customStyle="1" w:styleId="93">
    <w:name w:val="Char1 Char Char Char Char Char Char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94">
    <w:name w:val="图"/>
    <w:basedOn w:val="1"/>
    <w:qFormat/>
    <w:uiPriority w:val="0"/>
    <w:pPr>
      <w:keepNext/>
      <w:adjustRightInd w:val="0"/>
      <w:spacing w:before="60" w:after="60" w:line="300" w:lineRule="auto"/>
      <w:jc w:val="center"/>
      <w:textAlignment w:val="center"/>
    </w:pPr>
    <w:rPr>
      <w:rFonts w:ascii="Times New Roman" w:hAnsi="Calibri" w:eastAsia="宋体" w:cs="Times New Roman"/>
      <w:snapToGrid w:val="0"/>
      <w:spacing w:val="20"/>
      <w:kern w:val="0"/>
      <w:sz w:val="24"/>
      <w:szCs w:val="20"/>
    </w:rPr>
  </w:style>
  <w:style w:type="paragraph" w:customStyle="1" w:styleId="95">
    <w:name w:val="样式 加粗 段前: 7.8 磅 段后: 7.8 磅 行距: 固定值 20 磅"/>
    <w:basedOn w:val="1"/>
    <w:qFormat/>
    <w:uiPriority w:val="0"/>
    <w:pPr>
      <w:spacing w:before="60" w:after="60" w:line="360" w:lineRule="exact"/>
    </w:pPr>
    <w:rPr>
      <w:rFonts w:ascii="Times New Roman" w:hAnsi="Calibri" w:eastAsia="宋体" w:cs="宋体"/>
      <w:b/>
      <w:bCs/>
      <w:spacing w:val="-2"/>
      <w:sz w:val="24"/>
      <w:szCs w:val="20"/>
    </w:rPr>
  </w:style>
  <w:style w:type="paragraph" w:customStyle="1" w:styleId="96">
    <w:name w:val="样式 正文缩进首行缩进两字 + 左侧:  0.99 厘米 首行缩进:  0.99 厘米"/>
    <w:basedOn w:val="9"/>
    <w:qFormat/>
    <w:uiPriority w:val="0"/>
    <w:pPr>
      <w:widowControl w:val="0"/>
      <w:adjustRightInd w:val="0"/>
      <w:snapToGrid w:val="0"/>
      <w:spacing w:line="360" w:lineRule="auto"/>
      <w:ind w:left="113" w:firstLine="561" w:firstLineChars="0"/>
      <w:jc w:val="both"/>
    </w:pPr>
    <w:rPr>
      <w:rFonts w:ascii="宋体" w:cs="宋体"/>
      <w:kern w:val="2"/>
      <w:sz w:val="28"/>
    </w:rPr>
  </w:style>
  <w:style w:type="paragraph" w:customStyle="1" w:styleId="97">
    <w:name w:val="方案标题3"/>
    <w:basedOn w:val="1"/>
    <w:next w:val="1"/>
    <w:qFormat/>
    <w:uiPriority w:val="0"/>
    <w:pPr>
      <w:keepLines/>
      <w:numPr>
        <w:ilvl w:val="2"/>
        <w:numId w:val="3"/>
      </w:numPr>
      <w:tabs>
        <w:tab w:val="left" w:pos="360"/>
      </w:tabs>
      <w:adjustRightInd w:val="0"/>
      <w:spacing w:before="200" w:after="40"/>
      <w:outlineLvl w:val="2"/>
    </w:pPr>
    <w:rPr>
      <w:rFonts w:ascii="Arial" w:hAnsi="Arial" w:eastAsia="黑体" w:cs="Times New Roman"/>
      <w:spacing w:val="14"/>
      <w:kern w:val="0"/>
      <w:sz w:val="28"/>
      <w:szCs w:val="20"/>
    </w:rPr>
  </w:style>
  <w:style w:type="paragraph" w:customStyle="1" w:styleId="98">
    <w:name w:val="xl26"/>
    <w:basedOn w:val="1"/>
    <w:qFormat/>
    <w:uiPriority w:val="0"/>
    <w:pPr>
      <w:widowControl/>
      <w:spacing w:before="100" w:beforeAutospacing="1" w:after="100" w:afterAutospacing="1"/>
      <w:jc w:val="center"/>
    </w:pPr>
    <w:rPr>
      <w:rFonts w:hint="eastAsia" w:ascii="仿宋_GB2312" w:hAnsi="宋体" w:eastAsia="仿宋_GB2312" w:cs="Times New Roman"/>
      <w:kern w:val="0"/>
      <w:sz w:val="24"/>
    </w:rPr>
  </w:style>
  <w:style w:type="paragraph" w:customStyle="1" w:styleId="99">
    <w:name w:val="样式 样式 小四 首行缩进:  0.85 厘米 + 首行缩进:  2 字符"/>
    <w:basedOn w:val="1"/>
    <w:qFormat/>
    <w:uiPriority w:val="0"/>
    <w:pPr>
      <w:adjustRightInd w:val="0"/>
      <w:snapToGrid w:val="0"/>
      <w:spacing w:line="360" w:lineRule="auto"/>
      <w:ind w:firstLine="584" w:firstLineChars="200"/>
    </w:pPr>
    <w:rPr>
      <w:rFonts w:ascii="Times New Roman" w:hAnsi="Calibri" w:eastAsia="宋体" w:cs="宋体"/>
      <w:snapToGrid w:val="0"/>
      <w:kern w:val="0"/>
      <w:sz w:val="28"/>
      <w:szCs w:val="28"/>
    </w:rPr>
  </w:style>
  <w:style w:type="paragraph" w:customStyle="1" w:styleId="100">
    <w:name w:val="+标题1"/>
    <w:basedOn w:val="4"/>
    <w:qFormat/>
    <w:uiPriority w:val="0"/>
    <w:pPr>
      <w:pageBreakBefore/>
      <w:numPr>
        <w:ilvl w:val="0"/>
        <w:numId w:val="1"/>
      </w:numPr>
      <w:spacing w:before="240" w:after="240" w:line="360" w:lineRule="auto"/>
    </w:pPr>
    <w:rPr>
      <w:rFonts w:ascii="Times New Roman" w:hAnsi="Calibri" w:eastAsia="黑体" w:cs="Times New Roman"/>
      <w:b w:val="0"/>
      <w:bCs w:val="0"/>
      <w:kern w:val="32"/>
      <w:sz w:val="32"/>
      <w:szCs w:val="32"/>
    </w:rPr>
  </w:style>
  <w:style w:type="paragraph" w:customStyle="1" w:styleId="10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 w:val="24"/>
    </w:rPr>
  </w:style>
  <w:style w:type="paragraph" w:customStyle="1" w:styleId="102">
    <w:name w:val="表正文"/>
    <w:basedOn w:val="1"/>
    <w:next w:val="22"/>
    <w:qFormat/>
    <w:uiPriority w:val="0"/>
    <w:pPr>
      <w:spacing w:line="360" w:lineRule="auto"/>
      <w:ind w:left="180" w:leftChars="85" w:right="2" w:hanging="2"/>
    </w:pPr>
    <w:rPr>
      <w:rFonts w:ascii="Arial" w:hAnsi="Arial" w:eastAsia="宋体" w:cs="Times New Roman"/>
      <w:szCs w:val="20"/>
    </w:rPr>
  </w:style>
  <w:style w:type="paragraph" w:customStyle="1" w:styleId="103">
    <w:name w:val="正文缩进4格"/>
    <w:basedOn w:val="69"/>
    <w:qFormat/>
    <w:uiPriority w:val="0"/>
    <w:pPr>
      <w:numPr>
        <w:ilvl w:val="0"/>
        <w:numId w:val="4"/>
      </w:numPr>
      <w:tabs>
        <w:tab w:val="left" w:pos="426"/>
      </w:tabs>
      <w:spacing w:line="360" w:lineRule="auto"/>
      <w:ind w:firstLine="0" w:firstLineChars="0"/>
    </w:pPr>
    <w:rPr>
      <w:rFonts w:ascii="宋体" w:eastAsia="宋体" w:cs="Times New Roman"/>
      <w:sz w:val="21"/>
      <w:szCs w:val="21"/>
      <w:lang w:val="zh-CN"/>
    </w:rPr>
  </w:style>
  <w:style w:type="paragraph" w:customStyle="1" w:styleId="104">
    <w:name w:val="样式4"/>
    <w:basedOn w:val="1"/>
    <w:qFormat/>
    <w:uiPriority w:val="0"/>
    <w:pPr>
      <w:numPr>
        <w:ilvl w:val="3"/>
        <w:numId w:val="5"/>
      </w:numPr>
      <w:tabs>
        <w:tab w:val="left" w:pos="1984"/>
      </w:tabs>
    </w:pPr>
    <w:rPr>
      <w:rFonts w:ascii="Times New Roman" w:hAnsi="Calibri" w:eastAsia="宋体" w:cs="Times New Roman"/>
    </w:rPr>
  </w:style>
  <w:style w:type="paragraph" w:customStyle="1" w:styleId="105">
    <w:name w:val="0"/>
    <w:basedOn w:val="1"/>
    <w:qFormat/>
    <w:uiPriority w:val="0"/>
    <w:pPr>
      <w:widowControl/>
      <w:snapToGrid w:val="0"/>
    </w:pPr>
    <w:rPr>
      <w:rFonts w:ascii="Times New Roman" w:hAnsi="Calibri" w:eastAsia="宋体" w:cs="Times New Roman"/>
      <w:kern w:val="0"/>
      <w:szCs w:val="21"/>
    </w:rPr>
  </w:style>
  <w:style w:type="paragraph" w:customStyle="1" w:styleId="106">
    <w:name w:val="_Style 105"/>
    <w:semiHidden/>
    <w:qFormat/>
    <w:uiPriority w:val="99"/>
    <w:rPr>
      <w:rFonts w:ascii="宋体" w:hAnsi="Calibri" w:eastAsia="宋体" w:cs="Times New Roman"/>
      <w:sz w:val="24"/>
      <w:szCs w:val="24"/>
      <w:lang w:val="en-US" w:eastAsia="zh-CN" w:bidi="ar-SA"/>
    </w:rPr>
  </w:style>
  <w:style w:type="paragraph" w:customStyle="1" w:styleId="107">
    <w:name w:val="列出段落1"/>
    <w:basedOn w:val="1"/>
    <w:qFormat/>
    <w:uiPriority w:val="34"/>
    <w:pPr>
      <w:ind w:firstLine="420" w:firstLineChars="200"/>
    </w:pPr>
    <w:rPr>
      <w:rFonts w:ascii="Calibri" w:hAnsi="Calibri" w:eastAsia="宋体" w:cs="Times New Roman"/>
      <w:szCs w:val="22"/>
    </w:rPr>
  </w:style>
  <w:style w:type="paragraph" w:customStyle="1" w:styleId="108">
    <w:name w:val="D标3"/>
    <w:basedOn w:val="6"/>
    <w:qFormat/>
    <w:uiPriority w:val="0"/>
    <w:pPr>
      <w:numPr>
        <w:ilvl w:val="0"/>
        <w:numId w:val="6"/>
      </w:numPr>
      <w:spacing w:before="120" w:line="480" w:lineRule="atLeast"/>
      <w:jc w:val="both"/>
    </w:pPr>
    <w:rPr>
      <w:szCs w:val="20"/>
    </w:rPr>
  </w:style>
  <w:style w:type="paragraph" w:customStyle="1" w:styleId="109">
    <w:name w:val="样式3"/>
    <w:basedOn w:val="25"/>
    <w:qFormat/>
    <w:uiPriority w:val="0"/>
    <w:pPr>
      <w:spacing w:line="0" w:lineRule="atLeast"/>
      <w:outlineLvl w:val="0"/>
    </w:pPr>
    <w:rPr>
      <w:rFonts w:cs="Times New Roman"/>
      <w:kern w:val="0"/>
      <w:sz w:val="28"/>
      <w:szCs w:val="20"/>
    </w:rPr>
  </w:style>
  <w:style w:type="paragraph" w:customStyle="1" w:styleId="110">
    <w:name w:val="Char Char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11">
    <w:name w:val="1)"/>
    <w:basedOn w:val="1"/>
    <w:qFormat/>
    <w:uiPriority w:val="0"/>
    <w:pPr>
      <w:spacing w:line="264" w:lineRule="auto"/>
    </w:pPr>
    <w:rPr>
      <w:rFonts w:ascii="Times New Roman" w:hAnsi="Calibri" w:eastAsia="宋体" w:cs="Times New Roman"/>
      <w:sz w:val="24"/>
    </w:rPr>
  </w:style>
  <w:style w:type="paragraph" w:styleId="112">
    <w:name w:val="List Paragraph"/>
    <w:basedOn w:val="1"/>
    <w:link w:val="275"/>
    <w:qFormat/>
    <w:uiPriority w:val="34"/>
    <w:pPr>
      <w:autoSpaceDE w:val="0"/>
      <w:autoSpaceDN w:val="0"/>
      <w:adjustRightInd w:val="0"/>
      <w:ind w:firstLine="420" w:firstLineChars="200"/>
      <w:jc w:val="left"/>
    </w:pPr>
    <w:rPr>
      <w:rFonts w:ascii="宋体" w:hAnsi="Calibri" w:eastAsia="宋体" w:cs="Times New Roman"/>
      <w:kern w:val="0"/>
      <w:sz w:val="24"/>
    </w:rPr>
  </w:style>
  <w:style w:type="paragraph" w:customStyle="1" w:styleId="11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 w:val="24"/>
    </w:rPr>
  </w:style>
  <w:style w:type="paragraph" w:customStyle="1" w:styleId="114">
    <w:name w:val="Char1 Char Char Char"/>
    <w:basedOn w:val="1"/>
    <w:qFormat/>
    <w:uiPriority w:val="0"/>
    <w:pPr>
      <w:numPr>
        <w:ilvl w:val="0"/>
        <w:numId w:val="7"/>
      </w:numPr>
    </w:pPr>
    <w:rPr>
      <w:rFonts w:ascii="Times New Roman" w:hAnsi="Calibri" w:eastAsia="宋体" w:cs="Times New Roman"/>
      <w:sz w:val="24"/>
    </w:rPr>
  </w:style>
  <w:style w:type="paragraph" w:customStyle="1" w:styleId="11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Calibri" w:eastAsia="宋体" w:cs="Times New Roman"/>
      <w:kern w:val="0"/>
      <w:sz w:val="24"/>
      <w:szCs w:val="20"/>
    </w:rPr>
  </w:style>
  <w:style w:type="paragraph" w:customStyle="1" w:styleId="117">
    <w:name w:val="xl77"/>
    <w:basedOn w:val="1"/>
    <w:qFormat/>
    <w:uiPriority w:val="0"/>
    <w:pPr>
      <w:widowControl/>
      <w:spacing w:before="100" w:beforeAutospacing="1" w:after="100" w:afterAutospacing="1"/>
      <w:jc w:val="center"/>
    </w:pPr>
    <w:rPr>
      <w:rFonts w:ascii="宋体" w:hAnsi="宋体" w:eastAsia="宋体" w:cs="宋体"/>
      <w:kern w:val="0"/>
      <w:sz w:val="32"/>
      <w:szCs w:val="32"/>
    </w:rPr>
  </w:style>
  <w:style w:type="paragraph" w:customStyle="1" w:styleId="118">
    <w:name w:val="正文文本1"/>
    <w:basedOn w:val="1"/>
    <w:link w:val="175"/>
    <w:qFormat/>
    <w:uiPriority w:val="0"/>
    <w:pPr>
      <w:shd w:val="clear" w:color="auto" w:fill="FFFFFF"/>
      <w:jc w:val="left"/>
    </w:pPr>
    <w:rPr>
      <w:rFonts w:ascii="Times New Roman" w:hAnsi="Calibri" w:eastAsia="Times New Roman" w:cs="Times New Roman"/>
      <w:kern w:val="0"/>
      <w:sz w:val="20"/>
      <w:szCs w:val="20"/>
    </w:rPr>
  </w:style>
  <w:style w:type="paragraph" w:customStyle="1" w:styleId="119">
    <w:name w:val="Char Char Char Char1"/>
    <w:basedOn w:val="1"/>
    <w:qFormat/>
    <w:uiPriority w:val="0"/>
    <w:pPr>
      <w:numPr>
        <w:ilvl w:val="0"/>
        <w:numId w:val="8"/>
      </w:numPr>
      <w:tabs>
        <w:tab w:val="left" w:pos="284"/>
      </w:tabs>
    </w:pPr>
    <w:rPr>
      <w:rFonts w:ascii="Times New Roman" w:hAnsi="Calibri" w:eastAsia="宋体" w:cs="Times New Roman"/>
    </w:rPr>
  </w:style>
  <w:style w:type="paragraph" w:customStyle="1" w:styleId="120">
    <w:name w:val="正文楷 Char"/>
    <w:basedOn w:val="1"/>
    <w:qFormat/>
    <w:uiPriority w:val="0"/>
    <w:pPr>
      <w:spacing w:line="500" w:lineRule="exact"/>
      <w:ind w:firstLine="560" w:firstLineChars="200"/>
    </w:pPr>
    <w:rPr>
      <w:rFonts w:ascii="楷体_GB2312" w:hAnsi="楷体_GB2312" w:eastAsia="楷体_GB2312" w:cs="宋体"/>
      <w:sz w:val="28"/>
      <w:szCs w:val="20"/>
    </w:rPr>
  </w:style>
  <w:style w:type="paragraph" w:customStyle="1" w:styleId="121">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22">
    <w:name w:val="d"/>
    <w:basedOn w:val="1"/>
    <w:qFormat/>
    <w:uiPriority w:val="0"/>
    <w:pPr>
      <w:adjustRightInd w:val="0"/>
      <w:snapToGrid w:val="0"/>
      <w:spacing w:line="360" w:lineRule="auto"/>
      <w:ind w:firstLine="420" w:firstLineChars="200"/>
    </w:pPr>
    <w:rPr>
      <w:rFonts w:ascii="宋体" w:hAnsi="宋体" w:eastAsia="宋体" w:cs="Arial"/>
      <w:snapToGrid w:val="0"/>
      <w:kern w:val="0"/>
      <w:szCs w:val="18"/>
    </w:rPr>
  </w:style>
  <w:style w:type="paragraph" w:customStyle="1" w:styleId="1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12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 w:val="24"/>
    </w:rPr>
  </w:style>
  <w:style w:type="paragraph" w:customStyle="1" w:styleId="126">
    <w:name w:val="表标题"/>
    <w:basedOn w:val="1"/>
    <w:next w:val="1"/>
    <w:qFormat/>
    <w:uiPriority w:val="0"/>
    <w:pPr>
      <w:spacing w:before="80" w:after="80"/>
      <w:jc w:val="center"/>
    </w:pPr>
    <w:rPr>
      <w:rFonts w:ascii="Times New Roman" w:hAnsi="Calibri" w:eastAsia="宋体" w:cs="Times New Roman"/>
      <w:sz w:val="24"/>
    </w:rPr>
  </w:style>
  <w:style w:type="paragraph" w:customStyle="1" w:styleId="127">
    <w:name w:val="Char1"/>
    <w:basedOn w:val="16"/>
    <w:qFormat/>
    <w:uiPriority w:val="0"/>
    <w:pPr>
      <w:autoSpaceDE/>
      <w:autoSpaceDN/>
      <w:adjustRightInd/>
      <w:jc w:val="both"/>
    </w:pPr>
    <w:rPr>
      <w:rFonts w:ascii="Tahoma" w:hAnsi="Tahoma"/>
      <w:kern w:val="2"/>
    </w:rPr>
  </w:style>
  <w:style w:type="paragraph" w:customStyle="1" w:styleId="128">
    <w:name w:val="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29">
    <w:name w:val="1."/>
    <w:basedOn w:val="1"/>
    <w:qFormat/>
    <w:uiPriority w:val="0"/>
    <w:pPr>
      <w:spacing w:line="264" w:lineRule="auto"/>
    </w:pPr>
    <w:rPr>
      <w:rFonts w:ascii="Times New Roman" w:hAnsi="Calibri" w:eastAsia="宋体" w:cs="Times New Roman"/>
      <w:sz w:val="24"/>
    </w:rPr>
  </w:style>
  <w:style w:type="paragraph" w:customStyle="1" w:styleId="130">
    <w:name w:val="Char2"/>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31">
    <w:name w:val="+标题2"/>
    <w:basedOn w:val="5"/>
    <w:qFormat/>
    <w:uiPriority w:val="0"/>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132">
    <w:name w:val="i."/>
    <w:basedOn w:val="1"/>
    <w:qFormat/>
    <w:uiPriority w:val="0"/>
    <w:pPr>
      <w:tabs>
        <w:tab w:val="left" w:pos="2268"/>
      </w:tabs>
      <w:spacing w:line="264" w:lineRule="auto"/>
    </w:pPr>
    <w:rPr>
      <w:rFonts w:ascii="Times New Roman" w:hAnsi="Calibri" w:eastAsia="宋体" w:cs="Times New Roman"/>
      <w:sz w:val="24"/>
    </w:rPr>
  </w:style>
  <w:style w:type="paragraph" w:customStyle="1" w:styleId="1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134">
    <w:name w:val="_Style 133"/>
    <w:basedOn w:val="4"/>
    <w:next w:val="1"/>
    <w:qFormat/>
    <w:uiPriority w:val="39"/>
    <w:pPr>
      <w:widowControl/>
      <w:spacing w:before="480" w:line="276" w:lineRule="auto"/>
      <w:jc w:val="left"/>
      <w:outlineLvl w:val="9"/>
    </w:pPr>
    <w:rPr>
      <w:rFonts w:ascii="Cambria" w:hAnsi="Cambria" w:cs="Times New Roman"/>
      <w:b w:val="0"/>
      <w:bCs w:val="0"/>
      <w:color w:val="365F91"/>
      <w:kern w:val="0"/>
      <w:szCs w:val="28"/>
    </w:rPr>
  </w:style>
  <w:style w:type="paragraph" w:customStyle="1" w:styleId="1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13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37">
    <w:name w:val="A."/>
    <w:basedOn w:val="1"/>
    <w:qFormat/>
    <w:uiPriority w:val="0"/>
    <w:pPr>
      <w:widowControl/>
      <w:spacing w:line="264" w:lineRule="auto"/>
    </w:pPr>
    <w:rPr>
      <w:rFonts w:ascii="Times New Roman" w:hAnsi="Calibri" w:eastAsia="宋体" w:cs="Times New Roman"/>
      <w:sz w:val="24"/>
    </w:rPr>
  </w:style>
  <w:style w:type="paragraph" w:customStyle="1" w:styleId="138">
    <w:name w:val="Default Paragraph Font Para Char"/>
    <w:basedOn w:val="1"/>
    <w:qFormat/>
    <w:uiPriority w:val="0"/>
    <w:pPr>
      <w:widowControl/>
      <w:spacing w:after="160" w:line="240" w:lineRule="exact"/>
      <w:jc w:val="left"/>
    </w:pPr>
    <w:rPr>
      <w:rFonts w:ascii="Times New Roman" w:hAnsi="Calibri" w:eastAsia="宋体" w:cs="Times New Roman"/>
    </w:rPr>
  </w:style>
  <w:style w:type="paragraph" w:customStyle="1" w:styleId="139">
    <w:name w:val="+标题3"/>
    <w:basedOn w:val="6"/>
    <w:qFormat/>
    <w:uiPriority w:val="0"/>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140">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41">
    <w:name w:val="列表4"/>
    <w:basedOn w:val="1"/>
    <w:qFormat/>
    <w:uiPriority w:val="0"/>
    <w:pPr>
      <w:snapToGrid w:val="0"/>
    </w:pPr>
    <w:rPr>
      <w:rFonts w:ascii="Times New Roman" w:hAnsi="Calibri" w:eastAsia="宋体" w:cs="Times New Roman"/>
      <w:sz w:val="28"/>
      <w:szCs w:val="20"/>
    </w:rPr>
  </w:style>
  <w:style w:type="paragraph" w:customStyle="1" w:styleId="142">
    <w:name w:val="样式 标题 2标题 2 Char Char Char Char标题 2 Char Char Char Char Char C..."/>
    <w:basedOn w:val="5"/>
    <w:qFormat/>
    <w:uiPriority w:val="0"/>
    <w:pPr>
      <w:keepNext/>
      <w:keepLines/>
      <w:autoSpaceDE/>
      <w:autoSpaceDN/>
      <w:adjustRightInd/>
      <w:snapToGrid w:val="0"/>
      <w:jc w:val="both"/>
    </w:pPr>
    <w:rPr>
      <w:rFonts w:ascii="黑体" w:eastAsia="黑体"/>
      <w:color w:val="000000"/>
      <w:spacing w:val="2"/>
      <w:szCs w:val="30"/>
    </w:rPr>
  </w:style>
  <w:style w:type="paragraph" w:customStyle="1" w:styleId="143">
    <w:name w:val="日期右"/>
    <w:basedOn w:val="27"/>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44">
    <w:name w:val="标题1"/>
    <w:basedOn w:val="1"/>
    <w:qFormat/>
    <w:uiPriority w:val="0"/>
    <w:pPr>
      <w:widowControl/>
      <w:spacing w:line="360" w:lineRule="auto"/>
      <w:jc w:val="center"/>
    </w:pPr>
    <w:rPr>
      <w:rFonts w:ascii="黑体" w:hAnsi="Calibri" w:eastAsia="黑体" w:cs="Times New Roman"/>
      <w:b/>
      <w:kern w:val="0"/>
      <w:sz w:val="44"/>
      <w:szCs w:val="20"/>
    </w:rPr>
  </w:style>
  <w:style w:type="paragraph" w:customStyle="1" w:styleId="14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46">
    <w:name w:val="样式－1"/>
    <w:basedOn w:val="4"/>
    <w:qFormat/>
    <w:uiPriority w:val="0"/>
    <w:pPr>
      <w:numPr>
        <w:ilvl w:val="0"/>
        <w:numId w:val="9"/>
      </w:numPr>
      <w:snapToGrid w:val="0"/>
      <w:spacing w:line="480" w:lineRule="atLeast"/>
    </w:pPr>
    <w:rPr>
      <w:rFonts w:ascii="Times New Roman" w:hAnsi="Calibri" w:cs="Times New Roman"/>
      <w:b w:val="0"/>
      <w:bCs w:val="0"/>
      <w:color w:val="000000"/>
      <w:sz w:val="24"/>
      <w:szCs w:val="28"/>
    </w:rPr>
  </w:style>
  <w:style w:type="paragraph" w:customStyle="1" w:styleId="147">
    <w:name w:val="默认段落字体 Para Char"/>
    <w:basedOn w:val="1"/>
    <w:qFormat/>
    <w:uiPriority w:val="0"/>
    <w:pPr>
      <w:adjustRightInd w:val="0"/>
      <w:spacing w:line="360" w:lineRule="auto"/>
    </w:pPr>
    <w:rPr>
      <w:rFonts w:ascii="Times New Roman" w:hAnsi="Calibri" w:eastAsia="宋体" w:cs="Times New Roman"/>
      <w:kern w:val="0"/>
      <w:sz w:val="24"/>
      <w:szCs w:val="20"/>
    </w:rPr>
  </w:style>
  <w:style w:type="paragraph" w:customStyle="1" w:styleId="148">
    <w:name w:val="默认段落字体 Para Char Char Char Char"/>
    <w:basedOn w:val="1"/>
    <w:qFormat/>
    <w:uiPriority w:val="0"/>
    <w:rPr>
      <w:rFonts w:ascii="Arial" w:hAnsi="Arial" w:eastAsia="宋体" w:cs="Arial"/>
      <w:szCs w:val="21"/>
    </w:rPr>
  </w:style>
  <w:style w:type="paragraph" w:customStyle="1" w:styleId="1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150">
    <w:name w:val="DAS正文"/>
    <w:basedOn w:val="1"/>
    <w:qFormat/>
    <w:uiPriority w:val="0"/>
    <w:pPr>
      <w:spacing w:line="360" w:lineRule="exact"/>
    </w:pPr>
    <w:rPr>
      <w:rFonts w:ascii="Verdana" w:hAnsi="Verdana" w:eastAsia="宋体" w:cs="Times New Roman"/>
      <w:szCs w:val="21"/>
    </w:rPr>
  </w:style>
  <w:style w:type="paragraph" w:customStyle="1" w:styleId="151">
    <w:name w:val="标题4"/>
    <w:basedOn w:val="69"/>
    <w:qFormat/>
    <w:uiPriority w:val="0"/>
    <w:pPr>
      <w:spacing w:line="540" w:lineRule="exact"/>
      <w:ind w:firstLine="0" w:firstLineChars="0"/>
    </w:pPr>
    <w:rPr>
      <w:rFonts w:hAnsi="Times New Roman" w:cs="Times New Roman"/>
      <w:szCs w:val="24"/>
    </w:rPr>
  </w:style>
  <w:style w:type="paragraph" w:customStyle="1" w:styleId="152">
    <w:name w:val="正文缩进6格"/>
    <w:basedOn w:val="103"/>
    <w:qFormat/>
    <w:uiPriority w:val="0"/>
    <w:pPr>
      <w:ind w:left="1758" w:leftChars="854"/>
    </w:pPr>
  </w:style>
  <w:style w:type="paragraph" w:customStyle="1" w:styleId="153">
    <w:name w:val="_Style 21"/>
    <w:basedOn w:val="16"/>
    <w:qFormat/>
    <w:uiPriority w:val="0"/>
    <w:pPr>
      <w:snapToGrid w:val="0"/>
      <w:spacing w:line="360" w:lineRule="auto"/>
    </w:pPr>
    <w:rPr>
      <w:rFonts w:ascii="Tahoma" w:hAnsi="Tahoma"/>
      <w:kern w:val="2"/>
    </w:rPr>
  </w:style>
  <w:style w:type="paragraph" w:customStyle="1" w:styleId="15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5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6">
    <w:name w:val="Char Char3"/>
    <w:basedOn w:val="1"/>
    <w:qFormat/>
    <w:uiPriority w:val="0"/>
    <w:pPr>
      <w:widowControl/>
      <w:spacing w:after="160" w:line="240" w:lineRule="exact"/>
      <w:jc w:val="center"/>
    </w:pPr>
    <w:rPr>
      <w:rFonts w:ascii="Tahoma" w:hAnsi="Tahoma" w:eastAsia="宋体" w:cs="Times New Roman"/>
      <w:sz w:val="24"/>
    </w:rPr>
  </w:style>
  <w:style w:type="paragraph" w:customStyle="1" w:styleId="157">
    <w:name w:val="默认段落字体 Para Char Char Char Char Char Char Char"/>
    <w:basedOn w:val="1"/>
    <w:qFormat/>
    <w:uiPriority w:val="0"/>
    <w:pPr>
      <w:spacing w:line="360" w:lineRule="auto"/>
    </w:pPr>
    <w:rPr>
      <w:rFonts w:ascii="Tahoma" w:hAnsi="Tahoma" w:eastAsia="宋体" w:cs="Times New Roman"/>
      <w:sz w:val="24"/>
      <w:szCs w:val="20"/>
    </w:rPr>
  </w:style>
  <w:style w:type="paragraph" w:customStyle="1" w:styleId="158">
    <w:name w:val="Char Char2 Char"/>
    <w:basedOn w:val="1"/>
    <w:qFormat/>
    <w:uiPriority w:val="0"/>
    <w:rPr>
      <w:rFonts w:ascii="宋体" w:hAnsi="宋体" w:eastAsia="宋体" w:cs="Times New Roman"/>
      <w:b/>
      <w:sz w:val="28"/>
      <w:szCs w:val="28"/>
    </w:rPr>
  </w:style>
  <w:style w:type="paragraph" w:customStyle="1" w:styleId="159">
    <w:name w:val="默认段落字体 Para Char Char Char Char Char Char Char Char Char1 Char Char Char Char Char Char Char"/>
    <w:basedOn w:val="16"/>
    <w:qFormat/>
    <w:uiPriority w:val="0"/>
    <w:pPr>
      <w:autoSpaceDE/>
      <w:autoSpaceDN/>
      <w:adjustRightInd/>
      <w:jc w:val="both"/>
    </w:pPr>
    <w:rPr>
      <w:rFonts w:ascii="Tahoma" w:hAnsi="Tahoma"/>
      <w:kern w:val="2"/>
    </w:rPr>
  </w:style>
  <w:style w:type="paragraph" w:customStyle="1" w:styleId="160">
    <w:name w:val="+正文"/>
    <w:basedOn w:val="1"/>
    <w:qFormat/>
    <w:uiPriority w:val="0"/>
    <w:pPr>
      <w:spacing w:line="360" w:lineRule="auto"/>
      <w:ind w:firstLine="200" w:firstLineChars="200"/>
    </w:pPr>
    <w:rPr>
      <w:rFonts w:ascii="Times New Roman" w:hAnsi="Calibri" w:eastAsia="宋体" w:cs="Times New Roman"/>
      <w:sz w:val="24"/>
      <w:szCs w:val="28"/>
    </w:rPr>
  </w:style>
  <w:style w:type="paragraph" w:customStyle="1" w:styleId="161">
    <w:name w:val="正文无缩进"/>
    <w:basedOn w:val="69"/>
    <w:qFormat/>
    <w:uiPriority w:val="0"/>
    <w:pPr>
      <w:ind w:firstLine="0" w:firstLineChars="0"/>
    </w:pPr>
    <w:rPr>
      <w:rFonts w:cs="Times New Roman"/>
    </w:rPr>
  </w:style>
  <w:style w:type="paragraph" w:customStyle="1" w:styleId="162">
    <w:name w:val="首行缩进"/>
    <w:basedOn w:val="1"/>
    <w:qFormat/>
    <w:uiPriority w:val="0"/>
    <w:pPr>
      <w:autoSpaceDE w:val="0"/>
      <w:autoSpaceDN w:val="0"/>
      <w:adjustRightInd w:val="0"/>
      <w:ind w:firstLine="480" w:firstLineChars="200"/>
      <w:jc w:val="left"/>
    </w:pPr>
    <w:rPr>
      <w:rFonts w:ascii="宋体" w:hAnsi="Calibri" w:eastAsia="宋体" w:cs="Times New Roman"/>
      <w:kern w:val="0"/>
      <w:sz w:val="24"/>
      <w:lang w:val="zh-CN"/>
    </w:rPr>
  </w:style>
  <w:style w:type="paragraph" w:customStyle="1" w:styleId="163">
    <w:name w:val="纯文本1"/>
    <w:basedOn w:val="1"/>
    <w:qFormat/>
    <w:uiPriority w:val="0"/>
    <w:pPr>
      <w:adjustRightInd w:val="0"/>
      <w:textAlignment w:val="baseline"/>
    </w:pPr>
    <w:rPr>
      <w:rFonts w:ascii="宋体" w:hAnsi="Courier New" w:eastAsia="楷体_GB2312" w:cs="Times New Roman"/>
      <w:sz w:val="26"/>
      <w:szCs w:val="20"/>
    </w:rPr>
  </w:style>
  <w:style w:type="paragraph" w:customStyle="1" w:styleId="164">
    <w:name w:val="Char1 Char Char Char1 Char Char Char"/>
    <w:basedOn w:val="1"/>
    <w:qFormat/>
    <w:uiPriority w:val="0"/>
    <w:pPr>
      <w:spacing w:line="360" w:lineRule="auto"/>
      <w:jc w:val="left"/>
    </w:pPr>
    <w:rPr>
      <w:rFonts w:ascii="Times New Roman" w:hAnsi="Calibri" w:eastAsia="宋体" w:cs="Times New Roman"/>
    </w:rPr>
  </w:style>
  <w:style w:type="paragraph" w:customStyle="1" w:styleId="165">
    <w:name w:val="Char Char1 Char Char Char Char Char Char Char Char Char Char Char Char Char"/>
    <w:basedOn w:val="1"/>
    <w:qFormat/>
    <w:uiPriority w:val="0"/>
    <w:pPr>
      <w:widowControl/>
      <w:spacing w:after="160" w:line="360" w:lineRule="auto"/>
      <w:jc w:val="left"/>
    </w:pPr>
    <w:rPr>
      <w:rFonts w:ascii="Verdana" w:hAnsi="Verdana" w:eastAsia="宋体" w:cs="Times New Roman"/>
      <w:kern w:val="0"/>
      <w:szCs w:val="20"/>
      <w:lang w:eastAsia="en-US"/>
    </w:rPr>
  </w:style>
  <w:style w:type="paragraph" w:customStyle="1" w:styleId="166">
    <w:name w:val="表中文字"/>
    <w:basedOn w:val="1"/>
    <w:qFormat/>
    <w:uiPriority w:val="0"/>
    <w:pPr>
      <w:autoSpaceDE w:val="0"/>
      <w:autoSpaceDN w:val="0"/>
      <w:adjustRightInd w:val="0"/>
      <w:spacing w:line="400" w:lineRule="atLeast"/>
      <w:ind w:left="35" w:leftChars="14" w:hanging="1"/>
      <w:jc w:val="center"/>
      <w:textAlignment w:val="baseline"/>
    </w:pPr>
    <w:rPr>
      <w:rFonts w:ascii="Verdana" w:hAnsi="Verdana" w:eastAsia="宋体" w:cs="Times New Roman"/>
      <w:kern w:val="0"/>
      <w:szCs w:val="28"/>
    </w:rPr>
  </w:style>
  <w:style w:type="paragraph" w:customStyle="1" w:styleId="167">
    <w:name w:val="Char Char Char Char Char Char Char"/>
    <w:basedOn w:val="1"/>
    <w:qFormat/>
    <w:uiPriority w:val="0"/>
    <w:rPr>
      <w:rFonts w:ascii="Times New Roman" w:hAnsi="Calibri" w:eastAsia="宋体" w:cs="Times New Roman"/>
    </w:rPr>
  </w:style>
  <w:style w:type="paragraph" w:customStyle="1" w:styleId="168">
    <w:name w:val="标题 3.1"/>
    <w:basedOn w:val="6"/>
    <w:link w:val="199"/>
    <w:qFormat/>
    <w:uiPriority w:val="0"/>
    <w:pPr>
      <w:pageBreakBefore/>
      <w:tabs>
        <w:tab w:val="left" w:pos="1440"/>
        <w:tab w:val="left" w:pos="1620"/>
      </w:tabs>
      <w:autoSpaceDE/>
      <w:autoSpaceDN/>
      <w:adjustRightInd/>
      <w:spacing w:line="360" w:lineRule="auto"/>
      <w:jc w:val="both"/>
    </w:pPr>
    <w:rPr>
      <w:rFonts w:hAnsi="宋体"/>
      <w:b/>
      <w:bCs/>
      <w:sz w:val="32"/>
      <w:szCs w:val="32"/>
    </w:rPr>
  </w:style>
  <w:style w:type="paragraph" w:styleId="169">
    <w:name w:val="No Spacing"/>
    <w:link w:val="265"/>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0">
    <w:name w:val="默认段落字体 Para Char Char Char Char Char Char Char Char Char Char Char Char Char Char Char Char Char Char Char"/>
    <w:basedOn w:val="1"/>
    <w:qFormat/>
    <w:uiPriority w:val="0"/>
    <w:rPr>
      <w:rFonts w:ascii="Tahoma" w:hAnsi="Tahoma" w:eastAsia="宋体" w:cs="Times New Roman"/>
      <w:sz w:val="24"/>
      <w:szCs w:val="20"/>
    </w:rPr>
  </w:style>
  <w:style w:type="character" w:customStyle="1" w:styleId="171">
    <w:name w:val="纯文本 字符11"/>
    <w:qFormat/>
    <w:uiPriority w:val="0"/>
    <w:rPr>
      <w:rFonts w:ascii="宋体" w:hAnsi="Courier New" w:eastAsia="宋体" w:cs="Times New Roman"/>
      <w:kern w:val="0"/>
      <w:sz w:val="20"/>
      <w:szCs w:val="20"/>
    </w:rPr>
  </w:style>
  <w:style w:type="character" w:customStyle="1" w:styleId="172">
    <w:name w:val="日期 字符"/>
    <w:qFormat/>
    <w:uiPriority w:val="0"/>
    <w:rPr>
      <w:rFonts w:ascii="宋体" w:hAnsi="Times New Roman" w:eastAsia="宋体" w:cs="Times New Roman"/>
      <w:b/>
      <w:bCs/>
      <w:szCs w:val="21"/>
      <w:lang w:val="zh-CN"/>
    </w:rPr>
  </w:style>
  <w:style w:type="character" w:customStyle="1" w:styleId="173">
    <w:name w:val="批注文字 Char2"/>
    <w:qFormat/>
    <w:uiPriority w:val="99"/>
    <w:rPr>
      <w:rFonts w:ascii="宋体" w:hAnsi="Times New Roman" w:eastAsia="宋体" w:cs="Times New Roman"/>
      <w:kern w:val="0"/>
      <w:sz w:val="24"/>
      <w:szCs w:val="24"/>
      <w:lang w:val="en-US" w:eastAsia="zh-CN"/>
    </w:rPr>
  </w:style>
  <w:style w:type="character" w:customStyle="1" w:styleId="174">
    <w:name w:val="无间隔 字符"/>
    <w:qFormat/>
    <w:uiPriority w:val="1"/>
    <w:rPr>
      <w:rFonts w:ascii="Calibri" w:hAnsi="Calibri" w:eastAsia="宋体" w:cs="Times New Roman"/>
      <w:kern w:val="2"/>
      <w:sz w:val="21"/>
      <w:szCs w:val="22"/>
      <w:lang w:val="en-US" w:eastAsia="zh-CN" w:bidi="ar-SA"/>
    </w:rPr>
  </w:style>
  <w:style w:type="character" w:customStyle="1" w:styleId="175">
    <w:name w:val="正文文本_"/>
    <w:link w:val="118"/>
    <w:qFormat/>
    <w:uiPriority w:val="0"/>
    <w:rPr>
      <w:rFonts w:ascii="Times New Roman" w:hAnsi="Times New Roman" w:eastAsia="Times New Roman" w:cs="Times New Roman"/>
      <w:shd w:val="clear" w:color="auto" w:fill="FFFFFF"/>
    </w:rPr>
  </w:style>
  <w:style w:type="character" w:customStyle="1" w:styleId="176">
    <w:name w:val="style61"/>
    <w:qFormat/>
    <w:uiPriority w:val="0"/>
    <w:rPr>
      <w:rFonts w:ascii="Calibri" w:hAnsi="Calibri" w:eastAsia="宋体" w:cs="Times New Roman"/>
      <w:b/>
      <w:bCs/>
    </w:rPr>
  </w:style>
  <w:style w:type="character" w:customStyle="1" w:styleId="177">
    <w:name w:val="小 Char"/>
    <w:qFormat/>
    <w:uiPriority w:val="0"/>
    <w:rPr>
      <w:rFonts w:ascii="宋体" w:hAnsi="Courier New" w:eastAsia="宋体" w:cs="Times New Roman"/>
      <w:kern w:val="2"/>
      <w:sz w:val="21"/>
      <w:lang w:val="en-US" w:eastAsia="zh-CN" w:bidi="ar-SA"/>
    </w:rPr>
  </w:style>
  <w:style w:type="character" w:customStyle="1" w:styleId="178">
    <w:name w:val="标题 5 字符"/>
    <w:qFormat/>
    <w:uiPriority w:val="0"/>
    <w:rPr>
      <w:rFonts w:ascii="楷体_GB2312" w:hAnsi="Times New Roman" w:eastAsia="楷体_GB2312" w:cs="Times New Roman"/>
      <w:sz w:val="24"/>
    </w:rPr>
  </w:style>
  <w:style w:type="character" w:customStyle="1" w:styleId="179">
    <w:name w:val="ca-7"/>
    <w:qFormat/>
    <w:uiPriority w:val="0"/>
    <w:rPr>
      <w:rFonts w:ascii="Calibri" w:hAnsi="Calibri" w:eastAsia="宋体" w:cs="Times New Roman"/>
    </w:rPr>
  </w:style>
  <w:style w:type="character" w:customStyle="1" w:styleId="180">
    <w:name w:val="apple-style-span"/>
    <w:basedOn w:val="49"/>
    <w:qFormat/>
    <w:uiPriority w:val="0"/>
    <w:rPr>
      <w:rFonts w:ascii="Calibri" w:hAnsi="Calibri" w:eastAsia="宋体" w:cs="Times New Roman"/>
    </w:rPr>
  </w:style>
  <w:style w:type="character" w:customStyle="1" w:styleId="181">
    <w:name w:val="huei12b1"/>
    <w:qFormat/>
    <w:uiPriority w:val="0"/>
    <w:rPr>
      <w:rFonts w:ascii="Calibri" w:hAnsi="Calibri" w:eastAsia="宋体" w:cs="Times New Roman"/>
      <w:b/>
      <w:bCs/>
      <w:color w:val="333333"/>
      <w:sz w:val="18"/>
      <w:szCs w:val="18"/>
    </w:rPr>
  </w:style>
  <w:style w:type="character" w:customStyle="1" w:styleId="182">
    <w:name w:val="doc_title"/>
    <w:qFormat/>
    <w:uiPriority w:val="0"/>
    <w:rPr>
      <w:rFonts w:ascii="Calibri" w:hAnsi="Calibri" w:eastAsia="宋体" w:cs="Times New Roman"/>
    </w:rPr>
  </w:style>
  <w:style w:type="character" w:customStyle="1" w:styleId="183">
    <w:name w:val="签名 字符"/>
    <w:qFormat/>
    <w:uiPriority w:val="0"/>
    <w:rPr>
      <w:rFonts w:ascii="Garamond" w:hAnsi="Garamond" w:eastAsia="宋体" w:cs="Times New Roman"/>
      <w:spacing w:val="-5"/>
      <w:kern w:val="0"/>
      <w:sz w:val="24"/>
      <w:szCs w:val="20"/>
    </w:rPr>
  </w:style>
  <w:style w:type="character" w:customStyle="1" w:styleId="184">
    <w:name w:val="spantable1"/>
    <w:qFormat/>
    <w:uiPriority w:val="0"/>
    <w:rPr>
      <w:rFonts w:hint="default" w:ascii="Calibri" w:hAnsi="Calibri" w:eastAsia="宋体" w:cs="Times New Roman"/>
      <w:sz w:val="18"/>
      <w:szCs w:val="18"/>
    </w:rPr>
  </w:style>
  <w:style w:type="character" w:customStyle="1" w:styleId="185">
    <w:name w:val="p105"/>
    <w:basedOn w:val="49"/>
    <w:qFormat/>
    <w:uiPriority w:val="0"/>
    <w:rPr>
      <w:rFonts w:ascii="Calibri" w:hAnsi="Calibri" w:eastAsia="宋体" w:cs="Times New Roman"/>
    </w:rPr>
  </w:style>
  <w:style w:type="character" w:customStyle="1" w:styleId="186">
    <w:name w:val="正文缩进2格 Char Char"/>
    <w:qFormat/>
    <w:uiPriority w:val="0"/>
    <w:rPr>
      <w:rFonts w:ascii="仿宋_GB2312" w:hAnsi="宋体" w:eastAsia="仿宋_GB2312" w:cs="Times New Roman"/>
      <w:kern w:val="2"/>
      <w:sz w:val="31"/>
      <w:szCs w:val="28"/>
      <w:lang w:val="en-US" w:eastAsia="zh-CN" w:bidi="ar-SA"/>
    </w:rPr>
  </w:style>
  <w:style w:type="character" w:customStyle="1" w:styleId="187">
    <w:name w:val="标题 字符"/>
    <w:qFormat/>
    <w:uiPriority w:val="10"/>
    <w:rPr>
      <w:rFonts w:ascii="Cambria" w:hAnsi="Cambria" w:eastAsia="宋体" w:cs="Times New Roman"/>
      <w:b/>
      <w:bCs/>
      <w:kern w:val="0"/>
      <w:sz w:val="32"/>
      <w:szCs w:val="32"/>
    </w:rPr>
  </w:style>
  <w:style w:type="character" w:customStyle="1" w:styleId="188">
    <w:name w:val="DAS正文 Char"/>
    <w:qFormat/>
    <w:uiPriority w:val="0"/>
    <w:rPr>
      <w:rFonts w:ascii="Verdana" w:hAnsi="Verdana" w:eastAsia="宋体" w:cs="Times New Roman"/>
      <w:kern w:val="2"/>
      <w:sz w:val="21"/>
      <w:szCs w:val="21"/>
      <w:lang w:val="en-US" w:eastAsia="zh-CN" w:bidi="ar-SA"/>
    </w:rPr>
  </w:style>
  <w:style w:type="character" w:customStyle="1" w:styleId="189">
    <w:name w:val="正文文本 + MingLiU"/>
    <w:qFormat/>
    <w:uiPriority w:val="0"/>
    <w:rPr>
      <w:rFonts w:ascii="MingLiU" w:hAnsi="MingLiU" w:eastAsia="MingLiU" w:cs="MingLiU"/>
      <w:color w:val="000000"/>
      <w:spacing w:val="0"/>
      <w:w w:val="100"/>
      <w:position w:val="0"/>
      <w:sz w:val="19"/>
      <w:szCs w:val="19"/>
      <w:u w:val="none"/>
      <w:lang w:val="zh-CN"/>
    </w:rPr>
  </w:style>
  <w:style w:type="character" w:customStyle="1" w:styleId="190">
    <w:name w:val="标题 2 字符"/>
    <w:qFormat/>
    <w:uiPriority w:val="0"/>
    <w:rPr>
      <w:rFonts w:ascii="宋体" w:hAnsi="Times New Roman" w:eastAsia="宋体" w:cs="Times New Roman"/>
      <w:kern w:val="0"/>
      <w:sz w:val="24"/>
      <w:szCs w:val="24"/>
    </w:rPr>
  </w:style>
  <w:style w:type="character" w:customStyle="1" w:styleId="191">
    <w:name w:val="ca-3"/>
    <w:qFormat/>
    <w:uiPriority w:val="0"/>
    <w:rPr>
      <w:rFonts w:ascii="Calibri" w:hAnsi="Calibri" w:eastAsia="宋体" w:cs="Times New Roman"/>
    </w:rPr>
  </w:style>
  <w:style w:type="character" w:customStyle="1" w:styleId="192">
    <w:name w:val="标题 4 字符"/>
    <w:qFormat/>
    <w:uiPriority w:val="0"/>
    <w:rPr>
      <w:rFonts w:ascii="Arial" w:hAnsi="Arial" w:eastAsia="黑体" w:cs="Times New Roman"/>
      <w:b/>
      <w:bCs/>
      <w:kern w:val="0"/>
      <w:sz w:val="28"/>
      <w:szCs w:val="28"/>
    </w:rPr>
  </w:style>
  <w:style w:type="character" w:customStyle="1" w:styleId="193">
    <w:name w:val="keyfeatures1"/>
    <w:qFormat/>
    <w:uiPriority w:val="0"/>
    <w:rPr>
      <w:rFonts w:hint="default" w:ascii="Arial" w:hAnsi="Arial" w:eastAsia="宋体" w:cs="Arial"/>
      <w:color w:val="003366"/>
      <w:sz w:val="17"/>
      <w:szCs w:val="17"/>
      <w:u w:val="none"/>
    </w:rPr>
  </w:style>
  <w:style w:type="character" w:customStyle="1" w:styleId="194">
    <w:name w:val="apple-converted-space"/>
    <w:basedOn w:val="49"/>
    <w:qFormat/>
    <w:uiPriority w:val="0"/>
    <w:rPr>
      <w:rFonts w:ascii="Calibri" w:hAnsi="Calibri" w:eastAsia="宋体" w:cs="Times New Roman"/>
    </w:rPr>
  </w:style>
  <w:style w:type="character" w:customStyle="1" w:styleId="195">
    <w:name w:val="正文文本缩进 3 字符"/>
    <w:qFormat/>
    <w:uiPriority w:val="0"/>
    <w:rPr>
      <w:rFonts w:ascii="宋体" w:hAnsi="Times New Roman" w:eastAsia="宋体" w:cs="Times New Roman"/>
      <w:kern w:val="0"/>
      <w:sz w:val="24"/>
      <w:szCs w:val="24"/>
    </w:rPr>
  </w:style>
  <w:style w:type="character" w:customStyle="1" w:styleId="196">
    <w:name w:val="HTML 预设格式 字符"/>
    <w:qFormat/>
    <w:uiPriority w:val="0"/>
    <w:rPr>
      <w:rFonts w:ascii="Arial" w:hAnsi="Arial" w:eastAsia="宋体" w:cs="Arial"/>
      <w:kern w:val="0"/>
      <w:szCs w:val="21"/>
    </w:rPr>
  </w:style>
  <w:style w:type="character" w:customStyle="1" w:styleId="197">
    <w:name w:val="列出段落 字符"/>
    <w:qFormat/>
    <w:uiPriority w:val="34"/>
    <w:rPr>
      <w:rFonts w:ascii="宋体" w:hAnsi="Times New Roman" w:eastAsia="宋体" w:cs="Times New Roman"/>
      <w:sz w:val="24"/>
      <w:szCs w:val="24"/>
    </w:rPr>
  </w:style>
  <w:style w:type="character" w:customStyle="1" w:styleId="198">
    <w:name w:val="16"/>
    <w:qFormat/>
    <w:uiPriority w:val="0"/>
    <w:rPr>
      <w:rFonts w:hint="default" w:ascii="Times New Roman" w:hAnsi="Times New Roman" w:eastAsia="宋体" w:cs="Times New Roman"/>
    </w:rPr>
  </w:style>
  <w:style w:type="character" w:customStyle="1" w:styleId="199">
    <w:name w:val="标题 3.1 Char"/>
    <w:link w:val="168"/>
    <w:qFormat/>
    <w:uiPriority w:val="0"/>
    <w:rPr>
      <w:rFonts w:ascii="宋体" w:hAnsi="宋体" w:eastAsia="宋体" w:cs="Times New Roman"/>
      <w:b/>
      <w:bCs/>
      <w:sz w:val="32"/>
      <w:szCs w:val="32"/>
    </w:rPr>
  </w:style>
  <w:style w:type="character" w:customStyle="1" w:styleId="200">
    <w:name w:val="标题 7 字符"/>
    <w:qFormat/>
    <w:uiPriority w:val="0"/>
    <w:rPr>
      <w:rFonts w:ascii="楷体_GB2312" w:hAnsi="Times New Roman" w:eastAsia="楷体_GB2312" w:cs="Times New Roman"/>
      <w:b/>
      <w:sz w:val="24"/>
    </w:rPr>
  </w:style>
  <w:style w:type="character" w:customStyle="1" w:styleId="201">
    <w:name w:val="文档结构图 字符"/>
    <w:semiHidden/>
    <w:qFormat/>
    <w:uiPriority w:val="0"/>
    <w:rPr>
      <w:rFonts w:ascii="宋体" w:hAnsi="Times New Roman" w:eastAsia="宋体" w:cs="Times New Roman"/>
      <w:kern w:val="0"/>
      <w:sz w:val="24"/>
      <w:szCs w:val="24"/>
      <w:shd w:val="clear" w:color="auto" w:fill="000080"/>
    </w:rPr>
  </w:style>
  <w:style w:type="character" w:customStyle="1" w:styleId="202">
    <w:name w:val="列出段落 字符1"/>
    <w:qFormat/>
    <w:uiPriority w:val="34"/>
    <w:rPr>
      <w:rFonts w:ascii="宋体" w:hAnsi="Times New Roman" w:eastAsia="宋体" w:cs="Times New Roman"/>
      <w:sz w:val="24"/>
      <w:szCs w:val="24"/>
    </w:rPr>
  </w:style>
  <w:style w:type="character" w:customStyle="1" w:styleId="203">
    <w:name w:val="标题 6 字符"/>
    <w:qFormat/>
    <w:uiPriority w:val="0"/>
    <w:rPr>
      <w:rFonts w:ascii="Arial" w:hAnsi="Arial" w:eastAsia="黑体" w:cs="Times New Roman"/>
      <w:b/>
      <w:sz w:val="24"/>
    </w:rPr>
  </w:style>
  <w:style w:type="character" w:customStyle="1" w:styleId="204">
    <w:name w:val="正文文本缩进 字符"/>
    <w:qFormat/>
    <w:uiPriority w:val="0"/>
    <w:rPr>
      <w:rFonts w:ascii="Times New Roman" w:hAnsi="Times New Roman" w:eastAsia="宋体" w:cs="Times New Roman"/>
      <w:szCs w:val="20"/>
    </w:rPr>
  </w:style>
  <w:style w:type="character" w:customStyle="1" w:styleId="205">
    <w:name w:val="正文文本 3 字符"/>
    <w:qFormat/>
    <w:uiPriority w:val="0"/>
    <w:rPr>
      <w:rFonts w:ascii="宋体" w:hAnsi="Times New Roman" w:eastAsia="宋体" w:cs="Times New Roman"/>
      <w:b/>
      <w:bCs/>
      <w:color w:val="3366FF"/>
      <w:sz w:val="52"/>
      <w:szCs w:val="52"/>
      <w:lang w:val="zh-CN"/>
    </w:rPr>
  </w:style>
  <w:style w:type="character" w:customStyle="1" w:styleId="206">
    <w:name w:val="正文文本 2 字符"/>
    <w:qFormat/>
    <w:uiPriority w:val="0"/>
    <w:rPr>
      <w:rFonts w:ascii="Arial" w:hAnsi="Arial" w:eastAsia="宋体" w:cs="Times New Roman"/>
      <w:color w:val="000000"/>
      <w:szCs w:val="24"/>
    </w:rPr>
  </w:style>
  <w:style w:type="character" w:customStyle="1" w:styleId="207">
    <w:name w:val="标题 3 字符"/>
    <w:qFormat/>
    <w:uiPriority w:val="0"/>
    <w:rPr>
      <w:rFonts w:ascii="宋体" w:hAnsi="Times New Roman" w:eastAsia="宋体" w:cs="Times New Roman"/>
      <w:kern w:val="0"/>
      <w:sz w:val="24"/>
      <w:szCs w:val="24"/>
    </w:rPr>
  </w:style>
  <w:style w:type="character" w:customStyle="1" w:styleId="208">
    <w:name w:val="正文首行缩进 字符"/>
    <w:qFormat/>
    <w:uiPriority w:val="0"/>
    <w:rPr>
      <w:rFonts w:ascii="Times New Roman" w:hAnsi="Times New Roman" w:eastAsia="宋体" w:cs="Times New Roman"/>
      <w:kern w:val="2"/>
      <w:sz w:val="21"/>
      <w:szCs w:val="24"/>
      <w:lang w:val="zh-CN"/>
    </w:rPr>
  </w:style>
  <w:style w:type="character" w:customStyle="1" w:styleId="209">
    <w:name w:val="Char Char2"/>
    <w:qFormat/>
    <w:uiPriority w:val="0"/>
    <w:rPr>
      <w:rFonts w:ascii="Calibri" w:hAnsi="Calibri" w:eastAsia="宋体" w:cs="Times New Roman"/>
      <w:kern w:val="2"/>
      <w:sz w:val="21"/>
      <w:szCs w:val="24"/>
    </w:rPr>
  </w:style>
  <w:style w:type="character" w:customStyle="1" w:styleId="210">
    <w:name w:val="HTML Markup"/>
    <w:qFormat/>
    <w:uiPriority w:val="0"/>
    <w:rPr>
      <w:rFonts w:ascii="Calibri" w:hAnsi="Calibri" w:eastAsia="宋体" w:cs="Times New Roman"/>
      <w:vanish/>
      <w:color w:val="FF0000"/>
    </w:rPr>
  </w:style>
  <w:style w:type="character" w:customStyle="1" w:styleId="211">
    <w:name w:val="neir1"/>
    <w:qFormat/>
    <w:uiPriority w:val="0"/>
    <w:rPr>
      <w:rFonts w:hint="default" w:ascii="ˎ̥" w:hAnsi="ˎ̥" w:eastAsia="宋体" w:cs="Times New Roman"/>
      <w:color w:val="333333"/>
      <w:sz w:val="21"/>
      <w:szCs w:val="21"/>
      <w:u w:val="none"/>
    </w:rPr>
  </w:style>
  <w:style w:type="character" w:customStyle="1" w:styleId="212">
    <w:name w:val="标题 8 字符"/>
    <w:qFormat/>
    <w:uiPriority w:val="0"/>
    <w:rPr>
      <w:rFonts w:ascii="Arial" w:hAnsi="Arial" w:eastAsia="黑体" w:cs="Times New Roman"/>
      <w:sz w:val="24"/>
    </w:rPr>
  </w:style>
  <w:style w:type="character" w:customStyle="1" w:styleId="213">
    <w:name w:val="正文缩进 字符"/>
    <w:qFormat/>
    <w:uiPriority w:val="0"/>
    <w:rPr>
      <w:rFonts w:ascii="Times New Roman" w:hAnsi="Times New Roman" w:eastAsia="宋体" w:cs="Times New Roman"/>
      <w:kern w:val="0"/>
      <w:sz w:val="20"/>
      <w:szCs w:val="20"/>
    </w:rPr>
  </w:style>
  <w:style w:type="character" w:customStyle="1" w:styleId="214">
    <w:name w:val="15"/>
    <w:qFormat/>
    <w:uiPriority w:val="0"/>
    <w:rPr>
      <w:rFonts w:hint="default" w:ascii="Times New Roman" w:hAnsi="Times New Roman" w:eastAsia="宋体" w:cs="Times New Roman"/>
    </w:rPr>
  </w:style>
  <w:style w:type="character" w:customStyle="1" w:styleId="215">
    <w:name w:val="批注文字 Char1"/>
    <w:qFormat/>
    <w:uiPriority w:val="0"/>
    <w:rPr>
      <w:rFonts w:ascii="Times New Roman" w:hAnsi="Times New Roman" w:eastAsia="楷体_GB2312" w:cs="Times New Roman"/>
      <w:spacing w:val="-20"/>
      <w:sz w:val="32"/>
      <w:szCs w:val="20"/>
    </w:rPr>
  </w:style>
  <w:style w:type="character" w:customStyle="1" w:styleId="216">
    <w:name w:val="标题 9 字符"/>
    <w:qFormat/>
    <w:uiPriority w:val="0"/>
    <w:rPr>
      <w:rFonts w:ascii="Arial" w:hAnsi="Arial" w:eastAsia="黑体" w:cs="Times New Roman"/>
      <w:sz w:val="21"/>
    </w:rPr>
  </w:style>
  <w:style w:type="character" w:customStyle="1" w:styleId="217">
    <w:name w:val="副标题 字符"/>
    <w:qFormat/>
    <w:uiPriority w:val="11"/>
    <w:rPr>
      <w:rFonts w:ascii="Cambria" w:hAnsi="Cambria" w:eastAsia="宋体" w:cs="Times New Roman"/>
      <w:b/>
      <w:bCs/>
      <w:kern w:val="28"/>
      <w:sz w:val="32"/>
      <w:szCs w:val="32"/>
    </w:rPr>
  </w:style>
  <w:style w:type="character" w:customStyle="1" w:styleId="218">
    <w:name w:val="批注框文本 Char"/>
    <w:qFormat/>
    <w:uiPriority w:val="0"/>
    <w:rPr>
      <w:rFonts w:ascii="Times New Roman" w:hAnsi="Times New Roman" w:eastAsia="宋体" w:cs="Times New Roman"/>
      <w:sz w:val="18"/>
      <w:szCs w:val="18"/>
      <w:lang w:val="en-US" w:eastAsia="zh-CN"/>
    </w:rPr>
  </w:style>
  <w:style w:type="character" w:customStyle="1" w:styleId="219">
    <w:name w:val="正文文本缩进 2 Char"/>
    <w:qFormat/>
    <w:uiPriority w:val="0"/>
    <w:rPr>
      <w:rFonts w:ascii="宋体" w:hAnsi="Times New Roman" w:eastAsia="宋体" w:cs="Times New Roman"/>
      <w:szCs w:val="20"/>
      <w:lang w:val="en-US" w:eastAsia="zh-CN"/>
    </w:rPr>
  </w:style>
  <w:style w:type="character" w:customStyle="1" w:styleId="220">
    <w:name w:val="页脚 Char"/>
    <w:qFormat/>
    <w:uiPriority w:val="99"/>
    <w:rPr>
      <w:rFonts w:ascii="宋体" w:hAnsi="Times New Roman" w:eastAsia="宋体" w:cs="Times New Roman"/>
      <w:kern w:val="0"/>
      <w:sz w:val="18"/>
      <w:szCs w:val="18"/>
      <w:lang w:val="en-US" w:eastAsia="zh-CN"/>
    </w:rPr>
  </w:style>
  <w:style w:type="character" w:customStyle="1" w:styleId="221">
    <w:name w:val="正文文本 Char"/>
    <w:qFormat/>
    <w:uiPriority w:val="99"/>
    <w:rPr>
      <w:rFonts w:ascii="宋体" w:hAnsi="Times New Roman" w:eastAsia="宋体" w:cs="Times New Roman"/>
      <w:b/>
      <w:bCs/>
      <w:sz w:val="84"/>
      <w:szCs w:val="84"/>
      <w:lang w:val="zh-CN" w:eastAsia="zh-CN"/>
    </w:rPr>
  </w:style>
  <w:style w:type="character" w:customStyle="1" w:styleId="222">
    <w:name w:val="日期 Char"/>
    <w:qFormat/>
    <w:uiPriority w:val="0"/>
    <w:rPr>
      <w:rFonts w:ascii="宋体" w:hAnsi="Times New Roman" w:eastAsia="宋体" w:cs="Times New Roman"/>
      <w:b/>
      <w:bCs/>
      <w:szCs w:val="21"/>
      <w:lang w:val="zh-CN" w:eastAsia="zh-CN"/>
    </w:rPr>
  </w:style>
  <w:style w:type="character" w:customStyle="1" w:styleId="223">
    <w:name w:val="正文文本 2 Char"/>
    <w:qFormat/>
    <w:uiPriority w:val="0"/>
    <w:rPr>
      <w:rFonts w:ascii="Arial" w:hAnsi="Arial" w:eastAsia="宋体" w:cs="Times New Roman"/>
      <w:color w:val="000000"/>
      <w:szCs w:val="24"/>
      <w:lang w:val="en-US" w:eastAsia="zh-CN"/>
    </w:rPr>
  </w:style>
  <w:style w:type="character" w:customStyle="1" w:styleId="224">
    <w:name w:val="正文缩进 Char"/>
    <w:qFormat/>
    <w:uiPriority w:val="0"/>
    <w:rPr>
      <w:rFonts w:ascii="Times New Roman" w:hAnsi="Times New Roman" w:eastAsia="宋体" w:cs="Times New Roman"/>
      <w:kern w:val="0"/>
      <w:sz w:val="20"/>
      <w:szCs w:val="20"/>
      <w:lang w:val="en-US" w:eastAsia="zh-CN"/>
    </w:rPr>
  </w:style>
  <w:style w:type="character" w:customStyle="1" w:styleId="225">
    <w:name w:val="批注文字 Char"/>
    <w:qFormat/>
    <w:uiPriority w:val="0"/>
    <w:rPr>
      <w:rFonts w:ascii="宋体" w:hAnsi="Times New Roman" w:eastAsia="宋体" w:cs="Times New Roman"/>
      <w:kern w:val="0"/>
      <w:sz w:val="24"/>
      <w:szCs w:val="24"/>
      <w:lang w:val="en-US" w:eastAsia="zh-CN"/>
    </w:rPr>
  </w:style>
  <w:style w:type="character" w:customStyle="1" w:styleId="226">
    <w:name w:val="正文首行缩进 Char"/>
    <w:qFormat/>
    <w:uiPriority w:val="0"/>
    <w:rPr>
      <w:rFonts w:ascii="Times New Roman" w:hAnsi="Times New Roman" w:eastAsia="宋体" w:cs="Times New Roman"/>
      <w:kern w:val="2"/>
      <w:sz w:val="21"/>
      <w:szCs w:val="24"/>
      <w:lang w:val="zh-CN" w:eastAsia="zh-CN"/>
    </w:rPr>
  </w:style>
  <w:style w:type="character" w:customStyle="1" w:styleId="227">
    <w:name w:val="普通(网站) Char"/>
    <w:qFormat/>
    <w:locked/>
    <w:uiPriority w:val="0"/>
    <w:rPr>
      <w:rFonts w:ascii="宋体" w:hAnsi="宋体" w:eastAsia="宋体" w:cs="Times New Roman"/>
      <w:kern w:val="0"/>
      <w:sz w:val="15"/>
      <w:szCs w:val="15"/>
      <w:lang w:val="en-US" w:eastAsia="zh-CN"/>
    </w:rPr>
  </w:style>
  <w:style w:type="character" w:customStyle="1" w:styleId="228">
    <w:name w:val="标题 3 Char"/>
    <w:qFormat/>
    <w:uiPriority w:val="0"/>
    <w:rPr>
      <w:rFonts w:ascii="宋体" w:hAnsi="Times New Roman" w:eastAsia="宋体" w:cs="Times New Roman"/>
      <w:kern w:val="0"/>
      <w:sz w:val="24"/>
      <w:szCs w:val="24"/>
      <w:lang w:val="en-US" w:eastAsia="zh-CN"/>
    </w:rPr>
  </w:style>
  <w:style w:type="character" w:customStyle="1" w:styleId="229">
    <w:name w:val="标题 9 Char"/>
    <w:qFormat/>
    <w:uiPriority w:val="0"/>
    <w:rPr>
      <w:rFonts w:ascii="Arial" w:hAnsi="Arial" w:eastAsia="黑体"/>
      <w:sz w:val="21"/>
    </w:rPr>
  </w:style>
  <w:style w:type="character" w:customStyle="1" w:styleId="230">
    <w:name w:val="纯文本 Char"/>
    <w:qFormat/>
    <w:uiPriority w:val="0"/>
    <w:rPr>
      <w:rFonts w:ascii="宋体" w:hAnsi="Courier New" w:eastAsia="宋体" w:cs="Times New Roman"/>
      <w:szCs w:val="20"/>
      <w:lang w:val="en-US" w:eastAsia="zh-CN"/>
    </w:rPr>
  </w:style>
  <w:style w:type="character" w:customStyle="1" w:styleId="231">
    <w:name w:val="签名 Char"/>
    <w:qFormat/>
    <w:uiPriority w:val="0"/>
    <w:rPr>
      <w:rFonts w:ascii="Garamond" w:hAnsi="Garamond" w:eastAsia="宋体" w:cs="Times New Roman"/>
      <w:spacing w:val="-5"/>
      <w:kern w:val="0"/>
      <w:sz w:val="24"/>
      <w:szCs w:val="20"/>
    </w:rPr>
  </w:style>
  <w:style w:type="character" w:customStyle="1" w:styleId="232">
    <w:name w:val="副标题 Char"/>
    <w:qFormat/>
    <w:uiPriority w:val="11"/>
    <w:rPr>
      <w:rFonts w:ascii="Cambria" w:hAnsi="Cambria" w:eastAsia="宋体" w:cs="Times New Roman"/>
      <w:b/>
      <w:bCs/>
      <w:kern w:val="28"/>
      <w:sz w:val="32"/>
      <w:szCs w:val="32"/>
      <w:lang w:val="en-US" w:eastAsia="zh-CN"/>
    </w:rPr>
  </w:style>
  <w:style w:type="character" w:customStyle="1" w:styleId="233">
    <w:name w:val="HTML 预设格式 Char"/>
    <w:qFormat/>
    <w:uiPriority w:val="0"/>
    <w:rPr>
      <w:rFonts w:ascii="Arial" w:hAnsi="Arial" w:eastAsia="宋体" w:cs="Arial"/>
      <w:kern w:val="0"/>
      <w:szCs w:val="21"/>
      <w:lang w:val="en-US" w:eastAsia="zh-CN"/>
    </w:rPr>
  </w:style>
  <w:style w:type="character" w:customStyle="1" w:styleId="234">
    <w:name w:val="批注主题 Char"/>
    <w:semiHidden/>
    <w:qFormat/>
    <w:uiPriority w:val="99"/>
    <w:rPr>
      <w:rFonts w:ascii="宋体" w:hAnsi="Times New Roman" w:eastAsia="宋体" w:cs="Times New Roman"/>
      <w:b/>
      <w:bCs/>
      <w:kern w:val="0"/>
      <w:sz w:val="24"/>
      <w:szCs w:val="24"/>
      <w:lang w:val="en-US" w:eastAsia="zh-CN"/>
    </w:rPr>
  </w:style>
  <w:style w:type="character" w:customStyle="1" w:styleId="235">
    <w:name w:val="正文文本缩进 3 Char"/>
    <w:qFormat/>
    <w:uiPriority w:val="0"/>
    <w:rPr>
      <w:rFonts w:ascii="宋体" w:hAnsi="Times New Roman" w:eastAsia="宋体" w:cs="Times New Roman"/>
      <w:kern w:val="0"/>
      <w:sz w:val="24"/>
      <w:szCs w:val="24"/>
      <w:lang w:val="en-US" w:eastAsia="zh-CN"/>
    </w:rPr>
  </w:style>
  <w:style w:type="character" w:customStyle="1" w:styleId="236">
    <w:name w:val="正文文本缩进 Char"/>
    <w:qFormat/>
    <w:uiPriority w:val="0"/>
    <w:rPr>
      <w:rFonts w:ascii="Times New Roman" w:hAnsi="Times New Roman" w:eastAsia="宋体" w:cs="Times New Roman"/>
      <w:szCs w:val="20"/>
      <w:lang w:val="en-US" w:eastAsia="zh-CN"/>
    </w:rPr>
  </w:style>
  <w:style w:type="character" w:customStyle="1" w:styleId="237">
    <w:name w:val="标题 2 Char"/>
    <w:qFormat/>
    <w:uiPriority w:val="0"/>
    <w:rPr>
      <w:rFonts w:ascii="宋体" w:hAnsi="Times New Roman" w:eastAsia="宋体" w:cs="Times New Roman"/>
      <w:kern w:val="0"/>
      <w:sz w:val="24"/>
      <w:szCs w:val="24"/>
      <w:lang w:val="en-US" w:eastAsia="zh-CN"/>
    </w:rPr>
  </w:style>
  <w:style w:type="character" w:customStyle="1" w:styleId="238">
    <w:name w:val="标题 6 Char"/>
    <w:qFormat/>
    <w:uiPriority w:val="0"/>
    <w:rPr>
      <w:rFonts w:ascii="Arial" w:hAnsi="Arial" w:eastAsia="黑体"/>
      <w:b/>
      <w:sz w:val="24"/>
    </w:rPr>
  </w:style>
  <w:style w:type="character" w:customStyle="1" w:styleId="239">
    <w:name w:val="标题 5 Char"/>
    <w:qFormat/>
    <w:uiPriority w:val="0"/>
    <w:rPr>
      <w:rFonts w:ascii="楷体_GB2312" w:hAnsi="Times New Roman" w:eastAsia="楷体_GB2312"/>
      <w:sz w:val="24"/>
    </w:rPr>
  </w:style>
  <w:style w:type="character" w:customStyle="1" w:styleId="240">
    <w:name w:val="列出段落 Char"/>
    <w:qFormat/>
    <w:uiPriority w:val="34"/>
    <w:rPr>
      <w:rFonts w:ascii="宋体" w:hAnsi="Times New Roman"/>
      <w:sz w:val="24"/>
      <w:szCs w:val="24"/>
    </w:rPr>
  </w:style>
  <w:style w:type="character" w:customStyle="1" w:styleId="241">
    <w:name w:val="标题 4 Char"/>
    <w:qFormat/>
    <w:uiPriority w:val="0"/>
    <w:rPr>
      <w:rFonts w:ascii="Arial" w:hAnsi="Arial" w:eastAsia="黑体" w:cs="Times New Roman"/>
      <w:b/>
      <w:bCs/>
      <w:kern w:val="0"/>
      <w:sz w:val="28"/>
      <w:szCs w:val="28"/>
      <w:lang w:val="en-US" w:eastAsia="zh-CN"/>
    </w:rPr>
  </w:style>
  <w:style w:type="character" w:customStyle="1" w:styleId="242">
    <w:name w:val="页眉 Char"/>
    <w:qFormat/>
    <w:uiPriority w:val="0"/>
    <w:rPr>
      <w:rFonts w:ascii="宋体" w:hAnsi="Times New Roman" w:eastAsia="宋体" w:cs="Times New Roman"/>
      <w:kern w:val="0"/>
      <w:sz w:val="18"/>
      <w:szCs w:val="18"/>
      <w:lang w:val="en-US" w:eastAsia="zh-CN"/>
    </w:rPr>
  </w:style>
  <w:style w:type="character" w:customStyle="1" w:styleId="243">
    <w:name w:val="正文文本 3 Char"/>
    <w:qFormat/>
    <w:uiPriority w:val="0"/>
    <w:rPr>
      <w:rFonts w:ascii="宋体" w:hAnsi="Times New Roman" w:eastAsia="宋体" w:cs="Times New Roman"/>
      <w:b/>
      <w:bCs/>
      <w:color w:val="3366FF"/>
      <w:sz w:val="52"/>
      <w:szCs w:val="52"/>
      <w:lang w:val="zh-CN" w:eastAsia="zh-CN"/>
    </w:rPr>
  </w:style>
  <w:style w:type="character" w:customStyle="1" w:styleId="244">
    <w:name w:val="标题 Char"/>
    <w:qFormat/>
    <w:uiPriority w:val="10"/>
    <w:rPr>
      <w:rFonts w:ascii="Cambria" w:hAnsi="Cambria" w:eastAsia="宋体" w:cs="Times New Roman"/>
      <w:b/>
      <w:bCs/>
      <w:kern w:val="0"/>
      <w:sz w:val="32"/>
      <w:szCs w:val="32"/>
      <w:lang w:val="en-US" w:eastAsia="zh-CN"/>
    </w:rPr>
  </w:style>
  <w:style w:type="character" w:customStyle="1" w:styleId="245">
    <w:name w:val="文档结构图 Char"/>
    <w:semiHidden/>
    <w:qFormat/>
    <w:uiPriority w:val="0"/>
    <w:rPr>
      <w:rFonts w:ascii="宋体" w:hAnsi="Times New Roman" w:eastAsia="宋体" w:cs="Times New Roman"/>
      <w:kern w:val="0"/>
      <w:sz w:val="24"/>
      <w:szCs w:val="24"/>
      <w:shd w:val="clear" w:color="auto" w:fill="000080"/>
      <w:lang w:val="en-US" w:eastAsia="zh-CN"/>
    </w:rPr>
  </w:style>
  <w:style w:type="character" w:customStyle="1" w:styleId="246">
    <w:name w:val="无间隔 Char"/>
    <w:qFormat/>
    <w:uiPriority w:val="1"/>
    <w:rPr>
      <w:kern w:val="2"/>
      <w:sz w:val="21"/>
      <w:szCs w:val="22"/>
      <w:lang w:val="en-US" w:eastAsia="zh-CN" w:bidi="ar-SA"/>
    </w:rPr>
  </w:style>
  <w:style w:type="character" w:customStyle="1" w:styleId="247">
    <w:name w:val="标题 8 Char"/>
    <w:qFormat/>
    <w:uiPriority w:val="0"/>
    <w:rPr>
      <w:rFonts w:ascii="Arial" w:hAnsi="Arial" w:eastAsia="黑体"/>
      <w:sz w:val="24"/>
    </w:rPr>
  </w:style>
  <w:style w:type="character" w:customStyle="1" w:styleId="248">
    <w:name w:val="标题 1 Char"/>
    <w:qFormat/>
    <w:uiPriority w:val="0"/>
    <w:rPr>
      <w:rFonts w:ascii="宋体" w:hAnsi="Times New Roman" w:eastAsia="宋体" w:cs="Times New Roman"/>
      <w:kern w:val="0"/>
      <w:sz w:val="24"/>
      <w:szCs w:val="24"/>
      <w:lang w:val="en-US" w:eastAsia="zh-CN"/>
    </w:rPr>
  </w:style>
  <w:style w:type="character" w:customStyle="1" w:styleId="249">
    <w:name w:val="标题 7 Char"/>
    <w:qFormat/>
    <w:uiPriority w:val="0"/>
    <w:rPr>
      <w:rFonts w:ascii="楷体_GB2312" w:hAnsi="Times New Roman" w:eastAsia="楷体_GB2312"/>
      <w:b/>
      <w:sz w:val="24"/>
    </w:rPr>
  </w:style>
  <w:style w:type="paragraph" w:customStyle="1" w:styleId="250">
    <w:name w:val="TOC 标题2"/>
    <w:basedOn w:val="4"/>
    <w:next w:val="1"/>
    <w:qFormat/>
    <w:uiPriority w:val="39"/>
    <w:pPr>
      <w:widowControl/>
      <w:spacing w:before="480" w:line="276" w:lineRule="auto"/>
      <w:jc w:val="left"/>
      <w:outlineLvl w:val="9"/>
    </w:pPr>
    <w:rPr>
      <w:rFonts w:ascii="Cambria" w:hAnsi="Cambria" w:cs="Times New Roman"/>
      <w:color w:val="365F91"/>
      <w:kern w:val="0"/>
      <w:szCs w:val="28"/>
    </w:rPr>
  </w:style>
  <w:style w:type="paragraph" w:customStyle="1" w:styleId="251">
    <w:name w:val="Char Char2 Char1"/>
    <w:basedOn w:val="1"/>
    <w:qFormat/>
    <w:uiPriority w:val="0"/>
    <w:rPr>
      <w:rFonts w:ascii="宋体" w:hAnsi="宋体" w:eastAsia="宋体" w:cs="Times New Roman"/>
      <w:b/>
      <w:sz w:val="28"/>
      <w:szCs w:val="28"/>
    </w:rPr>
  </w:style>
  <w:style w:type="paragraph" w:customStyle="1" w:styleId="252">
    <w:name w:val="修订1"/>
    <w:semiHidden/>
    <w:qFormat/>
    <w:uiPriority w:val="99"/>
    <w:rPr>
      <w:rFonts w:ascii="宋体" w:hAnsi="Calibri" w:eastAsia="宋体" w:cs="Times New Roman"/>
      <w:sz w:val="24"/>
      <w:szCs w:val="24"/>
      <w:lang w:val="en-US" w:eastAsia="zh-CN" w:bidi="ar-SA"/>
    </w:rPr>
  </w:style>
  <w:style w:type="table" w:customStyle="1" w:styleId="253">
    <w:name w:val="网格型1"/>
    <w:basedOn w:val="4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页眉 字符1"/>
    <w:basedOn w:val="49"/>
    <w:link w:val="31"/>
    <w:qFormat/>
    <w:uiPriority w:val="99"/>
    <w:rPr>
      <w:rFonts w:ascii="等线" w:hAnsi="等线" w:eastAsia="等线" w:cs="宋体"/>
      <w:sz w:val="18"/>
      <w:szCs w:val="18"/>
    </w:rPr>
  </w:style>
  <w:style w:type="character" w:customStyle="1" w:styleId="255">
    <w:name w:val="页脚 字符1"/>
    <w:basedOn w:val="49"/>
    <w:link w:val="30"/>
    <w:qFormat/>
    <w:uiPriority w:val="99"/>
    <w:rPr>
      <w:rFonts w:ascii="等线" w:hAnsi="等线" w:eastAsia="等线" w:cs="宋体"/>
      <w:sz w:val="18"/>
      <w:szCs w:val="18"/>
    </w:rPr>
  </w:style>
  <w:style w:type="character" w:customStyle="1" w:styleId="256">
    <w:name w:val="正文文本 字符1"/>
    <w:basedOn w:val="49"/>
    <w:link w:val="2"/>
    <w:qFormat/>
    <w:uiPriority w:val="99"/>
    <w:rPr>
      <w:rFonts w:ascii="等线" w:hAnsi="等线" w:eastAsia="等线" w:cs="宋体"/>
      <w:szCs w:val="24"/>
    </w:rPr>
  </w:style>
  <w:style w:type="character" w:customStyle="1" w:styleId="257">
    <w:name w:val="批注框文本 字符1"/>
    <w:basedOn w:val="49"/>
    <w:link w:val="29"/>
    <w:qFormat/>
    <w:uiPriority w:val="0"/>
    <w:rPr>
      <w:rFonts w:ascii="等线" w:hAnsi="等线" w:eastAsia="等线" w:cs="宋体"/>
      <w:sz w:val="18"/>
      <w:szCs w:val="18"/>
    </w:rPr>
  </w:style>
  <w:style w:type="character" w:customStyle="1" w:styleId="258">
    <w:name w:val="标题 1 字符1"/>
    <w:basedOn w:val="49"/>
    <w:link w:val="4"/>
    <w:qFormat/>
    <w:uiPriority w:val="9"/>
    <w:rPr>
      <w:rFonts w:ascii="等线" w:hAnsi="等线" w:eastAsia="宋体" w:cs="宋体"/>
      <w:b/>
      <w:bCs/>
      <w:kern w:val="44"/>
      <w:sz w:val="28"/>
      <w:szCs w:val="44"/>
    </w:rPr>
  </w:style>
  <w:style w:type="character" w:customStyle="1" w:styleId="259">
    <w:name w:val="普通(网站) 字符1"/>
    <w:link w:val="44"/>
    <w:qFormat/>
    <w:uiPriority w:val="0"/>
    <w:rPr>
      <w:rFonts w:ascii="宋体" w:hAnsi="宋体" w:eastAsia="等线" w:cs="宋体"/>
      <w:sz w:val="15"/>
      <w:szCs w:val="15"/>
    </w:rPr>
  </w:style>
  <w:style w:type="character" w:customStyle="1" w:styleId="260">
    <w:name w:val="纯文本 字符2"/>
    <w:basedOn w:val="49"/>
    <w:link w:val="25"/>
    <w:qFormat/>
    <w:uiPriority w:val="0"/>
    <w:rPr>
      <w:rFonts w:ascii="等线" w:hAnsi="Courier New" w:eastAsia="等线" w:cs="Courier New"/>
      <w:szCs w:val="24"/>
    </w:rPr>
  </w:style>
  <w:style w:type="character" w:customStyle="1" w:styleId="261">
    <w:name w:val="正文文本缩进 2 字符1"/>
    <w:basedOn w:val="49"/>
    <w:link w:val="28"/>
    <w:qFormat/>
    <w:uiPriority w:val="99"/>
    <w:rPr>
      <w:rFonts w:ascii="等线" w:hAnsi="等线" w:eastAsia="等线" w:cs="宋体"/>
      <w:szCs w:val="24"/>
    </w:rPr>
  </w:style>
  <w:style w:type="character" w:customStyle="1" w:styleId="262">
    <w:name w:val="批注文字 字符1"/>
    <w:basedOn w:val="49"/>
    <w:link w:val="18"/>
    <w:qFormat/>
    <w:uiPriority w:val="99"/>
    <w:rPr>
      <w:rFonts w:ascii="等线" w:hAnsi="等线" w:eastAsia="等线" w:cs="宋体"/>
      <w:szCs w:val="24"/>
    </w:rPr>
  </w:style>
  <w:style w:type="character" w:customStyle="1" w:styleId="263">
    <w:name w:val="批注主题 字符1"/>
    <w:basedOn w:val="262"/>
    <w:link w:val="46"/>
    <w:qFormat/>
    <w:uiPriority w:val="99"/>
    <w:rPr>
      <w:rFonts w:ascii="等线" w:hAnsi="等线" w:eastAsia="等线" w:cs="宋体"/>
      <w:b/>
      <w:bCs/>
      <w:szCs w:val="24"/>
    </w:rPr>
  </w:style>
  <w:style w:type="character" w:customStyle="1" w:styleId="264">
    <w:name w:val="日期 字符1"/>
    <w:link w:val="27"/>
    <w:qFormat/>
    <w:uiPriority w:val="0"/>
    <w:rPr>
      <w:rFonts w:ascii="宋体" w:hAnsi="Times New Roman" w:eastAsia="宋体" w:cs="Times New Roman"/>
      <w:b/>
      <w:bCs/>
      <w:szCs w:val="21"/>
      <w:lang w:val="zh-CN"/>
    </w:rPr>
  </w:style>
  <w:style w:type="character" w:customStyle="1" w:styleId="265">
    <w:name w:val="无间隔 字符1"/>
    <w:link w:val="169"/>
    <w:qFormat/>
    <w:uiPriority w:val="1"/>
    <w:rPr>
      <w:rFonts w:ascii="Calibri" w:hAnsi="Calibri" w:eastAsia="宋体" w:cs="Times New Roman"/>
      <w:kern w:val="2"/>
      <w:sz w:val="21"/>
      <w:szCs w:val="22"/>
      <w:lang w:val="en-US" w:eastAsia="zh-CN" w:bidi="ar-SA"/>
    </w:rPr>
  </w:style>
  <w:style w:type="character" w:customStyle="1" w:styleId="266">
    <w:name w:val="标题 5 字符1"/>
    <w:link w:val="8"/>
    <w:qFormat/>
    <w:uiPriority w:val="0"/>
    <w:rPr>
      <w:rFonts w:ascii="楷体_GB2312" w:hAnsi="Times New Roman" w:eastAsia="楷体_GB2312" w:cs="Times New Roman"/>
      <w:sz w:val="24"/>
    </w:rPr>
  </w:style>
  <w:style w:type="character" w:customStyle="1" w:styleId="267">
    <w:name w:val="签名 字符1"/>
    <w:link w:val="32"/>
    <w:qFormat/>
    <w:uiPriority w:val="0"/>
    <w:rPr>
      <w:rFonts w:ascii="Garamond" w:hAnsi="Garamond" w:eastAsia="宋体" w:cs="Times New Roman"/>
      <w:spacing w:val="-5"/>
      <w:kern w:val="0"/>
      <w:sz w:val="24"/>
      <w:szCs w:val="20"/>
    </w:rPr>
  </w:style>
  <w:style w:type="character" w:customStyle="1" w:styleId="268">
    <w:name w:val="标题 字符1"/>
    <w:link w:val="45"/>
    <w:qFormat/>
    <w:uiPriority w:val="10"/>
    <w:rPr>
      <w:rFonts w:ascii="Cambria" w:hAnsi="Cambria" w:eastAsia="宋体" w:cs="Times New Roman"/>
      <w:b/>
      <w:bCs/>
      <w:kern w:val="0"/>
      <w:sz w:val="32"/>
      <w:szCs w:val="32"/>
    </w:rPr>
  </w:style>
  <w:style w:type="character" w:customStyle="1" w:styleId="269">
    <w:name w:val="标题 2 字符1"/>
    <w:link w:val="5"/>
    <w:qFormat/>
    <w:uiPriority w:val="0"/>
    <w:rPr>
      <w:rFonts w:ascii="宋体" w:hAnsi="Times New Roman" w:eastAsia="宋体" w:cs="Times New Roman"/>
      <w:kern w:val="0"/>
      <w:sz w:val="24"/>
      <w:szCs w:val="24"/>
    </w:rPr>
  </w:style>
  <w:style w:type="character" w:customStyle="1" w:styleId="270">
    <w:name w:val="标题 4 字符1"/>
    <w:link w:val="7"/>
    <w:qFormat/>
    <w:uiPriority w:val="0"/>
    <w:rPr>
      <w:rFonts w:ascii="Arial" w:hAnsi="Arial" w:eastAsia="黑体" w:cs="Times New Roman"/>
      <w:b/>
      <w:bCs/>
      <w:kern w:val="0"/>
      <w:sz w:val="28"/>
      <w:szCs w:val="28"/>
    </w:rPr>
  </w:style>
  <w:style w:type="character" w:customStyle="1" w:styleId="271">
    <w:name w:val="正文文本缩进 3 字符1"/>
    <w:link w:val="38"/>
    <w:qFormat/>
    <w:uiPriority w:val="0"/>
    <w:rPr>
      <w:rFonts w:ascii="宋体" w:hAnsi="Times New Roman" w:eastAsia="宋体" w:cs="Times New Roman"/>
      <w:kern w:val="0"/>
      <w:sz w:val="24"/>
      <w:szCs w:val="24"/>
    </w:rPr>
  </w:style>
  <w:style w:type="character" w:customStyle="1" w:styleId="272">
    <w:name w:val="HTML 预设格式 字符1"/>
    <w:link w:val="43"/>
    <w:qFormat/>
    <w:uiPriority w:val="0"/>
    <w:rPr>
      <w:rFonts w:ascii="Arial" w:hAnsi="Arial" w:eastAsia="宋体" w:cs="Arial"/>
      <w:kern w:val="0"/>
      <w:szCs w:val="21"/>
    </w:rPr>
  </w:style>
  <w:style w:type="character" w:customStyle="1" w:styleId="273">
    <w:name w:val="标题 7 字符1"/>
    <w:link w:val="11"/>
    <w:qFormat/>
    <w:uiPriority w:val="0"/>
    <w:rPr>
      <w:rFonts w:ascii="楷体_GB2312" w:hAnsi="Times New Roman" w:eastAsia="楷体_GB2312" w:cs="Times New Roman"/>
      <w:b/>
      <w:sz w:val="24"/>
    </w:rPr>
  </w:style>
  <w:style w:type="character" w:customStyle="1" w:styleId="274">
    <w:name w:val="文档结构图 字符1"/>
    <w:link w:val="16"/>
    <w:qFormat/>
    <w:uiPriority w:val="0"/>
    <w:rPr>
      <w:rFonts w:ascii="宋体" w:hAnsi="Times New Roman" w:eastAsia="宋体" w:cs="Times New Roman"/>
      <w:kern w:val="0"/>
      <w:sz w:val="24"/>
      <w:szCs w:val="24"/>
      <w:shd w:val="clear" w:color="auto" w:fill="000080"/>
    </w:rPr>
  </w:style>
  <w:style w:type="character" w:customStyle="1" w:styleId="275">
    <w:name w:val="列表段落 字符"/>
    <w:link w:val="112"/>
    <w:qFormat/>
    <w:uiPriority w:val="34"/>
    <w:rPr>
      <w:rFonts w:ascii="宋体" w:hAnsi="Times New Roman" w:eastAsia="宋体" w:cs="Times New Roman"/>
      <w:sz w:val="24"/>
      <w:szCs w:val="24"/>
    </w:rPr>
  </w:style>
  <w:style w:type="character" w:customStyle="1" w:styleId="276">
    <w:name w:val="标题 6 字符1"/>
    <w:link w:val="10"/>
    <w:qFormat/>
    <w:uiPriority w:val="0"/>
    <w:rPr>
      <w:rFonts w:ascii="Arial" w:hAnsi="Arial" w:eastAsia="黑体" w:cs="Times New Roman"/>
      <w:b/>
      <w:sz w:val="24"/>
    </w:rPr>
  </w:style>
  <w:style w:type="character" w:customStyle="1" w:styleId="277">
    <w:name w:val="正文文本缩进 字符1"/>
    <w:link w:val="20"/>
    <w:qFormat/>
    <w:uiPriority w:val="0"/>
    <w:rPr>
      <w:rFonts w:ascii="Times New Roman" w:hAnsi="Times New Roman" w:eastAsia="宋体" w:cs="Times New Roman"/>
      <w:szCs w:val="20"/>
    </w:rPr>
  </w:style>
  <w:style w:type="character" w:customStyle="1" w:styleId="278">
    <w:name w:val="正文文本 3 字符1"/>
    <w:link w:val="19"/>
    <w:qFormat/>
    <w:uiPriority w:val="0"/>
    <w:rPr>
      <w:rFonts w:ascii="宋体" w:hAnsi="Times New Roman" w:eastAsia="宋体" w:cs="Times New Roman"/>
      <w:b/>
      <w:bCs/>
      <w:color w:val="3366FF"/>
      <w:sz w:val="52"/>
      <w:szCs w:val="52"/>
      <w:lang w:val="zh-CN"/>
    </w:rPr>
  </w:style>
  <w:style w:type="character" w:customStyle="1" w:styleId="279">
    <w:name w:val="正文文本 2 字符1"/>
    <w:link w:val="41"/>
    <w:qFormat/>
    <w:uiPriority w:val="0"/>
    <w:rPr>
      <w:rFonts w:ascii="Arial" w:hAnsi="Arial" w:eastAsia="宋体" w:cs="Times New Roman"/>
      <w:color w:val="000000"/>
      <w:szCs w:val="24"/>
    </w:rPr>
  </w:style>
  <w:style w:type="character" w:customStyle="1" w:styleId="280">
    <w:name w:val="标题 3 字符1"/>
    <w:link w:val="6"/>
    <w:qFormat/>
    <w:uiPriority w:val="0"/>
    <w:rPr>
      <w:rFonts w:ascii="宋体" w:hAnsi="Times New Roman" w:eastAsia="宋体" w:cs="Times New Roman"/>
      <w:kern w:val="0"/>
      <w:sz w:val="24"/>
      <w:szCs w:val="24"/>
    </w:rPr>
  </w:style>
  <w:style w:type="character" w:customStyle="1" w:styleId="281">
    <w:name w:val="正文文本首行缩进 字符"/>
    <w:link w:val="3"/>
    <w:qFormat/>
    <w:uiPriority w:val="0"/>
    <w:rPr>
      <w:rFonts w:ascii="Times New Roman" w:hAnsi="Times New Roman" w:eastAsia="宋体" w:cs="Times New Roman"/>
      <w:kern w:val="2"/>
      <w:sz w:val="21"/>
      <w:szCs w:val="24"/>
      <w:lang w:val="zh-CN"/>
    </w:rPr>
  </w:style>
  <w:style w:type="character" w:customStyle="1" w:styleId="282">
    <w:name w:val="标题 8 字符1"/>
    <w:link w:val="12"/>
    <w:qFormat/>
    <w:uiPriority w:val="0"/>
    <w:rPr>
      <w:rFonts w:ascii="Arial" w:hAnsi="Arial" w:eastAsia="黑体" w:cs="Times New Roman"/>
      <w:sz w:val="24"/>
    </w:rPr>
  </w:style>
  <w:style w:type="character" w:customStyle="1" w:styleId="283">
    <w:name w:val="正文缩进 字符1"/>
    <w:link w:val="9"/>
    <w:qFormat/>
    <w:uiPriority w:val="0"/>
    <w:rPr>
      <w:rFonts w:ascii="Times New Roman" w:hAnsi="Times New Roman" w:eastAsia="宋体" w:cs="Times New Roman"/>
      <w:kern w:val="0"/>
      <w:sz w:val="20"/>
      <w:szCs w:val="20"/>
    </w:rPr>
  </w:style>
  <w:style w:type="character" w:customStyle="1" w:styleId="284">
    <w:name w:val="标题 9 字符1"/>
    <w:link w:val="13"/>
    <w:qFormat/>
    <w:uiPriority w:val="0"/>
    <w:rPr>
      <w:rFonts w:ascii="Arial" w:hAnsi="Arial" w:eastAsia="黑体" w:cs="Times New Roman"/>
      <w:sz w:val="21"/>
    </w:rPr>
  </w:style>
  <w:style w:type="character" w:customStyle="1" w:styleId="285">
    <w:name w:val="副标题 字符1"/>
    <w:link w:val="35"/>
    <w:qFormat/>
    <w:uiPriority w:val="11"/>
    <w:rPr>
      <w:rFonts w:ascii="Cambria" w:hAnsi="Cambria" w:eastAsia="宋体" w:cs="Times New Roman"/>
      <w:b/>
      <w:bCs/>
      <w:kern w:val="28"/>
      <w:sz w:val="32"/>
      <w:szCs w:val="32"/>
    </w:rPr>
  </w:style>
  <w:style w:type="paragraph" w:customStyle="1" w:styleId="286">
    <w:name w:val="TOC 标题21"/>
    <w:basedOn w:val="4"/>
    <w:next w:val="1"/>
    <w:qFormat/>
    <w:uiPriority w:val="39"/>
    <w:pPr>
      <w:widowControl/>
      <w:spacing w:before="480" w:line="276" w:lineRule="auto"/>
      <w:jc w:val="left"/>
      <w:outlineLvl w:val="9"/>
    </w:pPr>
    <w:rPr>
      <w:rFonts w:ascii="Cambria" w:hAnsi="Cambria" w:cs="Times New Roman"/>
      <w:color w:val="365F91"/>
      <w:kern w:val="0"/>
      <w:szCs w:val="28"/>
    </w:rPr>
  </w:style>
  <w:style w:type="paragraph" w:customStyle="1" w:styleId="287">
    <w:name w:val="修订11"/>
    <w:qFormat/>
    <w:uiPriority w:val="99"/>
    <w:rPr>
      <w:rFonts w:ascii="宋体" w:hAnsi="Calibri" w:eastAsia="宋体" w:cs="Times New Roman"/>
      <w:sz w:val="24"/>
      <w:szCs w:val="24"/>
      <w:lang w:val="en-US" w:eastAsia="zh-CN" w:bidi="ar-SA"/>
    </w:rPr>
  </w:style>
  <w:style w:type="character" w:customStyle="1" w:styleId="288">
    <w:name w:val="font61"/>
    <w:basedOn w:val="49"/>
    <w:qFormat/>
    <w:uiPriority w:val="0"/>
    <w:rPr>
      <w:rFonts w:ascii="仿宋_GB2312" w:eastAsia="仿宋_GB2312" w:cs="仿宋_GB2312"/>
      <w:color w:val="000000"/>
      <w:sz w:val="24"/>
      <w:szCs w:val="24"/>
      <w:u w:val="none"/>
    </w:rPr>
  </w:style>
  <w:style w:type="character" w:customStyle="1" w:styleId="289">
    <w:name w:val="font41"/>
    <w:basedOn w:val="49"/>
    <w:qFormat/>
    <w:uiPriority w:val="0"/>
    <w:rPr>
      <w:rFonts w:hint="default" w:ascii="Times New Roman" w:hAnsi="Times New Roman" w:cs="Times New Roman"/>
      <w:color w:val="000000"/>
      <w:sz w:val="24"/>
      <w:szCs w:val="24"/>
      <w:u w:val="none"/>
    </w:rPr>
  </w:style>
  <w:style w:type="character" w:customStyle="1" w:styleId="290">
    <w:name w:val="font11"/>
    <w:basedOn w:val="49"/>
    <w:qFormat/>
    <w:uiPriority w:val="0"/>
    <w:rPr>
      <w:rFonts w:hint="eastAsia" w:ascii="宋体" w:hAnsi="宋体" w:eastAsia="宋体" w:cs="宋体"/>
      <w:color w:val="000000"/>
      <w:sz w:val="24"/>
      <w:szCs w:val="24"/>
      <w:u w:val="none"/>
    </w:rPr>
  </w:style>
  <w:style w:type="character" w:customStyle="1" w:styleId="291">
    <w:name w:val="font31"/>
    <w:basedOn w:val="49"/>
    <w:qFormat/>
    <w:uiPriority w:val="0"/>
    <w:rPr>
      <w:rFonts w:ascii="仿宋_GB2312" w:eastAsia="仿宋_GB2312" w:cs="仿宋_GB2312"/>
      <w:color w:val="000000"/>
      <w:sz w:val="20"/>
      <w:szCs w:val="20"/>
      <w:u w:val="none"/>
    </w:rPr>
  </w:style>
  <w:style w:type="character" w:customStyle="1" w:styleId="292">
    <w:name w:val="font51"/>
    <w:basedOn w:val="49"/>
    <w:qFormat/>
    <w:uiPriority w:val="0"/>
    <w:rPr>
      <w:rFonts w:hint="default" w:ascii="Times New Roman" w:hAnsi="Times New Roman" w:cs="Times New Roman"/>
      <w:color w:val="000000"/>
      <w:sz w:val="20"/>
      <w:szCs w:val="20"/>
      <w:u w:val="none"/>
    </w:rPr>
  </w:style>
  <w:style w:type="character" w:customStyle="1" w:styleId="293">
    <w:name w:val="font81"/>
    <w:basedOn w:val="49"/>
    <w:qFormat/>
    <w:uiPriority w:val="0"/>
    <w:rPr>
      <w:rFonts w:hint="eastAsia" w:ascii="仿宋_GB2312" w:eastAsia="仿宋_GB2312" w:cs="仿宋_GB2312"/>
      <w:color w:val="000000"/>
      <w:sz w:val="22"/>
      <w:szCs w:val="22"/>
      <w:u w:val="none"/>
    </w:rPr>
  </w:style>
  <w:style w:type="paragraph" w:customStyle="1" w:styleId="294">
    <w:name w:val="样式2"/>
    <w:qFormat/>
    <w:uiPriority w:val="0"/>
    <w:pPr>
      <w:numPr>
        <w:ilvl w:val="1"/>
        <w:numId w:val="10"/>
      </w:numPr>
      <w:spacing w:line="360" w:lineRule="auto"/>
    </w:pPr>
    <w:rPr>
      <w:rFonts w:ascii="Calibri" w:hAnsi="Calibri" w:eastAsia="宋体" w:cs="Times New Roman"/>
      <w:kern w:val="2"/>
      <w:sz w:val="24"/>
      <w:szCs w:val="24"/>
      <w:lang w:val="en-US" w:eastAsia="zh-CN" w:bidi="ar-SA"/>
    </w:rPr>
  </w:style>
  <w:style w:type="character" w:customStyle="1" w:styleId="295">
    <w:name w:val="font71"/>
    <w:basedOn w:val="49"/>
    <w:qFormat/>
    <w:uiPriority w:val="0"/>
    <w:rPr>
      <w:rFonts w:ascii="仿宋_GB2312" w:eastAsia="仿宋_GB2312" w:cs="仿宋_GB2312"/>
      <w:color w:val="000000"/>
      <w:sz w:val="24"/>
      <w:szCs w:val="24"/>
      <w:u w:val="none"/>
    </w:rPr>
  </w:style>
  <w:style w:type="character" w:customStyle="1" w:styleId="296">
    <w:name w:val="font01"/>
    <w:basedOn w:val="4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B153-6E5E-489C-9858-92BFB39BD7E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89</Pages>
  <Words>47776</Words>
  <Characters>50507</Characters>
  <Lines>400</Lines>
  <Paragraphs>112</Paragraphs>
  <TotalTime>6</TotalTime>
  <ScaleCrop>false</ScaleCrop>
  <LinksUpToDate>false</LinksUpToDate>
  <CharactersWithSpaces>53766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2020-10-21T07:10:00Z</dcterms:created>
  <dc:creator>陈 启政</dc:creator>
  <cp:lastModifiedBy>陈方凯</cp:lastModifiedBy>
  <cp:lastPrinted>2021-07-19T01:05:58Z</cp:lastPrinted>
  <dcterms:modified xsi:type="dcterms:W3CDTF">2021-07-19T01:06:51Z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5BF8BE9099E54069A603CBF309731836</vt:lpwstr>
  </property>
</Properties>
</file>